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25EB8">
      <w:pPr>
        <w:rPr>
          <w:color w:val="auto"/>
          <w:sz w:val="36"/>
          <w:szCs w:val="36"/>
          <w:highlight w:val="none"/>
        </w:rPr>
      </w:pPr>
      <w:bookmarkStart w:id="0" w:name="_Hlk57883707"/>
      <w:bookmarkStart w:id="1" w:name="_Toc140651371"/>
      <w:bookmarkStart w:id="2" w:name="_Toc354926673"/>
      <w:bookmarkStart w:id="3" w:name="_Toc140650604"/>
    </w:p>
    <w:p w14:paraId="6923B4EE">
      <w:pPr>
        <w:rPr>
          <w:color w:val="auto"/>
          <w:sz w:val="36"/>
          <w:szCs w:val="36"/>
          <w:highlight w:val="none"/>
        </w:rPr>
      </w:pPr>
    </w:p>
    <w:p w14:paraId="70B624DD">
      <w:pPr>
        <w:rPr>
          <w:color w:val="auto"/>
          <w:sz w:val="36"/>
          <w:szCs w:val="36"/>
          <w:highlight w:val="none"/>
        </w:rPr>
      </w:pPr>
    </w:p>
    <w:bookmarkEnd w:id="0"/>
    <w:p w14:paraId="68820E89">
      <w:pPr>
        <w:adjustRightInd w:val="0"/>
        <w:snapToGrid w:val="0"/>
        <w:jc w:val="center"/>
        <w:outlineLvl w:val="0"/>
        <w:rPr>
          <w:rFonts w:ascii="黑体" w:hAnsi="黑体" w:eastAsia="黑体"/>
          <w:bCs/>
          <w:color w:val="auto"/>
          <w:sz w:val="56"/>
          <w:szCs w:val="56"/>
          <w:highlight w:val="none"/>
        </w:rPr>
      </w:pPr>
      <w:r>
        <w:rPr>
          <w:rFonts w:hint="eastAsia" w:ascii="黑体" w:hAnsi="黑体" w:eastAsia="黑体"/>
          <w:bCs/>
          <w:color w:val="auto"/>
          <w:sz w:val="56"/>
          <w:szCs w:val="56"/>
          <w:highlight w:val="none"/>
        </w:rPr>
        <w:t>建设项目生态环境影响报告表</w:t>
      </w:r>
    </w:p>
    <w:p w14:paraId="34E1BD22">
      <w:pPr>
        <w:adjustRightInd w:val="0"/>
        <w:snapToGrid w:val="0"/>
        <w:spacing w:before="249" w:beforeLines="80"/>
        <w:jc w:val="center"/>
        <w:rPr>
          <w:bCs/>
          <w:color w:val="auto"/>
          <w:sz w:val="48"/>
          <w:szCs w:val="48"/>
          <w:highlight w:val="none"/>
        </w:rPr>
      </w:pPr>
      <w:r>
        <w:rPr>
          <w:rFonts w:hAnsi="宋体"/>
          <w:bCs/>
          <w:color w:val="auto"/>
          <w:sz w:val="48"/>
          <w:szCs w:val="48"/>
          <w:highlight w:val="none"/>
        </w:rPr>
        <w:t>（</w:t>
      </w:r>
      <w:r>
        <w:rPr>
          <w:rFonts w:hint="eastAsia" w:ascii="楷体" w:hAnsi="楷体" w:eastAsia="楷体"/>
          <w:bCs/>
          <w:color w:val="auto"/>
          <w:sz w:val="44"/>
          <w:szCs w:val="48"/>
          <w:highlight w:val="none"/>
        </w:rPr>
        <w:t>污染</w:t>
      </w:r>
      <w:r>
        <w:rPr>
          <w:rFonts w:ascii="楷体" w:hAnsi="楷体" w:eastAsia="楷体"/>
          <w:bCs/>
          <w:color w:val="auto"/>
          <w:sz w:val="44"/>
          <w:szCs w:val="48"/>
          <w:highlight w:val="none"/>
        </w:rPr>
        <w:t>影响类</w:t>
      </w:r>
      <w:r>
        <w:rPr>
          <w:rFonts w:hAnsi="宋体"/>
          <w:bCs/>
          <w:color w:val="auto"/>
          <w:sz w:val="48"/>
          <w:szCs w:val="48"/>
          <w:highlight w:val="none"/>
        </w:rPr>
        <w:t>）</w:t>
      </w:r>
    </w:p>
    <w:p w14:paraId="58E9761E">
      <w:pPr>
        <w:jc w:val="center"/>
        <w:rPr>
          <w:color w:val="auto"/>
          <w:sz w:val="52"/>
          <w:szCs w:val="52"/>
          <w:highlight w:val="none"/>
        </w:rPr>
      </w:pPr>
      <w:bookmarkStart w:id="4" w:name="_Hlk57883728"/>
    </w:p>
    <w:p w14:paraId="600E78EA">
      <w:pPr>
        <w:ind w:firstLine="1040"/>
        <w:rPr>
          <w:color w:val="auto"/>
          <w:sz w:val="44"/>
          <w:szCs w:val="44"/>
          <w:highlight w:val="none"/>
        </w:rPr>
      </w:pPr>
    </w:p>
    <w:p w14:paraId="31D5DFED">
      <w:pPr>
        <w:ind w:firstLine="1040"/>
        <w:rPr>
          <w:color w:val="auto"/>
          <w:sz w:val="44"/>
          <w:szCs w:val="44"/>
          <w:highlight w:val="none"/>
        </w:rPr>
      </w:pPr>
    </w:p>
    <w:p w14:paraId="03D609B5">
      <w:pPr>
        <w:ind w:firstLine="1040"/>
        <w:rPr>
          <w:color w:val="auto"/>
          <w:sz w:val="44"/>
          <w:szCs w:val="44"/>
          <w:highlight w:val="none"/>
        </w:rPr>
      </w:pPr>
    </w:p>
    <w:p w14:paraId="50324E13">
      <w:pPr>
        <w:ind w:firstLine="1040"/>
        <w:rPr>
          <w:color w:val="auto"/>
          <w:sz w:val="44"/>
          <w:szCs w:val="44"/>
          <w:highlight w:val="none"/>
        </w:rPr>
      </w:pPr>
    </w:p>
    <w:p w14:paraId="236F06E2">
      <w:pPr>
        <w:ind w:firstLine="1040"/>
        <w:rPr>
          <w:color w:val="auto"/>
          <w:sz w:val="44"/>
          <w:szCs w:val="44"/>
          <w:highlight w:val="none"/>
        </w:rPr>
      </w:pPr>
    </w:p>
    <w:tbl>
      <w:tblPr>
        <w:tblStyle w:val="36"/>
        <w:tblW w:w="8448" w:type="dxa"/>
        <w:jc w:val="center"/>
        <w:tblLayout w:type="fixed"/>
        <w:tblCellMar>
          <w:top w:w="0" w:type="dxa"/>
          <w:left w:w="108" w:type="dxa"/>
          <w:bottom w:w="0" w:type="dxa"/>
          <w:right w:w="108" w:type="dxa"/>
        </w:tblCellMar>
      </w:tblPr>
      <w:tblGrid>
        <w:gridCol w:w="2765"/>
        <w:gridCol w:w="5683"/>
      </w:tblGrid>
      <w:tr w14:paraId="64F8BE38">
        <w:tblPrEx>
          <w:tblCellMar>
            <w:top w:w="0" w:type="dxa"/>
            <w:left w:w="108" w:type="dxa"/>
            <w:bottom w:w="0" w:type="dxa"/>
            <w:right w:w="108" w:type="dxa"/>
          </w:tblCellMar>
        </w:tblPrEx>
        <w:trPr>
          <w:jc w:val="center"/>
        </w:trPr>
        <w:tc>
          <w:tcPr>
            <w:tcW w:w="2765" w:type="dxa"/>
            <w:noWrap w:val="0"/>
            <w:vAlign w:val="top"/>
          </w:tcPr>
          <w:p w14:paraId="5C04F995">
            <w:pPr>
              <w:keepNext w:val="0"/>
              <w:keepLines w:val="0"/>
              <w:suppressLineNumbers w:val="0"/>
              <w:spacing w:before="93" w:beforeLines="30" w:beforeAutospacing="0" w:after="0" w:afterAutospacing="0" w:line="220" w:lineRule="atLeast"/>
              <w:ind w:left="0" w:right="0"/>
              <w:jc w:val="left"/>
              <w:rPr>
                <w:rFonts w:hint="default" w:ascii="黑体" w:hAnsi="黑体" w:eastAsia="黑体"/>
                <w:color w:val="auto"/>
                <w:sz w:val="32"/>
                <w:highlight w:val="none"/>
              </w:rPr>
            </w:pPr>
            <w:r>
              <w:rPr>
                <w:rFonts w:hint="default" w:hAnsi="宋体"/>
                <w:color w:val="auto"/>
                <w:sz w:val="32"/>
                <w:szCs w:val="36"/>
                <w:highlight w:val="none"/>
              </w:rPr>
              <w:t>项目名称</w:t>
            </w:r>
            <w:r>
              <w:rPr>
                <w:rFonts w:hint="eastAsia" w:hAnsi="宋体"/>
                <w:color w:val="auto"/>
                <w:sz w:val="32"/>
                <w:szCs w:val="36"/>
                <w:highlight w:val="none"/>
              </w:rPr>
              <w:t>：</w:t>
            </w:r>
          </w:p>
        </w:tc>
        <w:tc>
          <w:tcPr>
            <w:tcW w:w="5683" w:type="dxa"/>
            <w:tcBorders>
              <w:bottom w:val="single" w:color="auto" w:sz="4" w:space="0"/>
            </w:tcBorders>
            <w:noWrap w:val="0"/>
            <w:vAlign w:val="top"/>
          </w:tcPr>
          <w:p w14:paraId="42225C47">
            <w:pPr>
              <w:keepNext w:val="0"/>
              <w:keepLines w:val="0"/>
              <w:suppressLineNumbers w:val="0"/>
              <w:spacing w:before="0" w:beforeAutospacing="0" w:after="0" w:afterAutospacing="0"/>
              <w:ind w:left="0" w:right="0"/>
              <w:jc w:val="center"/>
              <w:rPr>
                <w:rFonts w:hint="default" w:ascii="黑体" w:hAnsi="黑体" w:eastAsia="黑体"/>
                <w:color w:val="auto"/>
                <w:highlight w:val="none"/>
              </w:rPr>
            </w:pPr>
            <w:r>
              <w:rPr>
                <w:rFonts w:hint="eastAsia" w:ascii="Times New Roman" w:hAnsi="宋体" w:eastAsia="宋体" w:cs="Times New Roman"/>
                <w:color w:val="auto"/>
                <w:sz w:val="32"/>
                <w:szCs w:val="36"/>
                <w:highlight w:val="none"/>
                <w:lang w:val="en-US" w:eastAsia="zh-CN"/>
              </w:rPr>
              <w:t>丙烷、丁烷充装科技改造</w:t>
            </w:r>
            <w:r>
              <w:rPr>
                <w:rFonts w:hint="eastAsia" w:ascii="Times New Roman" w:hAnsi="宋体" w:eastAsia="宋体" w:cs="Times New Roman"/>
                <w:color w:val="auto"/>
                <w:sz w:val="32"/>
                <w:szCs w:val="36"/>
                <w:highlight w:val="none"/>
              </w:rPr>
              <w:t>项目</w:t>
            </w:r>
          </w:p>
        </w:tc>
      </w:tr>
      <w:tr w14:paraId="4705E198">
        <w:tblPrEx>
          <w:tblCellMar>
            <w:top w:w="0" w:type="dxa"/>
            <w:left w:w="108" w:type="dxa"/>
            <w:bottom w:w="0" w:type="dxa"/>
            <w:right w:w="108" w:type="dxa"/>
          </w:tblCellMar>
        </w:tblPrEx>
        <w:trPr>
          <w:jc w:val="center"/>
        </w:trPr>
        <w:tc>
          <w:tcPr>
            <w:tcW w:w="2765" w:type="dxa"/>
            <w:noWrap w:val="0"/>
            <w:vAlign w:val="top"/>
          </w:tcPr>
          <w:p w14:paraId="1E3DAD88">
            <w:pPr>
              <w:keepNext w:val="0"/>
              <w:keepLines w:val="0"/>
              <w:suppressLineNumbers w:val="0"/>
              <w:spacing w:before="93" w:beforeLines="30" w:beforeAutospacing="0" w:after="0" w:afterAutospacing="0" w:line="276" w:lineRule="auto"/>
              <w:ind w:left="0" w:right="0"/>
              <w:jc w:val="center"/>
              <w:rPr>
                <w:rFonts w:hint="default" w:hAnsi="宋体"/>
                <w:color w:val="auto"/>
                <w:sz w:val="32"/>
                <w:szCs w:val="36"/>
                <w:highlight w:val="none"/>
              </w:rPr>
            </w:pPr>
            <w:r>
              <w:rPr>
                <w:rFonts w:hint="default" w:hAnsi="宋体"/>
                <w:color w:val="auto"/>
                <w:sz w:val="32"/>
                <w:szCs w:val="36"/>
                <w:highlight w:val="none"/>
              </w:rPr>
              <w:t>建设单位（盖章）</w:t>
            </w:r>
            <w:r>
              <w:rPr>
                <w:rFonts w:hint="eastAsia" w:hAnsi="宋体"/>
                <w:color w:val="auto"/>
                <w:sz w:val="32"/>
                <w:szCs w:val="36"/>
                <w:highlight w:val="none"/>
              </w:rPr>
              <w:t>：</w:t>
            </w:r>
          </w:p>
        </w:tc>
        <w:tc>
          <w:tcPr>
            <w:tcW w:w="5683" w:type="dxa"/>
            <w:tcBorders>
              <w:top w:val="single" w:color="auto" w:sz="4" w:space="0"/>
              <w:bottom w:val="single" w:color="auto" w:sz="4" w:space="0"/>
            </w:tcBorders>
            <w:noWrap w:val="0"/>
            <w:vAlign w:val="top"/>
          </w:tcPr>
          <w:p w14:paraId="08B6C5F9">
            <w:pPr>
              <w:keepNext w:val="0"/>
              <w:keepLines w:val="0"/>
              <w:suppressLineNumbers w:val="0"/>
              <w:spacing w:before="93" w:beforeLines="30" w:beforeAutospacing="0" w:after="0" w:afterAutospacing="0" w:line="276" w:lineRule="auto"/>
              <w:ind w:left="0" w:right="0"/>
              <w:jc w:val="center"/>
              <w:rPr>
                <w:rFonts w:hint="default" w:hAnsi="宋体" w:eastAsia="仿宋_GB2312"/>
                <w:color w:val="auto"/>
                <w:sz w:val="32"/>
                <w:szCs w:val="36"/>
                <w:highlight w:val="none"/>
              </w:rPr>
            </w:pPr>
            <w:r>
              <w:rPr>
                <w:rFonts w:hint="eastAsia" w:ascii="Times New Roman" w:hAnsi="宋体" w:eastAsia="宋体" w:cs="Times New Roman"/>
                <w:color w:val="auto"/>
                <w:sz w:val="32"/>
                <w:szCs w:val="36"/>
                <w:highlight w:val="none"/>
                <w:lang w:val="en-US" w:eastAsia="zh-CN"/>
              </w:rPr>
              <w:t>安徽永银科技发展</w:t>
            </w:r>
            <w:r>
              <w:rPr>
                <w:rFonts w:hint="eastAsia" w:ascii="Times New Roman" w:hAnsi="宋体" w:eastAsia="宋体" w:cs="Times New Roman"/>
                <w:color w:val="auto"/>
                <w:sz w:val="32"/>
                <w:szCs w:val="36"/>
                <w:highlight w:val="none"/>
              </w:rPr>
              <w:t>有限公司</w:t>
            </w:r>
          </w:p>
        </w:tc>
      </w:tr>
      <w:tr w14:paraId="2DBFE051">
        <w:tblPrEx>
          <w:tblCellMar>
            <w:top w:w="0" w:type="dxa"/>
            <w:left w:w="108" w:type="dxa"/>
            <w:bottom w:w="0" w:type="dxa"/>
            <w:right w:w="108" w:type="dxa"/>
          </w:tblCellMar>
        </w:tblPrEx>
        <w:trPr>
          <w:jc w:val="center"/>
        </w:trPr>
        <w:tc>
          <w:tcPr>
            <w:tcW w:w="2765" w:type="dxa"/>
            <w:noWrap w:val="0"/>
            <w:vAlign w:val="top"/>
          </w:tcPr>
          <w:p w14:paraId="0D67F44F">
            <w:pPr>
              <w:keepNext w:val="0"/>
              <w:keepLines w:val="0"/>
              <w:suppressLineNumbers w:val="0"/>
              <w:spacing w:before="93" w:beforeLines="30" w:beforeAutospacing="0" w:after="0" w:afterAutospacing="0" w:line="220" w:lineRule="atLeast"/>
              <w:ind w:left="0" w:right="0"/>
              <w:jc w:val="left"/>
              <w:rPr>
                <w:rFonts w:hint="default" w:ascii="黑体" w:hAnsi="黑体" w:eastAsia="黑体"/>
                <w:color w:val="auto"/>
                <w:sz w:val="32"/>
                <w:highlight w:val="none"/>
              </w:rPr>
            </w:pPr>
            <w:r>
              <w:rPr>
                <w:rFonts w:hint="eastAsia" w:hAnsi="宋体"/>
                <w:color w:val="auto"/>
                <w:sz w:val="32"/>
                <w:szCs w:val="36"/>
                <w:highlight w:val="none"/>
              </w:rPr>
              <w:t>编制日期：</w:t>
            </w:r>
          </w:p>
        </w:tc>
        <w:tc>
          <w:tcPr>
            <w:tcW w:w="5683" w:type="dxa"/>
            <w:tcBorders>
              <w:top w:val="single" w:color="auto" w:sz="4" w:space="0"/>
              <w:bottom w:val="single" w:color="auto" w:sz="4" w:space="0"/>
            </w:tcBorders>
            <w:noWrap w:val="0"/>
            <w:vAlign w:val="top"/>
          </w:tcPr>
          <w:p w14:paraId="4956F85C">
            <w:pPr>
              <w:keepNext w:val="0"/>
              <w:keepLines w:val="0"/>
              <w:suppressLineNumbers w:val="0"/>
              <w:spacing w:before="93" w:beforeLines="30" w:beforeAutospacing="0" w:after="0" w:afterAutospacing="0" w:line="276" w:lineRule="auto"/>
              <w:ind w:left="0" w:right="0"/>
              <w:jc w:val="center"/>
              <w:rPr>
                <w:rFonts w:hint="default" w:ascii="仿宋" w:hAnsi="仿宋" w:eastAsia="仿宋"/>
                <w:color w:val="auto"/>
                <w:sz w:val="32"/>
                <w:highlight w:val="none"/>
              </w:rPr>
            </w:pPr>
            <w:r>
              <w:rPr>
                <w:rFonts w:hint="eastAsia" w:ascii="仿宋" w:hAnsi="仿宋" w:eastAsia="仿宋"/>
                <w:color w:val="auto"/>
                <w:sz w:val="32"/>
                <w:szCs w:val="36"/>
                <w:highlight w:val="none"/>
              </w:rPr>
              <w:t>二</w:t>
            </w:r>
            <w:r>
              <w:rPr>
                <w:rFonts w:hint="default" w:ascii="仿宋" w:hAnsi="仿宋" w:eastAsia="仿宋" w:cs="宋体"/>
                <w:color w:val="auto"/>
                <w:sz w:val="32"/>
                <w:szCs w:val="36"/>
                <w:highlight w:val="none"/>
              </w:rPr>
              <w:t>〇二</w:t>
            </w:r>
            <w:r>
              <w:rPr>
                <w:rFonts w:hint="eastAsia" w:ascii="仿宋" w:hAnsi="仿宋" w:eastAsia="仿宋" w:cs="宋体"/>
                <w:color w:val="auto"/>
                <w:sz w:val="32"/>
                <w:szCs w:val="36"/>
                <w:highlight w:val="none"/>
              </w:rPr>
              <w:t>六</w:t>
            </w:r>
            <w:r>
              <w:rPr>
                <w:rFonts w:hint="default" w:ascii="仿宋" w:hAnsi="仿宋" w:eastAsia="仿宋"/>
                <w:color w:val="auto"/>
                <w:sz w:val="32"/>
                <w:szCs w:val="36"/>
                <w:highlight w:val="none"/>
              </w:rPr>
              <w:t>年</w:t>
            </w:r>
            <w:r>
              <w:rPr>
                <w:rFonts w:hint="eastAsia" w:ascii="仿宋" w:hAnsi="仿宋" w:eastAsia="仿宋"/>
                <w:color w:val="auto"/>
                <w:sz w:val="32"/>
                <w:szCs w:val="36"/>
                <w:highlight w:val="none"/>
                <w:lang w:val="en-US" w:eastAsia="zh-CN"/>
              </w:rPr>
              <w:t>九</w:t>
            </w:r>
            <w:bookmarkStart w:id="25" w:name="_GoBack"/>
            <w:bookmarkEnd w:id="25"/>
            <w:r>
              <w:rPr>
                <w:rFonts w:hint="default" w:ascii="仿宋" w:hAnsi="仿宋" w:eastAsia="仿宋"/>
                <w:color w:val="auto"/>
                <w:sz w:val="32"/>
                <w:szCs w:val="36"/>
                <w:highlight w:val="none"/>
              </w:rPr>
              <w:t>月</w:t>
            </w:r>
          </w:p>
        </w:tc>
      </w:tr>
      <w:tr w14:paraId="6351877D">
        <w:tblPrEx>
          <w:tblCellMar>
            <w:top w:w="0" w:type="dxa"/>
            <w:left w:w="108" w:type="dxa"/>
            <w:bottom w:w="0" w:type="dxa"/>
            <w:right w:w="108" w:type="dxa"/>
          </w:tblCellMar>
        </w:tblPrEx>
        <w:trPr>
          <w:jc w:val="center"/>
        </w:trPr>
        <w:tc>
          <w:tcPr>
            <w:tcW w:w="2765" w:type="dxa"/>
            <w:noWrap w:val="0"/>
            <w:vAlign w:val="top"/>
          </w:tcPr>
          <w:p w14:paraId="0C577CCE">
            <w:pPr>
              <w:keepNext w:val="0"/>
              <w:keepLines w:val="0"/>
              <w:suppressLineNumbers w:val="0"/>
              <w:spacing w:before="0" w:beforeAutospacing="0" w:after="0" w:afterAutospacing="0" w:line="220" w:lineRule="atLeast"/>
              <w:ind w:left="0" w:right="0"/>
              <w:jc w:val="right"/>
              <w:rPr>
                <w:rFonts w:hint="default" w:ascii="黑体" w:hAnsi="黑体" w:eastAsia="黑体"/>
                <w:color w:val="auto"/>
                <w:sz w:val="32"/>
                <w:szCs w:val="32"/>
                <w:highlight w:val="none"/>
              </w:rPr>
            </w:pPr>
          </w:p>
        </w:tc>
        <w:tc>
          <w:tcPr>
            <w:tcW w:w="5683" w:type="dxa"/>
            <w:tcBorders>
              <w:top w:val="single" w:color="auto" w:sz="4" w:space="0"/>
            </w:tcBorders>
            <w:noWrap w:val="0"/>
            <w:vAlign w:val="top"/>
          </w:tcPr>
          <w:p w14:paraId="4D965370">
            <w:pPr>
              <w:keepNext w:val="0"/>
              <w:keepLines w:val="0"/>
              <w:suppressLineNumbers w:val="0"/>
              <w:spacing w:before="0" w:beforeAutospacing="0" w:after="0" w:afterAutospacing="0" w:line="220" w:lineRule="atLeast"/>
              <w:ind w:left="0" w:right="0"/>
              <w:rPr>
                <w:rFonts w:hint="default" w:ascii="黑体" w:hAnsi="黑体" w:eastAsia="黑体"/>
                <w:color w:val="auto"/>
                <w:sz w:val="32"/>
                <w:szCs w:val="32"/>
                <w:highlight w:val="none"/>
              </w:rPr>
            </w:pPr>
          </w:p>
        </w:tc>
      </w:tr>
      <w:bookmarkEnd w:id="4"/>
    </w:tbl>
    <w:p w14:paraId="456117DF">
      <w:pPr>
        <w:adjustRightInd w:val="0"/>
        <w:snapToGrid w:val="0"/>
        <w:spacing w:line="288" w:lineRule="auto"/>
        <w:ind w:firstLine="1040"/>
        <w:rPr>
          <w:color w:val="auto"/>
          <w:sz w:val="36"/>
          <w:szCs w:val="36"/>
          <w:highlight w:val="none"/>
        </w:rPr>
      </w:pPr>
    </w:p>
    <w:p w14:paraId="6437780B">
      <w:pPr>
        <w:adjustRightInd w:val="0"/>
        <w:snapToGrid w:val="0"/>
        <w:spacing w:line="288" w:lineRule="auto"/>
        <w:ind w:firstLine="1040"/>
        <w:rPr>
          <w:color w:val="auto"/>
          <w:sz w:val="36"/>
          <w:szCs w:val="36"/>
          <w:highlight w:val="none"/>
        </w:rPr>
      </w:pPr>
    </w:p>
    <w:p w14:paraId="588ED43E">
      <w:pPr>
        <w:adjustRightInd w:val="0"/>
        <w:snapToGrid w:val="0"/>
        <w:spacing w:line="288" w:lineRule="auto"/>
        <w:ind w:firstLine="1040"/>
        <w:rPr>
          <w:color w:val="auto"/>
          <w:sz w:val="36"/>
          <w:szCs w:val="36"/>
          <w:highlight w:val="none"/>
        </w:rPr>
      </w:pPr>
    </w:p>
    <w:p w14:paraId="7B644E8E">
      <w:pPr>
        <w:adjustRightInd w:val="0"/>
        <w:snapToGrid w:val="0"/>
        <w:spacing w:line="288" w:lineRule="auto"/>
        <w:ind w:firstLine="1040"/>
        <w:rPr>
          <w:color w:val="auto"/>
          <w:sz w:val="36"/>
          <w:szCs w:val="36"/>
          <w:highlight w:val="none"/>
        </w:rPr>
      </w:pPr>
    </w:p>
    <w:p w14:paraId="7ADD73C2">
      <w:pPr>
        <w:adjustRightInd w:val="0"/>
        <w:snapToGrid w:val="0"/>
        <w:spacing w:line="288" w:lineRule="auto"/>
        <w:jc w:val="center"/>
        <w:rPr>
          <w:rFonts w:ascii="楷体" w:hAnsi="楷体" w:eastAsia="楷体"/>
          <w:color w:val="auto"/>
          <w:sz w:val="36"/>
          <w:szCs w:val="36"/>
          <w:highlight w:val="none"/>
        </w:rPr>
      </w:pPr>
      <w:r>
        <w:rPr>
          <w:rFonts w:hint="eastAsia" w:ascii="楷体" w:hAnsi="楷体" w:eastAsia="楷体"/>
          <w:color w:val="auto"/>
          <w:sz w:val="36"/>
          <w:szCs w:val="36"/>
          <w:highlight w:val="none"/>
        </w:rPr>
        <w:t>中华人民共和国生态环境部制</w:t>
      </w:r>
    </w:p>
    <w:p w14:paraId="75D0FBB2">
      <w:pPr>
        <w:rPr>
          <w:b/>
          <w:color w:val="auto"/>
          <w:sz w:val="24"/>
          <w:highlight w:val="none"/>
        </w:rPr>
        <w:sectPr>
          <w:headerReference r:id="rId3" w:type="default"/>
          <w:headerReference r:id="rId4" w:type="even"/>
          <w:footerReference r:id="rId5"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0749C557">
      <w:pPr>
        <w:widowControl/>
        <w:jc w:val="center"/>
        <w:outlineLvl w:val="0"/>
        <w:rPr>
          <w:rFonts w:ascii="宋体" w:hAnsi="宋体"/>
          <w:b/>
          <w:color w:val="auto"/>
          <w:kern w:val="0"/>
          <w:sz w:val="30"/>
          <w:szCs w:val="30"/>
          <w:highlight w:val="none"/>
        </w:rPr>
      </w:pPr>
      <w:r>
        <w:rPr>
          <w:rFonts w:ascii="宋体" w:hAnsi="宋体"/>
          <w:b/>
          <w:bCs/>
          <w:color w:val="auto"/>
          <w:kern w:val="0"/>
          <w:sz w:val="30"/>
          <w:szCs w:val="30"/>
          <w:highlight w:val="none"/>
        </w:rPr>
        <w:t>一</w:t>
      </w:r>
      <w:r>
        <w:rPr>
          <w:rFonts w:hint="eastAsia" w:ascii="宋体" w:hAnsi="宋体"/>
          <w:b/>
          <w:bCs/>
          <w:color w:val="auto"/>
          <w:kern w:val="0"/>
          <w:sz w:val="30"/>
          <w:szCs w:val="30"/>
          <w:highlight w:val="none"/>
        </w:rPr>
        <w:t>、</w:t>
      </w:r>
      <w:r>
        <w:rPr>
          <w:rFonts w:ascii="宋体" w:hAnsi="宋体"/>
          <w:b/>
          <w:bCs/>
          <w:color w:val="auto"/>
          <w:kern w:val="0"/>
          <w:sz w:val="30"/>
          <w:szCs w:val="30"/>
          <w:highlight w:val="none"/>
        </w:rPr>
        <w:t>建设项目</w:t>
      </w:r>
      <w:r>
        <w:rPr>
          <w:rFonts w:ascii="宋体" w:hAnsi="宋体"/>
          <w:b/>
          <w:color w:val="auto"/>
          <w:kern w:val="0"/>
          <w:sz w:val="30"/>
          <w:szCs w:val="30"/>
          <w:highlight w:val="none"/>
        </w:rPr>
        <w:t>基本情况</w:t>
      </w:r>
      <w:bookmarkEnd w:id="1"/>
      <w:bookmarkEnd w:id="2"/>
      <w:bookmarkEnd w:id="3"/>
    </w:p>
    <w:tbl>
      <w:tblPr>
        <w:tblStyle w:val="36"/>
        <w:tblW w:w="504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4"/>
        <w:gridCol w:w="561"/>
        <w:gridCol w:w="1605"/>
        <w:gridCol w:w="1739"/>
        <w:gridCol w:w="204"/>
        <w:gridCol w:w="1910"/>
        <w:gridCol w:w="2649"/>
      </w:tblGrid>
      <w:tr w14:paraId="4CB7E8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2E800AB1">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建设项目名称</w:t>
            </w:r>
          </w:p>
        </w:tc>
        <w:tc>
          <w:tcPr>
            <w:tcW w:w="3730" w:type="pct"/>
            <w:gridSpan w:val="4"/>
            <w:vAlign w:val="center"/>
          </w:tcPr>
          <w:p w14:paraId="76BA9FC2">
            <w:pPr>
              <w:adjustRightInd w:val="0"/>
              <w:snapToGrid w:val="0"/>
              <w:jc w:val="center"/>
              <w:rPr>
                <w:rFonts w:hint="eastAsia" w:ascii="宋体" w:hAnsi="宋体" w:eastAsia="宋体" w:cs="宋体"/>
                <w:color w:val="auto"/>
                <w:sz w:val="24"/>
                <w:szCs w:val="24"/>
                <w:highlight w:val="none"/>
                <w:lang w:eastAsia="zh-CN"/>
              </w:rPr>
            </w:pPr>
            <w:r>
              <w:rPr>
                <w:rFonts w:hint="eastAsia"/>
                <w:color w:val="auto"/>
                <w:sz w:val="24"/>
                <w:szCs w:val="24"/>
                <w:highlight w:val="none"/>
                <w:lang w:eastAsia="zh-CN"/>
              </w:rPr>
              <w:t>丙烷、丁烷充装科技改造项目</w:t>
            </w:r>
          </w:p>
        </w:tc>
      </w:tr>
      <w:tr w14:paraId="710D3C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597AC950">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项目代码</w:t>
            </w:r>
          </w:p>
        </w:tc>
        <w:tc>
          <w:tcPr>
            <w:tcW w:w="3730" w:type="pct"/>
            <w:gridSpan w:val="4"/>
            <w:vAlign w:val="center"/>
          </w:tcPr>
          <w:p w14:paraId="50F0D00C">
            <w:pPr>
              <w:adjustRightInd w:val="0"/>
              <w:snapToGrid w:val="0"/>
              <w:jc w:val="center"/>
              <w:rPr>
                <w:rFonts w:hint="eastAsia" w:ascii="宋体" w:hAnsi="宋体" w:eastAsia="宋体" w:cs="宋体"/>
                <w:color w:val="auto"/>
                <w:sz w:val="24"/>
                <w:szCs w:val="24"/>
                <w:highlight w:val="none"/>
                <w:lang w:eastAsia="zh-CN"/>
              </w:rPr>
            </w:pPr>
            <w:r>
              <w:rPr>
                <w:rFonts w:hint="eastAsia"/>
                <w:color w:val="auto"/>
                <w:sz w:val="24"/>
                <w:szCs w:val="24"/>
                <w:highlight w:val="none"/>
                <w:lang w:eastAsia="zh-CN"/>
              </w:rPr>
              <w:t>2606-340461-04-02-407763</w:t>
            </w:r>
          </w:p>
        </w:tc>
      </w:tr>
      <w:tr w14:paraId="2C219C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1A585AF0">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建设单位联系人</w:t>
            </w:r>
          </w:p>
        </w:tc>
        <w:tc>
          <w:tcPr>
            <w:tcW w:w="998" w:type="pct"/>
            <w:vAlign w:val="center"/>
          </w:tcPr>
          <w:p w14:paraId="677658A2">
            <w:pPr>
              <w:adjustRightInd w:val="0"/>
              <w:snapToGrid w:val="0"/>
              <w:jc w:val="center"/>
              <w:rPr>
                <w:rFonts w:ascii="宋体" w:hAnsi="宋体" w:cs="宋体"/>
                <w:color w:val="auto"/>
                <w:sz w:val="24"/>
                <w:szCs w:val="24"/>
                <w:highlight w:val="none"/>
              </w:rPr>
            </w:pPr>
            <w:r>
              <w:rPr>
                <w:color w:val="auto"/>
                <w:sz w:val="24"/>
                <w:szCs w:val="24"/>
                <w:highlight w:val="none"/>
              </w:rPr>
              <w:t>孟磊</w:t>
            </w:r>
          </w:p>
        </w:tc>
        <w:tc>
          <w:tcPr>
            <w:tcW w:w="1213" w:type="pct"/>
            <w:gridSpan w:val="2"/>
            <w:vAlign w:val="center"/>
          </w:tcPr>
          <w:p w14:paraId="51630029">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1519" w:type="pct"/>
            <w:vAlign w:val="center"/>
          </w:tcPr>
          <w:p w14:paraId="3D0F9084">
            <w:pPr>
              <w:adjustRightInd w:val="0"/>
              <w:snapToGrid w:val="0"/>
              <w:jc w:val="center"/>
              <w:rPr>
                <w:rFonts w:ascii="宋体" w:hAnsi="宋体" w:cs="宋体"/>
                <w:color w:val="auto"/>
                <w:sz w:val="24"/>
                <w:szCs w:val="24"/>
                <w:highlight w:val="none"/>
              </w:rPr>
            </w:pPr>
            <w:r>
              <w:rPr>
                <w:bCs/>
                <w:color w:val="auto"/>
                <w:sz w:val="24"/>
                <w:szCs w:val="24"/>
                <w:highlight w:val="none"/>
              </w:rPr>
              <w:t>17729900878</w:t>
            </w:r>
          </w:p>
        </w:tc>
      </w:tr>
      <w:tr w14:paraId="4BBEDE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6559FD03">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建设地点</w:t>
            </w:r>
          </w:p>
        </w:tc>
        <w:tc>
          <w:tcPr>
            <w:tcW w:w="3730" w:type="pct"/>
            <w:gridSpan w:val="4"/>
            <w:vAlign w:val="center"/>
          </w:tcPr>
          <w:p w14:paraId="2E2C8672">
            <w:pPr>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安徽省淮南市淮南经济技术开发区安徽永银科技发展有限公司（经开区长宁路80号）</w:t>
            </w:r>
          </w:p>
        </w:tc>
      </w:tr>
      <w:tr w14:paraId="77D8F8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0057555E">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地理坐标</w:t>
            </w:r>
          </w:p>
        </w:tc>
        <w:tc>
          <w:tcPr>
            <w:tcW w:w="3730" w:type="pct"/>
            <w:gridSpan w:val="4"/>
            <w:vAlign w:val="center"/>
          </w:tcPr>
          <w:p w14:paraId="0DB7349D">
            <w:pPr>
              <w:jc w:val="center"/>
              <w:rPr>
                <w:rFonts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E</w:t>
            </w:r>
            <w:r>
              <w:rPr>
                <w:color w:val="auto"/>
                <w:sz w:val="24"/>
                <w:szCs w:val="24"/>
                <w:highlight w:val="none"/>
                <w:u w:val="single"/>
              </w:rPr>
              <w:t>1</w:t>
            </w:r>
            <w:r>
              <w:rPr>
                <w:rFonts w:hint="eastAsia"/>
                <w:color w:val="auto"/>
                <w:sz w:val="24"/>
                <w:szCs w:val="24"/>
                <w:highlight w:val="none"/>
                <w:u w:val="single"/>
              </w:rPr>
              <w:t>17</w:t>
            </w:r>
            <w:r>
              <w:rPr>
                <w:rFonts w:hint="eastAsia" w:ascii="宋体" w:hAnsi="宋体" w:cs="宋体"/>
                <w:color w:val="auto"/>
                <w:sz w:val="24"/>
                <w:szCs w:val="24"/>
                <w:highlight w:val="none"/>
              </w:rPr>
              <w:t>度</w:t>
            </w:r>
            <w:r>
              <w:rPr>
                <w:rFonts w:hint="eastAsia"/>
                <w:color w:val="auto"/>
                <w:sz w:val="24"/>
                <w:szCs w:val="24"/>
                <w:highlight w:val="none"/>
                <w:u w:val="single"/>
              </w:rPr>
              <w:t>6</w:t>
            </w:r>
            <w:r>
              <w:rPr>
                <w:rFonts w:hint="eastAsia" w:ascii="宋体" w:hAnsi="宋体" w:cs="宋体"/>
                <w:color w:val="auto"/>
                <w:sz w:val="24"/>
                <w:szCs w:val="24"/>
                <w:highlight w:val="none"/>
              </w:rPr>
              <w:t>分</w:t>
            </w:r>
            <w:r>
              <w:rPr>
                <w:rFonts w:hint="eastAsia"/>
                <w:color w:val="auto"/>
                <w:sz w:val="24"/>
                <w:szCs w:val="24"/>
                <w:highlight w:val="none"/>
                <w:u w:val="single"/>
              </w:rPr>
              <w:t>10.450</w:t>
            </w:r>
            <w:r>
              <w:rPr>
                <w:rFonts w:hint="eastAsia" w:ascii="宋体" w:hAnsi="宋体" w:cs="宋体"/>
                <w:color w:val="auto"/>
                <w:sz w:val="24"/>
                <w:szCs w:val="24"/>
                <w:highlight w:val="none"/>
              </w:rPr>
              <w:t>秒，</w:t>
            </w:r>
            <w:r>
              <w:rPr>
                <w:rFonts w:hint="eastAsia" w:ascii="Times New Roman" w:hAnsi="Times New Roman" w:eastAsia="宋体" w:cs="Times New Roman"/>
                <w:bCs/>
                <w:color w:val="auto"/>
                <w:sz w:val="24"/>
                <w:szCs w:val="24"/>
                <w:highlight w:val="none"/>
                <w:lang w:val="en-US" w:eastAsia="zh-CN"/>
              </w:rPr>
              <w:t>N</w:t>
            </w:r>
            <w:r>
              <w:rPr>
                <w:color w:val="auto"/>
                <w:sz w:val="24"/>
                <w:szCs w:val="24"/>
                <w:highlight w:val="none"/>
                <w:u w:val="single"/>
              </w:rPr>
              <w:t>3</w:t>
            </w:r>
            <w:r>
              <w:rPr>
                <w:rFonts w:hint="eastAsia"/>
                <w:color w:val="auto"/>
                <w:sz w:val="24"/>
                <w:szCs w:val="24"/>
                <w:highlight w:val="none"/>
                <w:u w:val="single"/>
              </w:rPr>
              <w:t>2</w:t>
            </w:r>
            <w:r>
              <w:rPr>
                <w:rFonts w:hint="eastAsia" w:ascii="宋体" w:hAnsi="宋体" w:cs="宋体"/>
                <w:color w:val="auto"/>
                <w:sz w:val="24"/>
                <w:szCs w:val="24"/>
                <w:highlight w:val="none"/>
              </w:rPr>
              <w:t>度</w:t>
            </w:r>
            <w:r>
              <w:rPr>
                <w:rFonts w:hint="eastAsia"/>
                <w:color w:val="auto"/>
                <w:sz w:val="24"/>
                <w:szCs w:val="24"/>
                <w:highlight w:val="none"/>
                <w:u w:val="single"/>
              </w:rPr>
              <w:t>39</w:t>
            </w:r>
            <w:r>
              <w:rPr>
                <w:rFonts w:hint="eastAsia" w:ascii="宋体" w:hAnsi="宋体" w:cs="宋体"/>
                <w:color w:val="auto"/>
                <w:sz w:val="24"/>
                <w:szCs w:val="24"/>
                <w:highlight w:val="none"/>
              </w:rPr>
              <w:t>分</w:t>
            </w:r>
            <w:r>
              <w:rPr>
                <w:rFonts w:hint="eastAsia"/>
                <w:color w:val="auto"/>
                <w:sz w:val="24"/>
                <w:szCs w:val="24"/>
                <w:highlight w:val="none"/>
                <w:u w:val="single"/>
              </w:rPr>
              <w:t>15.600</w:t>
            </w:r>
            <w:r>
              <w:rPr>
                <w:rFonts w:hint="eastAsia" w:ascii="宋体" w:hAnsi="宋体" w:cs="宋体"/>
                <w:color w:val="auto"/>
                <w:sz w:val="24"/>
                <w:szCs w:val="24"/>
                <w:highlight w:val="none"/>
              </w:rPr>
              <w:t>秒）</w:t>
            </w:r>
          </w:p>
        </w:tc>
      </w:tr>
      <w:tr w14:paraId="10E4D6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560" w:hRule="atLeast"/>
          <w:jc w:val="center"/>
        </w:trPr>
        <w:tc>
          <w:tcPr>
            <w:tcW w:w="1243" w:type="pct"/>
            <w:gridSpan w:val="2"/>
            <w:tcMar>
              <w:top w:w="16" w:type="dxa"/>
              <w:left w:w="16" w:type="dxa"/>
              <w:right w:w="16" w:type="dxa"/>
            </w:tcMar>
            <w:vAlign w:val="center"/>
          </w:tcPr>
          <w:p w14:paraId="567361A3">
            <w:pPr>
              <w:adjustRightInd w:val="0"/>
              <w:snapToGrid w:val="0"/>
              <w:jc w:val="center"/>
              <w:rPr>
                <w:color w:val="auto"/>
                <w:sz w:val="24"/>
                <w:szCs w:val="24"/>
                <w:highlight w:val="none"/>
              </w:rPr>
            </w:pPr>
            <w:r>
              <w:rPr>
                <w:rFonts w:hAnsi="宋体"/>
                <w:color w:val="auto"/>
                <w:sz w:val="24"/>
                <w:szCs w:val="24"/>
                <w:highlight w:val="none"/>
              </w:rPr>
              <w:t>国民经济</w:t>
            </w:r>
          </w:p>
          <w:p w14:paraId="501652DB">
            <w:pPr>
              <w:adjustRightInd w:val="0"/>
              <w:snapToGrid w:val="0"/>
              <w:jc w:val="center"/>
              <w:rPr>
                <w:color w:val="auto"/>
                <w:sz w:val="24"/>
                <w:szCs w:val="24"/>
                <w:highlight w:val="none"/>
              </w:rPr>
            </w:pPr>
            <w:r>
              <w:rPr>
                <w:rFonts w:hAnsi="宋体"/>
                <w:color w:val="auto"/>
                <w:sz w:val="24"/>
                <w:szCs w:val="24"/>
                <w:highlight w:val="none"/>
              </w:rPr>
              <w:t>行业类别</w:t>
            </w:r>
          </w:p>
        </w:tc>
        <w:tc>
          <w:tcPr>
            <w:tcW w:w="1115" w:type="pct"/>
            <w:gridSpan w:val="2"/>
            <w:vAlign w:val="center"/>
          </w:tcPr>
          <w:p w14:paraId="6EBA2B98">
            <w:pPr>
              <w:adjustRightInd w:val="0"/>
              <w:snapToGrid w:val="0"/>
              <w:jc w:val="center"/>
              <w:rPr>
                <w:color w:val="auto"/>
                <w:sz w:val="24"/>
                <w:highlight w:val="none"/>
              </w:rPr>
            </w:pPr>
            <w:r>
              <w:rPr>
                <w:color w:val="auto"/>
                <w:sz w:val="24"/>
                <w:szCs w:val="24"/>
                <w:highlight w:val="none"/>
              </w:rPr>
              <w:t>G5942危险化学品仓储</w:t>
            </w:r>
          </w:p>
        </w:tc>
        <w:tc>
          <w:tcPr>
            <w:tcW w:w="1096" w:type="pct"/>
            <w:vAlign w:val="center"/>
          </w:tcPr>
          <w:p w14:paraId="55947597">
            <w:pPr>
              <w:adjustRightInd w:val="0"/>
              <w:snapToGrid w:val="0"/>
              <w:jc w:val="center"/>
              <w:rPr>
                <w:color w:val="auto"/>
                <w:sz w:val="24"/>
                <w:szCs w:val="24"/>
                <w:highlight w:val="none"/>
              </w:rPr>
            </w:pPr>
            <w:bookmarkStart w:id="5" w:name="_Hlk49843745"/>
            <w:r>
              <w:rPr>
                <w:rFonts w:hAnsi="宋体"/>
                <w:color w:val="auto"/>
                <w:sz w:val="24"/>
                <w:szCs w:val="24"/>
                <w:highlight w:val="none"/>
              </w:rPr>
              <w:t>建设项目</w:t>
            </w:r>
          </w:p>
          <w:p w14:paraId="46CFDD50">
            <w:pPr>
              <w:adjustRightInd w:val="0"/>
              <w:snapToGrid w:val="0"/>
              <w:jc w:val="center"/>
              <w:rPr>
                <w:color w:val="auto"/>
                <w:sz w:val="24"/>
                <w:szCs w:val="24"/>
                <w:highlight w:val="none"/>
              </w:rPr>
            </w:pPr>
            <w:r>
              <w:rPr>
                <w:rFonts w:hAnsi="宋体"/>
                <w:color w:val="auto"/>
                <w:sz w:val="24"/>
                <w:szCs w:val="24"/>
                <w:highlight w:val="none"/>
              </w:rPr>
              <w:t>行业类别</w:t>
            </w:r>
            <w:bookmarkEnd w:id="5"/>
          </w:p>
        </w:tc>
        <w:tc>
          <w:tcPr>
            <w:tcW w:w="1519" w:type="pct"/>
            <w:vAlign w:val="center"/>
          </w:tcPr>
          <w:p w14:paraId="46BF5D04">
            <w:pPr>
              <w:adjustRightInd w:val="0"/>
              <w:snapToGrid w:val="0"/>
              <w:jc w:val="center"/>
              <w:rPr>
                <w:color w:val="auto"/>
                <w:sz w:val="24"/>
                <w:szCs w:val="24"/>
                <w:highlight w:val="none"/>
              </w:rPr>
            </w:pPr>
            <w:r>
              <w:rPr>
                <w:color w:val="auto"/>
                <w:sz w:val="24"/>
                <w:szCs w:val="24"/>
                <w:highlight w:val="none"/>
              </w:rPr>
              <w:t>五十三、装卸搬运和仓储业</w:t>
            </w:r>
            <w:r>
              <w:rPr>
                <w:rFonts w:hint="eastAsia"/>
                <w:color w:val="auto"/>
                <w:sz w:val="24"/>
                <w:szCs w:val="24"/>
                <w:highlight w:val="none"/>
              </w:rPr>
              <w:t>59—危险品仓储594</w:t>
            </w:r>
          </w:p>
        </w:tc>
      </w:tr>
      <w:tr w14:paraId="087A03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1216" w:hRule="atLeast"/>
          <w:jc w:val="center"/>
        </w:trPr>
        <w:tc>
          <w:tcPr>
            <w:tcW w:w="1243" w:type="pct"/>
            <w:gridSpan w:val="2"/>
            <w:tcMar>
              <w:top w:w="16" w:type="dxa"/>
              <w:left w:w="16" w:type="dxa"/>
              <w:right w:w="16" w:type="dxa"/>
            </w:tcMar>
            <w:vAlign w:val="center"/>
          </w:tcPr>
          <w:p w14:paraId="5202C8AA">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建设性质</w:t>
            </w:r>
          </w:p>
        </w:tc>
        <w:tc>
          <w:tcPr>
            <w:tcW w:w="1115" w:type="pct"/>
            <w:gridSpan w:val="2"/>
            <w:vAlign w:val="center"/>
          </w:tcPr>
          <w:p w14:paraId="14087A66">
            <w:pPr>
              <w:jc w:val="left"/>
              <w:rPr>
                <w:rFonts w:ascii="宋体" w:hAnsi="宋体" w:cs="宋体"/>
                <w:color w:val="auto"/>
                <w:sz w:val="24"/>
                <w:szCs w:val="24"/>
                <w:highlight w:val="none"/>
              </w:rPr>
            </w:pPr>
            <w:r>
              <w:rPr>
                <w:rFonts w:hint="eastAsia" w:ascii="宋体" w:hAnsi="宋体" w:cs="宋体"/>
                <w:color w:val="auto"/>
                <w:sz w:val="24"/>
                <w:szCs w:val="24"/>
                <w:highlight w:val="none"/>
              </w:rPr>
              <w:sym w:font="Wingdings 2" w:char="00A3"/>
            </w:r>
            <w:r>
              <w:rPr>
                <w:rFonts w:hint="eastAsia" w:ascii="宋体" w:hAnsi="宋体" w:cs="宋体"/>
                <w:color w:val="auto"/>
                <w:sz w:val="24"/>
                <w:szCs w:val="24"/>
                <w:highlight w:val="none"/>
              </w:rPr>
              <w:t>新建（迁建）</w:t>
            </w:r>
          </w:p>
          <w:p w14:paraId="0F3EB2B1">
            <w:pPr>
              <w:jc w:val="left"/>
              <w:rPr>
                <w:rFonts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改建</w:t>
            </w:r>
          </w:p>
          <w:p w14:paraId="32126DAA">
            <w:pPr>
              <w:jc w:val="left"/>
              <w:rPr>
                <w:rFonts w:ascii="宋体" w:hAnsi="宋体" w:cs="宋体"/>
                <w:color w:val="auto"/>
                <w:sz w:val="24"/>
                <w:szCs w:val="24"/>
                <w:highlight w:val="none"/>
              </w:rPr>
            </w:pPr>
            <w:r>
              <w:rPr>
                <w:rFonts w:hint="eastAsia" w:ascii="宋体" w:hAnsi="宋体" w:cs="宋体"/>
                <w:color w:val="auto"/>
                <w:sz w:val="24"/>
                <w:szCs w:val="24"/>
                <w:highlight w:val="none"/>
              </w:rPr>
              <w:t>□扩建</w:t>
            </w:r>
          </w:p>
          <w:p w14:paraId="36E2AFB2">
            <w:pPr>
              <w:jc w:val="left"/>
              <w:rPr>
                <w:rFonts w:ascii="宋体" w:hAnsi="宋体" w:cs="宋体"/>
                <w:color w:val="auto"/>
                <w:sz w:val="24"/>
                <w:szCs w:val="24"/>
                <w:highlight w:val="none"/>
              </w:rPr>
            </w:pPr>
            <w:r>
              <w:rPr>
                <w:rFonts w:hint="eastAsia" w:ascii="宋体" w:hAnsi="宋体" w:cs="宋体"/>
                <w:color w:val="auto"/>
                <w:sz w:val="24"/>
                <w:szCs w:val="24"/>
                <w:highlight w:val="none"/>
              </w:rPr>
              <w:t>□技术改造</w:t>
            </w:r>
          </w:p>
        </w:tc>
        <w:tc>
          <w:tcPr>
            <w:tcW w:w="1096" w:type="pct"/>
            <w:vAlign w:val="center"/>
          </w:tcPr>
          <w:p w14:paraId="6F104EC2">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建设项目</w:t>
            </w:r>
          </w:p>
          <w:p w14:paraId="14F275B2">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申报情形</w:t>
            </w:r>
          </w:p>
        </w:tc>
        <w:tc>
          <w:tcPr>
            <w:tcW w:w="1519" w:type="pct"/>
            <w:vAlign w:val="center"/>
          </w:tcPr>
          <w:p w14:paraId="6B7D2589">
            <w:pPr>
              <w:jc w:val="left"/>
              <w:rPr>
                <w:rFonts w:ascii="宋体" w:hAnsi="宋体" w:cs="宋体"/>
                <w:color w:val="auto"/>
                <w:sz w:val="24"/>
                <w:szCs w:val="24"/>
                <w:highlight w:val="none"/>
              </w:rPr>
            </w:pPr>
            <w:r>
              <w:rPr>
                <w:rFonts w:hint="eastAsia" w:ascii="宋体" w:hAnsi="宋体" w:cs="宋体"/>
                <w:color w:val="auto"/>
                <w:sz w:val="24"/>
                <w:szCs w:val="24"/>
                <w:highlight w:val="none"/>
              </w:rPr>
              <w:sym w:font="Wingdings 2" w:char="F052"/>
            </w:r>
            <w:r>
              <w:rPr>
                <w:rFonts w:hint="eastAsia" w:ascii="宋体" w:hAnsi="宋体" w:cs="宋体"/>
                <w:color w:val="auto"/>
                <w:sz w:val="24"/>
                <w:szCs w:val="24"/>
                <w:highlight w:val="none"/>
              </w:rPr>
              <w:t>首次申报项目</w:t>
            </w:r>
          </w:p>
          <w:p w14:paraId="54A742CF">
            <w:pPr>
              <w:jc w:val="left"/>
              <w:rPr>
                <w:rFonts w:ascii="宋体" w:hAnsi="宋体" w:cs="宋体"/>
                <w:color w:val="auto"/>
                <w:sz w:val="24"/>
                <w:szCs w:val="24"/>
                <w:highlight w:val="none"/>
              </w:rPr>
            </w:pPr>
            <w:r>
              <w:rPr>
                <w:rFonts w:hint="eastAsia" w:ascii="宋体" w:hAnsi="宋体" w:cs="宋体"/>
                <w:color w:val="auto"/>
                <w:sz w:val="24"/>
                <w:szCs w:val="24"/>
                <w:highlight w:val="none"/>
              </w:rPr>
              <w:t>□不予批准后再次申报项目</w:t>
            </w:r>
          </w:p>
          <w:p w14:paraId="64EDB96B">
            <w:pPr>
              <w:jc w:val="left"/>
              <w:rPr>
                <w:rFonts w:ascii="宋体" w:hAnsi="宋体" w:cs="宋体"/>
                <w:color w:val="auto"/>
                <w:sz w:val="24"/>
                <w:szCs w:val="24"/>
                <w:highlight w:val="none"/>
              </w:rPr>
            </w:pPr>
            <w:r>
              <w:rPr>
                <w:rFonts w:hint="eastAsia" w:ascii="宋体" w:hAnsi="宋体" w:cs="宋体"/>
                <w:color w:val="auto"/>
                <w:sz w:val="24"/>
                <w:szCs w:val="24"/>
                <w:highlight w:val="none"/>
              </w:rPr>
              <w:sym w:font="Wingdings 2" w:char="00A3"/>
            </w:r>
            <w:r>
              <w:rPr>
                <w:rFonts w:hint="eastAsia" w:ascii="宋体" w:hAnsi="宋体" w:cs="宋体"/>
                <w:color w:val="auto"/>
                <w:sz w:val="24"/>
                <w:szCs w:val="24"/>
                <w:highlight w:val="none"/>
              </w:rPr>
              <w:t>超五年重新审核项目</w:t>
            </w:r>
          </w:p>
          <w:p w14:paraId="03F57F37">
            <w:pPr>
              <w:jc w:val="left"/>
              <w:rPr>
                <w:rFonts w:ascii="宋体" w:hAnsi="宋体" w:cs="宋体"/>
                <w:color w:val="auto"/>
                <w:sz w:val="24"/>
                <w:szCs w:val="24"/>
                <w:highlight w:val="none"/>
              </w:rPr>
            </w:pPr>
            <w:r>
              <w:rPr>
                <w:rFonts w:hint="eastAsia" w:ascii="宋体" w:hAnsi="宋体" w:cs="宋体"/>
                <w:color w:val="auto"/>
                <w:sz w:val="24"/>
                <w:szCs w:val="24"/>
                <w:highlight w:val="none"/>
              </w:rPr>
              <w:t>□重大变动重新报批项目</w:t>
            </w:r>
          </w:p>
        </w:tc>
      </w:tr>
      <w:tr w14:paraId="7F7D61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849" w:hRule="atLeast"/>
          <w:jc w:val="center"/>
        </w:trPr>
        <w:tc>
          <w:tcPr>
            <w:tcW w:w="1243" w:type="pct"/>
            <w:gridSpan w:val="2"/>
            <w:tcMar>
              <w:top w:w="16" w:type="dxa"/>
              <w:left w:w="16" w:type="dxa"/>
              <w:right w:w="16" w:type="dxa"/>
            </w:tcMar>
            <w:vAlign w:val="center"/>
          </w:tcPr>
          <w:p w14:paraId="01102420">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项目审批（核准</w:t>
            </w:r>
            <w:r>
              <w:rPr>
                <w:rFonts w:ascii="宋体" w:hAnsi="宋体" w:cs="宋体"/>
                <w:color w:val="auto"/>
                <w:sz w:val="24"/>
                <w:szCs w:val="24"/>
                <w:highlight w:val="none"/>
              </w:rPr>
              <w:t>/</w:t>
            </w:r>
          </w:p>
          <w:p w14:paraId="1014EF46">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备案）部门（选填）</w:t>
            </w:r>
          </w:p>
        </w:tc>
        <w:tc>
          <w:tcPr>
            <w:tcW w:w="1115" w:type="pct"/>
            <w:gridSpan w:val="2"/>
            <w:vAlign w:val="center"/>
          </w:tcPr>
          <w:p w14:paraId="6DA3B810">
            <w:pPr>
              <w:adjustRightInd w:val="0"/>
              <w:snapToGrid w:val="0"/>
              <w:jc w:val="center"/>
              <w:rPr>
                <w:rFonts w:ascii="宋体" w:hAnsi="宋体" w:cs="宋体"/>
                <w:color w:val="auto"/>
                <w:sz w:val="24"/>
                <w:szCs w:val="24"/>
                <w:highlight w:val="none"/>
              </w:rPr>
            </w:pPr>
            <w:r>
              <w:rPr>
                <w:color w:val="auto"/>
                <w:sz w:val="24"/>
                <w:szCs w:val="24"/>
                <w:highlight w:val="none"/>
              </w:rPr>
              <w:t>淮南经济技术</w:t>
            </w:r>
            <w:r>
              <w:rPr>
                <w:rFonts w:hint="eastAsia"/>
                <w:color w:val="auto"/>
                <w:sz w:val="24"/>
                <w:szCs w:val="24"/>
                <w:highlight w:val="none"/>
                <w:lang w:val="en-US" w:eastAsia="zh-CN"/>
              </w:rPr>
              <w:t>开发区</w:t>
            </w:r>
            <w:r>
              <w:rPr>
                <w:color w:val="auto"/>
                <w:sz w:val="24"/>
                <w:szCs w:val="24"/>
                <w:highlight w:val="none"/>
              </w:rPr>
              <w:t>管委会经济发展局</w:t>
            </w:r>
          </w:p>
        </w:tc>
        <w:tc>
          <w:tcPr>
            <w:tcW w:w="1096" w:type="pct"/>
            <w:vAlign w:val="center"/>
          </w:tcPr>
          <w:p w14:paraId="53ED199B">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项目审批（核准</w:t>
            </w:r>
            <w:r>
              <w:rPr>
                <w:rFonts w:ascii="宋体" w:hAnsi="宋体" w:cs="宋体"/>
                <w:color w:val="auto"/>
                <w:sz w:val="24"/>
                <w:szCs w:val="24"/>
                <w:highlight w:val="none"/>
              </w:rPr>
              <w:t>/</w:t>
            </w:r>
          </w:p>
          <w:p w14:paraId="45E72CA1">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备案）文号（选填）</w:t>
            </w:r>
          </w:p>
        </w:tc>
        <w:tc>
          <w:tcPr>
            <w:tcW w:w="1519" w:type="pct"/>
            <w:vAlign w:val="center"/>
          </w:tcPr>
          <w:p w14:paraId="7F1FE9C0">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w:t>
            </w:r>
          </w:p>
        </w:tc>
      </w:tr>
      <w:tr w14:paraId="4F30AE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2857646C">
            <w:pPr>
              <w:adjustRightInd w:val="0"/>
              <w:snapToGrid w:val="0"/>
              <w:jc w:val="center"/>
              <w:rPr>
                <w:color w:val="auto"/>
                <w:sz w:val="24"/>
                <w:szCs w:val="24"/>
                <w:highlight w:val="none"/>
              </w:rPr>
            </w:pPr>
            <w:r>
              <w:rPr>
                <w:rFonts w:hAnsi="宋体"/>
                <w:color w:val="auto"/>
                <w:sz w:val="24"/>
                <w:szCs w:val="24"/>
                <w:highlight w:val="none"/>
              </w:rPr>
              <w:t>总投资（万元）</w:t>
            </w:r>
          </w:p>
        </w:tc>
        <w:tc>
          <w:tcPr>
            <w:tcW w:w="1115" w:type="pct"/>
            <w:gridSpan w:val="2"/>
            <w:vAlign w:val="center"/>
          </w:tcPr>
          <w:p w14:paraId="43369EFC">
            <w:pPr>
              <w:adjustRightInd w:val="0"/>
              <w:snapToGrid w:val="0"/>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520</w:t>
            </w:r>
          </w:p>
        </w:tc>
        <w:tc>
          <w:tcPr>
            <w:tcW w:w="1096" w:type="pct"/>
            <w:tcMar>
              <w:top w:w="16" w:type="dxa"/>
              <w:left w:w="16" w:type="dxa"/>
              <w:right w:w="16" w:type="dxa"/>
            </w:tcMar>
            <w:vAlign w:val="center"/>
          </w:tcPr>
          <w:p w14:paraId="7E8C0245">
            <w:pPr>
              <w:adjustRightInd w:val="0"/>
              <w:snapToGrid w:val="0"/>
              <w:jc w:val="center"/>
              <w:rPr>
                <w:color w:val="auto"/>
                <w:sz w:val="24"/>
                <w:szCs w:val="24"/>
                <w:highlight w:val="none"/>
              </w:rPr>
            </w:pPr>
            <w:r>
              <w:rPr>
                <w:rFonts w:hAnsi="宋体"/>
                <w:color w:val="auto"/>
                <w:sz w:val="24"/>
                <w:szCs w:val="24"/>
                <w:highlight w:val="none"/>
              </w:rPr>
              <w:t>环保投资（万元）</w:t>
            </w:r>
          </w:p>
        </w:tc>
        <w:tc>
          <w:tcPr>
            <w:tcW w:w="1519" w:type="pct"/>
            <w:vAlign w:val="center"/>
          </w:tcPr>
          <w:p w14:paraId="3C3AA5FB">
            <w:pPr>
              <w:adjustRightInd w:val="0"/>
              <w:snapToGrid w:val="0"/>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50</w:t>
            </w:r>
          </w:p>
        </w:tc>
      </w:tr>
      <w:tr w14:paraId="0A939F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208A2560">
            <w:pPr>
              <w:adjustRightInd w:val="0"/>
              <w:snapToGrid w:val="0"/>
              <w:jc w:val="center"/>
              <w:rPr>
                <w:color w:val="auto"/>
                <w:sz w:val="24"/>
                <w:szCs w:val="24"/>
                <w:highlight w:val="none"/>
              </w:rPr>
            </w:pPr>
            <w:r>
              <w:rPr>
                <w:rFonts w:hAnsi="宋体"/>
                <w:color w:val="auto"/>
                <w:sz w:val="24"/>
                <w:szCs w:val="24"/>
                <w:highlight w:val="none"/>
              </w:rPr>
              <w:t>环保投资占比（</w:t>
            </w:r>
            <w:r>
              <w:rPr>
                <w:color w:val="auto"/>
                <w:sz w:val="24"/>
                <w:szCs w:val="24"/>
                <w:highlight w:val="none"/>
              </w:rPr>
              <w:t>%</w:t>
            </w:r>
            <w:r>
              <w:rPr>
                <w:rFonts w:hAnsi="宋体"/>
                <w:color w:val="auto"/>
                <w:sz w:val="24"/>
                <w:szCs w:val="24"/>
                <w:highlight w:val="none"/>
              </w:rPr>
              <w:t>）</w:t>
            </w:r>
          </w:p>
        </w:tc>
        <w:tc>
          <w:tcPr>
            <w:tcW w:w="1115" w:type="pct"/>
            <w:gridSpan w:val="2"/>
            <w:vAlign w:val="center"/>
          </w:tcPr>
          <w:p w14:paraId="64A165BA">
            <w:pPr>
              <w:adjustRightInd w:val="0"/>
              <w:snapToGrid w:val="0"/>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9.6</w:t>
            </w:r>
          </w:p>
        </w:tc>
        <w:tc>
          <w:tcPr>
            <w:tcW w:w="1096" w:type="pct"/>
            <w:tcMar>
              <w:top w:w="16" w:type="dxa"/>
              <w:left w:w="16" w:type="dxa"/>
              <w:right w:w="16" w:type="dxa"/>
            </w:tcMar>
            <w:vAlign w:val="center"/>
          </w:tcPr>
          <w:p w14:paraId="655E6CD5">
            <w:pPr>
              <w:adjustRightInd w:val="0"/>
              <w:snapToGrid w:val="0"/>
              <w:jc w:val="center"/>
              <w:rPr>
                <w:color w:val="auto"/>
                <w:sz w:val="24"/>
                <w:szCs w:val="24"/>
                <w:highlight w:val="none"/>
              </w:rPr>
            </w:pPr>
            <w:r>
              <w:rPr>
                <w:rFonts w:hAnsi="宋体"/>
                <w:color w:val="auto"/>
                <w:sz w:val="24"/>
                <w:szCs w:val="24"/>
                <w:highlight w:val="none"/>
              </w:rPr>
              <w:t>施工工期</w:t>
            </w:r>
          </w:p>
        </w:tc>
        <w:tc>
          <w:tcPr>
            <w:tcW w:w="1519" w:type="pct"/>
            <w:vAlign w:val="center"/>
          </w:tcPr>
          <w:p w14:paraId="724C86C2">
            <w:pPr>
              <w:adjustRightInd w:val="0"/>
              <w:snapToGrid w:val="0"/>
              <w:jc w:val="center"/>
              <w:rPr>
                <w:color w:val="auto"/>
                <w:sz w:val="24"/>
                <w:szCs w:val="24"/>
                <w:highlight w:val="none"/>
              </w:rPr>
            </w:pPr>
            <w:r>
              <w:rPr>
                <w:rFonts w:hint="eastAsia"/>
                <w:color w:val="auto"/>
                <w:sz w:val="24"/>
                <w:szCs w:val="24"/>
                <w:highlight w:val="none"/>
              </w:rPr>
              <w:t>/</w:t>
            </w:r>
          </w:p>
        </w:tc>
      </w:tr>
      <w:tr w14:paraId="6EE6E0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gridBefore w:val="1"/>
          <w:wBefore w:w="25" w:type="pct"/>
          <w:trHeight w:val="496" w:hRule="atLeast"/>
          <w:jc w:val="center"/>
        </w:trPr>
        <w:tc>
          <w:tcPr>
            <w:tcW w:w="1243" w:type="pct"/>
            <w:gridSpan w:val="2"/>
            <w:tcMar>
              <w:top w:w="16" w:type="dxa"/>
              <w:left w:w="16" w:type="dxa"/>
              <w:right w:w="16" w:type="dxa"/>
            </w:tcMar>
            <w:vAlign w:val="center"/>
          </w:tcPr>
          <w:p w14:paraId="1D13B223">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是否开工建设</w:t>
            </w:r>
          </w:p>
        </w:tc>
        <w:tc>
          <w:tcPr>
            <w:tcW w:w="1115" w:type="pct"/>
            <w:gridSpan w:val="2"/>
            <w:vAlign w:val="center"/>
          </w:tcPr>
          <w:p w14:paraId="7A90C5EA">
            <w:pPr>
              <w:adjustRightInd w:val="0"/>
              <w:snapToGrid w:val="0"/>
              <w:rPr>
                <w:rFonts w:ascii="宋体" w:hAnsi="宋体" w:cs="宋体"/>
                <w:color w:val="auto"/>
                <w:sz w:val="24"/>
                <w:szCs w:val="24"/>
                <w:highlight w:val="none"/>
              </w:rPr>
            </w:pPr>
            <w:r>
              <w:rPr>
                <w:rFonts w:hint="eastAsia" w:ascii="宋体" w:hAnsi="宋体" w:cs="宋体"/>
                <w:color w:val="auto"/>
                <w:sz w:val="24"/>
                <w:szCs w:val="24"/>
                <w:highlight w:val="none"/>
              </w:rPr>
              <w:sym w:font="Wingdings 2" w:char="F052"/>
            </w:r>
            <w:r>
              <w:rPr>
                <w:rFonts w:hint="eastAsia" w:ascii="宋体" w:hAnsi="宋体" w:cs="宋体"/>
                <w:color w:val="auto"/>
                <w:sz w:val="24"/>
                <w:szCs w:val="24"/>
                <w:highlight w:val="none"/>
              </w:rPr>
              <w:t>否</w:t>
            </w:r>
          </w:p>
          <w:p w14:paraId="13075862">
            <w:pPr>
              <w:adjustRightInd w:val="0"/>
              <w:snapToGrid w:val="0"/>
              <w:rPr>
                <w:rFonts w:ascii="宋体" w:hAnsi="宋体" w:cs="宋体"/>
                <w:color w:val="auto"/>
                <w:sz w:val="24"/>
                <w:szCs w:val="24"/>
                <w:highlight w:val="none"/>
              </w:rPr>
            </w:pPr>
            <w:r>
              <w:rPr>
                <w:rFonts w:hint="eastAsia" w:ascii="宋体" w:hAnsi="宋体" w:cs="宋体"/>
                <w:color w:val="auto"/>
                <w:sz w:val="24"/>
                <w:szCs w:val="24"/>
                <w:highlight w:val="none"/>
              </w:rPr>
              <w:t>□是：</w:t>
            </w:r>
            <w:r>
              <w:rPr>
                <w:rFonts w:hint="eastAsia" w:ascii="宋体" w:hAnsi="宋体" w:cs="宋体"/>
                <w:color w:val="auto"/>
                <w:sz w:val="24"/>
                <w:szCs w:val="24"/>
                <w:highlight w:val="none"/>
                <w:u w:val="single"/>
              </w:rPr>
              <w:t xml:space="preserve">      </w:t>
            </w:r>
          </w:p>
        </w:tc>
        <w:tc>
          <w:tcPr>
            <w:tcW w:w="1096" w:type="pct"/>
            <w:tcMar>
              <w:top w:w="16" w:type="dxa"/>
              <w:left w:w="16" w:type="dxa"/>
              <w:right w:w="16" w:type="dxa"/>
            </w:tcMar>
            <w:vAlign w:val="center"/>
          </w:tcPr>
          <w:p w14:paraId="7F9E6356">
            <w:pPr>
              <w:adjustRightInd w:val="0"/>
              <w:snapToGrid w:val="0"/>
              <w:jc w:val="center"/>
              <w:rPr>
                <w:rFonts w:ascii="宋体" w:hAnsi="宋体" w:cs="宋体"/>
                <w:color w:val="auto"/>
                <w:spacing w:val="-6"/>
                <w:sz w:val="24"/>
                <w:szCs w:val="24"/>
                <w:highlight w:val="none"/>
              </w:rPr>
            </w:pPr>
            <w:r>
              <w:rPr>
                <w:rFonts w:hint="eastAsia" w:ascii="宋体" w:hAnsi="宋体" w:cs="宋体"/>
                <w:color w:val="auto"/>
                <w:spacing w:val="-6"/>
                <w:sz w:val="24"/>
                <w:szCs w:val="24"/>
                <w:highlight w:val="none"/>
              </w:rPr>
              <w:t>用地（用海）</w:t>
            </w:r>
          </w:p>
          <w:p w14:paraId="04794761">
            <w:pPr>
              <w:adjustRightInd w:val="0"/>
              <w:snapToGrid w:val="0"/>
              <w:jc w:val="center"/>
              <w:rPr>
                <w:rFonts w:ascii="宋体" w:hAnsi="宋体" w:cs="宋体"/>
                <w:color w:val="auto"/>
                <w:sz w:val="24"/>
                <w:szCs w:val="24"/>
                <w:highlight w:val="none"/>
              </w:rPr>
            </w:pPr>
            <w:r>
              <w:rPr>
                <w:rFonts w:hint="eastAsia" w:ascii="宋体" w:hAnsi="宋体" w:cs="宋体"/>
                <w:color w:val="auto"/>
                <w:spacing w:val="-6"/>
                <w:sz w:val="24"/>
                <w:szCs w:val="24"/>
                <w:highlight w:val="none"/>
              </w:rPr>
              <w:t>面积（</w:t>
            </w:r>
            <w:r>
              <w:rPr>
                <w:color w:val="auto"/>
                <w:spacing w:val="-6"/>
                <w:sz w:val="24"/>
                <w:szCs w:val="24"/>
                <w:highlight w:val="none"/>
              </w:rPr>
              <w:t>m</w:t>
            </w:r>
            <w:r>
              <w:rPr>
                <w:color w:val="auto"/>
                <w:spacing w:val="-6"/>
                <w:sz w:val="24"/>
                <w:szCs w:val="24"/>
                <w:highlight w:val="none"/>
                <w:vertAlign w:val="superscript"/>
              </w:rPr>
              <w:t>2</w:t>
            </w:r>
            <w:r>
              <w:rPr>
                <w:rFonts w:hint="eastAsia" w:ascii="宋体" w:hAnsi="宋体" w:cs="宋体"/>
                <w:color w:val="auto"/>
                <w:spacing w:val="-6"/>
                <w:sz w:val="24"/>
                <w:szCs w:val="24"/>
                <w:highlight w:val="none"/>
              </w:rPr>
              <w:t>）</w:t>
            </w:r>
          </w:p>
        </w:tc>
        <w:tc>
          <w:tcPr>
            <w:tcW w:w="1519" w:type="pct"/>
            <w:vAlign w:val="center"/>
          </w:tcPr>
          <w:p w14:paraId="28491FD9">
            <w:pPr>
              <w:adjustRightInd w:val="0"/>
              <w:snapToGrid w:val="0"/>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不新增用地，</w:t>
            </w:r>
            <w:r>
              <w:rPr>
                <w:rFonts w:hint="eastAsia" w:eastAsia="宋体"/>
                <w:color w:val="auto"/>
                <w:sz w:val="24"/>
                <w:szCs w:val="24"/>
                <w:highlight w:val="none"/>
                <w:lang w:val="en-US" w:eastAsia="zh-CN"/>
              </w:rPr>
              <w:t>利用现有厂区建设，占地面积</w:t>
            </w:r>
            <w:r>
              <w:rPr>
                <w:rFonts w:hint="eastAsia"/>
                <w:color w:val="auto"/>
                <w:sz w:val="24"/>
                <w:szCs w:val="24"/>
                <w:highlight w:val="none"/>
                <w:lang w:val="en-US" w:eastAsia="zh-CN"/>
              </w:rPr>
              <w:t>约350</w:t>
            </w:r>
            <w:r>
              <w:rPr>
                <w:rFonts w:hint="eastAsia" w:eastAsia="宋体"/>
                <w:color w:val="auto"/>
                <w:sz w:val="24"/>
                <w:szCs w:val="24"/>
                <w:highlight w:val="none"/>
                <w:lang w:val="en-US" w:eastAsia="zh-CN"/>
              </w:rPr>
              <w:t>m</w:t>
            </w:r>
            <w:r>
              <w:rPr>
                <w:rFonts w:hint="eastAsia" w:eastAsia="宋体"/>
                <w:color w:val="auto"/>
                <w:sz w:val="24"/>
                <w:szCs w:val="24"/>
                <w:highlight w:val="none"/>
                <w:vertAlign w:val="superscript"/>
                <w:lang w:val="en-US" w:eastAsia="zh-CN"/>
              </w:rPr>
              <w:t>2</w:t>
            </w:r>
          </w:p>
        </w:tc>
      </w:tr>
      <w:tr w14:paraId="3D5672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25" w:type="pct"/>
          <w:trHeight w:val="1018" w:hRule="atLeast"/>
          <w:jc w:val="center"/>
        </w:trPr>
        <w:tc>
          <w:tcPr>
            <w:tcW w:w="1243" w:type="pct"/>
            <w:gridSpan w:val="2"/>
            <w:vAlign w:val="center"/>
          </w:tcPr>
          <w:p w14:paraId="32C09556">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专项评价设置情况</w:t>
            </w:r>
          </w:p>
        </w:tc>
        <w:tc>
          <w:tcPr>
            <w:tcW w:w="3730" w:type="pct"/>
            <w:gridSpan w:val="4"/>
            <w:vAlign w:val="center"/>
          </w:tcPr>
          <w:p w14:paraId="2923850E">
            <w:pPr>
              <w:autoSpaceDE w:val="0"/>
              <w:autoSpaceDN w:val="0"/>
              <w:adjustRightInd w:val="0"/>
              <w:snapToGrid w:val="0"/>
              <w:spacing w:line="360" w:lineRule="auto"/>
              <w:rPr>
                <w:color w:val="auto"/>
                <w:sz w:val="24"/>
                <w:highlight w:val="none"/>
              </w:rPr>
            </w:pPr>
            <w:r>
              <w:rPr>
                <w:rFonts w:hint="eastAsia"/>
                <w:color w:val="auto"/>
                <w:sz w:val="24"/>
                <w:highlight w:val="none"/>
              </w:rPr>
              <w:t>本项目设置环境风险专项评价，判定依据详见下表：</w:t>
            </w:r>
          </w:p>
          <w:p w14:paraId="65DA77A4">
            <w:pPr>
              <w:autoSpaceDE w:val="0"/>
              <w:autoSpaceDN w:val="0"/>
              <w:adjustRightInd w:val="0"/>
              <w:snapToGrid w:val="0"/>
              <w:jc w:val="center"/>
              <w:rPr>
                <w:rFonts w:eastAsia="黑体"/>
                <w:color w:val="auto"/>
                <w:sz w:val="24"/>
                <w:szCs w:val="24"/>
                <w:highlight w:val="none"/>
              </w:rPr>
            </w:pPr>
            <w:r>
              <w:rPr>
                <w:rFonts w:hint="eastAsia" w:hAnsi="黑体" w:eastAsia="黑体"/>
                <w:color w:val="auto"/>
                <w:sz w:val="24"/>
                <w:szCs w:val="24"/>
                <w:highlight w:val="none"/>
              </w:rPr>
              <w:t>表</w:t>
            </w:r>
            <w:r>
              <w:rPr>
                <w:rFonts w:eastAsia="黑体"/>
                <w:color w:val="auto"/>
                <w:sz w:val="24"/>
                <w:szCs w:val="24"/>
                <w:highlight w:val="none"/>
              </w:rPr>
              <w:t xml:space="preserve">1  </w:t>
            </w:r>
            <w:r>
              <w:rPr>
                <w:rFonts w:hint="eastAsia" w:hAnsi="黑体" w:eastAsia="黑体"/>
                <w:color w:val="auto"/>
                <w:sz w:val="24"/>
                <w:szCs w:val="24"/>
                <w:highlight w:val="none"/>
              </w:rPr>
              <w:t>专项评价设置原则表</w:t>
            </w:r>
          </w:p>
          <w:tbl>
            <w:tblPr>
              <w:tblStyle w:val="36"/>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2101"/>
              <w:gridCol w:w="1957"/>
              <w:gridCol w:w="1075"/>
            </w:tblGrid>
            <w:tr w14:paraId="2F499E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12" w:space="0"/>
                    <w:left w:val="nil"/>
                    <w:bottom w:val="single" w:color="auto" w:sz="4" w:space="0"/>
                    <w:right w:val="single" w:color="auto" w:sz="4" w:space="0"/>
                  </w:tcBorders>
                  <w:vAlign w:val="center"/>
                </w:tcPr>
                <w:p w14:paraId="0688A3D1">
                  <w:pPr>
                    <w:autoSpaceDE w:val="0"/>
                    <w:autoSpaceDN w:val="0"/>
                    <w:spacing w:line="276" w:lineRule="auto"/>
                    <w:jc w:val="center"/>
                    <w:rPr>
                      <w:b/>
                      <w:color w:val="auto"/>
                      <w:szCs w:val="21"/>
                      <w:highlight w:val="none"/>
                    </w:rPr>
                  </w:pPr>
                  <w:r>
                    <w:rPr>
                      <w:rFonts w:hint="eastAsia" w:hAnsi="宋体"/>
                      <w:b/>
                      <w:color w:val="auto"/>
                      <w:szCs w:val="21"/>
                      <w:highlight w:val="none"/>
                    </w:rPr>
                    <w:t>专项评价的类别</w:t>
                  </w:r>
                </w:p>
              </w:tc>
              <w:tc>
                <w:tcPr>
                  <w:tcW w:w="2127" w:type="dxa"/>
                  <w:tcBorders>
                    <w:top w:val="single" w:color="auto" w:sz="12" w:space="0"/>
                    <w:left w:val="single" w:color="auto" w:sz="4" w:space="0"/>
                    <w:bottom w:val="single" w:color="auto" w:sz="4" w:space="0"/>
                    <w:right w:val="single" w:color="auto" w:sz="4" w:space="0"/>
                  </w:tcBorders>
                  <w:vAlign w:val="center"/>
                </w:tcPr>
                <w:p w14:paraId="4A69051B">
                  <w:pPr>
                    <w:autoSpaceDE w:val="0"/>
                    <w:autoSpaceDN w:val="0"/>
                    <w:spacing w:line="276" w:lineRule="auto"/>
                    <w:jc w:val="center"/>
                    <w:rPr>
                      <w:b/>
                      <w:color w:val="auto"/>
                      <w:szCs w:val="21"/>
                      <w:highlight w:val="none"/>
                    </w:rPr>
                  </w:pPr>
                  <w:r>
                    <w:rPr>
                      <w:rFonts w:hint="eastAsia" w:hAnsi="宋体"/>
                      <w:b/>
                      <w:color w:val="auto"/>
                      <w:szCs w:val="21"/>
                      <w:highlight w:val="none"/>
                    </w:rPr>
                    <w:t>设置原则</w:t>
                  </w:r>
                </w:p>
              </w:tc>
              <w:tc>
                <w:tcPr>
                  <w:tcW w:w="1984" w:type="dxa"/>
                  <w:tcBorders>
                    <w:top w:val="single" w:color="auto" w:sz="12" w:space="0"/>
                    <w:left w:val="single" w:color="auto" w:sz="4" w:space="0"/>
                    <w:bottom w:val="single" w:color="auto" w:sz="4" w:space="0"/>
                    <w:right w:val="single" w:color="auto" w:sz="4" w:space="0"/>
                  </w:tcBorders>
                  <w:vAlign w:val="center"/>
                </w:tcPr>
                <w:p w14:paraId="0DAB949C">
                  <w:pPr>
                    <w:autoSpaceDE w:val="0"/>
                    <w:autoSpaceDN w:val="0"/>
                    <w:spacing w:line="276" w:lineRule="auto"/>
                    <w:jc w:val="center"/>
                    <w:rPr>
                      <w:b/>
                      <w:color w:val="auto"/>
                      <w:szCs w:val="21"/>
                      <w:highlight w:val="none"/>
                    </w:rPr>
                  </w:pPr>
                  <w:r>
                    <w:rPr>
                      <w:rFonts w:hint="eastAsia" w:hAnsi="宋体"/>
                      <w:b/>
                      <w:color w:val="auto"/>
                      <w:szCs w:val="21"/>
                      <w:highlight w:val="none"/>
                    </w:rPr>
                    <w:t>本项目</w:t>
                  </w:r>
                </w:p>
              </w:tc>
              <w:tc>
                <w:tcPr>
                  <w:tcW w:w="1088" w:type="dxa"/>
                  <w:tcBorders>
                    <w:top w:val="single" w:color="auto" w:sz="12" w:space="0"/>
                    <w:left w:val="single" w:color="auto" w:sz="4" w:space="0"/>
                    <w:bottom w:val="single" w:color="auto" w:sz="4" w:space="0"/>
                    <w:right w:val="nil"/>
                  </w:tcBorders>
                  <w:vAlign w:val="center"/>
                </w:tcPr>
                <w:p w14:paraId="47457739">
                  <w:pPr>
                    <w:autoSpaceDE w:val="0"/>
                    <w:autoSpaceDN w:val="0"/>
                    <w:spacing w:line="276" w:lineRule="auto"/>
                    <w:jc w:val="center"/>
                    <w:rPr>
                      <w:b/>
                      <w:color w:val="auto"/>
                      <w:szCs w:val="21"/>
                      <w:highlight w:val="none"/>
                    </w:rPr>
                  </w:pPr>
                  <w:r>
                    <w:rPr>
                      <w:rFonts w:hint="eastAsia" w:hAnsi="宋体"/>
                      <w:b/>
                      <w:color w:val="auto"/>
                      <w:szCs w:val="21"/>
                      <w:highlight w:val="none"/>
                    </w:rPr>
                    <w:t>是否设置专项评价</w:t>
                  </w:r>
                </w:p>
              </w:tc>
            </w:tr>
            <w:tr w14:paraId="18F7EC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4" w:space="0"/>
                    <w:left w:val="nil"/>
                    <w:bottom w:val="single" w:color="auto" w:sz="4" w:space="0"/>
                    <w:right w:val="single" w:color="auto" w:sz="4" w:space="0"/>
                  </w:tcBorders>
                  <w:vAlign w:val="center"/>
                </w:tcPr>
                <w:p w14:paraId="7EDEBED1">
                  <w:pPr>
                    <w:autoSpaceDE w:val="0"/>
                    <w:autoSpaceDN w:val="0"/>
                    <w:spacing w:line="276" w:lineRule="auto"/>
                    <w:jc w:val="center"/>
                    <w:rPr>
                      <w:color w:val="auto"/>
                      <w:szCs w:val="21"/>
                      <w:highlight w:val="none"/>
                    </w:rPr>
                  </w:pPr>
                  <w:r>
                    <w:rPr>
                      <w:rFonts w:hint="eastAsia" w:hAnsi="宋体"/>
                      <w:color w:val="auto"/>
                      <w:szCs w:val="21"/>
                      <w:highlight w:val="none"/>
                    </w:rPr>
                    <w:t>大气</w:t>
                  </w:r>
                </w:p>
              </w:tc>
              <w:tc>
                <w:tcPr>
                  <w:tcW w:w="2127" w:type="dxa"/>
                  <w:tcBorders>
                    <w:top w:val="single" w:color="auto" w:sz="4" w:space="0"/>
                    <w:left w:val="single" w:color="auto" w:sz="4" w:space="0"/>
                    <w:bottom w:val="single" w:color="auto" w:sz="4" w:space="0"/>
                    <w:right w:val="single" w:color="auto" w:sz="4" w:space="0"/>
                  </w:tcBorders>
                  <w:vAlign w:val="center"/>
                </w:tcPr>
                <w:p w14:paraId="365CD872">
                  <w:pPr>
                    <w:spacing w:line="276" w:lineRule="auto"/>
                    <w:jc w:val="center"/>
                    <w:rPr>
                      <w:color w:val="auto"/>
                      <w:szCs w:val="21"/>
                      <w:highlight w:val="none"/>
                    </w:rPr>
                  </w:pPr>
                  <w:r>
                    <w:rPr>
                      <w:rFonts w:hint="eastAsia"/>
                      <w:color w:val="auto"/>
                      <w:szCs w:val="21"/>
                      <w:highlight w:val="none"/>
                    </w:rPr>
                    <w:t>排放废气含有毒有害污染物、二噁英、苯并</w:t>
                  </w:r>
                  <w:r>
                    <w:rPr>
                      <w:color w:val="auto"/>
                      <w:szCs w:val="21"/>
                      <w:highlight w:val="none"/>
                    </w:rPr>
                    <w:t>[a]</w:t>
                  </w:r>
                  <w:r>
                    <w:rPr>
                      <w:rFonts w:hint="eastAsia"/>
                      <w:color w:val="auto"/>
                      <w:szCs w:val="21"/>
                      <w:highlight w:val="none"/>
                    </w:rPr>
                    <w:t>芘、氰化物、氯气且厂界外</w:t>
                  </w:r>
                  <w:r>
                    <w:rPr>
                      <w:color w:val="auto"/>
                      <w:szCs w:val="21"/>
                      <w:highlight w:val="none"/>
                    </w:rPr>
                    <w:t>500</w:t>
                  </w:r>
                  <w:r>
                    <w:rPr>
                      <w:rFonts w:hint="eastAsia"/>
                      <w:color w:val="auto"/>
                      <w:szCs w:val="21"/>
                      <w:highlight w:val="none"/>
                    </w:rPr>
                    <w:t>米范围内有环境空气保护目标的建设项目</w:t>
                  </w:r>
                </w:p>
              </w:tc>
              <w:tc>
                <w:tcPr>
                  <w:tcW w:w="1984" w:type="dxa"/>
                  <w:tcBorders>
                    <w:top w:val="single" w:color="auto" w:sz="4" w:space="0"/>
                    <w:left w:val="single" w:color="auto" w:sz="4" w:space="0"/>
                    <w:bottom w:val="single" w:color="auto" w:sz="4" w:space="0"/>
                    <w:right w:val="single" w:color="auto" w:sz="4" w:space="0"/>
                  </w:tcBorders>
                  <w:vAlign w:val="center"/>
                </w:tcPr>
                <w:p w14:paraId="1785AA90">
                  <w:pPr>
                    <w:autoSpaceDE w:val="0"/>
                    <w:autoSpaceDN w:val="0"/>
                    <w:spacing w:line="276" w:lineRule="auto"/>
                    <w:jc w:val="center"/>
                    <w:rPr>
                      <w:color w:val="auto"/>
                      <w:szCs w:val="21"/>
                      <w:highlight w:val="none"/>
                    </w:rPr>
                  </w:pPr>
                  <w:r>
                    <w:rPr>
                      <w:rFonts w:hint="eastAsia" w:hAnsi="宋体"/>
                      <w:color w:val="auto"/>
                      <w:kern w:val="0"/>
                      <w:szCs w:val="21"/>
                      <w:highlight w:val="none"/>
                    </w:rPr>
                    <w:t>本项目</w:t>
                  </w:r>
                  <w:r>
                    <w:rPr>
                      <w:rFonts w:hint="eastAsia" w:hAnsi="宋体"/>
                      <w:color w:val="auto"/>
                      <w:kern w:val="0"/>
                      <w:szCs w:val="21"/>
                      <w:highlight w:val="none"/>
                      <w:lang w:val="en-US" w:eastAsia="zh-CN"/>
                    </w:rPr>
                    <w:t>非正常</w:t>
                  </w:r>
                  <w:r>
                    <w:rPr>
                      <w:rFonts w:hint="eastAsia" w:hAnsi="宋体"/>
                      <w:color w:val="auto"/>
                      <w:kern w:val="0"/>
                      <w:szCs w:val="21"/>
                      <w:highlight w:val="none"/>
                    </w:rPr>
                    <w:t>工况下排放无组织废气</w:t>
                  </w:r>
                  <w:r>
                    <w:rPr>
                      <w:rFonts w:hint="eastAsia" w:hAnsi="宋体"/>
                      <w:color w:val="auto"/>
                      <w:kern w:val="0"/>
                      <w:szCs w:val="21"/>
                      <w:highlight w:val="none"/>
                      <w:lang w:val="en-US" w:eastAsia="zh-CN"/>
                    </w:rPr>
                    <w:t>主要以非甲烷总烃计</w:t>
                  </w:r>
                  <w:r>
                    <w:rPr>
                      <w:rFonts w:hint="eastAsia" w:hAnsi="宋体"/>
                      <w:color w:val="auto"/>
                      <w:kern w:val="0"/>
                      <w:szCs w:val="21"/>
                      <w:highlight w:val="none"/>
                    </w:rPr>
                    <w:t>，污染物不涉及《有毒有害大气污染物名录》中的污染物，也不涉及</w:t>
                  </w:r>
                  <w:r>
                    <w:rPr>
                      <w:rFonts w:hint="eastAsia"/>
                      <w:color w:val="auto"/>
                      <w:szCs w:val="21"/>
                      <w:highlight w:val="none"/>
                    </w:rPr>
                    <w:t>二噁英、苯并</w:t>
                  </w:r>
                  <w:r>
                    <w:rPr>
                      <w:color w:val="auto"/>
                      <w:szCs w:val="21"/>
                      <w:highlight w:val="none"/>
                    </w:rPr>
                    <w:t>[a]</w:t>
                  </w:r>
                  <w:r>
                    <w:rPr>
                      <w:rFonts w:hint="eastAsia"/>
                      <w:color w:val="auto"/>
                      <w:szCs w:val="21"/>
                      <w:highlight w:val="none"/>
                    </w:rPr>
                    <w:t>芘、氰化物、氯气</w:t>
                  </w:r>
                </w:p>
              </w:tc>
              <w:tc>
                <w:tcPr>
                  <w:tcW w:w="1088" w:type="dxa"/>
                  <w:tcBorders>
                    <w:top w:val="single" w:color="auto" w:sz="4" w:space="0"/>
                    <w:left w:val="single" w:color="auto" w:sz="4" w:space="0"/>
                    <w:bottom w:val="single" w:color="auto" w:sz="4" w:space="0"/>
                    <w:right w:val="nil"/>
                  </w:tcBorders>
                  <w:vAlign w:val="center"/>
                </w:tcPr>
                <w:p w14:paraId="1B4BA505">
                  <w:pPr>
                    <w:autoSpaceDE w:val="0"/>
                    <w:autoSpaceDN w:val="0"/>
                    <w:spacing w:line="276" w:lineRule="auto"/>
                    <w:jc w:val="center"/>
                    <w:rPr>
                      <w:color w:val="auto"/>
                      <w:szCs w:val="21"/>
                      <w:highlight w:val="none"/>
                      <w:lang w:eastAsia="en-US"/>
                    </w:rPr>
                  </w:pPr>
                  <w:r>
                    <w:rPr>
                      <w:rFonts w:hint="eastAsia" w:hAnsi="宋体"/>
                      <w:color w:val="auto"/>
                      <w:szCs w:val="21"/>
                      <w:highlight w:val="none"/>
                    </w:rPr>
                    <w:t>否</w:t>
                  </w:r>
                </w:p>
              </w:tc>
            </w:tr>
            <w:tr w14:paraId="08DFEB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4" w:space="0"/>
                    <w:left w:val="nil"/>
                    <w:bottom w:val="single" w:color="auto" w:sz="4" w:space="0"/>
                    <w:right w:val="single" w:color="auto" w:sz="4" w:space="0"/>
                  </w:tcBorders>
                  <w:vAlign w:val="center"/>
                </w:tcPr>
                <w:p w14:paraId="5808BAFB">
                  <w:pPr>
                    <w:autoSpaceDE w:val="0"/>
                    <w:autoSpaceDN w:val="0"/>
                    <w:spacing w:line="276" w:lineRule="auto"/>
                    <w:jc w:val="center"/>
                    <w:rPr>
                      <w:color w:val="auto"/>
                      <w:szCs w:val="21"/>
                      <w:highlight w:val="none"/>
                      <w:lang w:eastAsia="en-US"/>
                    </w:rPr>
                  </w:pPr>
                  <w:r>
                    <w:rPr>
                      <w:rFonts w:hint="eastAsia" w:hAnsi="宋体"/>
                      <w:color w:val="auto"/>
                      <w:szCs w:val="21"/>
                      <w:highlight w:val="none"/>
                    </w:rPr>
                    <w:t>地表水</w:t>
                  </w:r>
                </w:p>
              </w:tc>
              <w:tc>
                <w:tcPr>
                  <w:tcW w:w="2127" w:type="dxa"/>
                  <w:tcBorders>
                    <w:top w:val="single" w:color="auto" w:sz="4" w:space="0"/>
                    <w:left w:val="single" w:color="auto" w:sz="4" w:space="0"/>
                    <w:bottom w:val="single" w:color="auto" w:sz="4" w:space="0"/>
                    <w:right w:val="single" w:color="auto" w:sz="4" w:space="0"/>
                  </w:tcBorders>
                  <w:vAlign w:val="center"/>
                </w:tcPr>
                <w:p w14:paraId="768693AA">
                  <w:pPr>
                    <w:spacing w:line="276" w:lineRule="auto"/>
                    <w:jc w:val="center"/>
                    <w:rPr>
                      <w:color w:val="auto"/>
                      <w:szCs w:val="21"/>
                      <w:highlight w:val="none"/>
                    </w:rPr>
                  </w:pPr>
                  <w:r>
                    <w:rPr>
                      <w:rFonts w:hint="eastAsia" w:hAnsi="宋体"/>
                      <w:color w:val="auto"/>
                      <w:szCs w:val="21"/>
                      <w:highlight w:val="none"/>
                    </w:rPr>
                    <w:t>新增工业废水直排建设项目（槽罐车外送污水处理厂的除外）；新增废水直排的污水集中处理厂</w:t>
                  </w:r>
                </w:p>
              </w:tc>
              <w:tc>
                <w:tcPr>
                  <w:tcW w:w="1984" w:type="dxa"/>
                  <w:tcBorders>
                    <w:top w:val="single" w:color="auto" w:sz="4" w:space="0"/>
                    <w:left w:val="single" w:color="auto" w:sz="4" w:space="0"/>
                    <w:bottom w:val="single" w:color="auto" w:sz="4" w:space="0"/>
                    <w:right w:val="single" w:color="auto" w:sz="4" w:space="0"/>
                  </w:tcBorders>
                  <w:vAlign w:val="center"/>
                </w:tcPr>
                <w:p w14:paraId="3FEF65B6">
                  <w:pPr>
                    <w:autoSpaceDE w:val="0"/>
                    <w:autoSpaceDN w:val="0"/>
                    <w:spacing w:line="276" w:lineRule="auto"/>
                    <w:jc w:val="center"/>
                    <w:rPr>
                      <w:color w:val="auto"/>
                      <w:szCs w:val="21"/>
                      <w:highlight w:val="none"/>
                    </w:rPr>
                  </w:pPr>
                  <w:r>
                    <w:rPr>
                      <w:rFonts w:hint="eastAsia"/>
                      <w:color w:val="auto"/>
                      <w:szCs w:val="21"/>
                      <w:highlight w:val="none"/>
                    </w:rPr>
                    <w:t>本项目</w:t>
                  </w:r>
                  <w:r>
                    <w:rPr>
                      <w:rFonts w:hint="eastAsia"/>
                      <w:color w:val="auto"/>
                      <w:szCs w:val="21"/>
                      <w:highlight w:val="none"/>
                      <w:lang w:val="en-US" w:eastAsia="zh-CN"/>
                    </w:rPr>
                    <w:t>不新增生产废水及</w:t>
                  </w:r>
                  <w:r>
                    <w:rPr>
                      <w:rFonts w:hint="eastAsia"/>
                      <w:color w:val="auto"/>
                      <w:szCs w:val="21"/>
                      <w:highlight w:val="none"/>
                    </w:rPr>
                    <w:t>生活污水</w:t>
                  </w:r>
                  <w:r>
                    <w:rPr>
                      <w:rFonts w:hint="eastAsia"/>
                      <w:color w:val="auto"/>
                      <w:szCs w:val="21"/>
                      <w:highlight w:val="none"/>
                      <w:lang w:eastAsia="zh-CN"/>
                    </w:rPr>
                    <w:t>，</w:t>
                  </w:r>
                  <w:r>
                    <w:rPr>
                      <w:rFonts w:hint="eastAsia"/>
                      <w:color w:val="auto"/>
                      <w:szCs w:val="21"/>
                      <w:highlight w:val="none"/>
                    </w:rPr>
                    <w:t>不涉及新增</w:t>
                  </w:r>
                  <w:r>
                    <w:rPr>
                      <w:rFonts w:hint="eastAsia" w:hAnsi="宋体"/>
                      <w:color w:val="auto"/>
                      <w:szCs w:val="21"/>
                      <w:highlight w:val="none"/>
                    </w:rPr>
                    <w:t>工业废水直排建设项目</w:t>
                  </w:r>
                </w:p>
              </w:tc>
              <w:tc>
                <w:tcPr>
                  <w:tcW w:w="1088" w:type="dxa"/>
                  <w:tcBorders>
                    <w:top w:val="single" w:color="auto" w:sz="4" w:space="0"/>
                    <w:left w:val="single" w:color="auto" w:sz="4" w:space="0"/>
                    <w:bottom w:val="single" w:color="auto" w:sz="4" w:space="0"/>
                    <w:right w:val="nil"/>
                  </w:tcBorders>
                  <w:vAlign w:val="center"/>
                </w:tcPr>
                <w:p w14:paraId="0B03D838">
                  <w:pPr>
                    <w:autoSpaceDE w:val="0"/>
                    <w:autoSpaceDN w:val="0"/>
                    <w:spacing w:line="276" w:lineRule="auto"/>
                    <w:jc w:val="center"/>
                    <w:rPr>
                      <w:color w:val="auto"/>
                      <w:szCs w:val="21"/>
                      <w:highlight w:val="none"/>
                      <w:lang w:eastAsia="en-US"/>
                    </w:rPr>
                  </w:pPr>
                  <w:r>
                    <w:rPr>
                      <w:rFonts w:hint="eastAsia" w:hAnsi="宋体"/>
                      <w:color w:val="auto"/>
                      <w:szCs w:val="21"/>
                      <w:highlight w:val="none"/>
                    </w:rPr>
                    <w:t>否</w:t>
                  </w:r>
                </w:p>
              </w:tc>
            </w:tr>
            <w:tr w14:paraId="5A9FA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4" w:space="0"/>
                    <w:left w:val="nil"/>
                    <w:bottom w:val="single" w:color="auto" w:sz="4" w:space="0"/>
                    <w:right w:val="single" w:color="auto" w:sz="4" w:space="0"/>
                  </w:tcBorders>
                  <w:vAlign w:val="center"/>
                </w:tcPr>
                <w:p w14:paraId="654439B2">
                  <w:pPr>
                    <w:autoSpaceDE w:val="0"/>
                    <w:autoSpaceDN w:val="0"/>
                    <w:spacing w:line="276" w:lineRule="auto"/>
                    <w:jc w:val="center"/>
                    <w:rPr>
                      <w:color w:val="auto"/>
                      <w:szCs w:val="21"/>
                      <w:highlight w:val="none"/>
                      <w:lang w:eastAsia="en-US"/>
                    </w:rPr>
                  </w:pPr>
                  <w:r>
                    <w:rPr>
                      <w:rFonts w:hint="eastAsia" w:hAnsi="宋体"/>
                      <w:color w:val="auto"/>
                      <w:szCs w:val="21"/>
                      <w:highlight w:val="none"/>
                    </w:rPr>
                    <w:t>环境风险</w:t>
                  </w:r>
                </w:p>
              </w:tc>
              <w:tc>
                <w:tcPr>
                  <w:tcW w:w="2127" w:type="dxa"/>
                  <w:tcBorders>
                    <w:top w:val="single" w:color="auto" w:sz="4" w:space="0"/>
                    <w:left w:val="single" w:color="auto" w:sz="4" w:space="0"/>
                    <w:bottom w:val="single" w:color="auto" w:sz="4" w:space="0"/>
                    <w:right w:val="single" w:color="auto" w:sz="4" w:space="0"/>
                  </w:tcBorders>
                  <w:vAlign w:val="center"/>
                </w:tcPr>
                <w:p w14:paraId="382C2F8D">
                  <w:pPr>
                    <w:autoSpaceDE w:val="0"/>
                    <w:autoSpaceDN w:val="0"/>
                    <w:spacing w:line="276" w:lineRule="auto"/>
                    <w:jc w:val="center"/>
                    <w:rPr>
                      <w:color w:val="auto"/>
                      <w:szCs w:val="21"/>
                      <w:highlight w:val="none"/>
                    </w:rPr>
                  </w:pPr>
                  <w:r>
                    <w:rPr>
                      <w:rFonts w:hint="eastAsia" w:hAnsi="宋体"/>
                      <w:color w:val="auto"/>
                      <w:szCs w:val="21"/>
                      <w:highlight w:val="none"/>
                    </w:rPr>
                    <w:t>有毒有害和易燃易爆危险物质存储量超过临界量的建设项目</w:t>
                  </w:r>
                </w:p>
              </w:tc>
              <w:tc>
                <w:tcPr>
                  <w:tcW w:w="1984" w:type="dxa"/>
                  <w:tcBorders>
                    <w:top w:val="single" w:color="auto" w:sz="4" w:space="0"/>
                    <w:left w:val="single" w:color="auto" w:sz="4" w:space="0"/>
                    <w:bottom w:val="single" w:color="auto" w:sz="4" w:space="0"/>
                    <w:right w:val="single" w:color="auto" w:sz="4" w:space="0"/>
                  </w:tcBorders>
                  <w:vAlign w:val="center"/>
                </w:tcPr>
                <w:p w14:paraId="6C21F26F">
                  <w:pPr>
                    <w:autoSpaceDE w:val="0"/>
                    <w:autoSpaceDN w:val="0"/>
                    <w:spacing w:line="276" w:lineRule="auto"/>
                    <w:jc w:val="center"/>
                    <w:rPr>
                      <w:color w:val="auto"/>
                      <w:szCs w:val="21"/>
                      <w:highlight w:val="none"/>
                    </w:rPr>
                  </w:pPr>
                  <w:r>
                    <w:rPr>
                      <w:rFonts w:hint="eastAsia" w:hAnsi="宋体"/>
                      <w:color w:val="auto"/>
                      <w:szCs w:val="21"/>
                      <w:highlight w:val="none"/>
                    </w:rPr>
                    <w:t>本项目涉及有毒、有害和易燃易爆危险存储量（危险废物暂存量）超过临界值</w:t>
                  </w:r>
                </w:p>
              </w:tc>
              <w:tc>
                <w:tcPr>
                  <w:tcW w:w="1088" w:type="dxa"/>
                  <w:tcBorders>
                    <w:top w:val="single" w:color="auto" w:sz="4" w:space="0"/>
                    <w:left w:val="single" w:color="auto" w:sz="4" w:space="0"/>
                    <w:bottom w:val="single" w:color="auto" w:sz="4" w:space="0"/>
                    <w:right w:val="nil"/>
                  </w:tcBorders>
                  <w:vAlign w:val="center"/>
                </w:tcPr>
                <w:p w14:paraId="00128689">
                  <w:pPr>
                    <w:autoSpaceDE w:val="0"/>
                    <w:autoSpaceDN w:val="0"/>
                    <w:spacing w:line="276" w:lineRule="auto"/>
                    <w:jc w:val="center"/>
                    <w:rPr>
                      <w:color w:val="auto"/>
                      <w:szCs w:val="21"/>
                      <w:highlight w:val="none"/>
                      <w:lang w:eastAsia="en-US"/>
                    </w:rPr>
                  </w:pPr>
                  <w:r>
                    <w:rPr>
                      <w:rFonts w:hint="eastAsia" w:hAnsi="宋体"/>
                      <w:color w:val="auto"/>
                      <w:szCs w:val="21"/>
                      <w:highlight w:val="none"/>
                    </w:rPr>
                    <w:t>是</w:t>
                  </w:r>
                </w:p>
              </w:tc>
            </w:tr>
            <w:tr w14:paraId="4E32E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4" w:space="0"/>
                    <w:left w:val="nil"/>
                    <w:bottom w:val="single" w:color="auto" w:sz="4" w:space="0"/>
                    <w:right w:val="single" w:color="auto" w:sz="4" w:space="0"/>
                  </w:tcBorders>
                  <w:vAlign w:val="center"/>
                </w:tcPr>
                <w:p w14:paraId="3F58B6F9">
                  <w:pPr>
                    <w:autoSpaceDE w:val="0"/>
                    <w:autoSpaceDN w:val="0"/>
                    <w:spacing w:line="276" w:lineRule="auto"/>
                    <w:jc w:val="center"/>
                    <w:rPr>
                      <w:color w:val="auto"/>
                      <w:szCs w:val="21"/>
                      <w:highlight w:val="none"/>
                      <w:lang w:eastAsia="en-US"/>
                    </w:rPr>
                  </w:pPr>
                  <w:r>
                    <w:rPr>
                      <w:rFonts w:hint="eastAsia" w:hAnsi="宋体"/>
                      <w:color w:val="auto"/>
                      <w:szCs w:val="21"/>
                      <w:highlight w:val="none"/>
                    </w:rPr>
                    <w:t>生态</w:t>
                  </w:r>
                </w:p>
              </w:tc>
              <w:tc>
                <w:tcPr>
                  <w:tcW w:w="2127" w:type="dxa"/>
                  <w:tcBorders>
                    <w:top w:val="single" w:color="auto" w:sz="4" w:space="0"/>
                    <w:left w:val="single" w:color="auto" w:sz="4" w:space="0"/>
                    <w:bottom w:val="single" w:color="auto" w:sz="4" w:space="0"/>
                    <w:right w:val="single" w:color="auto" w:sz="4" w:space="0"/>
                  </w:tcBorders>
                  <w:vAlign w:val="center"/>
                </w:tcPr>
                <w:p w14:paraId="2E25E225">
                  <w:pPr>
                    <w:spacing w:line="276" w:lineRule="auto"/>
                    <w:jc w:val="center"/>
                    <w:rPr>
                      <w:color w:val="auto"/>
                      <w:szCs w:val="21"/>
                      <w:highlight w:val="none"/>
                    </w:rPr>
                  </w:pPr>
                  <w:r>
                    <w:rPr>
                      <w:rFonts w:hint="eastAsia" w:hAnsi="宋体"/>
                      <w:color w:val="auto"/>
                      <w:szCs w:val="21"/>
                      <w:highlight w:val="none"/>
                    </w:rPr>
                    <w:t>取水口下游</w:t>
                  </w:r>
                  <w:r>
                    <w:rPr>
                      <w:color w:val="auto"/>
                      <w:szCs w:val="21"/>
                      <w:highlight w:val="none"/>
                    </w:rPr>
                    <w:t>500</w:t>
                  </w:r>
                  <w:r>
                    <w:rPr>
                      <w:rFonts w:hint="eastAsia" w:hAnsi="宋体"/>
                      <w:color w:val="auto"/>
                      <w:szCs w:val="21"/>
                      <w:highlight w:val="none"/>
                    </w:rPr>
                    <w:t>米范围内有重要水生生物的自然产卵场、索饵场、越冬场和洄游通道的新增河道取水的污染类建设项目</w:t>
                  </w:r>
                </w:p>
              </w:tc>
              <w:tc>
                <w:tcPr>
                  <w:tcW w:w="1984" w:type="dxa"/>
                  <w:tcBorders>
                    <w:top w:val="single" w:color="auto" w:sz="4" w:space="0"/>
                    <w:left w:val="single" w:color="auto" w:sz="4" w:space="0"/>
                    <w:bottom w:val="single" w:color="auto" w:sz="4" w:space="0"/>
                    <w:right w:val="single" w:color="auto" w:sz="4" w:space="0"/>
                  </w:tcBorders>
                  <w:vAlign w:val="center"/>
                </w:tcPr>
                <w:p w14:paraId="4D6F64D6">
                  <w:pPr>
                    <w:autoSpaceDE w:val="0"/>
                    <w:autoSpaceDN w:val="0"/>
                    <w:spacing w:line="276" w:lineRule="auto"/>
                    <w:jc w:val="center"/>
                    <w:rPr>
                      <w:color w:val="auto"/>
                      <w:szCs w:val="21"/>
                      <w:highlight w:val="none"/>
                    </w:rPr>
                  </w:pPr>
                  <w:r>
                    <w:rPr>
                      <w:rFonts w:hint="eastAsia" w:hAnsi="宋体"/>
                      <w:color w:val="auto"/>
                      <w:szCs w:val="21"/>
                      <w:highlight w:val="none"/>
                    </w:rPr>
                    <w:t>本项目使用市政自来水，无河道取水口</w:t>
                  </w:r>
                </w:p>
              </w:tc>
              <w:tc>
                <w:tcPr>
                  <w:tcW w:w="1088" w:type="dxa"/>
                  <w:tcBorders>
                    <w:top w:val="single" w:color="auto" w:sz="4" w:space="0"/>
                    <w:left w:val="single" w:color="auto" w:sz="4" w:space="0"/>
                    <w:bottom w:val="single" w:color="auto" w:sz="4" w:space="0"/>
                    <w:right w:val="nil"/>
                  </w:tcBorders>
                  <w:vAlign w:val="center"/>
                </w:tcPr>
                <w:p w14:paraId="261FA666">
                  <w:pPr>
                    <w:autoSpaceDE w:val="0"/>
                    <w:autoSpaceDN w:val="0"/>
                    <w:spacing w:line="276" w:lineRule="auto"/>
                    <w:jc w:val="center"/>
                    <w:rPr>
                      <w:color w:val="auto"/>
                      <w:szCs w:val="21"/>
                      <w:highlight w:val="none"/>
                      <w:lang w:eastAsia="en-US"/>
                    </w:rPr>
                  </w:pPr>
                  <w:r>
                    <w:rPr>
                      <w:rFonts w:hint="eastAsia" w:hAnsi="宋体"/>
                      <w:color w:val="auto"/>
                      <w:szCs w:val="21"/>
                      <w:highlight w:val="none"/>
                    </w:rPr>
                    <w:t>否</w:t>
                  </w:r>
                </w:p>
              </w:tc>
            </w:tr>
            <w:tr w14:paraId="3BF2A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63" w:type="dxa"/>
                  <w:tcBorders>
                    <w:top w:val="single" w:color="auto" w:sz="4" w:space="0"/>
                    <w:left w:val="nil"/>
                    <w:bottom w:val="single" w:color="auto" w:sz="12" w:space="0"/>
                    <w:right w:val="single" w:color="auto" w:sz="4" w:space="0"/>
                  </w:tcBorders>
                  <w:vAlign w:val="center"/>
                </w:tcPr>
                <w:p w14:paraId="1401E2F3">
                  <w:pPr>
                    <w:autoSpaceDE w:val="0"/>
                    <w:autoSpaceDN w:val="0"/>
                    <w:spacing w:line="276" w:lineRule="auto"/>
                    <w:jc w:val="center"/>
                    <w:rPr>
                      <w:color w:val="auto"/>
                      <w:szCs w:val="21"/>
                      <w:highlight w:val="none"/>
                      <w:lang w:eastAsia="en-US"/>
                    </w:rPr>
                  </w:pPr>
                  <w:r>
                    <w:rPr>
                      <w:rFonts w:hint="eastAsia" w:hAnsi="宋体"/>
                      <w:color w:val="auto"/>
                      <w:szCs w:val="21"/>
                      <w:highlight w:val="none"/>
                    </w:rPr>
                    <w:t>海洋</w:t>
                  </w:r>
                </w:p>
              </w:tc>
              <w:tc>
                <w:tcPr>
                  <w:tcW w:w="2127" w:type="dxa"/>
                  <w:tcBorders>
                    <w:top w:val="single" w:color="auto" w:sz="4" w:space="0"/>
                    <w:left w:val="single" w:color="auto" w:sz="4" w:space="0"/>
                    <w:bottom w:val="single" w:color="auto" w:sz="12" w:space="0"/>
                    <w:right w:val="single" w:color="auto" w:sz="4" w:space="0"/>
                  </w:tcBorders>
                  <w:vAlign w:val="center"/>
                </w:tcPr>
                <w:p w14:paraId="0578D831">
                  <w:pPr>
                    <w:autoSpaceDE w:val="0"/>
                    <w:autoSpaceDN w:val="0"/>
                    <w:spacing w:line="276" w:lineRule="auto"/>
                    <w:jc w:val="center"/>
                    <w:rPr>
                      <w:color w:val="auto"/>
                      <w:szCs w:val="21"/>
                      <w:highlight w:val="none"/>
                    </w:rPr>
                  </w:pPr>
                  <w:r>
                    <w:rPr>
                      <w:rFonts w:hint="eastAsia" w:hAnsi="宋体"/>
                      <w:color w:val="auto"/>
                      <w:szCs w:val="21"/>
                      <w:highlight w:val="none"/>
                    </w:rPr>
                    <w:t>直接向海排放污染物的海洋工程建设项目</w:t>
                  </w:r>
                </w:p>
              </w:tc>
              <w:tc>
                <w:tcPr>
                  <w:tcW w:w="1984" w:type="dxa"/>
                  <w:tcBorders>
                    <w:top w:val="single" w:color="auto" w:sz="4" w:space="0"/>
                    <w:left w:val="single" w:color="auto" w:sz="4" w:space="0"/>
                    <w:bottom w:val="single" w:color="auto" w:sz="12" w:space="0"/>
                    <w:right w:val="single" w:color="auto" w:sz="4" w:space="0"/>
                  </w:tcBorders>
                  <w:vAlign w:val="center"/>
                </w:tcPr>
                <w:p w14:paraId="190DB4F0">
                  <w:pPr>
                    <w:autoSpaceDE w:val="0"/>
                    <w:autoSpaceDN w:val="0"/>
                    <w:spacing w:line="276" w:lineRule="auto"/>
                    <w:jc w:val="center"/>
                    <w:rPr>
                      <w:b/>
                      <w:color w:val="auto"/>
                      <w:szCs w:val="21"/>
                      <w:highlight w:val="none"/>
                    </w:rPr>
                  </w:pPr>
                  <w:r>
                    <w:rPr>
                      <w:rFonts w:hint="eastAsia" w:hAnsi="宋体"/>
                      <w:color w:val="auto"/>
                      <w:szCs w:val="21"/>
                      <w:highlight w:val="none"/>
                    </w:rPr>
                    <w:t>本项目不属于海洋工程</w:t>
                  </w:r>
                </w:p>
              </w:tc>
              <w:tc>
                <w:tcPr>
                  <w:tcW w:w="1088" w:type="dxa"/>
                  <w:tcBorders>
                    <w:top w:val="single" w:color="auto" w:sz="4" w:space="0"/>
                    <w:left w:val="single" w:color="auto" w:sz="4" w:space="0"/>
                    <w:bottom w:val="single" w:color="auto" w:sz="12" w:space="0"/>
                    <w:right w:val="nil"/>
                  </w:tcBorders>
                  <w:vAlign w:val="center"/>
                </w:tcPr>
                <w:p w14:paraId="61A8CECD">
                  <w:pPr>
                    <w:autoSpaceDE w:val="0"/>
                    <w:autoSpaceDN w:val="0"/>
                    <w:spacing w:line="276" w:lineRule="auto"/>
                    <w:jc w:val="center"/>
                    <w:rPr>
                      <w:color w:val="auto"/>
                      <w:szCs w:val="21"/>
                      <w:highlight w:val="none"/>
                    </w:rPr>
                  </w:pPr>
                  <w:r>
                    <w:rPr>
                      <w:rFonts w:hint="eastAsia" w:hAnsi="宋体"/>
                      <w:color w:val="auto"/>
                      <w:szCs w:val="21"/>
                      <w:highlight w:val="none"/>
                    </w:rPr>
                    <w:t>否</w:t>
                  </w:r>
                </w:p>
              </w:tc>
            </w:tr>
          </w:tbl>
          <w:p w14:paraId="6FE9CF9A">
            <w:pPr>
              <w:autoSpaceDE w:val="0"/>
              <w:autoSpaceDN w:val="0"/>
              <w:adjustRightInd w:val="0"/>
              <w:snapToGrid w:val="0"/>
              <w:jc w:val="center"/>
              <w:rPr>
                <w:rFonts w:ascii="宋体" w:hAnsi="宋体" w:cs="宋体"/>
                <w:color w:val="auto"/>
                <w:kern w:val="0"/>
                <w:sz w:val="24"/>
                <w:szCs w:val="24"/>
                <w:highlight w:val="none"/>
              </w:rPr>
            </w:pPr>
          </w:p>
        </w:tc>
      </w:tr>
      <w:tr w14:paraId="51E77A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25" w:type="pct"/>
          <w:trHeight w:val="1018" w:hRule="atLeast"/>
          <w:jc w:val="center"/>
        </w:trPr>
        <w:tc>
          <w:tcPr>
            <w:tcW w:w="1243" w:type="pct"/>
            <w:gridSpan w:val="2"/>
            <w:vAlign w:val="center"/>
          </w:tcPr>
          <w:p w14:paraId="0E99E7D9">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sz w:val="24"/>
                <w:szCs w:val="24"/>
                <w:highlight w:val="none"/>
              </w:rPr>
              <w:t>规划情况</w:t>
            </w:r>
          </w:p>
        </w:tc>
        <w:tc>
          <w:tcPr>
            <w:tcW w:w="3730" w:type="pct"/>
            <w:gridSpan w:val="4"/>
            <w:vAlign w:val="center"/>
          </w:tcPr>
          <w:p w14:paraId="68CEB500">
            <w:pPr>
              <w:pStyle w:val="227"/>
              <w:ind w:firstLine="0" w:firstLineChars="0"/>
              <w:jc w:val="left"/>
              <w:rPr>
                <w:rFonts w:hAnsi="宋体"/>
                <w:color w:val="auto"/>
                <w:szCs w:val="24"/>
                <w:highlight w:val="none"/>
              </w:rPr>
            </w:pPr>
            <w:r>
              <w:rPr>
                <w:rFonts w:hint="eastAsia"/>
                <w:color w:val="auto"/>
                <w:highlight w:val="none"/>
              </w:rPr>
              <w:t>规划名称：</w:t>
            </w:r>
            <w:r>
              <w:rPr>
                <w:color w:val="auto"/>
                <w:kern w:val="2"/>
                <w:szCs w:val="24"/>
                <w:highlight w:val="none"/>
              </w:rPr>
              <w:t>《</w:t>
            </w:r>
            <w:r>
              <w:rPr>
                <w:rFonts w:hint="eastAsia"/>
                <w:color w:val="auto"/>
                <w:kern w:val="2"/>
                <w:szCs w:val="24"/>
                <w:highlight w:val="none"/>
              </w:rPr>
              <w:t>淮南经济技术开发区化工集中区总体规划</w:t>
            </w:r>
            <w:r>
              <w:rPr>
                <w:color w:val="auto"/>
                <w:kern w:val="2"/>
                <w:szCs w:val="24"/>
                <w:highlight w:val="none"/>
              </w:rPr>
              <w:t>》</w:t>
            </w:r>
          </w:p>
          <w:p w14:paraId="6675765E">
            <w:pPr>
              <w:pStyle w:val="227"/>
              <w:ind w:firstLine="0" w:firstLineChars="0"/>
              <w:jc w:val="left"/>
              <w:rPr>
                <w:rFonts w:hAnsi="宋体"/>
                <w:color w:val="auto"/>
                <w:szCs w:val="24"/>
                <w:highlight w:val="none"/>
              </w:rPr>
            </w:pPr>
            <w:r>
              <w:rPr>
                <w:rFonts w:hint="eastAsia" w:hAnsi="宋体"/>
                <w:color w:val="auto"/>
                <w:szCs w:val="24"/>
                <w:highlight w:val="none"/>
              </w:rPr>
              <w:t>审查机关：</w:t>
            </w:r>
            <w:r>
              <w:rPr>
                <w:rFonts w:ascii="宋体" w:hAnsi="宋体" w:cs="宋体"/>
                <w:color w:val="auto"/>
                <w:spacing w:val="-1"/>
                <w:kern w:val="2"/>
                <w:szCs w:val="24"/>
                <w:highlight w:val="none"/>
              </w:rPr>
              <w:t>淮南市人民政府</w:t>
            </w:r>
          </w:p>
          <w:p w14:paraId="30C4AB19">
            <w:pPr>
              <w:pStyle w:val="227"/>
              <w:ind w:firstLine="0" w:firstLineChars="0"/>
              <w:jc w:val="left"/>
              <w:rPr>
                <w:rFonts w:hint="eastAsia"/>
                <w:color w:val="auto"/>
                <w:highlight w:val="none"/>
              </w:rPr>
            </w:pPr>
            <w:r>
              <w:rPr>
                <w:rFonts w:hint="eastAsia" w:hAnsi="宋体"/>
                <w:color w:val="auto"/>
                <w:szCs w:val="24"/>
                <w:highlight w:val="none"/>
              </w:rPr>
              <w:t>审查意见及文号：</w:t>
            </w:r>
            <w:r>
              <w:rPr>
                <w:color w:val="auto"/>
                <w:kern w:val="2"/>
                <w:szCs w:val="24"/>
                <w:highlight w:val="none"/>
              </w:rPr>
              <w:t>淮南市人民政府下发关于调整淮南经济技术开发区化工集中区四至范围的批复（淮府秘</w:t>
            </w:r>
            <w:r>
              <w:rPr>
                <w:rFonts w:hint="eastAsia"/>
                <w:color w:val="auto"/>
                <w:kern w:val="2"/>
                <w:szCs w:val="24"/>
                <w:highlight w:val="none"/>
              </w:rPr>
              <w:t>[2018]201号文</w:t>
            </w:r>
            <w:r>
              <w:rPr>
                <w:color w:val="auto"/>
                <w:kern w:val="2"/>
                <w:szCs w:val="24"/>
                <w:highlight w:val="none"/>
              </w:rPr>
              <w:t>）</w:t>
            </w:r>
          </w:p>
          <w:p w14:paraId="61B0DCA1">
            <w:pPr>
              <w:pStyle w:val="227"/>
              <w:ind w:firstLine="0" w:firstLineChars="0"/>
              <w:jc w:val="left"/>
              <w:rPr>
                <w:rFonts w:hAnsi="宋体"/>
                <w:color w:val="auto"/>
                <w:szCs w:val="24"/>
                <w:highlight w:val="none"/>
              </w:rPr>
            </w:pPr>
            <w:r>
              <w:rPr>
                <w:rFonts w:hint="eastAsia"/>
                <w:color w:val="auto"/>
                <w:highlight w:val="none"/>
              </w:rPr>
              <w:t>规划名称：</w:t>
            </w:r>
            <w:r>
              <w:rPr>
                <w:color w:val="auto"/>
                <w:kern w:val="2"/>
                <w:szCs w:val="24"/>
                <w:highlight w:val="none"/>
              </w:rPr>
              <w:t>《</w:t>
            </w:r>
            <w:r>
              <w:rPr>
                <w:rFonts w:hint="eastAsia"/>
                <w:color w:val="auto"/>
                <w:kern w:val="2"/>
                <w:szCs w:val="24"/>
                <w:highlight w:val="none"/>
              </w:rPr>
              <w:t>淮南经开化工园区产业发展规划（2024-2030年）</w:t>
            </w:r>
            <w:r>
              <w:rPr>
                <w:rFonts w:hint="eastAsia"/>
                <w:color w:val="auto"/>
                <w:kern w:val="2"/>
                <w:szCs w:val="24"/>
                <w:highlight w:val="none"/>
                <w:lang w:eastAsia="zh-CN"/>
              </w:rPr>
              <w:t>（</w:t>
            </w:r>
            <w:r>
              <w:rPr>
                <w:rFonts w:hint="eastAsia"/>
                <w:color w:val="auto"/>
                <w:kern w:val="2"/>
                <w:szCs w:val="24"/>
                <w:highlight w:val="none"/>
                <w:lang w:val="en-US" w:eastAsia="zh-CN"/>
              </w:rPr>
              <w:t>修编</w:t>
            </w:r>
            <w:r>
              <w:rPr>
                <w:rFonts w:hint="eastAsia"/>
                <w:color w:val="auto"/>
                <w:kern w:val="2"/>
                <w:szCs w:val="24"/>
                <w:highlight w:val="none"/>
                <w:lang w:eastAsia="zh-CN"/>
              </w:rPr>
              <w:t>）</w:t>
            </w:r>
            <w:r>
              <w:rPr>
                <w:color w:val="auto"/>
                <w:kern w:val="2"/>
                <w:szCs w:val="24"/>
                <w:highlight w:val="none"/>
              </w:rPr>
              <w:t>》</w:t>
            </w:r>
          </w:p>
          <w:p w14:paraId="4957861D">
            <w:pPr>
              <w:pStyle w:val="227"/>
              <w:ind w:firstLine="0" w:firstLineChars="0"/>
              <w:jc w:val="left"/>
              <w:rPr>
                <w:rFonts w:hAnsi="宋体"/>
                <w:color w:val="auto"/>
                <w:szCs w:val="24"/>
                <w:highlight w:val="none"/>
              </w:rPr>
            </w:pPr>
            <w:r>
              <w:rPr>
                <w:rFonts w:hint="eastAsia" w:hAnsi="宋体"/>
                <w:color w:val="auto"/>
                <w:szCs w:val="24"/>
                <w:highlight w:val="none"/>
              </w:rPr>
              <w:t>审查机关：淮南市工业和信息化局</w:t>
            </w:r>
          </w:p>
          <w:p w14:paraId="59EF684F">
            <w:pPr>
              <w:pStyle w:val="227"/>
              <w:ind w:firstLine="0" w:firstLineChars="0"/>
              <w:jc w:val="left"/>
              <w:rPr>
                <w:rFonts w:hAnsi="宋体"/>
                <w:color w:val="auto"/>
                <w:szCs w:val="24"/>
                <w:highlight w:val="none"/>
              </w:rPr>
            </w:pPr>
            <w:r>
              <w:rPr>
                <w:rFonts w:hint="eastAsia" w:hAnsi="宋体"/>
                <w:color w:val="auto"/>
                <w:szCs w:val="24"/>
                <w:highlight w:val="none"/>
              </w:rPr>
              <w:t>审查意见及文号：</w:t>
            </w:r>
            <w:r>
              <w:rPr>
                <w:rFonts w:hint="eastAsia"/>
                <w:color w:val="auto"/>
                <w:highlight w:val="none"/>
              </w:rPr>
              <w:t>淮南市工业和信息化局</w:t>
            </w:r>
            <w:r>
              <w:rPr>
                <w:color w:val="auto"/>
                <w:kern w:val="2"/>
                <w:szCs w:val="24"/>
                <w:highlight w:val="none"/>
              </w:rPr>
              <w:t>下发</w:t>
            </w:r>
            <w:r>
              <w:rPr>
                <w:rFonts w:hint="eastAsia"/>
                <w:color w:val="auto"/>
                <w:highlight w:val="none"/>
              </w:rPr>
              <w:t>《关于</w:t>
            </w:r>
            <w:r>
              <w:rPr>
                <w:rFonts w:hint="eastAsia" w:ascii="仿宋_GB2312"/>
                <w:color w:val="auto"/>
                <w:highlight w:val="none"/>
              </w:rPr>
              <w:t>〈</w:t>
            </w:r>
            <w:r>
              <w:rPr>
                <w:rFonts w:hint="eastAsia"/>
                <w:color w:val="auto"/>
                <w:highlight w:val="none"/>
              </w:rPr>
              <w:t>淮南经开化工园区产业发展规划（2024-2030年）的批复</w:t>
            </w:r>
            <w:r>
              <w:rPr>
                <w:rFonts w:hint="eastAsia" w:ascii="仿宋_GB2312"/>
                <w:color w:val="auto"/>
                <w:highlight w:val="none"/>
              </w:rPr>
              <w:t>〉</w:t>
            </w:r>
            <w:r>
              <w:rPr>
                <w:rFonts w:hint="eastAsia"/>
                <w:color w:val="auto"/>
                <w:highlight w:val="none"/>
              </w:rPr>
              <w:t>》</w:t>
            </w:r>
            <w:r>
              <w:rPr>
                <w:color w:val="auto"/>
                <w:kern w:val="2"/>
                <w:szCs w:val="24"/>
                <w:highlight w:val="none"/>
              </w:rPr>
              <w:t>（</w:t>
            </w:r>
            <w:r>
              <w:rPr>
                <w:rFonts w:hint="eastAsia"/>
                <w:color w:val="auto"/>
                <w:highlight w:val="none"/>
              </w:rPr>
              <w:t>淮工信节能</w:t>
            </w:r>
            <w:r>
              <w:rPr>
                <w:rFonts w:hint="eastAsia"/>
                <w:color w:val="auto"/>
                <w:kern w:val="2"/>
                <w:szCs w:val="24"/>
                <w:highlight w:val="none"/>
              </w:rPr>
              <w:t>[</w:t>
            </w:r>
            <w:r>
              <w:rPr>
                <w:rFonts w:hint="eastAsia"/>
                <w:color w:val="auto"/>
                <w:highlight w:val="none"/>
              </w:rPr>
              <w:t>2024</w:t>
            </w:r>
            <w:r>
              <w:rPr>
                <w:rFonts w:hint="eastAsia"/>
                <w:color w:val="auto"/>
                <w:highlight w:val="none"/>
                <w:lang w:val="en-US" w:eastAsia="zh-CN"/>
              </w:rPr>
              <w:t>]</w:t>
            </w:r>
            <w:r>
              <w:rPr>
                <w:rFonts w:hint="eastAsia"/>
                <w:color w:val="auto"/>
                <w:kern w:val="2"/>
                <w:szCs w:val="24"/>
                <w:highlight w:val="none"/>
                <w:lang w:val="en-US" w:eastAsia="zh-CN"/>
              </w:rPr>
              <w:t>15</w:t>
            </w:r>
            <w:r>
              <w:rPr>
                <w:rFonts w:hint="eastAsia"/>
                <w:color w:val="auto"/>
                <w:kern w:val="2"/>
                <w:szCs w:val="24"/>
                <w:highlight w:val="none"/>
              </w:rPr>
              <w:t>号</w:t>
            </w:r>
            <w:r>
              <w:rPr>
                <w:color w:val="auto"/>
                <w:kern w:val="2"/>
                <w:szCs w:val="24"/>
                <w:highlight w:val="none"/>
              </w:rPr>
              <w:t>）</w:t>
            </w:r>
          </w:p>
        </w:tc>
      </w:tr>
      <w:tr w14:paraId="75767B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25" w:type="pct"/>
          <w:trHeight w:val="132" w:hRule="atLeast"/>
          <w:jc w:val="center"/>
        </w:trPr>
        <w:tc>
          <w:tcPr>
            <w:tcW w:w="1243" w:type="pct"/>
            <w:gridSpan w:val="2"/>
            <w:vAlign w:val="center"/>
          </w:tcPr>
          <w:p w14:paraId="5EDDFD94">
            <w:pPr>
              <w:adjustRightInd w:val="0"/>
              <w:snapToGrid w:val="0"/>
              <w:jc w:val="center"/>
              <w:rPr>
                <w:rFonts w:ascii="宋体" w:hAnsi="宋体" w:cs="宋体"/>
                <w:color w:val="auto"/>
                <w:sz w:val="24"/>
                <w:szCs w:val="24"/>
                <w:highlight w:val="none"/>
              </w:rPr>
            </w:pPr>
            <w:r>
              <w:rPr>
                <w:rFonts w:hint="eastAsia" w:ascii="宋体" w:hAnsi="宋体" w:cs="宋体"/>
                <w:color w:val="auto"/>
                <w:sz w:val="24"/>
                <w:szCs w:val="24"/>
                <w:highlight w:val="none"/>
              </w:rPr>
              <w:t>规划环境影响</w:t>
            </w:r>
          </w:p>
          <w:p w14:paraId="3AFBC323">
            <w:pPr>
              <w:adjustRightInd w:val="0"/>
              <w:snapToGrid w:val="0"/>
              <w:jc w:val="center"/>
              <w:rPr>
                <w:rFonts w:ascii="宋体" w:hAnsi="宋体" w:cs="宋体"/>
                <w:color w:val="auto"/>
                <w:kern w:val="0"/>
                <w:sz w:val="24"/>
                <w:szCs w:val="24"/>
                <w:highlight w:val="none"/>
              </w:rPr>
            </w:pPr>
            <w:r>
              <w:rPr>
                <w:rFonts w:hint="eastAsia" w:ascii="宋体" w:hAnsi="宋体" w:cs="宋体"/>
                <w:color w:val="auto"/>
                <w:sz w:val="24"/>
                <w:szCs w:val="24"/>
                <w:highlight w:val="none"/>
              </w:rPr>
              <w:t>评价情况</w:t>
            </w:r>
          </w:p>
        </w:tc>
        <w:tc>
          <w:tcPr>
            <w:tcW w:w="3730" w:type="pct"/>
            <w:gridSpan w:val="4"/>
            <w:vAlign w:val="center"/>
          </w:tcPr>
          <w:p w14:paraId="6D17F19A">
            <w:pPr>
              <w:pStyle w:val="227"/>
              <w:ind w:firstLine="0" w:firstLineChars="0"/>
              <w:jc w:val="left"/>
              <w:rPr>
                <w:rFonts w:hAnsi="宋体"/>
                <w:color w:val="auto"/>
                <w:szCs w:val="24"/>
                <w:highlight w:val="none"/>
              </w:rPr>
            </w:pPr>
            <w:r>
              <w:rPr>
                <w:rFonts w:hint="eastAsia"/>
                <w:color w:val="auto"/>
                <w:highlight w:val="none"/>
              </w:rPr>
              <w:t>规划环境影响评价文件名称：</w:t>
            </w:r>
            <w:r>
              <w:rPr>
                <w:color w:val="auto"/>
                <w:kern w:val="2"/>
                <w:szCs w:val="24"/>
                <w:highlight w:val="none"/>
              </w:rPr>
              <w:t>《淮南经济技术开发区化工集中区总体规划环境影响报告书》</w:t>
            </w:r>
          </w:p>
          <w:p w14:paraId="1967258B">
            <w:pPr>
              <w:pStyle w:val="227"/>
              <w:ind w:firstLine="0" w:firstLineChars="0"/>
              <w:jc w:val="left"/>
              <w:rPr>
                <w:rFonts w:hAnsi="宋体"/>
                <w:color w:val="auto"/>
                <w:szCs w:val="24"/>
                <w:highlight w:val="none"/>
              </w:rPr>
            </w:pPr>
            <w:r>
              <w:rPr>
                <w:rFonts w:hint="eastAsia" w:hAnsi="宋体"/>
                <w:color w:val="auto"/>
                <w:szCs w:val="24"/>
                <w:highlight w:val="none"/>
              </w:rPr>
              <w:t>审查机关：</w:t>
            </w:r>
            <w:r>
              <w:rPr>
                <w:color w:val="auto"/>
                <w:kern w:val="2"/>
                <w:szCs w:val="24"/>
                <w:highlight w:val="none"/>
              </w:rPr>
              <w:t>淮南市生态环境局</w:t>
            </w:r>
          </w:p>
          <w:p w14:paraId="18E547E4">
            <w:pPr>
              <w:pStyle w:val="227"/>
              <w:ind w:firstLine="0" w:firstLineChars="0"/>
              <w:jc w:val="left"/>
              <w:rPr>
                <w:rFonts w:hint="eastAsia"/>
                <w:color w:val="auto"/>
                <w:highlight w:val="none"/>
              </w:rPr>
            </w:pPr>
            <w:r>
              <w:rPr>
                <w:rFonts w:hint="eastAsia" w:hAnsi="宋体"/>
                <w:color w:val="auto"/>
                <w:szCs w:val="24"/>
                <w:highlight w:val="none"/>
              </w:rPr>
              <w:t>审查意见及文号：</w:t>
            </w:r>
            <w:r>
              <w:rPr>
                <w:color w:val="auto"/>
                <w:kern w:val="2"/>
                <w:szCs w:val="24"/>
                <w:highlight w:val="none"/>
              </w:rPr>
              <w:t>淮南市生态环境局《关于淮南经济技术开发区化工集中区总体规划环境影响报告书审查意见的函》（淮环函</w:t>
            </w:r>
            <w:r>
              <w:rPr>
                <w:rFonts w:hint="eastAsia"/>
                <w:color w:val="auto"/>
                <w:kern w:val="2"/>
                <w:szCs w:val="24"/>
                <w:highlight w:val="none"/>
              </w:rPr>
              <w:t>[</w:t>
            </w:r>
            <w:r>
              <w:rPr>
                <w:color w:val="auto"/>
                <w:kern w:val="2"/>
                <w:szCs w:val="24"/>
                <w:highlight w:val="none"/>
              </w:rPr>
              <w:t>20</w:t>
            </w:r>
            <w:r>
              <w:rPr>
                <w:rFonts w:hint="eastAsia"/>
                <w:color w:val="auto"/>
                <w:kern w:val="2"/>
                <w:szCs w:val="24"/>
                <w:highlight w:val="none"/>
              </w:rPr>
              <w:t>19]139</w:t>
            </w:r>
            <w:r>
              <w:rPr>
                <w:color w:val="auto"/>
                <w:kern w:val="2"/>
                <w:szCs w:val="24"/>
                <w:highlight w:val="none"/>
              </w:rPr>
              <w:t>号）</w:t>
            </w:r>
          </w:p>
          <w:p w14:paraId="488D89A7">
            <w:pPr>
              <w:pStyle w:val="227"/>
              <w:ind w:firstLine="0" w:firstLineChars="0"/>
              <w:jc w:val="left"/>
              <w:rPr>
                <w:rFonts w:hAnsi="宋体"/>
                <w:color w:val="auto"/>
                <w:szCs w:val="24"/>
                <w:highlight w:val="none"/>
              </w:rPr>
            </w:pPr>
            <w:r>
              <w:rPr>
                <w:rFonts w:hint="eastAsia"/>
                <w:color w:val="auto"/>
                <w:highlight w:val="none"/>
              </w:rPr>
              <w:t>规划环境影响评价文件名称：</w:t>
            </w:r>
            <w:r>
              <w:rPr>
                <w:color w:val="auto"/>
                <w:kern w:val="2"/>
                <w:szCs w:val="24"/>
                <w:highlight w:val="none"/>
              </w:rPr>
              <w:t>《</w:t>
            </w:r>
            <w:r>
              <w:rPr>
                <w:rFonts w:hint="eastAsia"/>
                <w:color w:val="auto"/>
                <w:kern w:val="2"/>
                <w:szCs w:val="24"/>
                <w:highlight w:val="none"/>
                <w:lang w:eastAsia="zh-CN"/>
              </w:rPr>
              <w:t>淮南经开化工园区总体发展规划（2021-2030）（</w:t>
            </w:r>
            <w:r>
              <w:rPr>
                <w:rFonts w:hint="eastAsia"/>
                <w:color w:val="auto"/>
                <w:kern w:val="2"/>
                <w:szCs w:val="24"/>
                <w:highlight w:val="none"/>
                <w:lang w:val="en-US" w:eastAsia="zh-CN"/>
              </w:rPr>
              <w:t>2022年修编</w:t>
            </w:r>
            <w:r>
              <w:rPr>
                <w:rFonts w:hint="eastAsia"/>
                <w:color w:val="auto"/>
                <w:kern w:val="2"/>
                <w:szCs w:val="24"/>
                <w:highlight w:val="none"/>
                <w:lang w:eastAsia="zh-CN"/>
              </w:rPr>
              <w:t>）</w:t>
            </w:r>
            <w:r>
              <w:rPr>
                <w:color w:val="auto"/>
                <w:kern w:val="2"/>
                <w:szCs w:val="24"/>
                <w:highlight w:val="none"/>
              </w:rPr>
              <w:t>环境影响报告书》</w:t>
            </w:r>
          </w:p>
          <w:p w14:paraId="5242BE59">
            <w:pPr>
              <w:pStyle w:val="227"/>
              <w:ind w:firstLine="0" w:firstLineChars="0"/>
              <w:jc w:val="left"/>
              <w:rPr>
                <w:rFonts w:hAnsi="宋体"/>
                <w:color w:val="auto"/>
                <w:szCs w:val="24"/>
                <w:highlight w:val="none"/>
              </w:rPr>
            </w:pPr>
            <w:r>
              <w:rPr>
                <w:rFonts w:hint="eastAsia" w:hAnsi="宋体"/>
                <w:color w:val="auto"/>
                <w:szCs w:val="24"/>
                <w:highlight w:val="none"/>
              </w:rPr>
              <w:t>审查机关：</w:t>
            </w:r>
            <w:r>
              <w:rPr>
                <w:color w:val="auto"/>
                <w:kern w:val="2"/>
                <w:szCs w:val="24"/>
                <w:highlight w:val="none"/>
              </w:rPr>
              <w:t>淮南市生态环境局</w:t>
            </w:r>
          </w:p>
          <w:p w14:paraId="1E017D0A">
            <w:pPr>
              <w:pStyle w:val="227"/>
              <w:ind w:firstLine="0" w:firstLineChars="0"/>
              <w:jc w:val="left"/>
              <w:rPr>
                <w:rFonts w:hAnsi="宋体"/>
                <w:color w:val="auto"/>
                <w:szCs w:val="24"/>
                <w:highlight w:val="none"/>
              </w:rPr>
            </w:pPr>
            <w:r>
              <w:rPr>
                <w:rFonts w:hint="eastAsia"/>
                <w:color w:val="auto"/>
                <w:highlight w:val="none"/>
              </w:rPr>
              <w:t>规划环境影响评价文件名称：</w:t>
            </w:r>
            <w:r>
              <w:rPr>
                <w:color w:val="auto"/>
                <w:kern w:val="2"/>
                <w:szCs w:val="24"/>
                <w:highlight w:val="none"/>
              </w:rPr>
              <w:t>《</w:t>
            </w:r>
            <w:r>
              <w:rPr>
                <w:rFonts w:hint="eastAsia"/>
                <w:color w:val="auto"/>
                <w:kern w:val="2"/>
                <w:szCs w:val="24"/>
                <w:highlight w:val="none"/>
                <w:lang w:eastAsia="zh-CN"/>
              </w:rPr>
              <w:t>淮南经开化工园区总体发展规划（2021-2030）（</w:t>
            </w:r>
            <w:r>
              <w:rPr>
                <w:rFonts w:hint="eastAsia"/>
                <w:color w:val="auto"/>
                <w:kern w:val="2"/>
                <w:szCs w:val="24"/>
                <w:highlight w:val="none"/>
                <w:lang w:val="en-US" w:eastAsia="zh-CN"/>
              </w:rPr>
              <w:t>2024年修编</w:t>
            </w:r>
            <w:r>
              <w:rPr>
                <w:rFonts w:hint="eastAsia"/>
                <w:color w:val="auto"/>
                <w:kern w:val="2"/>
                <w:szCs w:val="24"/>
                <w:highlight w:val="none"/>
                <w:lang w:eastAsia="zh-CN"/>
              </w:rPr>
              <w:t>）</w:t>
            </w:r>
            <w:r>
              <w:rPr>
                <w:color w:val="auto"/>
                <w:kern w:val="2"/>
                <w:szCs w:val="24"/>
                <w:highlight w:val="none"/>
              </w:rPr>
              <w:t>环境影响报告书》</w:t>
            </w:r>
          </w:p>
          <w:p w14:paraId="4A192478">
            <w:pPr>
              <w:pStyle w:val="227"/>
              <w:ind w:firstLine="0" w:firstLineChars="0"/>
              <w:jc w:val="left"/>
              <w:rPr>
                <w:color w:val="auto"/>
                <w:highlight w:val="none"/>
              </w:rPr>
            </w:pPr>
            <w:r>
              <w:rPr>
                <w:rFonts w:hint="eastAsia" w:hAnsi="宋体"/>
                <w:color w:val="auto"/>
                <w:szCs w:val="24"/>
                <w:highlight w:val="none"/>
              </w:rPr>
              <w:t>审查机关：</w:t>
            </w:r>
            <w:r>
              <w:rPr>
                <w:color w:val="auto"/>
                <w:kern w:val="2"/>
                <w:szCs w:val="24"/>
                <w:highlight w:val="none"/>
              </w:rPr>
              <w:t>淮南市生态环境局</w:t>
            </w:r>
          </w:p>
        </w:tc>
      </w:tr>
      <w:tr w14:paraId="3026BB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gridBefore w:val="1"/>
          <w:wBefore w:w="25" w:type="pct"/>
          <w:trHeight w:val="1018" w:hRule="atLeast"/>
          <w:jc w:val="center"/>
        </w:trPr>
        <w:tc>
          <w:tcPr>
            <w:tcW w:w="1243" w:type="pct"/>
            <w:gridSpan w:val="2"/>
            <w:vAlign w:val="center"/>
          </w:tcPr>
          <w:p w14:paraId="247986CB">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规划及规划环境</w:t>
            </w:r>
          </w:p>
          <w:p w14:paraId="5F26136C">
            <w:pPr>
              <w:autoSpaceDE w:val="0"/>
              <w:autoSpaceDN w:val="0"/>
              <w:adjustRightInd w:val="0"/>
              <w:snapToGri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影响评价符合性分析</w:t>
            </w:r>
          </w:p>
        </w:tc>
        <w:tc>
          <w:tcPr>
            <w:tcW w:w="3730" w:type="pct"/>
            <w:gridSpan w:val="4"/>
            <w:vAlign w:val="center"/>
          </w:tcPr>
          <w:p w14:paraId="360C6755">
            <w:pPr>
              <w:autoSpaceDE w:val="0"/>
              <w:autoSpaceDN w:val="0"/>
              <w:spacing w:line="360" w:lineRule="auto"/>
              <w:jc w:val="left"/>
              <w:rPr>
                <w:rFonts w:hAnsi="宋体"/>
                <w:b/>
                <w:color w:val="auto"/>
                <w:sz w:val="24"/>
                <w:highlight w:val="none"/>
              </w:rPr>
            </w:pPr>
            <w:r>
              <w:rPr>
                <w:rFonts w:hint="eastAsia" w:hAnsi="宋体"/>
                <w:b/>
                <w:color w:val="auto"/>
                <w:sz w:val="24"/>
                <w:highlight w:val="none"/>
              </w:rPr>
              <w:t>1、与</w:t>
            </w:r>
            <w:r>
              <w:rPr>
                <w:rFonts w:hAnsi="宋体"/>
                <w:b/>
                <w:color w:val="auto"/>
                <w:sz w:val="24"/>
                <w:highlight w:val="none"/>
              </w:rPr>
              <w:t>《</w:t>
            </w:r>
            <w:r>
              <w:rPr>
                <w:rFonts w:hint="eastAsia" w:hAnsi="宋体"/>
                <w:b/>
                <w:color w:val="auto"/>
                <w:sz w:val="24"/>
                <w:highlight w:val="none"/>
              </w:rPr>
              <w:t>淮南经济技术开发区化工集中区总体规划</w:t>
            </w:r>
            <w:r>
              <w:rPr>
                <w:rFonts w:hAnsi="宋体"/>
                <w:b/>
                <w:color w:val="auto"/>
                <w:sz w:val="24"/>
                <w:highlight w:val="none"/>
              </w:rPr>
              <w:t>》相符性分析</w:t>
            </w:r>
          </w:p>
          <w:p w14:paraId="31B8AA5F">
            <w:pPr>
              <w:pStyle w:val="227"/>
              <w:ind w:firstLine="480"/>
              <w:jc w:val="left"/>
              <w:rPr>
                <w:rFonts w:hint="eastAsia"/>
                <w:color w:val="auto"/>
                <w:highlight w:val="none"/>
              </w:rPr>
            </w:pPr>
            <w:r>
              <w:rPr>
                <w:rFonts w:hint="eastAsia"/>
                <w:color w:val="auto"/>
                <w:highlight w:val="none"/>
              </w:rPr>
              <w:t>2013年11月14日《关于要求批准设立淮南经济技术开发区化工集中区的请示》（淮开管〔2013〕101号）向淮南市人民政府提交设立化工集中区的请示。</w:t>
            </w:r>
          </w:p>
          <w:p w14:paraId="2514C6FC">
            <w:pPr>
              <w:pStyle w:val="227"/>
              <w:ind w:firstLine="480"/>
              <w:jc w:val="left"/>
              <w:rPr>
                <w:rFonts w:hint="eastAsia"/>
                <w:color w:val="auto"/>
                <w:highlight w:val="none"/>
              </w:rPr>
            </w:pPr>
            <w:r>
              <w:rPr>
                <w:rFonts w:hint="eastAsia"/>
                <w:color w:val="auto"/>
                <w:highlight w:val="none"/>
              </w:rPr>
              <w:t>2016年5月11日《淮南市人民政府关于三个化工集中区主导产业功能定位和四至范围的批复》（淮府秘〔2016〕75号）明确了淮南经济技术开发区化工集中区的四至范围。</w:t>
            </w:r>
          </w:p>
          <w:p w14:paraId="6C6DA409">
            <w:pPr>
              <w:pStyle w:val="227"/>
              <w:ind w:firstLine="480"/>
              <w:jc w:val="left"/>
              <w:rPr>
                <w:rFonts w:hint="eastAsia"/>
                <w:color w:val="auto"/>
                <w:highlight w:val="none"/>
              </w:rPr>
            </w:pPr>
            <w:r>
              <w:rPr>
                <w:rFonts w:hint="eastAsia"/>
                <w:color w:val="auto"/>
                <w:highlight w:val="none"/>
              </w:rPr>
              <w:t>2018年12月29日《淮南市人民政府关于调整淮南经济技术开发区化工集中区四至范围的批复》（淮府秘〔2018〕201号）对淮南经济技术开发区化工集中区四至范围进行了调整，同时进行了扩区，新增总面积1.23平方公里，明确了产业定位为医药化工。</w:t>
            </w:r>
          </w:p>
          <w:p w14:paraId="1B0C7DB2">
            <w:pPr>
              <w:pStyle w:val="227"/>
              <w:ind w:firstLine="480"/>
              <w:jc w:val="left"/>
              <w:rPr>
                <w:rFonts w:hint="eastAsia"/>
                <w:color w:val="auto"/>
                <w:highlight w:val="none"/>
              </w:rPr>
            </w:pPr>
            <w:r>
              <w:rPr>
                <w:rFonts w:hint="eastAsia"/>
                <w:color w:val="auto"/>
                <w:highlight w:val="none"/>
              </w:rPr>
              <w:t>2021年2月4日《安徽省人民政府关于同意认定第一批安徽省化工园区的批复》（皖政秘〔2021〕93号），淮南经开化工园区通过省级认定。</w:t>
            </w:r>
          </w:p>
          <w:p w14:paraId="6509655E">
            <w:pPr>
              <w:pStyle w:val="227"/>
              <w:ind w:firstLine="480"/>
              <w:jc w:val="left"/>
              <w:rPr>
                <w:rFonts w:hint="eastAsia"/>
                <w:color w:val="auto"/>
                <w:highlight w:val="none"/>
              </w:rPr>
            </w:pPr>
            <w:r>
              <w:rPr>
                <w:rFonts w:hint="eastAsia"/>
                <w:color w:val="auto"/>
                <w:highlight w:val="none"/>
              </w:rPr>
              <w:t>2022年5月27日《安徽省自然资源厅关于核定淮南经开化工园区四至范围和面积的通知》（皖自然资用函〔2022〕81 号），淮南经开化工园区四至范围经安徽省自然资源厅核定，核定面积158.9公顷。</w:t>
            </w:r>
          </w:p>
          <w:p w14:paraId="7CB66C8E">
            <w:pPr>
              <w:pStyle w:val="227"/>
              <w:ind w:firstLine="480"/>
              <w:jc w:val="left"/>
              <w:rPr>
                <w:rFonts w:hint="eastAsia" w:eastAsia="宋体"/>
                <w:color w:val="auto"/>
                <w:highlight w:val="none"/>
                <w:lang w:eastAsia="zh-CN"/>
              </w:rPr>
            </w:pPr>
            <w:r>
              <w:rPr>
                <w:rFonts w:hint="eastAsia"/>
                <w:color w:val="auto"/>
                <w:highlight w:val="none"/>
              </w:rPr>
              <w:t>2024年6月17日《安徽省自然资源厅关于核定淮南经开化工园区四至范围和面积的通知》（皖自然资用函〔2024〕91号），淮南经开化工园区四至范围包含两个区块，其中区块一面积33.04公顷，四至范围为：东至永兴路，南至田东路，西至皖淮化工厂留守处，北至规划电厂路；区块二面积120.10公顷，四至范围为：东至东兴路，南至朝阳东路，西至屯头排涝站排涝干渠，北至长富路。</w:t>
            </w:r>
          </w:p>
          <w:p w14:paraId="36D068E9">
            <w:pPr>
              <w:pStyle w:val="227"/>
              <w:ind w:firstLine="480"/>
              <w:jc w:val="left"/>
              <w:rPr>
                <w:color w:val="auto"/>
                <w:highlight w:val="none"/>
              </w:rPr>
            </w:pPr>
            <w:r>
              <w:rPr>
                <w:rFonts w:hint="eastAsia"/>
                <w:color w:val="auto"/>
                <w:highlight w:val="none"/>
                <w:lang w:val="en-US" w:eastAsia="zh-CN"/>
              </w:rPr>
              <w:t>本</w:t>
            </w:r>
            <w:r>
              <w:rPr>
                <w:rFonts w:hint="eastAsia"/>
                <w:color w:val="auto"/>
                <w:highlight w:val="none"/>
              </w:rPr>
              <w:t>项目位于</w:t>
            </w:r>
            <w:r>
              <w:rPr>
                <w:rFonts w:hint="eastAsia"/>
                <w:color w:val="auto"/>
                <w:highlight w:val="none"/>
                <w:lang w:eastAsia="zh-CN"/>
              </w:rPr>
              <w:t>安徽省淮南市淮南经济技术开发区安徽永银科技发展有限公司（经开区长宁路80号），</w:t>
            </w:r>
            <w:r>
              <w:rPr>
                <w:rFonts w:hint="eastAsia"/>
                <w:color w:val="auto"/>
                <w:highlight w:val="none"/>
                <w:lang w:val="en-US" w:eastAsia="zh-CN"/>
              </w:rPr>
              <w:t>利用公司现有厂区用地改建，不新增工业用地</w:t>
            </w:r>
            <w:r>
              <w:rPr>
                <w:rFonts w:hint="eastAsia"/>
                <w:color w:val="auto"/>
                <w:highlight w:val="none"/>
              </w:rPr>
              <w:t>。</w:t>
            </w:r>
          </w:p>
          <w:p w14:paraId="2C741B78">
            <w:pPr>
              <w:pStyle w:val="227"/>
              <w:ind w:firstLine="480"/>
              <w:jc w:val="left"/>
              <w:rPr>
                <w:color w:val="auto"/>
                <w:highlight w:val="none"/>
              </w:rPr>
            </w:pPr>
            <w:r>
              <w:rPr>
                <w:rFonts w:hint="eastAsia"/>
                <w:color w:val="auto"/>
                <w:highlight w:val="none"/>
              </w:rPr>
              <w:t>结合</w:t>
            </w:r>
            <w:r>
              <w:rPr>
                <w:color w:val="auto"/>
                <w:highlight w:val="none"/>
              </w:rPr>
              <w:t>《</w:t>
            </w:r>
            <w:r>
              <w:rPr>
                <w:rFonts w:hint="eastAsia"/>
                <w:color w:val="auto"/>
                <w:highlight w:val="none"/>
              </w:rPr>
              <w:t>淮南经济技术开发区化工集中区总体规划</w:t>
            </w:r>
            <w:r>
              <w:rPr>
                <w:color w:val="auto"/>
                <w:highlight w:val="none"/>
              </w:rPr>
              <w:t>》</w:t>
            </w:r>
            <w:r>
              <w:rPr>
                <w:rFonts w:hint="eastAsia"/>
                <w:color w:val="auto"/>
                <w:highlight w:val="none"/>
              </w:rPr>
              <w:t>用地布局规划图</w:t>
            </w:r>
            <w:r>
              <w:rPr>
                <w:rFonts w:hint="eastAsia"/>
                <w:color w:val="auto"/>
                <w:highlight w:val="none"/>
                <w:lang w:eastAsia="zh-CN"/>
              </w:rPr>
              <w:t>（</w:t>
            </w:r>
            <w:r>
              <w:rPr>
                <w:rFonts w:hint="eastAsia"/>
                <w:color w:val="auto"/>
                <w:highlight w:val="none"/>
                <w:lang w:val="en-US" w:eastAsia="zh-CN"/>
              </w:rPr>
              <w:t>附图2</w:t>
            </w:r>
            <w:r>
              <w:rPr>
                <w:rFonts w:hint="eastAsia"/>
                <w:color w:val="auto"/>
                <w:highlight w:val="none"/>
                <w:lang w:eastAsia="zh-CN"/>
              </w:rPr>
              <w:t>）</w:t>
            </w:r>
            <w:r>
              <w:rPr>
                <w:rFonts w:hint="eastAsia"/>
                <w:color w:val="auto"/>
                <w:highlight w:val="none"/>
              </w:rPr>
              <w:t>，本项目所在地属于规划的工业用地，企业选址不在自然保护区、风景名胜区、饮用水水源保护区和其他需要特别保护的区域，项目建设用地性质符合</w:t>
            </w:r>
            <w:r>
              <w:rPr>
                <w:rFonts w:hint="eastAsia"/>
                <w:color w:val="auto"/>
                <w:highlight w:val="none"/>
                <w:lang w:val="en-US" w:eastAsia="zh-CN"/>
              </w:rPr>
              <w:t>淮南经开化工园区</w:t>
            </w:r>
            <w:r>
              <w:rPr>
                <w:rFonts w:hint="eastAsia"/>
                <w:color w:val="auto"/>
                <w:highlight w:val="none"/>
              </w:rPr>
              <w:t>总体规划要求，项目选址基本合理。</w:t>
            </w:r>
          </w:p>
          <w:p w14:paraId="2338B802">
            <w:pPr>
              <w:autoSpaceDE w:val="0"/>
              <w:autoSpaceDN w:val="0"/>
              <w:spacing w:line="360" w:lineRule="auto"/>
              <w:jc w:val="left"/>
              <w:rPr>
                <w:rFonts w:hint="default" w:hAnsi="宋体"/>
                <w:b/>
                <w:color w:val="auto"/>
                <w:sz w:val="24"/>
                <w:highlight w:val="none"/>
                <w:lang w:val="en-US" w:eastAsia="zh-CN"/>
              </w:rPr>
            </w:pPr>
            <w:r>
              <w:rPr>
                <w:rFonts w:hint="eastAsia" w:hAnsi="宋体"/>
                <w:b/>
                <w:color w:val="auto"/>
                <w:sz w:val="24"/>
                <w:highlight w:val="none"/>
                <w:lang w:val="en-US" w:eastAsia="zh-CN"/>
              </w:rPr>
              <w:t>2、与《淮南经开化工园区产业发展规划（2024-2030年）（修编）》相符性分析</w:t>
            </w:r>
          </w:p>
          <w:p w14:paraId="3D639399">
            <w:pPr>
              <w:pStyle w:val="227"/>
              <w:ind w:firstLine="480"/>
              <w:jc w:val="left"/>
              <w:rPr>
                <w:color w:val="auto"/>
                <w:highlight w:val="none"/>
              </w:rPr>
            </w:pPr>
            <w:r>
              <w:rPr>
                <w:rFonts w:hint="eastAsia"/>
                <w:color w:val="auto"/>
                <w:highlight w:val="none"/>
                <w:lang w:val="en-US" w:eastAsia="zh-CN"/>
              </w:rPr>
              <w:t>根据《</w:t>
            </w:r>
            <w:r>
              <w:rPr>
                <w:rFonts w:hint="eastAsia"/>
                <w:color w:val="auto"/>
                <w:kern w:val="2"/>
                <w:szCs w:val="24"/>
                <w:highlight w:val="none"/>
              </w:rPr>
              <w:t>淮南经开化工园区产业发展规划（2024-2030年）</w:t>
            </w:r>
            <w:r>
              <w:rPr>
                <w:rFonts w:hint="eastAsia"/>
                <w:color w:val="auto"/>
                <w:kern w:val="2"/>
                <w:szCs w:val="24"/>
                <w:highlight w:val="none"/>
                <w:lang w:eastAsia="zh-CN"/>
              </w:rPr>
              <w:t>（</w:t>
            </w:r>
            <w:r>
              <w:rPr>
                <w:rFonts w:hint="eastAsia"/>
                <w:color w:val="auto"/>
                <w:kern w:val="2"/>
                <w:szCs w:val="24"/>
                <w:highlight w:val="none"/>
                <w:lang w:val="en-US" w:eastAsia="zh-CN"/>
              </w:rPr>
              <w:t>修编</w:t>
            </w:r>
            <w:r>
              <w:rPr>
                <w:rFonts w:hint="eastAsia"/>
                <w:color w:val="auto"/>
                <w:kern w:val="2"/>
                <w:szCs w:val="24"/>
                <w:highlight w:val="none"/>
                <w:lang w:eastAsia="zh-CN"/>
              </w:rPr>
              <w:t>）</w:t>
            </w:r>
            <w:r>
              <w:rPr>
                <w:rFonts w:hint="eastAsia"/>
                <w:color w:val="auto"/>
                <w:highlight w:val="none"/>
                <w:lang w:val="en-US" w:eastAsia="zh-CN"/>
              </w:rPr>
              <w:t>》，淮南经开化工园区</w:t>
            </w:r>
            <w:r>
              <w:rPr>
                <w:rFonts w:hint="eastAsia"/>
                <w:color w:val="auto"/>
                <w:highlight w:val="none"/>
              </w:rPr>
              <w:t>主导产业为</w:t>
            </w:r>
            <w:r>
              <w:rPr>
                <w:rFonts w:hint="eastAsia"/>
                <w:color w:val="auto"/>
                <w:highlight w:val="none"/>
                <w:lang w:val="en-US" w:eastAsia="zh-CN"/>
              </w:rPr>
              <w:t>精细化工（重点发展医药化工）</w:t>
            </w:r>
            <w:r>
              <w:rPr>
                <w:rFonts w:hint="eastAsia"/>
                <w:color w:val="auto"/>
                <w:highlight w:val="none"/>
              </w:rPr>
              <w:t>，入驻项目须符合国家和地方产业政策要求。本项目</w:t>
            </w:r>
            <w:r>
              <w:rPr>
                <w:rFonts w:hint="eastAsia"/>
                <w:color w:val="auto"/>
                <w:highlight w:val="none"/>
                <w:lang w:val="en-US" w:eastAsia="zh-CN"/>
              </w:rPr>
              <w:t>属于</w:t>
            </w:r>
            <w:r>
              <w:rPr>
                <w:rFonts w:hint="eastAsia"/>
                <w:color w:val="auto"/>
                <w:highlight w:val="none"/>
              </w:rPr>
              <w:t>G5942危险化学品仓储，为仓储业范畴，不在</w:t>
            </w:r>
            <w:r>
              <w:rPr>
                <w:rFonts w:hint="eastAsia"/>
                <w:color w:val="auto"/>
                <w:highlight w:val="none"/>
                <w:lang w:val="en-US" w:eastAsia="zh-CN"/>
              </w:rPr>
              <w:t>淮南经开化工园区</w:t>
            </w:r>
            <w:r>
              <w:rPr>
                <w:rFonts w:hint="eastAsia"/>
                <w:color w:val="auto"/>
                <w:highlight w:val="none"/>
              </w:rPr>
              <w:t>负面清单范围内，可视为允许建设项目。</w:t>
            </w:r>
            <w:r>
              <w:rPr>
                <w:rFonts w:hint="eastAsia"/>
                <w:color w:val="auto"/>
                <w:highlight w:val="none"/>
                <w:lang w:val="en-US" w:eastAsia="zh-CN"/>
              </w:rPr>
              <w:t>淮南经开化工园区产业准入清单要求</w:t>
            </w:r>
            <w:r>
              <w:rPr>
                <w:rFonts w:hint="eastAsia"/>
                <w:color w:val="auto"/>
                <w:highlight w:val="none"/>
              </w:rPr>
              <w:t>详见下表</w:t>
            </w:r>
            <w:r>
              <w:rPr>
                <w:rFonts w:hint="eastAsia"/>
                <w:color w:val="auto"/>
                <w:highlight w:val="none"/>
                <w:lang w:val="en-US" w:eastAsia="zh-CN"/>
              </w:rPr>
              <w:t>1-</w:t>
            </w:r>
            <w:r>
              <w:rPr>
                <w:rFonts w:hint="eastAsia"/>
                <w:color w:val="auto"/>
                <w:highlight w:val="none"/>
              </w:rPr>
              <w:t>2。</w:t>
            </w:r>
          </w:p>
          <w:p w14:paraId="5C01BC26">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Ansi="黑体" w:eastAsia="黑体"/>
                <w:color w:val="auto"/>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w:t>
            </w:r>
            <w:r>
              <w:rPr>
                <w:rFonts w:hint="eastAsia" w:hAnsi="黑体" w:eastAsia="黑体"/>
                <w:color w:val="auto"/>
                <w:sz w:val="24"/>
                <w:szCs w:val="24"/>
                <w:highlight w:val="none"/>
              </w:rPr>
              <w:t>2</w:t>
            </w:r>
            <w:r>
              <w:rPr>
                <w:rFonts w:hAnsi="黑体" w:eastAsia="黑体"/>
                <w:color w:val="auto"/>
                <w:sz w:val="24"/>
                <w:szCs w:val="24"/>
                <w:highlight w:val="none"/>
              </w:rPr>
              <w:t xml:space="preserve">  </w:t>
            </w:r>
            <w:r>
              <w:rPr>
                <w:rFonts w:hint="eastAsia" w:hAnsi="黑体" w:eastAsia="黑体"/>
                <w:color w:val="auto"/>
                <w:sz w:val="24"/>
                <w:szCs w:val="24"/>
                <w:highlight w:val="none"/>
              </w:rPr>
              <w:t>淮南经开化工园区产业准入清单要求</w:t>
            </w:r>
          </w:p>
          <w:tbl>
            <w:tblPr>
              <w:tblStyle w:val="37"/>
              <w:tblW w:w="4999"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17"/>
              <w:gridCol w:w="788"/>
              <w:gridCol w:w="831"/>
              <w:gridCol w:w="1209"/>
              <w:gridCol w:w="2640"/>
            </w:tblGrid>
            <w:tr w14:paraId="36BF55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Align w:val="center"/>
                </w:tcPr>
                <w:p w14:paraId="1B6E1C21">
                  <w:pPr>
                    <w:pStyle w:val="227"/>
                    <w:spacing w:line="276" w:lineRule="auto"/>
                    <w:ind w:firstLine="0" w:firstLineChars="0"/>
                    <w:jc w:val="center"/>
                    <w:rPr>
                      <w:b/>
                      <w:color w:val="auto"/>
                      <w:sz w:val="21"/>
                      <w:highlight w:val="none"/>
                    </w:rPr>
                  </w:pPr>
                  <w:r>
                    <w:rPr>
                      <w:rFonts w:hint="eastAsia" w:hAnsi="宋体"/>
                      <w:b/>
                      <w:color w:val="auto"/>
                      <w:sz w:val="21"/>
                      <w:highlight w:val="none"/>
                      <w:lang w:val="en-US" w:eastAsia="zh-CN"/>
                    </w:rPr>
                    <w:t>清单</w:t>
                  </w:r>
                  <w:r>
                    <w:rPr>
                      <w:rFonts w:hAnsi="宋体"/>
                      <w:b/>
                      <w:color w:val="auto"/>
                      <w:sz w:val="21"/>
                      <w:highlight w:val="none"/>
                    </w:rPr>
                    <w:t>类型</w:t>
                  </w:r>
                </w:p>
              </w:tc>
              <w:tc>
                <w:tcPr>
                  <w:tcW w:w="627" w:type="pct"/>
                  <w:vAlign w:val="center"/>
                </w:tcPr>
                <w:p w14:paraId="6114917E">
                  <w:pPr>
                    <w:pStyle w:val="227"/>
                    <w:spacing w:line="276" w:lineRule="auto"/>
                    <w:ind w:firstLine="0" w:firstLineChars="0"/>
                    <w:jc w:val="center"/>
                    <w:rPr>
                      <w:rFonts w:hint="eastAsia" w:eastAsia="宋体"/>
                      <w:b/>
                      <w:color w:val="auto"/>
                      <w:sz w:val="21"/>
                      <w:highlight w:val="none"/>
                      <w:lang w:val="en-US" w:eastAsia="zh-CN"/>
                    </w:rPr>
                  </w:pPr>
                  <w:r>
                    <w:rPr>
                      <w:rFonts w:hint="eastAsia"/>
                      <w:b/>
                      <w:color w:val="auto"/>
                      <w:sz w:val="21"/>
                      <w:highlight w:val="none"/>
                      <w:lang w:val="en-US" w:eastAsia="zh-CN"/>
                    </w:rPr>
                    <w:t>产业分类</w:t>
                  </w:r>
                </w:p>
              </w:tc>
              <w:tc>
                <w:tcPr>
                  <w:tcW w:w="661" w:type="pct"/>
                  <w:vAlign w:val="center"/>
                </w:tcPr>
                <w:p w14:paraId="01857ED1">
                  <w:pPr>
                    <w:pStyle w:val="227"/>
                    <w:spacing w:line="276" w:lineRule="auto"/>
                    <w:ind w:firstLine="0" w:firstLineChars="0"/>
                    <w:jc w:val="center"/>
                    <w:rPr>
                      <w:rFonts w:hint="eastAsia" w:hAnsi="宋体" w:eastAsia="宋体"/>
                      <w:b/>
                      <w:color w:val="auto"/>
                      <w:sz w:val="21"/>
                      <w:highlight w:val="none"/>
                      <w:lang w:val="en-US" w:eastAsia="zh-CN"/>
                    </w:rPr>
                  </w:pPr>
                  <w:r>
                    <w:rPr>
                      <w:rFonts w:hint="eastAsia" w:hAnsi="宋体"/>
                      <w:b/>
                      <w:color w:val="auto"/>
                      <w:sz w:val="21"/>
                      <w:highlight w:val="none"/>
                      <w:lang w:val="en-US" w:eastAsia="zh-CN"/>
                    </w:rPr>
                    <w:t>行业分类</w:t>
                  </w:r>
                </w:p>
              </w:tc>
              <w:tc>
                <w:tcPr>
                  <w:tcW w:w="3060" w:type="pct"/>
                  <w:gridSpan w:val="2"/>
                  <w:vAlign w:val="center"/>
                </w:tcPr>
                <w:p w14:paraId="630FF41B">
                  <w:pPr>
                    <w:pStyle w:val="227"/>
                    <w:spacing w:line="276" w:lineRule="auto"/>
                    <w:ind w:firstLine="0" w:firstLineChars="0"/>
                    <w:jc w:val="center"/>
                    <w:rPr>
                      <w:rFonts w:hint="eastAsia" w:hAnsi="宋体"/>
                      <w:b/>
                      <w:color w:val="auto"/>
                      <w:sz w:val="21"/>
                      <w:highlight w:val="none"/>
                      <w:lang w:val="en-US" w:eastAsia="zh-CN"/>
                    </w:rPr>
                  </w:pPr>
                  <w:r>
                    <w:rPr>
                      <w:rFonts w:hint="eastAsia" w:hAnsi="宋体"/>
                      <w:b/>
                      <w:color w:val="auto"/>
                      <w:sz w:val="21"/>
                      <w:highlight w:val="none"/>
                      <w:lang w:val="en-US" w:eastAsia="zh-CN"/>
                    </w:rPr>
                    <w:t>行业名称</w:t>
                  </w:r>
                </w:p>
              </w:tc>
            </w:tr>
            <w:tr w14:paraId="0FF5C0A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restart"/>
                  <w:vAlign w:val="center"/>
                </w:tcPr>
                <w:p w14:paraId="6A7792F0">
                  <w:pPr>
                    <w:pStyle w:val="227"/>
                    <w:spacing w:line="276" w:lineRule="auto"/>
                    <w:ind w:firstLine="0" w:firstLineChars="0"/>
                    <w:jc w:val="center"/>
                    <w:rPr>
                      <w:rFonts w:hint="eastAsia" w:eastAsia="宋体"/>
                      <w:color w:val="auto"/>
                      <w:sz w:val="21"/>
                      <w:highlight w:val="none"/>
                      <w:lang w:val="en-US" w:eastAsia="zh-CN"/>
                    </w:rPr>
                  </w:pPr>
                  <w:r>
                    <w:rPr>
                      <w:rFonts w:hAnsi="宋体"/>
                      <w:color w:val="auto"/>
                      <w:sz w:val="21"/>
                      <w:highlight w:val="none"/>
                    </w:rPr>
                    <w:t>鼓励</w:t>
                  </w:r>
                  <w:r>
                    <w:rPr>
                      <w:rFonts w:hint="eastAsia" w:hAnsi="宋体"/>
                      <w:color w:val="auto"/>
                      <w:sz w:val="21"/>
                      <w:highlight w:val="none"/>
                      <w:lang w:val="en-US" w:eastAsia="zh-CN"/>
                    </w:rPr>
                    <w:t>类</w:t>
                  </w:r>
                </w:p>
              </w:tc>
              <w:tc>
                <w:tcPr>
                  <w:tcW w:w="627" w:type="pct"/>
                  <w:vMerge w:val="restart"/>
                  <w:vAlign w:val="center"/>
                </w:tcPr>
                <w:p w14:paraId="439D957F">
                  <w:pPr>
                    <w:pStyle w:val="227"/>
                    <w:spacing w:line="276" w:lineRule="auto"/>
                    <w:ind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精细化工</w:t>
                  </w:r>
                </w:p>
              </w:tc>
              <w:tc>
                <w:tcPr>
                  <w:tcW w:w="661" w:type="pct"/>
                  <w:vMerge w:val="restart"/>
                  <w:vAlign w:val="center"/>
                </w:tcPr>
                <w:p w14:paraId="65A7286B">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区块一、区块二</w:t>
                  </w:r>
                </w:p>
              </w:tc>
              <w:tc>
                <w:tcPr>
                  <w:tcW w:w="962" w:type="pct"/>
                  <w:vAlign w:val="center"/>
                </w:tcPr>
                <w:p w14:paraId="3D3C99CA">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26化学原料和化学制品制造业</w:t>
                  </w:r>
                </w:p>
              </w:tc>
              <w:tc>
                <w:tcPr>
                  <w:tcW w:w="2098" w:type="pct"/>
                  <w:vAlign w:val="center"/>
                </w:tcPr>
                <w:p w14:paraId="5F98031A">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264涂料、油墨、颜料及类似产品制造，265合成材料制造，266专用化学品制造，268日用化学品制造</w:t>
                  </w:r>
                </w:p>
              </w:tc>
            </w:tr>
            <w:tr w14:paraId="237470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1D144323">
                  <w:pPr>
                    <w:pStyle w:val="227"/>
                    <w:spacing w:line="276" w:lineRule="auto"/>
                    <w:ind w:firstLine="0" w:firstLineChars="0"/>
                    <w:jc w:val="center"/>
                    <w:rPr>
                      <w:color w:val="auto"/>
                      <w:sz w:val="21"/>
                      <w:highlight w:val="none"/>
                    </w:rPr>
                  </w:pPr>
                </w:p>
              </w:tc>
              <w:tc>
                <w:tcPr>
                  <w:tcW w:w="627" w:type="pct"/>
                  <w:vMerge w:val="continue"/>
                  <w:vAlign w:val="center"/>
                </w:tcPr>
                <w:p w14:paraId="70703E77">
                  <w:pPr>
                    <w:pStyle w:val="227"/>
                    <w:spacing w:line="276" w:lineRule="auto"/>
                    <w:ind w:firstLine="0" w:firstLineChars="0"/>
                    <w:jc w:val="center"/>
                    <w:rPr>
                      <w:color w:val="auto"/>
                      <w:sz w:val="21"/>
                      <w:highlight w:val="none"/>
                    </w:rPr>
                  </w:pPr>
                </w:p>
              </w:tc>
              <w:tc>
                <w:tcPr>
                  <w:tcW w:w="661" w:type="pct"/>
                  <w:vMerge w:val="continue"/>
                  <w:vAlign w:val="center"/>
                </w:tcPr>
                <w:p w14:paraId="13960A6A">
                  <w:pPr>
                    <w:pStyle w:val="227"/>
                    <w:spacing w:line="276" w:lineRule="auto"/>
                    <w:ind w:firstLine="0" w:firstLineChars="0"/>
                    <w:jc w:val="center"/>
                    <w:rPr>
                      <w:color w:val="auto"/>
                      <w:sz w:val="21"/>
                      <w:highlight w:val="none"/>
                    </w:rPr>
                  </w:pPr>
                </w:p>
              </w:tc>
              <w:tc>
                <w:tcPr>
                  <w:tcW w:w="962" w:type="pct"/>
                  <w:vAlign w:val="center"/>
                </w:tcPr>
                <w:p w14:paraId="59964055">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27医药制造业</w:t>
                  </w:r>
                </w:p>
              </w:tc>
              <w:tc>
                <w:tcPr>
                  <w:tcW w:w="2098" w:type="pct"/>
                  <w:vAlign w:val="center"/>
                </w:tcPr>
                <w:p w14:paraId="2F78465E">
                  <w:pPr>
                    <w:pStyle w:val="227"/>
                    <w:spacing w:line="276" w:lineRule="auto"/>
                    <w:ind w:firstLine="0" w:firstLineChars="0"/>
                    <w:jc w:val="center"/>
                    <w:rPr>
                      <w:color w:val="auto"/>
                      <w:sz w:val="21"/>
                      <w:highlight w:val="none"/>
                    </w:rPr>
                  </w:pPr>
                  <w:r>
                    <w:rPr>
                      <w:rFonts w:hint="eastAsia"/>
                      <w:color w:val="auto"/>
                      <w:sz w:val="21"/>
                      <w:highlight w:val="none"/>
                    </w:rPr>
                    <w:t>271化学药品原料药制造，272化学药品制剂制造，275兽用药品制造，276生物药品制造，277卫生材料及医药用品制造，278医用辅料及包装材料</w:t>
                  </w:r>
                </w:p>
              </w:tc>
            </w:tr>
            <w:tr w14:paraId="117EA6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restart"/>
                  <w:vAlign w:val="center"/>
                </w:tcPr>
                <w:p w14:paraId="65295272">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优先进入类</w:t>
                  </w:r>
                </w:p>
              </w:tc>
              <w:tc>
                <w:tcPr>
                  <w:tcW w:w="4349" w:type="pct"/>
                  <w:gridSpan w:val="4"/>
                  <w:vAlign w:val="center"/>
                </w:tcPr>
                <w:p w14:paraId="4791A664">
                  <w:pPr>
                    <w:pStyle w:val="227"/>
                    <w:spacing w:line="276" w:lineRule="auto"/>
                    <w:ind w:firstLine="0" w:firstLineChars="0"/>
                    <w:jc w:val="center"/>
                    <w:rPr>
                      <w:color w:val="auto"/>
                      <w:sz w:val="21"/>
                      <w:highlight w:val="none"/>
                    </w:rPr>
                  </w:pPr>
                  <w:r>
                    <w:rPr>
                      <w:rFonts w:hint="eastAsia"/>
                      <w:color w:val="auto"/>
                      <w:sz w:val="21"/>
                      <w:highlight w:val="none"/>
                    </w:rPr>
                    <w:t>符合产业定位且属于国家发展和改革委《产业结构调整指导目录》、《鼓励外商投资产业目录》、《产业转移指导目录》、《战略性新兴产业重点产品和服务指导目录》等产业政策文件中属于鼓励类和重点发展中的产品、工艺和技术。</w:t>
                  </w:r>
                </w:p>
              </w:tc>
            </w:tr>
            <w:tr w14:paraId="3C2B4C6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656CBC9C">
                  <w:pPr>
                    <w:pStyle w:val="227"/>
                    <w:spacing w:line="276" w:lineRule="auto"/>
                    <w:ind w:firstLine="0" w:firstLineChars="0"/>
                    <w:jc w:val="center"/>
                    <w:rPr>
                      <w:color w:val="auto"/>
                      <w:sz w:val="21"/>
                      <w:highlight w:val="none"/>
                    </w:rPr>
                  </w:pPr>
                </w:p>
              </w:tc>
              <w:tc>
                <w:tcPr>
                  <w:tcW w:w="4349" w:type="pct"/>
                  <w:gridSpan w:val="4"/>
                  <w:vAlign w:val="center"/>
                </w:tcPr>
                <w:p w14:paraId="69D5DBDB">
                  <w:pPr>
                    <w:pStyle w:val="227"/>
                    <w:spacing w:line="276" w:lineRule="auto"/>
                    <w:ind w:firstLine="0" w:firstLineChars="0"/>
                    <w:jc w:val="center"/>
                    <w:rPr>
                      <w:color w:val="auto"/>
                      <w:sz w:val="21"/>
                      <w:highlight w:val="none"/>
                    </w:rPr>
                  </w:pPr>
                  <w:r>
                    <w:rPr>
                      <w:rFonts w:hint="eastAsia"/>
                      <w:color w:val="auto"/>
                      <w:sz w:val="21"/>
                      <w:highlight w:val="none"/>
                    </w:rPr>
                    <w:t>鼓励依托产业定位发展上下游关联度强、技术水平高</w:t>
                  </w:r>
                  <w:r>
                    <w:rPr>
                      <w:rFonts w:hint="eastAsia"/>
                      <w:color w:val="auto"/>
                      <w:sz w:val="21"/>
                      <w:highlight w:val="none"/>
                      <w:lang w:eastAsia="zh-CN"/>
                    </w:rPr>
                    <w:t>、绿色安全环保的企业和项目，进一步补链、延链、强链。</w:t>
                  </w:r>
                </w:p>
              </w:tc>
            </w:tr>
            <w:tr w14:paraId="44BDFB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Align w:val="center"/>
                </w:tcPr>
                <w:p w14:paraId="3B7E0BC5">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有条件进入类</w:t>
                  </w:r>
                </w:p>
              </w:tc>
              <w:tc>
                <w:tcPr>
                  <w:tcW w:w="4349" w:type="pct"/>
                  <w:gridSpan w:val="4"/>
                  <w:vAlign w:val="center"/>
                </w:tcPr>
                <w:p w14:paraId="56B9B33B">
                  <w:pPr>
                    <w:pStyle w:val="227"/>
                    <w:spacing w:line="276" w:lineRule="auto"/>
                    <w:ind w:firstLine="0" w:firstLineChars="0"/>
                    <w:jc w:val="center"/>
                    <w:rPr>
                      <w:color w:val="auto"/>
                      <w:sz w:val="21"/>
                      <w:highlight w:val="none"/>
                    </w:rPr>
                  </w:pPr>
                  <w:r>
                    <w:rPr>
                      <w:rFonts w:hint="eastAsia"/>
                      <w:color w:val="auto"/>
                      <w:sz w:val="21"/>
                      <w:highlight w:val="none"/>
                    </w:rPr>
                    <w:t>与主导产业链配套的其他相关产业，且经过充分的环境影响论证。</w:t>
                  </w:r>
                </w:p>
              </w:tc>
            </w:tr>
            <w:tr w14:paraId="1486F3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restart"/>
                  <w:vAlign w:val="center"/>
                </w:tcPr>
                <w:p w14:paraId="52C5F8A9">
                  <w:pPr>
                    <w:pStyle w:val="227"/>
                    <w:spacing w:line="276" w:lineRule="auto"/>
                    <w:ind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限制类</w:t>
                  </w:r>
                </w:p>
              </w:tc>
              <w:tc>
                <w:tcPr>
                  <w:tcW w:w="4349" w:type="pct"/>
                  <w:gridSpan w:val="4"/>
                  <w:vAlign w:val="center"/>
                </w:tcPr>
                <w:p w14:paraId="2420CF7B">
                  <w:pPr>
                    <w:pStyle w:val="227"/>
                    <w:spacing w:line="276" w:lineRule="auto"/>
                    <w:ind w:firstLine="0" w:firstLineChars="0"/>
                    <w:jc w:val="center"/>
                    <w:rPr>
                      <w:color w:val="auto"/>
                      <w:sz w:val="21"/>
                      <w:highlight w:val="none"/>
                    </w:rPr>
                  </w:pPr>
                  <w:r>
                    <w:rPr>
                      <w:rFonts w:hint="eastAsia"/>
                      <w:color w:val="auto"/>
                      <w:sz w:val="21"/>
                      <w:highlight w:val="none"/>
                    </w:rPr>
                    <w:t>《产业结构调整指导目录》中限制类项目；</w:t>
                  </w:r>
                </w:p>
              </w:tc>
            </w:tr>
            <w:tr w14:paraId="718CB3A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6C552008">
                  <w:pPr>
                    <w:pStyle w:val="227"/>
                    <w:spacing w:line="276" w:lineRule="auto"/>
                    <w:ind w:firstLine="0" w:firstLineChars="0"/>
                    <w:jc w:val="center"/>
                    <w:rPr>
                      <w:color w:val="auto"/>
                      <w:sz w:val="21"/>
                      <w:highlight w:val="none"/>
                    </w:rPr>
                  </w:pPr>
                </w:p>
              </w:tc>
              <w:tc>
                <w:tcPr>
                  <w:tcW w:w="4349" w:type="pct"/>
                  <w:gridSpan w:val="4"/>
                  <w:vAlign w:val="center"/>
                </w:tcPr>
                <w:p w14:paraId="7B532BA4">
                  <w:pPr>
                    <w:pStyle w:val="227"/>
                    <w:spacing w:line="276" w:lineRule="auto"/>
                    <w:ind w:firstLine="0" w:firstLineChars="0"/>
                    <w:jc w:val="center"/>
                    <w:rPr>
                      <w:color w:val="auto"/>
                      <w:sz w:val="21"/>
                      <w:highlight w:val="none"/>
                    </w:rPr>
                  </w:pPr>
                  <w:r>
                    <w:rPr>
                      <w:rFonts w:hint="eastAsia"/>
                      <w:color w:val="auto"/>
                      <w:sz w:val="21"/>
                      <w:highlight w:val="none"/>
                    </w:rPr>
                    <w:t>限制发展能源、资源消耗量或排污量较大但效益相对较好的企业，主要为规划外非禁止类项目，具体项目引入需经充分环境影响论证；</w:t>
                  </w:r>
                </w:p>
              </w:tc>
            </w:tr>
            <w:tr w14:paraId="2D744D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3806B364">
                  <w:pPr>
                    <w:pStyle w:val="227"/>
                    <w:spacing w:line="276" w:lineRule="auto"/>
                    <w:ind w:firstLine="0" w:firstLineChars="0"/>
                    <w:jc w:val="center"/>
                    <w:rPr>
                      <w:color w:val="auto"/>
                      <w:sz w:val="21"/>
                      <w:highlight w:val="none"/>
                    </w:rPr>
                  </w:pPr>
                </w:p>
              </w:tc>
              <w:tc>
                <w:tcPr>
                  <w:tcW w:w="4349" w:type="pct"/>
                  <w:gridSpan w:val="4"/>
                  <w:vAlign w:val="center"/>
                </w:tcPr>
                <w:p w14:paraId="66847882">
                  <w:pPr>
                    <w:pStyle w:val="227"/>
                    <w:spacing w:line="276" w:lineRule="auto"/>
                    <w:ind w:firstLine="0" w:firstLineChars="0"/>
                    <w:jc w:val="center"/>
                    <w:rPr>
                      <w:color w:val="auto"/>
                      <w:sz w:val="21"/>
                      <w:highlight w:val="none"/>
                    </w:rPr>
                  </w:pPr>
                  <w:r>
                    <w:rPr>
                      <w:rFonts w:hint="eastAsia"/>
                      <w:color w:val="auto"/>
                      <w:sz w:val="21"/>
                      <w:highlight w:val="none"/>
                    </w:rPr>
                    <w:t>限制新增与主导产业无关的、污染物排放量大的产业项目；</w:t>
                  </w:r>
                </w:p>
              </w:tc>
            </w:tr>
            <w:tr w14:paraId="1FEBE5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6048EF88">
                  <w:pPr>
                    <w:pStyle w:val="227"/>
                    <w:spacing w:line="276" w:lineRule="auto"/>
                    <w:ind w:firstLine="0" w:firstLineChars="0"/>
                    <w:jc w:val="center"/>
                    <w:rPr>
                      <w:color w:val="auto"/>
                      <w:sz w:val="21"/>
                      <w:highlight w:val="none"/>
                    </w:rPr>
                  </w:pPr>
                </w:p>
              </w:tc>
              <w:tc>
                <w:tcPr>
                  <w:tcW w:w="4349" w:type="pct"/>
                  <w:gridSpan w:val="4"/>
                  <w:vAlign w:val="center"/>
                </w:tcPr>
                <w:p w14:paraId="438D3482">
                  <w:pPr>
                    <w:pStyle w:val="227"/>
                    <w:spacing w:line="276" w:lineRule="auto"/>
                    <w:ind w:firstLine="0" w:firstLineChars="0"/>
                    <w:jc w:val="center"/>
                    <w:rPr>
                      <w:color w:val="auto"/>
                      <w:sz w:val="21"/>
                      <w:highlight w:val="none"/>
                    </w:rPr>
                  </w:pPr>
                  <w:r>
                    <w:rPr>
                      <w:rFonts w:hint="eastAsia"/>
                      <w:color w:val="auto"/>
                      <w:sz w:val="21"/>
                      <w:highlight w:val="none"/>
                    </w:rPr>
                    <w:t>与主导产业相关的“两高”类项目需按照《生态环境部关于加强高耗能、高排放建设项目生态环境源头防控的指导意见》、《安徽省节能减排及应对气候变化工作领导小组关于进一步加强新上“两高”项目管理的通知》等国家及安徽省相关政策要求严格控制引入，并经过环境影响充分论证</w:t>
                  </w:r>
                </w:p>
              </w:tc>
            </w:tr>
            <w:tr w14:paraId="13E837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Merge w:val="continue"/>
                  <w:vAlign w:val="center"/>
                </w:tcPr>
                <w:p w14:paraId="43AF80BD">
                  <w:pPr>
                    <w:pStyle w:val="227"/>
                    <w:spacing w:line="276" w:lineRule="auto"/>
                    <w:ind w:firstLine="0" w:firstLineChars="0"/>
                    <w:jc w:val="center"/>
                    <w:rPr>
                      <w:color w:val="auto"/>
                      <w:sz w:val="21"/>
                      <w:highlight w:val="none"/>
                    </w:rPr>
                  </w:pPr>
                </w:p>
              </w:tc>
              <w:tc>
                <w:tcPr>
                  <w:tcW w:w="4349" w:type="pct"/>
                  <w:gridSpan w:val="4"/>
                  <w:vAlign w:val="center"/>
                </w:tcPr>
                <w:p w14:paraId="5E915A4F">
                  <w:pPr>
                    <w:pStyle w:val="227"/>
                    <w:spacing w:line="276" w:lineRule="auto"/>
                    <w:ind w:firstLine="0" w:firstLineChars="0"/>
                    <w:jc w:val="center"/>
                    <w:rPr>
                      <w:color w:val="auto"/>
                      <w:sz w:val="21"/>
                      <w:highlight w:val="none"/>
                    </w:rPr>
                  </w:pPr>
                  <w:r>
                    <w:rPr>
                      <w:rFonts w:hint="eastAsia"/>
                      <w:color w:val="auto"/>
                      <w:sz w:val="21"/>
                      <w:highlight w:val="none"/>
                    </w:rPr>
                    <w:t>化工项目应符合《关于进一步规范化工项目建设管理的通知》（皖经信原材料[2022]73号）准入管理要求</w:t>
                  </w:r>
                </w:p>
              </w:tc>
            </w:tr>
            <w:tr w14:paraId="6E61B7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50" w:type="pct"/>
                  <w:vAlign w:val="center"/>
                </w:tcPr>
                <w:p w14:paraId="2595AD28">
                  <w:pPr>
                    <w:pStyle w:val="227"/>
                    <w:spacing w:line="276" w:lineRule="auto"/>
                    <w:ind w:firstLine="0" w:firstLineChars="0"/>
                    <w:jc w:val="center"/>
                    <w:rPr>
                      <w:rFonts w:hint="eastAsia" w:eastAsia="宋体"/>
                      <w:color w:val="auto"/>
                      <w:sz w:val="21"/>
                      <w:highlight w:val="none"/>
                      <w:lang w:val="en-US" w:eastAsia="zh-CN"/>
                    </w:rPr>
                  </w:pPr>
                  <w:r>
                    <w:rPr>
                      <w:rFonts w:hint="eastAsia"/>
                      <w:color w:val="auto"/>
                      <w:sz w:val="21"/>
                      <w:highlight w:val="none"/>
                      <w:lang w:val="en-US" w:eastAsia="zh-CN"/>
                    </w:rPr>
                    <w:t>禁止类</w:t>
                  </w:r>
                </w:p>
              </w:tc>
              <w:tc>
                <w:tcPr>
                  <w:tcW w:w="4349" w:type="pct"/>
                  <w:gridSpan w:val="4"/>
                  <w:vAlign w:val="center"/>
                </w:tcPr>
                <w:p w14:paraId="70FBDF5F">
                  <w:pPr>
                    <w:pStyle w:val="227"/>
                    <w:spacing w:line="276" w:lineRule="auto"/>
                    <w:ind w:firstLine="0" w:firstLineChars="0"/>
                    <w:jc w:val="center"/>
                    <w:rPr>
                      <w:rFonts w:hint="eastAsia"/>
                      <w:color w:val="auto"/>
                      <w:sz w:val="21"/>
                      <w:highlight w:val="none"/>
                    </w:rPr>
                  </w:pPr>
                  <w:r>
                    <w:rPr>
                      <w:rFonts w:hint="eastAsia"/>
                      <w:color w:val="auto"/>
                      <w:sz w:val="21"/>
                      <w:highlight w:val="none"/>
                    </w:rPr>
                    <w:t>（1）禁止引入《产业结构调整指导目录》《外商投资准入特别管理措施（负面清单）》《市场准入负面清单》和《国家长江经济带市场准入禁止限制目录》等相关产业政策中禁止或淘汰类项目、产品、工艺和设备；</w:t>
                  </w:r>
                </w:p>
                <w:p w14:paraId="2321B3ED">
                  <w:pPr>
                    <w:pStyle w:val="227"/>
                    <w:spacing w:line="276" w:lineRule="auto"/>
                    <w:ind w:firstLine="0" w:firstLineChars="0"/>
                    <w:jc w:val="center"/>
                    <w:rPr>
                      <w:rFonts w:hint="eastAsia"/>
                      <w:color w:val="auto"/>
                      <w:sz w:val="21"/>
                      <w:highlight w:val="none"/>
                    </w:rPr>
                  </w:pPr>
                  <w:r>
                    <w:rPr>
                      <w:rFonts w:hint="eastAsia"/>
                      <w:color w:val="auto"/>
                      <w:sz w:val="21"/>
                      <w:highlight w:val="none"/>
                    </w:rPr>
                    <w:t>（2）禁止引入专门从事印染、制革、电镀等生产的项目，禁止引入与主导产业不相符的“两高”类项目；</w:t>
                  </w:r>
                </w:p>
                <w:p w14:paraId="22A648C8">
                  <w:pPr>
                    <w:pStyle w:val="227"/>
                    <w:spacing w:line="276" w:lineRule="auto"/>
                    <w:ind w:firstLine="0" w:firstLineChars="0"/>
                    <w:jc w:val="center"/>
                    <w:rPr>
                      <w:rFonts w:hint="eastAsia"/>
                      <w:color w:val="auto"/>
                      <w:sz w:val="21"/>
                      <w:highlight w:val="none"/>
                    </w:rPr>
                  </w:pPr>
                  <w:r>
                    <w:rPr>
                      <w:rFonts w:hint="eastAsia"/>
                      <w:color w:val="auto"/>
                      <w:sz w:val="21"/>
                      <w:highlight w:val="none"/>
                    </w:rPr>
                    <w:t>（3）禁止新建、扩建法律法规和相关政策明令禁止的落后产能项目；</w:t>
                  </w:r>
                </w:p>
                <w:p w14:paraId="682652AA">
                  <w:pPr>
                    <w:pStyle w:val="227"/>
                    <w:spacing w:line="276" w:lineRule="auto"/>
                    <w:ind w:firstLine="0" w:firstLineChars="0"/>
                    <w:jc w:val="center"/>
                    <w:rPr>
                      <w:rFonts w:hint="eastAsia"/>
                      <w:color w:val="auto"/>
                      <w:sz w:val="21"/>
                      <w:highlight w:val="none"/>
                    </w:rPr>
                  </w:pPr>
                  <w:r>
                    <w:rPr>
                      <w:rFonts w:hint="eastAsia"/>
                      <w:color w:val="auto"/>
                      <w:sz w:val="21"/>
                      <w:highlight w:val="none"/>
                    </w:rPr>
                    <w:t>（4）禁止新建、扩建不符合国家产能置换要求的严重过剩产能行业的项目；</w:t>
                  </w:r>
                </w:p>
                <w:p w14:paraId="05543FAB">
                  <w:pPr>
                    <w:pStyle w:val="227"/>
                    <w:spacing w:line="276" w:lineRule="auto"/>
                    <w:ind w:firstLine="0" w:firstLineChars="0"/>
                    <w:jc w:val="center"/>
                    <w:rPr>
                      <w:color w:val="auto"/>
                      <w:sz w:val="21"/>
                      <w:highlight w:val="none"/>
                    </w:rPr>
                  </w:pPr>
                  <w:r>
                    <w:rPr>
                      <w:rFonts w:hint="eastAsia"/>
                      <w:color w:val="auto"/>
                      <w:sz w:val="21"/>
                      <w:highlight w:val="none"/>
                    </w:rPr>
                    <w:t>（5）区内部分紧邻居民点等环境敏感目标的工业用地，严格限制设计使用危险化学品的企业入驻。</w:t>
                  </w:r>
                </w:p>
              </w:tc>
            </w:tr>
          </w:tbl>
          <w:p w14:paraId="371734C3">
            <w:pPr>
              <w:pStyle w:val="227"/>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b w:val="0"/>
                <w:bCs/>
                <w:color w:val="auto"/>
                <w:highlight w:val="none"/>
                <w:lang w:val="en-US"/>
              </w:rPr>
            </w:pPr>
            <w:r>
              <w:rPr>
                <w:rFonts w:hint="eastAsia"/>
                <w:b w:val="0"/>
                <w:bCs/>
                <w:color w:val="auto"/>
                <w:highlight w:val="none"/>
                <w:lang w:val="en-US" w:eastAsia="zh-CN"/>
              </w:rPr>
              <w:t>对照上表，本项目仓储物质主要为丙烷、丁烷及乙烯，</w:t>
            </w:r>
            <w:r>
              <w:rPr>
                <w:rFonts w:hint="eastAsia"/>
                <w:color w:val="auto"/>
                <w:highlight w:val="none"/>
              </w:rPr>
              <w:t>不</w:t>
            </w:r>
            <w:r>
              <w:rPr>
                <w:rFonts w:hint="eastAsia"/>
                <w:color w:val="auto"/>
                <w:highlight w:val="none"/>
                <w:lang w:val="en-US" w:eastAsia="zh-CN"/>
              </w:rPr>
              <w:t>属于淮南经开化工园区禁止类、限制类</w:t>
            </w:r>
            <w:r>
              <w:rPr>
                <w:rFonts w:hint="eastAsia"/>
                <w:color w:val="auto"/>
                <w:highlight w:val="none"/>
              </w:rPr>
              <w:t>，</w:t>
            </w:r>
            <w:r>
              <w:rPr>
                <w:rFonts w:hint="eastAsia"/>
                <w:color w:val="auto"/>
                <w:highlight w:val="none"/>
                <w:lang w:val="en-US" w:eastAsia="zh-CN"/>
              </w:rPr>
              <w:t>不属于“两高”项目</w:t>
            </w:r>
            <w:r>
              <w:rPr>
                <w:rFonts w:hint="eastAsia"/>
                <w:color w:val="auto"/>
                <w:highlight w:val="none"/>
              </w:rPr>
              <w:t>，建成后可为园区医药化工企业提供原材料，对于主导产业有较好的辅助作用</w:t>
            </w:r>
            <w:r>
              <w:rPr>
                <w:rFonts w:hint="eastAsia"/>
                <w:color w:val="auto"/>
                <w:highlight w:val="none"/>
                <w:lang w:eastAsia="zh-CN"/>
              </w:rPr>
              <w:t>，</w:t>
            </w:r>
            <w:r>
              <w:rPr>
                <w:rFonts w:hint="eastAsia"/>
                <w:color w:val="auto"/>
                <w:highlight w:val="none"/>
                <w:lang w:val="en-US" w:eastAsia="zh-CN"/>
              </w:rPr>
              <w:t>属于</w:t>
            </w:r>
            <w:r>
              <w:rPr>
                <w:rFonts w:hint="eastAsia"/>
                <w:color w:val="auto"/>
                <w:highlight w:val="none"/>
                <w:lang w:eastAsia="zh-CN"/>
              </w:rPr>
              <w:t>与主导产业链配套的其他相关产业且经过充分的环境影响论证，</w:t>
            </w:r>
            <w:r>
              <w:rPr>
                <w:rFonts w:hint="eastAsia"/>
                <w:color w:val="auto"/>
                <w:highlight w:val="none"/>
              </w:rPr>
              <w:t>可视为允许建设项目</w:t>
            </w:r>
            <w:r>
              <w:rPr>
                <w:rFonts w:hint="eastAsia"/>
                <w:color w:val="auto"/>
                <w:highlight w:val="none"/>
                <w:lang w:eastAsia="zh-CN"/>
              </w:rPr>
              <w:t>，</w:t>
            </w:r>
            <w:r>
              <w:rPr>
                <w:rFonts w:hint="eastAsia"/>
                <w:color w:val="auto"/>
                <w:highlight w:val="none"/>
                <w:lang w:val="en-US" w:eastAsia="zh-CN"/>
              </w:rPr>
              <w:t>因此项目建设符合</w:t>
            </w:r>
            <w:r>
              <w:rPr>
                <w:rFonts w:hint="eastAsia"/>
                <w:color w:val="auto"/>
                <w:highlight w:val="none"/>
                <w:lang w:eastAsia="zh-CN"/>
              </w:rPr>
              <w:t>淮南经开化工园区产业准入清单要求。</w:t>
            </w:r>
          </w:p>
          <w:p w14:paraId="0D937EC7">
            <w:pPr>
              <w:pStyle w:val="227"/>
              <w:ind w:firstLine="0" w:firstLineChars="0"/>
              <w:jc w:val="left"/>
              <w:rPr>
                <w:b/>
                <w:color w:val="auto"/>
                <w:highlight w:val="none"/>
              </w:rPr>
            </w:pPr>
            <w:r>
              <w:rPr>
                <w:rFonts w:hint="eastAsia"/>
                <w:b/>
                <w:color w:val="auto"/>
                <w:highlight w:val="none"/>
                <w:lang w:val="en-US" w:eastAsia="zh-CN"/>
              </w:rPr>
              <w:t>3</w:t>
            </w:r>
            <w:r>
              <w:rPr>
                <w:rFonts w:hint="eastAsia"/>
                <w:b/>
                <w:color w:val="auto"/>
                <w:highlight w:val="none"/>
              </w:rPr>
              <w:t>、规划环境影响评价及审查意见的符合性分析</w:t>
            </w:r>
          </w:p>
          <w:p w14:paraId="7569AC01">
            <w:pPr>
              <w:pStyle w:val="227"/>
              <w:ind w:firstLine="480"/>
              <w:jc w:val="left"/>
              <w:rPr>
                <w:color w:val="auto"/>
                <w:highlight w:val="none"/>
              </w:rPr>
            </w:pPr>
            <w:r>
              <w:rPr>
                <w:rFonts w:hint="eastAsia"/>
                <w:color w:val="auto"/>
                <w:highlight w:val="none"/>
              </w:rPr>
              <w:t>《</w:t>
            </w:r>
            <w:r>
              <w:rPr>
                <w:rFonts w:hint="eastAsia" w:hAnsi="宋体"/>
                <w:color w:val="auto"/>
                <w:szCs w:val="24"/>
                <w:highlight w:val="none"/>
                <w:lang w:eastAsia="zh-CN"/>
              </w:rPr>
              <w:t>淮南经开化工园区总体发展规划</w:t>
            </w:r>
            <w:r>
              <w:rPr>
                <w:rFonts w:hint="eastAsia" w:hAnsi="宋体"/>
                <w:color w:val="auto"/>
                <w:szCs w:val="24"/>
                <w:highlight w:val="none"/>
              </w:rPr>
              <w:t>环境影响报告书</w:t>
            </w:r>
            <w:r>
              <w:rPr>
                <w:rFonts w:hint="eastAsia" w:hAnsi="宋体"/>
                <w:color w:val="auto"/>
                <w:szCs w:val="24"/>
                <w:highlight w:val="none"/>
                <w:lang w:eastAsia="zh-CN"/>
              </w:rPr>
              <w:t>（</w:t>
            </w:r>
            <w:r>
              <w:rPr>
                <w:rFonts w:hint="eastAsia" w:hAnsi="宋体"/>
                <w:color w:val="auto"/>
                <w:szCs w:val="24"/>
                <w:highlight w:val="none"/>
                <w:lang w:val="en-US" w:eastAsia="zh-CN"/>
              </w:rPr>
              <w:t>2021-2030</w:t>
            </w:r>
            <w:r>
              <w:rPr>
                <w:rFonts w:hint="eastAsia" w:hAnsi="宋体"/>
                <w:color w:val="auto"/>
                <w:szCs w:val="24"/>
                <w:highlight w:val="none"/>
                <w:lang w:eastAsia="zh-CN"/>
              </w:rPr>
              <w:t>）（</w:t>
            </w:r>
            <w:r>
              <w:rPr>
                <w:rFonts w:hint="eastAsia" w:hAnsi="宋体"/>
                <w:color w:val="auto"/>
                <w:szCs w:val="24"/>
                <w:highlight w:val="none"/>
                <w:lang w:val="en-US" w:eastAsia="zh-CN"/>
              </w:rPr>
              <w:t>2024年修编</w:t>
            </w:r>
            <w:r>
              <w:rPr>
                <w:rFonts w:hint="eastAsia" w:hAnsi="宋体"/>
                <w:color w:val="auto"/>
                <w:szCs w:val="24"/>
                <w:highlight w:val="none"/>
                <w:lang w:eastAsia="zh-CN"/>
              </w:rPr>
              <w:t>）</w:t>
            </w:r>
            <w:r>
              <w:rPr>
                <w:rFonts w:hint="eastAsia"/>
                <w:color w:val="auto"/>
                <w:highlight w:val="none"/>
              </w:rPr>
              <w:t>》</w:t>
            </w:r>
            <w:r>
              <w:rPr>
                <w:rFonts w:hint="eastAsia"/>
                <w:color w:val="auto"/>
                <w:highlight w:val="none"/>
                <w:lang w:val="en-US" w:eastAsia="zh-CN"/>
              </w:rPr>
              <w:t>规划修编主要内容为：调整淮南经开化工园区土地利用性质，进一步提出化工园区安全发展要以集中布局、集群发展和降低安全风险等级（“两集一低”）为目标，紧盯“一园一案”整治提升方案完善落实，依据《化工园区安全风险排查治理导则》，进一步明确园区主导产业方向。重点完善园区产业发展规划、消防救援规划、土地安全控制线、封闭化管理、智慧园区等持续深化化工园区安全规划。淮南经开化工园区规划总面积153.14公顷，全部为建设用地，主要布置工业用地、道路与交通设施用地、公共设施用地、绿地等，跟上一轮规划相比，主导产业为精细化工（重点发展医化工），用地规划工业用地规模：新增5.1976hm</w:t>
            </w:r>
            <w:r>
              <w:rPr>
                <w:rFonts w:hint="eastAsia"/>
                <w:color w:val="auto"/>
                <w:highlight w:val="none"/>
                <w:vertAlign w:val="superscript"/>
                <w:lang w:val="en-US" w:eastAsia="zh-CN"/>
              </w:rPr>
              <w:t>2</w:t>
            </w:r>
            <w:r>
              <w:rPr>
                <w:rFonts w:hint="eastAsia"/>
                <w:color w:val="auto"/>
                <w:highlight w:val="none"/>
                <w:lang w:val="en-US" w:eastAsia="zh-CN"/>
              </w:rPr>
              <w:t>，道路与交通设施用地规模减少2.1285hm</w:t>
            </w:r>
            <w:r>
              <w:rPr>
                <w:rFonts w:hint="eastAsia"/>
                <w:color w:val="auto"/>
                <w:highlight w:val="none"/>
                <w:vertAlign w:val="superscript"/>
                <w:lang w:val="en-US" w:eastAsia="zh-CN"/>
              </w:rPr>
              <w:t>2</w:t>
            </w:r>
            <w:r>
              <w:rPr>
                <w:rFonts w:hint="eastAsia"/>
                <w:color w:val="auto"/>
                <w:highlight w:val="none"/>
                <w:lang w:val="en-US" w:eastAsia="zh-CN"/>
              </w:rPr>
              <w:t>，公共设施用地规模减少1.097hm</w:t>
            </w:r>
            <w:r>
              <w:rPr>
                <w:rFonts w:hint="eastAsia"/>
                <w:color w:val="auto"/>
                <w:highlight w:val="none"/>
                <w:vertAlign w:val="superscript"/>
                <w:lang w:val="en-US" w:eastAsia="zh-CN"/>
              </w:rPr>
              <w:t>2</w:t>
            </w:r>
            <w:r>
              <w:rPr>
                <w:rFonts w:hint="eastAsia"/>
                <w:color w:val="auto"/>
                <w:highlight w:val="none"/>
                <w:lang w:val="en-US" w:eastAsia="zh-CN"/>
              </w:rPr>
              <w:t>，绿地与广场用地规模减少1.975hm</w:t>
            </w:r>
            <w:r>
              <w:rPr>
                <w:rFonts w:hint="eastAsia"/>
                <w:color w:val="auto"/>
                <w:highlight w:val="none"/>
                <w:vertAlign w:val="superscript"/>
                <w:lang w:val="en-US" w:eastAsia="zh-CN"/>
              </w:rPr>
              <w:t>2</w:t>
            </w:r>
            <w:r>
              <w:rPr>
                <w:rFonts w:hint="eastAsia"/>
                <w:color w:val="auto"/>
                <w:highlight w:val="none"/>
                <w:lang w:val="en-US" w:eastAsia="zh-CN"/>
              </w:rPr>
              <w:t>，工业用地性质由二类调整为三类。</w:t>
            </w:r>
          </w:p>
          <w:p w14:paraId="3AFAB846">
            <w:pPr>
              <w:pStyle w:val="227"/>
              <w:ind w:firstLine="480"/>
              <w:jc w:val="left"/>
              <w:rPr>
                <w:rFonts w:hint="eastAsia"/>
                <w:color w:val="auto"/>
                <w:highlight w:val="none"/>
              </w:rPr>
            </w:pPr>
            <w:r>
              <w:rPr>
                <w:color w:val="auto"/>
                <w:highlight w:val="none"/>
              </w:rPr>
              <w:t>本项目与</w:t>
            </w:r>
            <w:r>
              <w:rPr>
                <w:rFonts w:hint="eastAsia"/>
                <w:color w:val="auto"/>
                <w:highlight w:val="none"/>
              </w:rPr>
              <w:t>《</w:t>
            </w:r>
            <w:r>
              <w:rPr>
                <w:rFonts w:hint="eastAsia" w:hAnsi="宋体"/>
                <w:color w:val="auto"/>
                <w:szCs w:val="24"/>
                <w:highlight w:val="none"/>
                <w:lang w:eastAsia="zh-CN"/>
              </w:rPr>
              <w:t>淮南经开化工园区总体发展规划</w:t>
            </w:r>
            <w:r>
              <w:rPr>
                <w:rFonts w:hint="eastAsia" w:hAnsi="宋体"/>
                <w:color w:val="auto"/>
                <w:szCs w:val="24"/>
                <w:highlight w:val="none"/>
              </w:rPr>
              <w:t>环境影响报告书</w:t>
            </w:r>
            <w:r>
              <w:rPr>
                <w:rFonts w:hint="eastAsia" w:hAnsi="宋体"/>
                <w:color w:val="auto"/>
                <w:szCs w:val="24"/>
                <w:highlight w:val="none"/>
                <w:lang w:eastAsia="zh-CN"/>
              </w:rPr>
              <w:t>（</w:t>
            </w:r>
            <w:r>
              <w:rPr>
                <w:rFonts w:hint="eastAsia" w:hAnsi="宋体"/>
                <w:color w:val="auto"/>
                <w:szCs w:val="24"/>
                <w:highlight w:val="none"/>
                <w:lang w:val="en-US" w:eastAsia="zh-CN"/>
              </w:rPr>
              <w:t>2021-2030</w:t>
            </w:r>
            <w:r>
              <w:rPr>
                <w:rFonts w:hint="eastAsia" w:hAnsi="宋体"/>
                <w:color w:val="auto"/>
                <w:szCs w:val="24"/>
                <w:highlight w:val="none"/>
                <w:lang w:eastAsia="zh-CN"/>
              </w:rPr>
              <w:t>）（</w:t>
            </w:r>
            <w:r>
              <w:rPr>
                <w:rFonts w:hint="eastAsia" w:hAnsi="宋体"/>
                <w:color w:val="auto"/>
                <w:szCs w:val="24"/>
                <w:highlight w:val="none"/>
                <w:lang w:val="en-US" w:eastAsia="zh-CN"/>
              </w:rPr>
              <w:t>2024年修编</w:t>
            </w:r>
            <w:r>
              <w:rPr>
                <w:rFonts w:hint="eastAsia" w:hAnsi="宋体"/>
                <w:color w:val="auto"/>
                <w:szCs w:val="24"/>
                <w:highlight w:val="none"/>
                <w:lang w:eastAsia="zh-CN"/>
              </w:rPr>
              <w:t>）</w:t>
            </w:r>
            <w:r>
              <w:rPr>
                <w:rFonts w:hint="eastAsia"/>
                <w:color w:val="auto"/>
                <w:highlight w:val="none"/>
              </w:rPr>
              <w:t>》及其审查意见符合性分析详见下表：</w:t>
            </w:r>
          </w:p>
          <w:p w14:paraId="6EC3056E">
            <w:pPr>
              <w:pStyle w:val="227"/>
              <w:ind w:firstLine="480"/>
              <w:jc w:val="left"/>
              <w:rPr>
                <w:rFonts w:hint="eastAsia"/>
                <w:color w:val="auto"/>
                <w:highlight w:val="none"/>
              </w:rPr>
            </w:pPr>
          </w:p>
          <w:p w14:paraId="261F7CD5">
            <w:pPr>
              <w:pStyle w:val="227"/>
              <w:ind w:firstLine="480"/>
              <w:jc w:val="left"/>
              <w:rPr>
                <w:rFonts w:hint="eastAsia"/>
                <w:color w:val="auto"/>
                <w:highlight w:val="none"/>
              </w:rPr>
            </w:pPr>
          </w:p>
          <w:p w14:paraId="385CB2D6">
            <w:pPr>
              <w:pStyle w:val="227"/>
              <w:ind w:firstLine="480"/>
              <w:jc w:val="left"/>
              <w:rPr>
                <w:rFonts w:hint="eastAsia"/>
                <w:color w:val="auto"/>
                <w:highlight w:val="none"/>
              </w:rPr>
            </w:pPr>
          </w:p>
          <w:p w14:paraId="0A105087">
            <w:pPr>
              <w:autoSpaceDE w:val="0"/>
              <w:autoSpaceDN w:val="0"/>
              <w:adjustRightInd w:val="0"/>
              <w:snapToGrid w:val="0"/>
              <w:spacing w:line="360" w:lineRule="auto"/>
              <w:jc w:val="center"/>
              <w:rPr>
                <w:rFonts w:hAnsi="黑体" w:eastAsia="黑体"/>
                <w:color w:val="auto"/>
                <w:sz w:val="24"/>
                <w:szCs w:val="24"/>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1-3</w:t>
            </w:r>
            <w:r>
              <w:rPr>
                <w:rFonts w:hint="eastAsia" w:hAnsi="黑体" w:eastAsia="黑体"/>
                <w:color w:val="auto"/>
                <w:sz w:val="24"/>
                <w:szCs w:val="24"/>
                <w:highlight w:val="none"/>
              </w:rPr>
              <w:t xml:space="preserve"> </w:t>
            </w:r>
            <w:r>
              <w:rPr>
                <w:rFonts w:hAnsi="黑体" w:eastAsia="黑体"/>
                <w:color w:val="auto"/>
                <w:sz w:val="24"/>
                <w:szCs w:val="24"/>
                <w:highlight w:val="none"/>
              </w:rPr>
              <w:t>与</w:t>
            </w:r>
            <w:r>
              <w:rPr>
                <w:rFonts w:hint="eastAsia" w:hAnsi="黑体" w:eastAsia="黑体"/>
                <w:color w:val="auto"/>
                <w:sz w:val="24"/>
                <w:szCs w:val="24"/>
                <w:highlight w:val="none"/>
              </w:rPr>
              <w:t>《淮南经开化工园区总体发展规划环境影响报告书（2021-2030）（2024年修编）》及其审查意见符合性分析</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85"/>
              <w:gridCol w:w="2696"/>
              <w:gridCol w:w="2029"/>
              <w:gridCol w:w="876"/>
            </w:tblGrid>
            <w:tr w14:paraId="1F5389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2C4A7CCB">
                  <w:pPr>
                    <w:pStyle w:val="227"/>
                    <w:spacing w:line="276" w:lineRule="auto"/>
                    <w:ind w:firstLine="0" w:firstLineChars="0"/>
                    <w:jc w:val="center"/>
                    <w:rPr>
                      <w:b/>
                      <w:color w:val="auto"/>
                      <w:sz w:val="21"/>
                      <w:highlight w:val="none"/>
                    </w:rPr>
                  </w:pPr>
                  <w:r>
                    <w:rPr>
                      <w:rFonts w:hint="eastAsia"/>
                      <w:b/>
                      <w:color w:val="auto"/>
                      <w:sz w:val="21"/>
                      <w:highlight w:val="none"/>
                    </w:rPr>
                    <w:t>序号</w:t>
                  </w:r>
                </w:p>
              </w:tc>
              <w:tc>
                <w:tcPr>
                  <w:tcW w:w="2143" w:type="pct"/>
                  <w:vAlign w:val="center"/>
                </w:tcPr>
                <w:p w14:paraId="3AAD9262">
                  <w:pPr>
                    <w:pStyle w:val="227"/>
                    <w:spacing w:line="276" w:lineRule="auto"/>
                    <w:ind w:firstLine="0" w:firstLineChars="0"/>
                    <w:jc w:val="center"/>
                    <w:rPr>
                      <w:b/>
                      <w:color w:val="auto"/>
                      <w:sz w:val="21"/>
                      <w:highlight w:val="none"/>
                    </w:rPr>
                  </w:pPr>
                  <w:r>
                    <w:rPr>
                      <w:rFonts w:hint="eastAsia"/>
                      <w:b/>
                      <w:color w:val="auto"/>
                      <w:sz w:val="21"/>
                      <w:highlight w:val="none"/>
                    </w:rPr>
                    <w:t>规划环评及审查意见要求</w:t>
                  </w:r>
                </w:p>
              </w:tc>
              <w:tc>
                <w:tcPr>
                  <w:tcW w:w="1613" w:type="pct"/>
                  <w:vAlign w:val="center"/>
                </w:tcPr>
                <w:p w14:paraId="23ABF593">
                  <w:pPr>
                    <w:pStyle w:val="227"/>
                    <w:spacing w:line="276" w:lineRule="auto"/>
                    <w:ind w:firstLine="0" w:firstLineChars="0"/>
                    <w:jc w:val="center"/>
                    <w:rPr>
                      <w:b/>
                      <w:color w:val="auto"/>
                      <w:sz w:val="21"/>
                      <w:highlight w:val="none"/>
                    </w:rPr>
                  </w:pPr>
                  <w:r>
                    <w:rPr>
                      <w:rFonts w:hint="eastAsia"/>
                      <w:b/>
                      <w:color w:val="auto"/>
                      <w:sz w:val="21"/>
                      <w:highlight w:val="none"/>
                    </w:rPr>
                    <w:t>本项目情况</w:t>
                  </w:r>
                </w:p>
              </w:tc>
              <w:tc>
                <w:tcPr>
                  <w:tcW w:w="696" w:type="pct"/>
                  <w:vAlign w:val="center"/>
                </w:tcPr>
                <w:p w14:paraId="1ACEEC64">
                  <w:pPr>
                    <w:pStyle w:val="227"/>
                    <w:spacing w:line="276" w:lineRule="auto"/>
                    <w:ind w:firstLine="0" w:firstLineChars="0"/>
                    <w:jc w:val="center"/>
                    <w:rPr>
                      <w:b/>
                      <w:color w:val="auto"/>
                      <w:sz w:val="21"/>
                      <w:highlight w:val="none"/>
                    </w:rPr>
                  </w:pPr>
                  <w:r>
                    <w:rPr>
                      <w:rFonts w:hint="eastAsia"/>
                      <w:b/>
                      <w:color w:val="auto"/>
                      <w:sz w:val="21"/>
                      <w:highlight w:val="none"/>
                    </w:rPr>
                    <w:t>相符性</w:t>
                  </w:r>
                </w:p>
              </w:tc>
            </w:tr>
            <w:tr w14:paraId="4A4FB5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525DB309">
                  <w:pPr>
                    <w:pStyle w:val="227"/>
                    <w:spacing w:line="276" w:lineRule="auto"/>
                    <w:ind w:firstLine="0" w:firstLineChars="0"/>
                    <w:jc w:val="center"/>
                    <w:rPr>
                      <w:color w:val="auto"/>
                      <w:sz w:val="21"/>
                      <w:highlight w:val="none"/>
                    </w:rPr>
                  </w:pPr>
                  <w:r>
                    <w:rPr>
                      <w:rFonts w:hint="eastAsia"/>
                      <w:color w:val="auto"/>
                      <w:sz w:val="21"/>
                      <w:highlight w:val="none"/>
                    </w:rPr>
                    <w:t>1</w:t>
                  </w:r>
                </w:p>
              </w:tc>
              <w:tc>
                <w:tcPr>
                  <w:tcW w:w="2143" w:type="pct"/>
                  <w:vAlign w:val="center"/>
                </w:tcPr>
                <w:p w14:paraId="517C5F5A">
                  <w:pPr>
                    <w:pStyle w:val="227"/>
                    <w:spacing w:line="276" w:lineRule="auto"/>
                    <w:ind w:firstLine="0" w:firstLineChars="0"/>
                    <w:jc w:val="center"/>
                    <w:rPr>
                      <w:color w:val="auto"/>
                      <w:sz w:val="21"/>
                      <w:highlight w:val="none"/>
                    </w:rPr>
                  </w:pPr>
                  <w:r>
                    <w:rPr>
                      <w:rFonts w:hint="eastAsia"/>
                      <w:color w:val="auto"/>
                      <w:sz w:val="21"/>
                      <w:highlight w:val="none"/>
                      <w:lang w:eastAsia="zh-CN"/>
                    </w:rPr>
                    <w:t>（</w:t>
                  </w:r>
                  <w:r>
                    <w:rPr>
                      <w:rFonts w:hint="eastAsia"/>
                      <w:color w:val="auto"/>
                      <w:sz w:val="21"/>
                      <w:highlight w:val="none"/>
                      <w:lang w:val="en-US" w:eastAsia="zh-CN"/>
                    </w:rPr>
                    <w:t>一</w:t>
                  </w:r>
                  <w:r>
                    <w:rPr>
                      <w:rFonts w:hint="eastAsia"/>
                      <w:color w:val="auto"/>
                      <w:sz w:val="21"/>
                      <w:highlight w:val="none"/>
                      <w:lang w:eastAsia="zh-CN"/>
                    </w:rPr>
                    <w:t>）</w:t>
                  </w:r>
                  <w:r>
                    <w:rPr>
                      <w:rFonts w:hint="eastAsia"/>
                      <w:color w:val="auto"/>
                      <w:sz w:val="21"/>
                      <w:highlight w:val="none"/>
                    </w:rPr>
                    <w:t>加强《规划》引领，坚持绿色协调发展《规划》应全面贯彻落实习近平生态文明思想，加强《规划》与淮河流域水污染防治暂行条例、深入打好污染防治攻坚战相关要求、生态环境分区管控要求、国土空间总体规划的协调衔接。统筹推进园区整体发展和生态保护，基于环境承载力合理控制开发利用强度和时序，进一步提高土地利用效率，协调好产业发展与区域环境保护的关系。统筹园区减污降碳协同共治、资源集约节约及循环化利用、能源智慧高效利用、环境风险防控等重大事项，引导园区高质量发展。</w:t>
                  </w:r>
                </w:p>
              </w:tc>
              <w:tc>
                <w:tcPr>
                  <w:tcW w:w="1613" w:type="pct"/>
                  <w:vAlign w:val="center"/>
                </w:tcPr>
                <w:p w14:paraId="50FDE8ED">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本项目仓储物质主要为乙烯、丙烷及丁烷，不属于淮南经开化工园区禁止类、限制类，属于与淮南经开化工园区主导产业链配套的其他相关产业，且利用现有厂区用地进行改造建设，不新增用地，未突破当地土地利用资源；本项目已开展安全评价条件论证及环境风险影响评价，环境风险可防控。</w:t>
                  </w:r>
                </w:p>
              </w:tc>
              <w:tc>
                <w:tcPr>
                  <w:tcW w:w="696" w:type="pct"/>
                  <w:vAlign w:val="center"/>
                </w:tcPr>
                <w:p w14:paraId="67A4D2C4">
                  <w:pPr>
                    <w:pStyle w:val="227"/>
                    <w:spacing w:line="276" w:lineRule="auto"/>
                    <w:ind w:firstLine="0" w:firstLineChars="0"/>
                    <w:jc w:val="center"/>
                    <w:rPr>
                      <w:color w:val="auto"/>
                      <w:sz w:val="21"/>
                      <w:highlight w:val="none"/>
                    </w:rPr>
                  </w:pPr>
                  <w:r>
                    <w:rPr>
                      <w:rFonts w:hint="eastAsia"/>
                      <w:color w:val="auto"/>
                      <w:sz w:val="21"/>
                      <w:highlight w:val="none"/>
                    </w:rPr>
                    <w:t>符合</w:t>
                  </w:r>
                </w:p>
              </w:tc>
            </w:tr>
            <w:tr w14:paraId="3B15204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54D292C0">
                  <w:pPr>
                    <w:pStyle w:val="227"/>
                    <w:spacing w:line="276" w:lineRule="auto"/>
                    <w:ind w:firstLine="0" w:firstLineChars="0"/>
                    <w:jc w:val="center"/>
                    <w:rPr>
                      <w:color w:val="auto"/>
                      <w:sz w:val="21"/>
                      <w:highlight w:val="none"/>
                    </w:rPr>
                  </w:pPr>
                  <w:r>
                    <w:rPr>
                      <w:rFonts w:hint="eastAsia"/>
                      <w:color w:val="auto"/>
                      <w:sz w:val="21"/>
                      <w:highlight w:val="none"/>
                    </w:rPr>
                    <w:t>2</w:t>
                  </w:r>
                </w:p>
              </w:tc>
              <w:tc>
                <w:tcPr>
                  <w:tcW w:w="2143" w:type="pct"/>
                  <w:vAlign w:val="center"/>
                </w:tcPr>
                <w:p w14:paraId="22E0B14B">
                  <w:pPr>
                    <w:pStyle w:val="227"/>
                    <w:spacing w:line="276" w:lineRule="auto"/>
                    <w:ind w:firstLine="0" w:firstLineChars="0"/>
                    <w:jc w:val="center"/>
                    <w:rPr>
                      <w:color w:val="auto"/>
                      <w:sz w:val="21"/>
                      <w:highlight w:val="none"/>
                    </w:rPr>
                  </w:pPr>
                  <w:r>
                    <w:rPr>
                      <w:rFonts w:hint="eastAsia"/>
                      <w:color w:val="auto"/>
                      <w:sz w:val="21"/>
                      <w:highlight w:val="none"/>
                      <w:lang w:eastAsia="zh-CN"/>
                    </w:rPr>
                    <w:t>（</w:t>
                  </w:r>
                  <w:r>
                    <w:rPr>
                      <w:rFonts w:hint="eastAsia"/>
                      <w:color w:val="auto"/>
                      <w:sz w:val="21"/>
                      <w:highlight w:val="none"/>
                      <w:lang w:val="en-US" w:eastAsia="zh-CN"/>
                    </w:rPr>
                    <w:t>二</w:t>
                  </w:r>
                  <w:r>
                    <w:rPr>
                      <w:rFonts w:hint="eastAsia"/>
                      <w:color w:val="auto"/>
                      <w:sz w:val="21"/>
                      <w:highlight w:val="none"/>
                      <w:lang w:eastAsia="zh-CN"/>
                    </w:rPr>
                    <w:t>）</w:t>
                  </w:r>
                  <w:r>
                    <w:rPr>
                      <w:rFonts w:hint="eastAsia"/>
                      <w:color w:val="auto"/>
                      <w:sz w:val="21"/>
                      <w:highlight w:val="none"/>
                    </w:rPr>
                    <w:t>严守环境质量底线，落实区域环境质量管控措施园区应坚持“生态优先、绿色发展”的战略定位，以生态环境质量改善、环境风险防范为核心，严格落实淮河流域生态环境保护相关要求，明确园区发展的制约因素，统筹考虑对淮河干流及其水环境保护目标、园区周边居民区及永久基本农田的生态环境影响。根据国家和我省大气、水、土壤、固废污染防治相关要求，确保园区建设项目污染物长期稳定达标排放，区域生态环境质量持续改善。园区应根据环境质量现状及管控目标，严格控制污染物排放，确保不因规划实施造成现有环境功能降低。针对园区地下水超标区域开展详细调查、精准溯源，并采取针对性的修复措施，防止污染进一步扩大。</w:t>
                  </w:r>
                </w:p>
              </w:tc>
              <w:tc>
                <w:tcPr>
                  <w:tcW w:w="1613" w:type="pct"/>
                  <w:vMerge w:val="restart"/>
                  <w:vAlign w:val="center"/>
                </w:tcPr>
                <w:p w14:paraId="2AE5A7AE">
                  <w:pPr>
                    <w:pStyle w:val="180"/>
                    <w:adjustRightInd/>
                    <w:spacing w:line="276" w:lineRule="auto"/>
                    <w:ind w:left="0" w:right="0" w:firstLine="0"/>
                    <w:rPr>
                      <w:color w:val="auto"/>
                      <w:sz w:val="21"/>
                      <w:szCs w:val="21"/>
                      <w:highlight w:val="none"/>
                    </w:rPr>
                  </w:pPr>
                  <w:r>
                    <w:rPr>
                      <w:rFonts w:hAnsi="宋体"/>
                      <w:color w:val="auto"/>
                      <w:sz w:val="21"/>
                      <w:szCs w:val="21"/>
                      <w:highlight w:val="none"/>
                    </w:rPr>
                    <w:t>①根据淮南市生态环境局发布的《</w:t>
                  </w:r>
                  <w:r>
                    <w:rPr>
                      <w:color w:val="auto"/>
                      <w:sz w:val="21"/>
                      <w:szCs w:val="21"/>
                      <w:highlight w:val="none"/>
                    </w:rPr>
                    <w:t>20</w:t>
                  </w:r>
                  <w:r>
                    <w:rPr>
                      <w:rFonts w:hint="eastAsia"/>
                      <w:color w:val="auto"/>
                      <w:sz w:val="21"/>
                      <w:szCs w:val="21"/>
                      <w:highlight w:val="none"/>
                      <w:lang w:val="en-US" w:eastAsia="zh-CN"/>
                    </w:rPr>
                    <w:t>25</w:t>
                  </w:r>
                  <w:r>
                    <w:rPr>
                      <w:rFonts w:hAnsi="宋体"/>
                      <w:color w:val="auto"/>
                      <w:sz w:val="21"/>
                      <w:szCs w:val="21"/>
                      <w:highlight w:val="none"/>
                    </w:rPr>
                    <w:t>年淮南市环境质量状况公报》可知：项目所在区</w:t>
                  </w:r>
                  <w:r>
                    <w:rPr>
                      <w:color w:val="auto"/>
                      <w:sz w:val="21"/>
                      <w:szCs w:val="21"/>
                      <w:highlight w:val="none"/>
                    </w:rPr>
                    <w:t>SO</w:t>
                  </w:r>
                  <w:r>
                    <w:rPr>
                      <w:color w:val="auto"/>
                      <w:sz w:val="21"/>
                      <w:szCs w:val="21"/>
                      <w:highlight w:val="none"/>
                      <w:vertAlign w:val="subscript"/>
                    </w:rPr>
                    <w:t>2</w:t>
                  </w:r>
                  <w:r>
                    <w:rPr>
                      <w:rFonts w:hAnsi="宋体"/>
                      <w:color w:val="auto"/>
                      <w:sz w:val="21"/>
                      <w:szCs w:val="21"/>
                      <w:highlight w:val="none"/>
                    </w:rPr>
                    <w:t>、</w:t>
                  </w:r>
                  <w:r>
                    <w:rPr>
                      <w:color w:val="auto"/>
                      <w:sz w:val="21"/>
                      <w:szCs w:val="21"/>
                      <w:highlight w:val="none"/>
                    </w:rPr>
                    <w:t>NO</w:t>
                  </w:r>
                  <w:r>
                    <w:rPr>
                      <w:color w:val="auto"/>
                      <w:sz w:val="21"/>
                      <w:szCs w:val="21"/>
                      <w:highlight w:val="none"/>
                      <w:vertAlign w:val="subscript"/>
                    </w:rPr>
                    <w:t>2</w:t>
                  </w:r>
                  <w:r>
                    <w:rPr>
                      <w:rFonts w:hAnsi="宋体"/>
                      <w:color w:val="auto"/>
                      <w:sz w:val="21"/>
                      <w:szCs w:val="21"/>
                      <w:highlight w:val="none"/>
                    </w:rPr>
                    <w:t>、</w:t>
                  </w:r>
                  <w:r>
                    <w:rPr>
                      <w:color w:val="auto"/>
                      <w:sz w:val="21"/>
                      <w:szCs w:val="21"/>
                      <w:highlight w:val="none"/>
                    </w:rPr>
                    <w:t>CO、PM</w:t>
                  </w:r>
                  <w:r>
                    <w:rPr>
                      <w:color w:val="auto"/>
                      <w:sz w:val="21"/>
                      <w:szCs w:val="21"/>
                      <w:highlight w:val="none"/>
                      <w:vertAlign w:val="subscript"/>
                    </w:rPr>
                    <w:t>10</w:t>
                  </w:r>
                  <w:r>
                    <w:rPr>
                      <w:rFonts w:hAnsi="宋体"/>
                      <w:color w:val="auto"/>
                      <w:sz w:val="21"/>
                      <w:szCs w:val="21"/>
                      <w:highlight w:val="none"/>
                    </w:rPr>
                    <w:t>、</w:t>
                  </w:r>
                  <w:r>
                    <w:rPr>
                      <w:bCs/>
                      <w:color w:val="auto"/>
                      <w:sz w:val="21"/>
                      <w:szCs w:val="21"/>
                      <w:highlight w:val="none"/>
                    </w:rPr>
                    <w:t>O</w:t>
                  </w:r>
                  <w:r>
                    <w:rPr>
                      <w:bCs/>
                      <w:color w:val="auto"/>
                      <w:sz w:val="21"/>
                      <w:szCs w:val="21"/>
                      <w:highlight w:val="none"/>
                      <w:vertAlign w:val="subscript"/>
                    </w:rPr>
                    <w:t>3</w:t>
                  </w:r>
                  <w:r>
                    <w:rPr>
                      <w:rFonts w:hAnsi="宋体"/>
                      <w:color w:val="auto"/>
                      <w:sz w:val="21"/>
                      <w:szCs w:val="21"/>
                      <w:highlight w:val="none"/>
                    </w:rPr>
                    <w:t>均符合《环境空气质量标准》（</w:t>
                  </w:r>
                  <w:r>
                    <w:rPr>
                      <w:color w:val="auto"/>
                      <w:sz w:val="21"/>
                      <w:szCs w:val="21"/>
                      <w:highlight w:val="none"/>
                    </w:rPr>
                    <w:t>GB3095-20</w:t>
                  </w:r>
                  <w:r>
                    <w:rPr>
                      <w:rFonts w:hint="eastAsia"/>
                      <w:color w:val="auto"/>
                      <w:sz w:val="21"/>
                      <w:szCs w:val="21"/>
                      <w:highlight w:val="none"/>
                      <w:lang w:val="en-US" w:eastAsia="zh-CN"/>
                    </w:rPr>
                    <w:t>26</w:t>
                  </w:r>
                  <w:r>
                    <w:rPr>
                      <w:rFonts w:hAnsi="宋体"/>
                      <w:color w:val="auto"/>
                      <w:sz w:val="21"/>
                      <w:szCs w:val="21"/>
                      <w:highlight w:val="none"/>
                    </w:rPr>
                    <w:t>）中</w:t>
                  </w:r>
                  <w:r>
                    <w:rPr>
                      <w:rFonts w:hint="eastAsia" w:hAnsi="宋体"/>
                      <w:color w:val="auto"/>
                      <w:sz w:val="21"/>
                      <w:szCs w:val="21"/>
                      <w:highlight w:val="none"/>
                      <w:lang w:val="en-US" w:eastAsia="zh-CN"/>
                    </w:rPr>
                    <w:t>过渡阶段</w:t>
                  </w:r>
                  <w:r>
                    <w:rPr>
                      <w:rFonts w:hAnsi="宋体"/>
                      <w:color w:val="auto"/>
                      <w:sz w:val="21"/>
                      <w:szCs w:val="21"/>
                      <w:highlight w:val="none"/>
                    </w:rPr>
                    <w:t>二级标准；</w:t>
                  </w:r>
                  <w:r>
                    <w:rPr>
                      <w:color w:val="auto"/>
                      <w:sz w:val="21"/>
                      <w:szCs w:val="21"/>
                      <w:highlight w:val="none"/>
                    </w:rPr>
                    <w:t>PM</w:t>
                  </w:r>
                  <w:r>
                    <w:rPr>
                      <w:color w:val="auto"/>
                      <w:sz w:val="21"/>
                      <w:szCs w:val="21"/>
                      <w:highlight w:val="none"/>
                      <w:vertAlign w:val="subscript"/>
                    </w:rPr>
                    <w:t>2.5</w:t>
                  </w:r>
                  <w:r>
                    <w:rPr>
                      <w:rFonts w:hAnsi="宋体"/>
                      <w:color w:val="auto"/>
                      <w:sz w:val="21"/>
                      <w:szCs w:val="21"/>
                      <w:highlight w:val="none"/>
                    </w:rPr>
                    <w:t>年均浓度值均不满足《环境空气质量标准》（</w:t>
                  </w:r>
                  <w:r>
                    <w:rPr>
                      <w:color w:val="auto"/>
                      <w:sz w:val="21"/>
                      <w:szCs w:val="21"/>
                      <w:highlight w:val="none"/>
                    </w:rPr>
                    <w:t>GB3095-20</w:t>
                  </w:r>
                  <w:r>
                    <w:rPr>
                      <w:rFonts w:hint="eastAsia"/>
                      <w:color w:val="auto"/>
                      <w:sz w:val="21"/>
                      <w:szCs w:val="21"/>
                      <w:highlight w:val="none"/>
                      <w:lang w:val="en-US" w:eastAsia="zh-CN"/>
                    </w:rPr>
                    <w:t>26</w:t>
                  </w:r>
                  <w:r>
                    <w:rPr>
                      <w:rFonts w:hAnsi="宋体"/>
                      <w:color w:val="auto"/>
                      <w:sz w:val="21"/>
                      <w:szCs w:val="21"/>
                      <w:highlight w:val="none"/>
                    </w:rPr>
                    <w:t>）中</w:t>
                  </w:r>
                  <w:r>
                    <w:rPr>
                      <w:rFonts w:hint="eastAsia" w:hAnsi="宋体"/>
                      <w:color w:val="auto"/>
                      <w:sz w:val="21"/>
                      <w:szCs w:val="21"/>
                      <w:highlight w:val="none"/>
                      <w:lang w:val="en-US" w:eastAsia="zh-CN"/>
                    </w:rPr>
                    <w:t>过渡阶段</w:t>
                  </w:r>
                  <w:r>
                    <w:rPr>
                      <w:rFonts w:hAnsi="宋体"/>
                      <w:color w:val="auto"/>
                      <w:sz w:val="21"/>
                      <w:szCs w:val="21"/>
                      <w:highlight w:val="none"/>
                    </w:rPr>
                    <w:t>二级标准，项目位于环境空气质量不达标区</w:t>
                  </w:r>
                  <w:r>
                    <w:rPr>
                      <w:rFonts w:hAnsi="宋体"/>
                      <w:color w:val="auto"/>
                      <w:kern w:val="2"/>
                      <w:sz w:val="21"/>
                      <w:szCs w:val="21"/>
                      <w:highlight w:val="none"/>
                      <w:lang w:val="zh-CN"/>
                    </w:rPr>
                    <w:t>。</w:t>
                  </w:r>
                  <w:r>
                    <w:rPr>
                      <w:rFonts w:hint="eastAsia" w:hAnsi="宋体"/>
                      <w:color w:val="auto"/>
                      <w:kern w:val="2"/>
                      <w:sz w:val="21"/>
                      <w:szCs w:val="21"/>
                      <w:highlight w:val="none"/>
                    </w:rPr>
                    <w:t>根据《淮南市大气污染防治行动计划实施方案》等工作文件，淮南市</w:t>
                  </w:r>
                  <w:r>
                    <w:rPr>
                      <w:rFonts w:hint="eastAsia" w:hAnsi="宋体"/>
                      <w:color w:val="auto"/>
                      <w:kern w:val="2"/>
                      <w:sz w:val="21"/>
                      <w:szCs w:val="21"/>
                      <w:highlight w:val="none"/>
                      <w:lang w:eastAsia="zh-CN"/>
                    </w:rPr>
                    <w:t>制定</w:t>
                  </w:r>
                  <w:r>
                    <w:rPr>
                      <w:rFonts w:hint="eastAsia" w:hAnsi="宋体"/>
                      <w:color w:val="auto"/>
                      <w:kern w:val="2"/>
                      <w:sz w:val="21"/>
                      <w:szCs w:val="21"/>
                      <w:highlight w:val="none"/>
                    </w:rPr>
                    <w:t>了一系列的空气污染减排措施，以改善环境空气质量。</w:t>
                  </w:r>
                  <w:r>
                    <w:rPr>
                      <w:rFonts w:hint="eastAsia" w:hAnsi="宋体"/>
                      <w:color w:val="auto"/>
                      <w:kern w:val="2"/>
                      <w:sz w:val="21"/>
                      <w:szCs w:val="21"/>
                      <w:highlight w:val="none"/>
                      <w:lang w:val="en-US" w:eastAsia="zh-CN"/>
                    </w:rPr>
                    <w:t>乙烯、丙烷及丁烷</w:t>
                  </w:r>
                  <w:r>
                    <w:rPr>
                      <w:rFonts w:hint="eastAsia" w:hAnsi="宋体"/>
                      <w:color w:val="auto"/>
                      <w:kern w:val="2"/>
                      <w:sz w:val="21"/>
                      <w:szCs w:val="21"/>
                      <w:highlight w:val="none"/>
                    </w:rPr>
                    <w:t>充装过程中采用密闭设备及管线，</w:t>
                  </w:r>
                  <w:r>
                    <w:rPr>
                      <w:rFonts w:hint="eastAsia" w:hAnsi="宋体"/>
                      <w:color w:val="auto"/>
                      <w:kern w:val="2"/>
                      <w:sz w:val="21"/>
                      <w:szCs w:val="21"/>
                      <w:highlight w:val="none"/>
                      <w:lang w:val="en-US" w:eastAsia="zh-CN"/>
                    </w:rPr>
                    <w:t>充装</w:t>
                  </w:r>
                  <w:r>
                    <w:rPr>
                      <w:rFonts w:hint="eastAsia" w:hAnsi="宋体"/>
                      <w:color w:val="auto"/>
                      <w:kern w:val="2"/>
                      <w:sz w:val="21"/>
                      <w:szCs w:val="21"/>
                      <w:highlight w:val="none"/>
                    </w:rPr>
                    <w:t>过程中无废气排放。</w:t>
                  </w:r>
                </w:p>
                <w:p w14:paraId="1EEB35F1">
                  <w:pPr>
                    <w:pStyle w:val="180"/>
                    <w:adjustRightInd/>
                    <w:spacing w:line="276" w:lineRule="auto"/>
                    <w:ind w:left="0" w:right="0" w:firstLine="0"/>
                    <w:rPr>
                      <w:color w:val="auto"/>
                      <w:sz w:val="21"/>
                      <w:szCs w:val="21"/>
                      <w:highlight w:val="none"/>
                    </w:rPr>
                  </w:pPr>
                  <w:r>
                    <w:rPr>
                      <w:rFonts w:hAnsi="宋体"/>
                      <w:color w:val="auto"/>
                      <w:sz w:val="21"/>
                      <w:szCs w:val="21"/>
                      <w:highlight w:val="none"/>
                    </w:rPr>
                    <w:t>②根据</w:t>
                  </w:r>
                  <w:r>
                    <w:rPr>
                      <w:rFonts w:hint="eastAsia"/>
                      <w:color w:val="auto"/>
                      <w:sz w:val="21"/>
                      <w:szCs w:val="21"/>
                      <w:highlight w:val="none"/>
                      <w:lang w:val="en-US" w:eastAsia="zh-CN"/>
                    </w:rPr>
                    <w:t>2026</w:t>
                  </w:r>
                  <w:r>
                    <w:rPr>
                      <w:rFonts w:hAnsi="宋体"/>
                      <w:color w:val="auto"/>
                      <w:sz w:val="21"/>
                      <w:szCs w:val="21"/>
                      <w:highlight w:val="none"/>
                    </w:rPr>
                    <w:t>年</w:t>
                  </w:r>
                  <w:r>
                    <w:rPr>
                      <w:rFonts w:hint="eastAsia" w:hAnsi="宋体"/>
                      <w:color w:val="auto"/>
                      <w:sz w:val="21"/>
                      <w:szCs w:val="21"/>
                      <w:highlight w:val="none"/>
                      <w:lang w:val="en-US" w:eastAsia="zh-CN"/>
                    </w:rPr>
                    <w:t>5月、</w:t>
                  </w:r>
                  <w:r>
                    <w:rPr>
                      <w:rFonts w:hAnsi="宋体"/>
                      <w:color w:val="auto"/>
                      <w:sz w:val="21"/>
                      <w:szCs w:val="21"/>
                      <w:highlight w:val="none"/>
                    </w:rPr>
                    <w:t>淮南市生态环境监测站统计数据，地表水</w:t>
                  </w:r>
                  <w:r>
                    <w:rPr>
                      <w:rFonts w:hint="eastAsia"/>
                      <w:color w:val="auto"/>
                      <w:sz w:val="21"/>
                      <w:szCs w:val="21"/>
                      <w:highlight w:val="none"/>
                      <w:lang w:val="en-US" w:eastAsia="zh-CN"/>
                    </w:rPr>
                    <w:t>淮河</w:t>
                  </w:r>
                  <w:r>
                    <w:rPr>
                      <w:rFonts w:hAnsi="宋体"/>
                      <w:color w:val="auto"/>
                      <w:sz w:val="21"/>
                      <w:szCs w:val="21"/>
                      <w:highlight w:val="none"/>
                    </w:rPr>
                    <w:t>断面水质</w:t>
                  </w:r>
                  <w:r>
                    <w:rPr>
                      <w:rFonts w:hint="eastAsia" w:hAnsi="宋体"/>
                      <w:color w:val="auto"/>
                      <w:sz w:val="21"/>
                      <w:szCs w:val="21"/>
                      <w:highlight w:val="none"/>
                      <w:lang w:val="en-US" w:eastAsia="zh-CN"/>
                    </w:rPr>
                    <w:t>可</w:t>
                  </w:r>
                  <w:r>
                    <w:rPr>
                      <w:rFonts w:hAnsi="宋体"/>
                      <w:color w:val="auto"/>
                      <w:sz w:val="21"/>
                      <w:szCs w:val="21"/>
                      <w:highlight w:val="none"/>
                    </w:rPr>
                    <w:t>达到</w:t>
                  </w:r>
                  <w:r>
                    <w:rPr>
                      <w:color w:val="auto"/>
                      <w:sz w:val="21"/>
                      <w:szCs w:val="21"/>
                      <w:highlight w:val="none"/>
                    </w:rPr>
                    <w:t>Ⅲ</w:t>
                  </w:r>
                  <w:r>
                    <w:rPr>
                      <w:rFonts w:hint="eastAsia"/>
                      <w:color w:val="auto"/>
                      <w:sz w:val="21"/>
                      <w:szCs w:val="21"/>
                      <w:highlight w:val="none"/>
                      <w:lang w:val="en-US" w:eastAsia="zh-CN"/>
                    </w:rPr>
                    <w:t>类</w:t>
                  </w:r>
                  <w:r>
                    <w:rPr>
                      <w:rFonts w:hAnsi="宋体"/>
                      <w:color w:val="auto"/>
                      <w:sz w:val="21"/>
                      <w:szCs w:val="21"/>
                      <w:highlight w:val="none"/>
                    </w:rPr>
                    <w:t>，项目所在区域地表水水质满足《地表水环境质量标准》（</w:t>
                  </w:r>
                  <w:r>
                    <w:rPr>
                      <w:color w:val="auto"/>
                      <w:sz w:val="21"/>
                      <w:szCs w:val="21"/>
                      <w:highlight w:val="none"/>
                    </w:rPr>
                    <w:t>GB3838-2002</w:t>
                  </w:r>
                  <w:r>
                    <w:rPr>
                      <w:rFonts w:hAnsi="宋体"/>
                      <w:color w:val="auto"/>
                      <w:sz w:val="21"/>
                      <w:szCs w:val="21"/>
                      <w:highlight w:val="none"/>
                    </w:rPr>
                    <w:t>）中</w:t>
                  </w:r>
                  <w:r>
                    <w:rPr>
                      <w:color w:val="auto"/>
                      <w:sz w:val="21"/>
                      <w:szCs w:val="21"/>
                      <w:highlight w:val="none"/>
                    </w:rPr>
                    <w:t>Ⅲ</w:t>
                  </w:r>
                  <w:r>
                    <w:rPr>
                      <w:rFonts w:hAnsi="宋体"/>
                      <w:color w:val="auto"/>
                      <w:sz w:val="21"/>
                      <w:szCs w:val="21"/>
                      <w:highlight w:val="none"/>
                    </w:rPr>
                    <w:t>类标准要求。本项目无生产废水排放，</w:t>
                  </w:r>
                  <w:r>
                    <w:rPr>
                      <w:rFonts w:hint="eastAsia" w:hAnsi="宋体"/>
                      <w:color w:val="auto"/>
                      <w:sz w:val="21"/>
                      <w:szCs w:val="21"/>
                      <w:highlight w:val="none"/>
                      <w:lang w:val="en-US" w:eastAsia="zh-CN"/>
                    </w:rPr>
                    <w:t>无新增生活污水，现有生活污水依托现有化粪池预处理后再经废水总排口接管至</w:t>
                  </w:r>
                  <w:r>
                    <w:rPr>
                      <w:rFonts w:hAnsi="宋体"/>
                      <w:color w:val="auto"/>
                      <w:sz w:val="21"/>
                      <w:szCs w:val="21"/>
                      <w:highlight w:val="none"/>
                    </w:rPr>
                    <w:t>淮南经济技术开发区污水处理厂处理达标后排放入淮河，不会降低地表水环境现状。</w:t>
                  </w:r>
                </w:p>
                <w:p w14:paraId="34304C07">
                  <w:pPr>
                    <w:pStyle w:val="227"/>
                    <w:spacing w:line="276" w:lineRule="auto"/>
                    <w:ind w:firstLine="0" w:firstLineChars="0"/>
                    <w:jc w:val="center"/>
                    <w:rPr>
                      <w:rFonts w:hint="eastAsia"/>
                      <w:color w:val="auto"/>
                      <w:sz w:val="21"/>
                      <w:highlight w:val="none"/>
                      <w:lang w:eastAsia="zh-CN"/>
                    </w:rPr>
                  </w:pPr>
                  <w:r>
                    <w:rPr>
                      <w:rFonts w:hAnsi="宋体"/>
                      <w:color w:val="auto"/>
                      <w:spacing w:val="-8"/>
                      <w:sz w:val="21"/>
                      <w:szCs w:val="21"/>
                      <w:highlight w:val="none"/>
                      <w:lang w:val="zh-CN"/>
                    </w:rPr>
                    <w:t>本项目废气、废水</w:t>
                  </w:r>
                  <w:r>
                    <w:rPr>
                      <w:rFonts w:hint="eastAsia" w:hAnsi="宋体"/>
                      <w:color w:val="auto"/>
                      <w:spacing w:val="-8"/>
                      <w:sz w:val="21"/>
                      <w:szCs w:val="21"/>
                      <w:highlight w:val="none"/>
                      <w:lang w:val="zh-CN"/>
                    </w:rPr>
                    <w:t>、</w:t>
                  </w:r>
                  <w:r>
                    <w:rPr>
                      <w:rFonts w:hint="eastAsia" w:hAnsi="宋体"/>
                      <w:color w:val="auto"/>
                      <w:spacing w:val="-8"/>
                      <w:sz w:val="21"/>
                      <w:szCs w:val="21"/>
                      <w:highlight w:val="none"/>
                      <w:lang w:val="en-US" w:eastAsia="zh-CN"/>
                    </w:rPr>
                    <w:t>固废</w:t>
                  </w:r>
                  <w:r>
                    <w:rPr>
                      <w:rFonts w:hAnsi="宋体"/>
                      <w:color w:val="auto"/>
                      <w:spacing w:val="-8"/>
                      <w:sz w:val="21"/>
                      <w:szCs w:val="21"/>
                      <w:highlight w:val="none"/>
                      <w:lang w:val="zh-CN"/>
                    </w:rPr>
                    <w:t>可得到合理处置，噪声对周边影响较小，</w:t>
                  </w:r>
                  <w:r>
                    <w:rPr>
                      <w:rFonts w:hint="eastAsia" w:hAnsi="宋体"/>
                      <w:color w:val="auto"/>
                      <w:spacing w:val="-8"/>
                      <w:sz w:val="21"/>
                      <w:szCs w:val="21"/>
                      <w:highlight w:val="none"/>
                      <w:lang w:val="en-US" w:eastAsia="zh-CN"/>
                    </w:rPr>
                    <w:t>厂区周边不涉及</w:t>
                  </w:r>
                  <w:r>
                    <w:rPr>
                      <w:rFonts w:hint="eastAsia"/>
                      <w:color w:val="auto"/>
                      <w:sz w:val="21"/>
                      <w:highlight w:val="none"/>
                    </w:rPr>
                    <w:t>水环境保护目标、居民区及永久基本农田</w:t>
                  </w:r>
                  <w:r>
                    <w:rPr>
                      <w:rFonts w:hint="eastAsia"/>
                      <w:color w:val="auto"/>
                      <w:sz w:val="21"/>
                      <w:highlight w:val="none"/>
                      <w:lang w:val="en-US" w:eastAsia="zh-CN"/>
                    </w:rPr>
                    <w:t>等</w:t>
                  </w:r>
                  <w:r>
                    <w:rPr>
                      <w:rFonts w:hint="eastAsia"/>
                      <w:color w:val="auto"/>
                      <w:sz w:val="21"/>
                      <w:highlight w:val="none"/>
                    </w:rPr>
                    <w:t>生态环境</w:t>
                  </w:r>
                  <w:r>
                    <w:rPr>
                      <w:rFonts w:hint="eastAsia"/>
                      <w:color w:val="auto"/>
                      <w:sz w:val="21"/>
                      <w:highlight w:val="none"/>
                      <w:lang w:val="en-US" w:eastAsia="zh-CN"/>
                    </w:rPr>
                    <w:t>特殊保护目标，</w:t>
                  </w:r>
                  <w:r>
                    <w:rPr>
                      <w:rFonts w:hAnsi="宋体"/>
                      <w:color w:val="auto"/>
                      <w:spacing w:val="-8"/>
                      <w:sz w:val="21"/>
                      <w:szCs w:val="21"/>
                      <w:highlight w:val="none"/>
                      <w:lang w:val="zh-CN"/>
                    </w:rPr>
                    <w:t>不会突破项目所在地的环境质量底线</w:t>
                  </w:r>
                  <w:r>
                    <w:rPr>
                      <w:rFonts w:hint="eastAsia" w:hAnsi="宋体"/>
                      <w:color w:val="auto"/>
                      <w:spacing w:val="-8"/>
                      <w:sz w:val="21"/>
                      <w:szCs w:val="21"/>
                      <w:highlight w:val="none"/>
                      <w:lang w:val="zh-CN"/>
                    </w:rPr>
                    <w:t>，</w:t>
                  </w:r>
                  <w:r>
                    <w:rPr>
                      <w:rFonts w:hint="eastAsia" w:hAnsi="宋体"/>
                      <w:color w:val="auto"/>
                      <w:spacing w:val="-8"/>
                      <w:sz w:val="21"/>
                      <w:szCs w:val="21"/>
                      <w:highlight w:val="none"/>
                      <w:lang w:val="en-US" w:eastAsia="zh-CN"/>
                    </w:rPr>
                    <w:t>项目</w:t>
                  </w:r>
                  <w:r>
                    <w:rPr>
                      <w:rFonts w:hint="eastAsia"/>
                      <w:color w:val="auto"/>
                      <w:sz w:val="21"/>
                      <w:highlight w:val="none"/>
                    </w:rPr>
                    <w:t>实施</w:t>
                  </w:r>
                  <w:r>
                    <w:rPr>
                      <w:rFonts w:hint="eastAsia"/>
                      <w:color w:val="auto"/>
                      <w:sz w:val="21"/>
                      <w:highlight w:val="none"/>
                      <w:lang w:val="en-US" w:eastAsia="zh-CN"/>
                    </w:rPr>
                    <w:t>不会降低</w:t>
                  </w:r>
                  <w:r>
                    <w:rPr>
                      <w:rFonts w:hint="eastAsia"/>
                      <w:color w:val="auto"/>
                      <w:sz w:val="21"/>
                      <w:highlight w:val="none"/>
                    </w:rPr>
                    <w:t>现有环境功能</w:t>
                  </w:r>
                  <w:r>
                    <w:rPr>
                      <w:rFonts w:hint="eastAsia"/>
                      <w:color w:val="auto"/>
                      <w:sz w:val="21"/>
                      <w:highlight w:val="none"/>
                      <w:lang w:eastAsia="zh-CN"/>
                    </w:rPr>
                    <w:t>。</w:t>
                  </w:r>
                </w:p>
                <w:p w14:paraId="7B7B3A9D">
                  <w:pPr>
                    <w:pStyle w:val="227"/>
                    <w:spacing w:line="276" w:lineRule="auto"/>
                    <w:ind w:firstLine="0" w:firstLineChars="0"/>
                    <w:jc w:val="center"/>
                    <w:rPr>
                      <w:rFonts w:hint="eastAsia"/>
                      <w:color w:val="auto"/>
                      <w:sz w:val="21"/>
                      <w:highlight w:val="none"/>
                      <w:lang w:eastAsia="zh-CN"/>
                    </w:rPr>
                  </w:pPr>
                  <w:r>
                    <w:rPr>
                      <w:rFonts w:hint="eastAsia"/>
                      <w:color w:val="auto"/>
                      <w:sz w:val="21"/>
                      <w:highlight w:val="none"/>
                      <w:lang w:eastAsia="zh-CN"/>
                    </w:rPr>
                    <w:t>现有工程设置300m环境防护距离，经现场踏勘，防护距离内没有学校、居民区、医院等</w:t>
                  </w:r>
                  <w:r>
                    <w:rPr>
                      <w:rFonts w:hint="eastAsia"/>
                      <w:color w:val="auto"/>
                      <w:sz w:val="21"/>
                      <w:highlight w:val="none"/>
                      <w:lang w:val="en-US" w:eastAsia="zh-CN"/>
                    </w:rPr>
                    <w:t>环境保护目标</w:t>
                  </w:r>
                  <w:r>
                    <w:rPr>
                      <w:rFonts w:hint="eastAsia"/>
                      <w:color w:val="auto"/>
                      <w:sz w:val="21"/>
                      <w:highlight w:val="none"/>
                      <w:lang w:eastAsia="zh-CN"/>
                    </w:rPr>
                    <w:t>，符合要求。</w:t>
                  </w:r>
                </w:p>
              </w:tc>
              <w:tc>
                <w:tcPr>
                  <w:tcW w:w="696" w:type="pct"/>
                  <w:vAlign w:val="center"/>
                </w:tcPr>
                <w:p w14:paraId="65F52879">
                  <w:pPr>
                    <w:pStyle w:val="227"/>
                    <w:spacing w:line="276" w:lineRule="auto"/>
                    <w:ind w:firstLine="0" w:firstLineChars="0"/>
                    <w:jc w:val="center"/>
                    <w:rPr>
                      <w:color w:val="auto"/>
                      <w:sz w:val="21"/>
                      <w:highlight w:val="none"/>
                    </w:rPr>
                  </w:pPr>
                  <w:r>
                    <w:rPr>
                      <w:rFonts w:hint="eastAsia"/>
                      <w:color w:val="auto"/>
                      <w:sz w:val="21"/>
                      <w:highlight w:val="none"/>
                    </w:rPr>
                    <w:t>符合</w:t>
                  </w:r>
                </w:p>
              </w:tc>
            </w:tr>
            <w:tr w14:paraId="16D01D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3E328F1D">
                  <w:pPr>
                    <w:pStyle w:val="227"/>
                    <w:spacing w:line="276" w:lineRule="auto"/>
                    <w:ind w:firstLine="0" w:firstLineChars="0"/>
                    <w:jc w:val="center"/>
                    <w:rPr>
                      <w:color w:val="auto"/>
                      <w:sz w:val="21"/>
                      <w:highlight w:val="none"/>
                    </w:rPr>
                  </w:pPr>
                  <w:r>
                    <w:rPr>
                      <w:rFonts w:hint="eastAsia"/>
                      <w:color w:val="auto"/>
                      <w:sz w:val="21"/>
                      <w:highlight w:val="none"/>
                    </w:rPr>
                    <w:t>3</w:t>
                  </w:r>
                </w:p>
              </w:tc>
              <w:tc>
                <w:tcPr>
                  <w:tcW w:w="2143" w:type="pct"/>
                  <w:vAlign w:val="center"/>
                </w:tcPr>
                <w:p w14:paraId="198BD89E">
                  <w:pPr>
                    <w:pStyle w:val="227"/>
                    <w:spacing w:line="276" w:lineRule="auto"/>
                    <w:ind w:firstLine="0" w:firstLineChars="0"/>
                    <w:jc w:val="center"/>
                    <w:rPr>
                      <w:rFonts w:ascii="宋体" w:hAnsi="宋体"/>
                      <w:color w:val="auto"/>
                      <w:sz w:val="21"/>
                      <w:highlight w:val="none"/>
                    </w:rPr>
                  </w:pPr>
                  <w:r>
                    <w:rPr>
                      <w:rFonts w:hint="eastAsia" w:ascii="宋体" w:hAnsi="宋体"/>
                      <w:color w:val="auto"/>
                      <w:sz w:val="21"/>
                      <w:highlight w:val="none"/>
                      <w:lang w:eastAsia="zh-CN"/>
                    </w:rPr>
                    <w:t>（</w:t>
                  </w:r>
                  <w:r>
                    <w:rPr>
                      <w:rFonts w:hint="eastAsia" w:ascii="宋体" w:hAnsi="宋体"/>
                      <w:color w:val="auto"/>
                      <w:sz w:val="21"/>
                      <w:highlight w:val="none"/>
                      <w:lang w:val="en-US" w:eastAsia="zh-CN"/>
                    </w:rPr>
                    <w:t>三</w:t>
                  </w:r>
                  <w:r>
                    <w:rPr>
                      <w:rFonts w:hint="eastAsia" w:ascii="宋体" w:hAnsi="宋体"/>
                      <w:color w:val="auto"/>
                      <w:sz w:val="21"/>
                      <w:highlight w:val="none"/>
                      <w:lang w:eastAsia="zh-CN"/>
                    </w:rPr>
                    <w:t>）</w:t>
                  </w:r>
                  <w:r>
                    <w:rPr>
                      <w:rFonts w:hint="eastAsia" w:ascii="宋体" w:hAnsi="宋体"/>
                      <w:color w:val="auto"/>
                      <w:sz w:val="21"/>
                      <w:highlight w:val="none"/>
                    </w:rPr>
                    <w:t>优化空间布局，加强生态环境分区管控园区应落实生态环境分区管控要求，结合长江经济带发展负面清单及区域资源优势和环境制约因素、产业定位等进一步优化功能分区及空间布局，严禁不符合管控要求的各类开发建设活动。规划的实施不得损害周边水环境、大气环境、声环境、生态敏感区的环境质量和生态功能。做好园区与周边水体、居住区有效隔离和管控，有效预防区域开发带来的邻避效应，保障区域生态环境安全，实现产业发展与区域生态环境保护相协调</w:t>
                  </w:r>
                  <w:r>
                    <w:rPr>
                      <w:rFonts w:ascii="宋体" w:hAnsi="宋体"/>
                      <w:color w:val="auto"/>
                      <w:sz w:val="21"/>
                      <w:highlight w:val="none"/>
                    </w:rPr>
                    <w:t>。</w:t>
                  </w:r>
                </w:p>
              </w:tc>
              <w:tc>
                <w:tcPr>
                  <w:tcW w:w="1613" w:type="pct"/>
                  <w:vMerge w:val="continue"/>
                  <w:vAlign w:val="center"/>
                </w:tcPr>
                <w:p w14:paraId="6B9A5764">
                  <w:pPr>
                    <w:pStyle w:val="227"/>
                    <w:spacing w:line="276" w:lineRule="auto"/>
                    <w:ind w:firstLine="0" w:firstLineChars="0"/>
                    <w:jc w:val="center"/>
                    <w:rPr>
                      <w:color w:val="auto"/>
                      <w:sz w:val="21"/>
                      <w:highlight w:val="none"/>
                    </w:rPr>
                  </w:pPr>
                </w:p>
              </w:tc>
              <w:tc>
                <w:tcPr>
                  <w:tcW w:w="696" w:type="pct"/>
                  <w:vAlign w:val="center"/>
                </w:tcPr>
                <w:p w14:paraId="0622E607">
                  <w:pPr>
                    <w:pStyle w:val="227"/>
                    <w:spacing w:line="276" w:lineRule="auto"/>
                    <w:ind w:firstLine="0" w:firstLineChars="0"/>
                    <w:jc w:val="center"/>
                    <w:rPr>
                      <w:color w:val="auto"/>
                      <w:sz w:val="21"/>
                      <w:highlight w:val="none"/>
                    </w:rPr>
                  </w:pPr>
                  <w:r>
                    <w:rPr>
                      <w:rFonts w:hint="eastAsia"/>
                      <w:color w:val="auto"/>
                      <w:sz w:val="21"/>
                      <w:highlight w:val="none"/>
                    </w:rPr>
                    <w:t>符合</w:t>
                  </w:r>
                </w:p>
              </w:tc>
            </w:tr>
            <w:tr w14:paraId="37EFC1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330945B1">
                  <w:pPr>
                    <w:pStyle w:val="227"/>
                    <w:spacing w:line="276" w:lineRule="auto"/>
                    <w:ind w:firstLine="0" w:firstLineChars="0"/>
                    <w:jc w:val="center"/>
                    <w:rPr>
                      <w:color w:val="auto"/>
                      <w:sz w:val="21"/>
                      <w:highlight w:val="none"/>
                    </w:rPr>
                  </w:pPr>
                  <w:r>
                    <w:rPr>
                      <w:rFonts w:hint="eastAsia"/>
                      <w:color w:val="auto"/>
                      <w:sz w:val="21"/>
                      <w:highlight w:val="none"/>
                    </w:rPr>
                    <w:t>4</w:t>
                  </w:r>
                </w:p>
              </w:tc>
              <w:tc>
                <w:tcPr>
                  <w:tcW w:w="2143" w:type="pct"/>
                  <w:vAlign w:val="center"/>
                </w:tcPr>
                <w:p w14:paraId="5AF9AE72">
                  <w:pPr>
                    <w:pStyle w:val="227"/>
                    <w:spacing w:line="276" w:lineRule="auto"/>
                    <w:ind w:firstLine="0" w:firstLineChars="0"/>
                    <w:jc w:val="center"/>
                    <w:rPr>
                      <w:rFonts w:hint="eastAsia" w:eastAsia="宋体"/>
                      <w:color w:val="auto"/>
                      <w:sz w:val="21"/>
                      <w:highlight w:val="none"/>
                      <w:lang w:eastAsia="zh-CN"/>
                    </w:rPr>
                  </w:pPr>
                  <w:r>
                    <w:rPr>
                      <w:rFonts w:hint="eastAsia"/>
                      <w:color w:val="auto"/>
                      <w:sz w:val="21"/>
                      <w:highlight w:val="none"/>
                      <w:lang w:eastAsia="zh-CN"/>
                    </w:rPr>
                    <w:t>（</w:t>
                  </w:r>
                  <w:r>
                    <w:rPr>
                      <w:rFonts w:hint="eastAsia"/>
                      <w:color w:val="auto"/>
                      <w:sz w:val="21"/>
                      <w:highlight w:val="none"/>
                      <w:lang w:val="en-US" w:eastAsia="zh-CN"/>
                    </w:rPr>
                    <w:t>四</w:t>
                  </w:r>
                  <w:r>
                    <w:rPr>
                      <w:rFonts w:hint="eastAsia"/>
                      <w:color w:val="auto"/>
                      <w:sz w:val="21"/>
                      <w:highlight w:val="none"/>
                      <w:lang w:eastAsia="zh-CN"/>
                    </w:rPr>
                    <w:t>）</w:t>
                  </w:r>
                  <w:r>
                    <w:rPr>
                      <w:rFonts w:hint="eastAsia"/>
                      <w:color w:val="auto"/>
                      <w:sz w:val="21"/>
                      <w:highlight w:val="none"/>
                    </w:rPr>
                    <w:t>完善园区各项基础设施规划，强化环境污染防控根据开发时序和开发强度要求，按照科学规划、适度超前、共建共享的原则，进一步优化区域给水、排水、供热、中水回用等规划方案，加快推进中水回用、公共管廊</w:t>
                  </w:r>
                  <w:r>
                    <w:rPr>
                      <w:rFonts w:hint="eastAsia"/>
                      <w:color w:val="auto"/>
                      <w:sz w:val="21"/>
                      <w:highlight w:val="none"/>
                      <w:lang w:eastAsia="zh-CN"/>
                    </w:rPr>
                    <w:t>（</w:t>
                  </w:r>
                  <w:r>
                    <w:rPr>
                      <w:rFonts w:hint="eastAsia"/>
                      <w:color w:val="auto"/>
                      <w:sz w:val="21"/>
                      <w:highlight w:val="none"/>
                    </w:rPr>
                    <w:t>含污水“一企一管、明管输送”</w:t>
                  </w:r>
                  <w:r>
                    <w:rPr>
                      <w:rFonts w:hint="eastAsia"/>
                      <w:color w:val="auto"/>
                      <w:sz w:val="21"/>
                      <w:highlight w:val="none"/>
                      <w:lang w:eastAsia="zh-CN"/>
                    </w:rPr>
                    <w:t>）</w:t>
                  </w:r>
                  <w:r>
                    <w:rPr>
                      <w:rFonts w:hint="eastAsia"/>
                      <w:color w:val="auto"/>
                      <w:sz w:val="21"/>
                      <w:highlight w:val="none"/>
                    </w:rPr>
                    <w:t>等基础设施工程建设。结合区域环境质量现状，细化园区污染防治基础设施建设、排放、运行管理要求，确保受纳水体、下游水环境保护目标及相关考核断面稳定达标</w:t>
                  </w:r>
                  <w:r>
                    <w:rPr>
                      <w:rFonts w:hint="eastAsia"/>
                      <w:color w:val="auto"/>
                      <w:sz w:val="21"/>
                      <w:highlight w:val="none"/>
                      <w:lang w:eastAsia="zh-CN"/>
                    </w:rPr>
                    <w:t>。</w:t>
                  </w:r>
                </w:p>
              </w:tc>
              <w:tc>
                <w:tcPr>
                  <w:tcW w:w="1613" w:type="pct"/>
                  <w:vAlign w:val="center"/>
                </w:tcPr>
                <w:p w14:paraId="4362BB7F">
                  <w:pPr>
                    <w:pStyle w:val="227"/>
                    <w:spacing w:line="276" w:lineRule="auto"/>
                    <w:ind w:firstLine="0" w:firstLineChars="0"/>
                    <w:jc w:val="center"/>
                    <w:rPr>
                      <w:rFonts w:hint="eastAsia" w:eastAsia="宋体"/>
                      <w:color w:val="auto"/>
                      <w:sz w:val="21"/>
                      <w:highlight w:val="none"/>
                      <w:lang w:eastAsia="zh-CN"/>
                    </w:rPr>
                  </w:pPr>
                  <w:r>
                    <w:rPr>
                      <w:rFonts w:hAnsi="宋体"/>
                      <w:color w:val="auto"/>
                      <w:sz w:val="21"/>
                      <w:szCs w:val="21"/>
                      <w:highlight w:val="none"/>
                    </w:rPr>
                    <w:t>本项目无生产废水排放，</w:t>
                  </w:r>
                  <w:r>
                    <w:rPr>
                      <w:rFonts w:hint="eastAsia" w:hAnsi="宋体"/>
                      <w:color w:val="auto"/>
                      <w:sz w:val="21"/>
                      <w:szCs w:val="21"/>
                      <w:highlight w:val="none"/>
                      <w:lang w:val="en-US" w:eastAsia="zh-CN"/>
                    </w:rPr>
                    <w:t>无新增生活污水，现有生活污水依托现有化粪池预处理后再经废水总排口接管至</w:t>
                  </w:r>
                  <w:r>
                    <w:rPr>
                      <w:rFonts w:hAnsi="宋体"/>
                      <w:color w:val="auto"/>
                      <w:sz w:val="21"/>
                      <w:szCs w:val="21"/>
                      <w:highlight w:val="none"/>
                    </w:rPr>
                    <w:t>淮南经济技术开发区污水处理厂处理</w:t>
                  </w:r>
                  <w:r>
                    <w:rPr>
                      <w:rFonts w:hint="eastAsia" w:hAnsi="宋体"/>
                      <w:color w:val="auto"/>
                      <w:sz w:val="21"/>
                      <w:szCs w:val="21"/>
                      <w:highlight w:val="none"/>
                      <w:lang w:eastAsia="zh-CN"/>
                    </w:rPr>
                    <w:t>，</w:t>
                  </w:r>
                  <w:r>
                    <w:rPr>
                      <w:rFonts w:hAnsi="宋体"/>
                      <w:color w:val="auto"/>
                      <w:sz w:val="21"/>
                      <w:szCs w:val="21"/>
                      <w:highlight w:val="none"/>
                    </w:rPr>
                    <w:t>不会降低地表水环境现状。</w:t>
                  </w:r>
                </w:p>
              </w:tc>
              <w:tc>
                <w:tcPr>
                  <w:tcW w:w="696" w:type="pct"/>
                  <w:vAlign w:val="center"/>
                </w:tcPr>
                <w:p w14:paraId="2F613780">
                  <w:pPr>
                    <w:pStyle w:val="227"/>
                    <w:spacing w:line="276" w:lineRule="auto"/>
                    <w:ind w:firstLine="0" w:firstLineChars="0"/>
                    <w:jc w:val="center"/>
                    <w:rPr>
                      <w:color w:val="auto"/>
                      <w:sz w:val="21"/>
                      <w:highlight w:val="none"/>
                    </w:rPr>
                  </w:pPr>
                  <w:r>
                    <w:rPr>
                      <w:rFonts w:hint="eastAsia"/>
                      <w:color w:val="auto"/>
                      <w:sz w:val="21"/>
                      <w:highlight w:val="none"/>
                    </w:rPr>
                    <w:t>符合</w:t>
                  </w:r>
                </w:p>
              </w:tc>
            </w:tr>
            <w:tr w14:paraId="0CDE55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6585C576">
                  <w:pPr>
                    <w:pStyle w:val="227"/>
                    <w:spacing w:line="276" w:lineRule="auto"/>
                    <w:ind w:firstLine="0" w:firstLineChars="0"/>
                    <w:jc w:val="center"/>
                    <w:rPr>
                      <w:color w:val="auto"/>
                      <w:sz w:val="21"/>
                      <w:highlight w:val="none"/>
                    </w:rPr>
                  </w:pPr>
                  <w:r>
                    <w:rPr>
                      <w:rFonts w:hint="eastAsia"/>
                      <w:color w:val="auto"/>
                      <w:sz w:val="21"/>
                      <w:highlight w:val="none"/>
                    </w:rPr>
                    <w:t>5</w:t>
                  </w:r>
                </w:p>
              </w:tc>
              <w:tc>
                <w:tcPr>
                  <w:tcW w:w="2143" w:type="pct"/>
                  <w:vAlign w:val="center"/>
                </w:tcPr>
                <w:p w14:paraId="6FF5EC71">
                  <w:pPr>
                    <w:pStyle w:val="227"/>
                    <w:spacing w:line="276" w:lineRule="auto"/>
                    <w:ind w:firstLine="0" w:firstLineChars="0"/>
                    <w:jc w:val="center"/>
                    <w:rPr>
                      <w:rFonts w:hint="eastAsia"/>
                      <w:color w:val="auto"/>
                      <w:sz w:val="21"/>
                      <w:highlight w:val="none"/>
                    </w:rPr>
                  </w:pPr>
                  <w:r>
                    <w:rPr>
                      <w:rFonts w:hint="eastAsia"/>
                      <w:color w:val="auto"/>
                      <w:sz w:val="21"/>
                      <w:highlight w:val="none"/>
                      <w:lang w:eastAsia="zh-CN"/>
                    </w:rPr>
                    <w:t>（</w:t>
                  </w:r>
                  <w:r>
                    <w:rPr>
                      <w:rFonts w:hint="eastAsia"/>
                      <w:color w:val="auto"/>
                      <w:sz w:val="21"/>
                      <w:highlight w:val="none"/>
                      <w:lang w:val="en-US" w:eastAsia="zh-CN"/>
                    </w:rPr>
                    <w:t>五</w:t>
                  </w:r>
                  <w:r>
                    <w:rPr>
                      <w:rFonts w:hint="eastAsia"/>
                      <w:color w:val="auto"/>
                      <w:sz w:val="21"/>
                      <w:highlight w:val="none"/>
                      <w:lang w:eastAsia="zh-CN"/>
                    </w:rPr>
                    <w:t>）</w:t>
                  </w:r>
                  <w:r>
                    <w:rPr>
                      <w:rFonts w:hint="eastAsia"/>
                      <w:color w:val="auto"/>
                      <w:sz w:val="21"/>
                      <w:highlight w:val="none"/>
                    </w:rPr>
                    <w:t>细化生态环境准入清单，推动高质量发展根据国家和区域发展战略，落实长江经济带发展负面清单，结合区域生态环境质量现状、生态环境分区管控、国土空间总体规划等，进一步完善园区空间布局管控和产业准入要求。严格执行国家产业政策，严禁不符合淮河流域生态环境保护要求的项目入园，严格控制与规划主导产业不相关且污染物排放量大的项目入园，严禁不符合相关区域及行业准入要求的项目入园。</w:t>
                  </w:r>
                </w:p>
                <w:p w14:paraId="72AC69C0">
                  <w:pPr>
                    <w:pStyle w:val="227"/>
                    <w:spacing w:line="276" w:lineRule="auto"/>
                    <w:ind w:firstLine="0" w:firstLineChars="0"/>
                    <w:jc w:val="center"/>
                    <w:rPr>
                      <w:rFonts w:hint="eastAsia" w:eastAsia="宋体"/>
                      <w:color w:val="auto"/>
                      <w:sz w:val="21"/>
                      <w:highlight w:val="none"/>
                      <w:lang w:val="en-US" w:eastAsia="zh-CN"/>
                    </w:rPr>
                  </w:pPr>
                  <w:r>
                    <w:rPr>
                      <w:rFonts w:hint="eastAsia"/>
                      <w:color w:val="auto"/>
                      <w:sz w:val="21"/>
                      <w:highlight w:val="none"/>
                    </w:rPr>
                    <w:t>园区引进项目的生产工艺、设备、自动化水平以及单位产品能耗、污染物排放、碳排放等均不得低于国内同行业先进水</w:t>
                  </w:r>
                  <w:r>
                    <w:rPr>
                      <w:rFonts w:hint="eastAsia"/>
                      <w:color w:val="auto"/>
                      <w:sz w:val="21"/>
                      <w:highlight w:val="none"/>
                      <w:lang w:val="en-US" w:eastAsia="zh-CN"/>
                    </w:rPr>
                    <w:t>平。</w:t>
                  </w:r>
                </w:p>
              </w:tc>
              <w:tc>
                <w:tcPr>
                  <w:tcW w:w="1613" w:type="pct"/>
                  <w:vAlign w:val="center"/>
                </w:tcPr>
                <w:p w14:paraId="78FD1443">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对照淮南经开化工园区产业生态环境准入面清单，本次改建项目不属于淮南经开化工园区禁止类、限制类，属于与淮南经开化工园区主导产业链配套的其他相关产业，且利用现有厂区用地进行改造建设，不新增用地；本次改建新增</w:t>
                  </w:r>
                  <w:r>
                    <w:rPr>
                      <w:rFonts w:hint="eastAsia" w:hAnsi="宋体"/>
                      <w:color w:val="auto"/>
                      <w:kern w:val="2"/>
                      <w:sz w:val="21"/>
                      <w:szCs w:val="21"/>
                      <w:highlight w:val="none"/>
                      <w:lang w:val="en-US" w:eastAsia="zh-CN"/>
                    </w:rPr>
                    <w:t>丙烷及丁烷仓储及充装，</w:t>
                  </w:r>
                  <w:r>
                    <w:rPr>
                      <w:rFonts w:hint="eastAsia" w:hAnsi="宋体"/>
                      <w:color w:val="auto"/>
                      <w:kern w:val="2"/>
                      <w:sz w:val="21"/>
                      <w:szCs w:val="21"/>
                      <w:highlight w:val="none"/>
                    </w:rPr>
                    <w:t>充装过程</w:t>
                  </w:r>
                  <w:r>
                    <w:rPr>
                      <w:rFonts w:hint="eastAsia" w:hAnsi="宋体"/>
                      <w:color w:val="auto"/>
                      <w:kern w:val="2"/>
                      <w:sz w:val="21"/>
                      <w:szCs w:val="21"/>
                      <w:highlight w:val="none"/>
                      <w:lang w:val="en-US" w:eastAsia="zh-CN"/>
                    </w:rPr>
                    <w:t>均</w:t>
                  </w:r>
                  <w:r>
                    <w:rPr>
                      <w:rFonts w:hint="eastAsia" w:hAnsi="宋体"/>
                      <w:color w:val="auto"/>
                      <w:kern w:val="2"/>
                      <w:sz w:val="21"/>
                      <w:szCs w:val="21"/>
                      <w:highlight w:val="none"/>
                    </w:rPr>
                    <w:t>采用密闭设备及管线，无废气排放</w:t>
                  </w:r>
                  <w:r>
                    <w:rPr>
                      <w:rFonts w:hint="eastAsia" w:hAnsi="宋体"/>
                      <w:color w:val="auto"/>
                      <w:kern w:val="2"/>
                      <w:sz w:val="21"/>
                      <w:szCs w:val="21"/>
                      <w:highlight w:val="none"/>
                      <w:lang w:eastAsia="zh-CN"/>
                    </w:rPr>
                    <w:t>，</w:t>
                  </w:r>
                  <w:r>
                    <w:rPr>
                      <w:rFonts w:hint="eastAsia" w:hAnsi="宋体"/>
                      <w:color w:val="auto"/>
                      <w:kern w:val="2"/>
                      <w:sz w:val="21"/>
                      <w:szCs w:val="21"/>
                      <w:highlight w:val="none"/>
                      <w:lang w:val="en-US" w:eastAsia="zh-CN"/>
                    </w:rPr>
                    <w:t>且不新增生产废水及生活污水，不属于</w:t>
                  </w:r>
                  <w:r>
                    <w:rPr>
                      <w:rFonts w:hint="eastAsia"/>
                      <w:color w:val="auto"/>
                      <w:sz w:val="21"/>
                      <w:highlight w:val="none"/>
                    </w:rPr>
                    <w:t>污染物排放量大的项目</w:t>
                  </w:r>
                  <w:r>
                    <w:rPr>
                      <w:rFonts w:hint="eastAsia"/>
                      <w:color w:val="auto"/>
                      <w:sz w:val="21"/>
                      <w:highlight w:val="none"/>
                      <w:lang w:eastAsia="zh-CN"/>
                    </w:rPr>
                    <w:t>；</w:t>
                  </w:r>
                  <w:r>
                    <w:rPr>
                      <w:rFonts w:hint="eastAsia"/>
                      <w:color w:val="auto"/>
                      <w:sz w:val="21"/>
                      <w:highlight w:val="none"/>
                    </w:rPr>
                    <w:t>项目的生产工艺、设备、自动化水平以及单位产品能耗、污染物排放、碳排放等</w:t>
                  </w:r>
                  <w:r>
                    <w:rPr>
                      <w:rFonts w:hint="eastAsia"/>
                      <w:color w:val="auto"/>
                      <w:sz w:val="21"/>
                      <w:highlight w:val="none"/>
                      <w:lang w:val="en-US" w:eastAsia="zh-CN"/>
                    </w:rPr>
                    <w:t>均可达到国内先进水平。</w:t>
                  </w:r>
                </w:p>
              </w:tc>
              <w:tc>
                <w:tcPr>
                  <w:tcW w:w="696" w:type="pct"/>
                  <w:vAlign w:val="center"/>
                </w:tcPr>
                <w:p w14:paraId="5FCA7E5E">
                  <w:pPr>
                    <w:pStyle w:val="227"/>
                    <w:spacing w:line="276" w:lineRule="auto"/>
                    <w:ind w:firstLine="0" w:firstLineChars="0"/>
                    <w:jc w:val="center"/>
                    <w:rPr>
                      <w:color w:val="auto"/>
                      <w:sz w:val="21"/>
                      <w:highlight w:val="none"/>
                    </w:rPr>
                  </w:pPr>
                  <w:r>
                    <w:rPr>
                      <w:rFonts w:hint="eastAsia"/>
                      <w:color w:val="auto"/>
                      <w:sz w:val="21"/>
                      <w:highlight w:val="none"/>
                    </w:rPr>
                    <w:t>符合</w:t>
                  </w:r>
                </w:p>
              </w:tc>
            </w:tr>
            <w:tr w14:paraId="55BABE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45" w:type="pct"/>
                  <w:vAlign w:val="center"/>
                </w:tcPr>
                <w:p w14:paraId="71653AAD">
                  <w:pPr>
                    <w:pStyle w:val="227"/>
                    <w:spacing w:line="276" w:lineRule="auto"/>
                    <w:ind w:firstLine="0" w:firstLineChars="0"/>
                    <w:jc w:val="center"/>
                    <w:rPr>
                      <w:color w:val="auto"/>
                      <w:sz w:val="21"/>
                      <w:highlight w:val="none"/>
                    </w:rPr>
                  </w:pPr>
                  <w:r>
                    <w:rPr>
                      <w:rFonts w:hint="eastAsia"/>
                      <w:color w:val="auto"/>
                      <w:sz w:val="21"/>
                      <w:highlight w:val="none"/>
                    </w:rPr>
                    <w:t>6</w:t>
                  </w:r>
                </w:p>
              </w:tc>
              <w:tc>
                <w:tcPr>
                  <w:tcW w:w="2143" w:type="pct"/>
                  <w:vAlign w:val="center"/>
                </w:tcPr>
                <w:p w14:paraId="41255D33">
                  <w:pPr>
                    <w:pStyle w:val="227"/>
                    <w:spacing w:line="276" w:lineRule="auto"/>
                    <w:ind w:firstLine="0" w:firstLineChars="0"/>
                    <w:jc w:val="center"/>
                    <w:rPr>
                      <w:color w:val="auto"/>
                      <w:sz w:val="21"/>
                      <w:highlight w:val="none"/>
                    </w:rPr>
                  </w:pPr>
                  <w:r>
                    <w:rPr>
                      <w:rFonts w:hint="eastAsia"/>
                      <w:color w:val="auto"/>
                      <w:sz w:val="21"/>
                      <w:highlight w:val="none"/>
                      <w:lang w:eastAsia="zh-CN"/>
                    </w:rPr>
                    <w:t>（</w:t>
                  </w:r>
                  <w:r>
                    <w:rPr>
                      <w:rFonts w:hint="eastAsia"/>
                      <w:color w:val="auto"/>
                      <w:sz w:val="21"/>
                      <w:highlight w:val="none"/>
                      <w:lang w:val="en-US" w:eastAsia="zh-CN"/>
                    </w:rPr>
                    <w:t>六</w:t>
                  </w:r>
                  <w:r>
                    <w:rPr>
                      <w:rFonts w:hint="eastAsia"/>
                      <w:color w:val="auto"/>
                      <w:sz w:val="21"/>
                      <w:highlight w:val="none"/>
                      <w:lang w:eastAsia="zh-CN"/>
                    </w:rPr>
                    <w:t>）</w:t>
                  </w:r>
                  <w:r>
                    <w:rPr>
                      <w:rFonts w:hint="eastAsia"/>
                      <w:color w:val="auto"/>
                      <w:sz w:val="21"/>
                      <w:highlight w:val="none"/>
                    </w:rPr>
                    <w:t>提升环境管理水平，加强生态环境风险防控着力提升园区环境管理水平，统筹考虑区域内污染物排放、水环境保护、大气环境保护、固体废物</w:t>
                  </w:r>
                  <w:r>
                    <w:rPr>
                      <w:rFonts w:hint="eastAsia"/>
                      <w:color w:val="auto"/>
                      <w:sz w:val="21"/>
                      <w:highlight w:val="none"/>
                      <w:lang w:eastAsia="zh-CN"/>
                    </w:rPr>
                    <w:t>（</w:t>
                  </w:r>
                  <w:r>
                    <w:rPr>
                      <w:rFonts w:hint="eastAsia"/>
                      <w:color w:val="auto"/>
                      <w:sz w:val="21"/>
                      <w:highlight w:val="none"/>
                    </w:rPr>
                    <w:t>含危险废物</w:t>
                  </w:r>
                  <w:r>
                    <w:rPr>
                      <w:rFonts w:hint="eastAsia"/>
                      <w:color w:val="auto"/>
                      <w:sz w:val="21"/>
                      <w:highlight w:val="none"/>
                      <w:lang w:eastAsia="zh-CN"/>
                    </w:rPr>
                    <w:t>）</w:t>
                  </w:r>
                  <w:r>
                    <w:rPr>
                      <w:rFonts w:hint="eastAsia"/>
                      <w:color w:val="auto"/>
                      <w:sz w:val="21"/>
                      <w:highlight w:val="none"/>
                    </w:rPr>
                    <w:t>管理、环境风险防范、生态环境管理等要求。做好园区环境风险源的识别，健全区域环境风险防范体系和生态安全保障体系，加强区内重要环境风险源的管控，完善环境风险防范应急措施，严格落实环境风险三级防控措施建设要求，确保事故废水与外环境有效隔离、及时处置，落实环境风险防控设施建设与运行管理要求及应急处理处置方案。建立健全水、气、土等各环境要素的环境监控体系，加强日常环境监管与监测。在规划实施过程中，适时开展规划环境影响跟踪评价。</w:t>
                  </w:r>
                </w:p>
              </w:tc>
              <w:tc>
                <w:tcPr>
                  <w:tcW w:w="1613" w:type="pct"/>
                  <w:vAlign w:val="center"/>
                </w:tcPr>
                <w:p w14:paraId="67311BA5">
                  <w:pPr>
                    <w:pStyle w:val="227"/>
                    <w:spacing w:line="276" w:lineRule="auto"/>
                    <w:ind w:firstLine="0" w:firstLineChars="0"/>
                    <w:jc w:val="center"/>
                    <w:rPr>
                      <w:rFonts w:hint="default" w:eastAsia="宋体"/>
                      <w:color w:val="auto"/>
                      <w:sz w:val="21"/>
                      <w:highlight w:val="none"/>
                      <w:lang w:val="en-US" w:eastAsia="zh-CN"/>
                    </w:rPr>
                  </w:pPr>
                  <w:r>
                    <w:rPr>
                      <w:rFonts w:hint="eastAsia"/>
                      <w:color w:val="auto"/>
                      <w:sz w:val="21"/>
                      <w:highlight w:val="none"/>
                      <w:lang w:val="en-US" w:eastAsia="zh-CN"/>
                    </w:rPr>
                    <w:t>本次利用现有厂区进行改造建设，不涉及新增废气、废水污染物排放，固废根据固废属性采取分类收集措施，危废按照管理要求妥善收集暂存于危废间，定期委托资质单位处置。依托厂区现有事故应急池、消防水池、初期雨水池等，</w:t>
                  </w:r>
                  <w:r>
                    <w:rPr>
                      <w:rFonts w:hint="eastAsia"/>
                      <w:color w:val="auto"/>
                      <w:sz w:val="21"/>
                      <w:highlight w:val="none"/>
                    </w:rPr>
                    <w:t>环境风险三级防控措施</w:t>
                  </w:r>
                  <w:r>
                    <w:rPr>
                      <w:rFonts w:hint="eastAsia"/>
                      <w:color w:val="auto"/>
                      <w:sz w:val="21"/>
                      <w:highlight w:val="none"/>
                      <w:lang w:val="en-US" w:eastAsia="zh-CN"/>
                    </w:rPr>
                    <w:t>均已建设，</w:t>
                  </w:r>
                  <w:r>
                    <w:rPr>
                      <w:rFonts w:hint="eastAsia"/>
                      <w:color w:val="auto"/>
                      <w:sz w:val="21"/>
                      <w:highlight w:val="none"/>
                    </w:rPr>
                    <w:t>事故废水与外环境</w:t>
                  </w:r>
                  <w:r>
                    <w:rPr>
                      <w:rFonts w:hint="eastAsia"/>
                      <w:color w:val="auto"/>
                      <w:sz w:val="21"/>
                      <w:highlight w:val="none"/>
                      <w:lang w:val="en-US" w:eastAsia="zh-CN"/>
                    </w:rPr>
                    <w:t>可</w:t>
                  </w:r>
                  <w:r>
                    <w:rPr>
                      <w:rFonts w:hint="eastAsia"/>
                      <w:color w:val="auto"/>
                      <w:sz w:val="21"/>
                      <w:highlight w:val="none"/>
                    </w:rPr>
                    <w:t>有效隔离、及时处置</w:t>
                  </w:r>
                  <w:r>
                    <w:rPr>
                      <w:rFonts w:hint="eastAsia"/>
                      <w:color w:val="auto"/>
                      <w:sz w:val="21"/>
                      <w:highlight w:val="none"/>
                      <w:lang w:eastAsia="zh-CN"/>
                    </w:rPr>
                    <w:t>，</w:t>
                  </w:r>
                  <w:r>
                    <w:rPr>
                      <w:rFonts w:hint="eastAsia"/>
                      <w:color w:val="auto"/>
                      <w:sz w:val="21"/>
                      <w:highlight w:val="none"/>
                      <w:lang w:val="en-US" w:eastAsia="zh-CN"/>
                    </w:rPr>
                    <w:t>可与园区风险防范措施联动。</w:t>
                  </w:r>
                </w:p>
              </w:tc>
              <w:tc>
                <w:tcPr>
                  <w:tcW w:w="696" w:type="pct"/>
                  <w:vAlign w:val="center"/>
                </w:tcPr>
                <w:p w14:paraId="5F8B78FA">
                  <w:pPr>
                    <w:pStyle w:val="227"/>
                    <w:spacing w:line="276" w:lineRule="auto"/>
                    <w:ind w:firstLine="0" w:firstLineChars="0"/>
                    <w:jc w:val="center"/>
                    <w:rPr>
                      <w:color w:val="auto"/>
                      <w:sz w:val="21"/>
                      <w:highlight w:val="none"/>
                    </w:rPr>
                  </w:pPr>
                  <w:r>
                    <w:rPr>
                      <w:color w:val="auto"/>
                      <w:sz w:val="21"/>
                      <w:highlight w:val="none"/>
                    </w:rPr>
                    <w:t>符合</w:t>
                  </w:r>
                </w:p>
              </w:tc>
            </w:tr>
          </w:tbl>
          <w:p w14:paraId="72FC2818">
            <w:pPr>
              <w:pStyle w:val="227"/>
              <w:ind w:firstLine="0" w:firstLineChars="0"/>
              <w:jc w:val="left"/>
              <w:rPr>
                <w:color w:val="auto"/>
                <w:highlight w:val="none"/>
              </w:rPr>
            </w:pPr>
          </w:p>
          <w:p w14:paraId="0E449EED">
            <w:pPr>
              <w:pStyle w:val="227"/>
              <w:ind w:firstLine="0" w:firstLineChars="0"/>
              <w:jc w:val="left"/>
              <w:rPr>
                <w:color w:val="auto"/>
                <w:highlight w:val="none"/>
              </w:rPr>
            </w:pPr>
          </w:p>
          <w:p w14:paraId="2CBA2271">
            <w:pPr>
              <w:pStyle w:val="227"/>
              <w:ind w:firstLine="0" w:firstLineChars="0"/>
              <w:jc w:val="left"/>
              <w:rPr>
                <w:color w:val="auto"/>
                <w:highlight w:val="none"/>
              </w:rPr>
            </w:pPr>
          </w:p>
          <w:p w14:paraId="11A9525F">
            <w:pPr>
              <w:pStyle w:val="227"/>
              <w:ind w:firstLine="0" w:firstLineChars="0"/>
              <w:jc w:val="left"/>
              <w:rPr>
                <w:color w:val="auto"/>
                <w:highlight w:val="none"/>
              </w:rPr>
            </w:pPr>
          </w:p>
          <w:p w14:paraId="0C197B74">
            <w:pPr>
              <w:pStyle w:val="227"/>
              <w:ind w:firstLine="0" w:firstLineChars="0"/>
              <w:jc w:val="left"/>
              <w:rPr>
                <w:color w:val="auto"/>
                <w:highlight w:val="none"/>
              </w:rPr>
            </w:pPr>
          </w:p>
          <w:p w14:paraId="6A057897">
            <w:pPr>
              <w:pStyle w:val="227"/>
              <w:ind w:firstLine="0" w:firstLineChars="0"/>
              <w:jc w:val="left"/>
              <w:rPr>
                <w:color w:val="auto"/>
                <w:highlight w:val="none"/>
              </w:rPr>
            </w:pPr>
          </w:p>
          <w:p w14:paraId="4082E8B3">
            <w:pPr>
              <w:pStyle w:val="227"/>
              <w:ind w:firstLine="0" w:firstLineChars="0"/>
              <w:jc w:val="left"/>
              <w:rPr>
                <w:color w:val="auto"/>
                <w:highlight w:val="none"/>
              </w:rPr>
            </w:pPr>
          </w:p>
          <w:p w14:paraId="4640A936">
            <w:pPr>
              <w:pStyle w:val="227"/>
              <w:ind w:firstLine="0" w:firstLineChars="0"/>
              <w:jc w:val="left"/>
              <w:rPr>
                <w:color w:val="auto"/>
                <w:highlight w:val="none"/>
              </w:rPr>
            </w:pPr>
          </w:p>
          <w:p w14:paraId="7B6FE038">
            <w:pPr>
              <w:pStyle w:val="227"/>
              <w:ind w:firstLine="0" w:firstLineChars="0"/>
              <w:jc w:val="left"/>
              <w:rPr>
                <w:color w:val="auto"/>
                <w:highlight w:val="none"/>
              </w:rPr>
            </w:pPr>
          </w:p>
          <w:p w14:paraId="2570875B">
            <w:pPr>
              <w:pStyle w:val="227"/>
              <w:ind w:firstLine="0" w:firstLineChars="0"/>
              <w:jc w:val="left"/>
              <w:rPr>
                <w:color w:val="auto"/>
                <w:highlight w:val="none"/>
              </w:rPr>
            </w:pPr>
          </w:p>
          <w:p w14:paraId="5F2FB64E">
            <w:pPr>
              <w:pStyle w:val="227"/>
              <w:ind w:firstLine="0" w:firstLineChars="0"/>
              <w:jc w:val="left"/>
              <w:rPr>
                <w:color w:val="auto"/>
                <w:highlight w:val="none"/>
              </w:rPr>
            </w:pPr>
          </w:p>
          <w:p w14:paraId="0DC532BC">
            <w:pPr>
              <w:pStyle w:val="227"/>
              <w:ind w:firstLine="0" w:firstLineChars="0"/>
              <w:jc w:val="left"/>
              <w:rPr>
                <w:color w:val="auto"/>
                <w:highlight w:val="none"/>
              </w:rPr>
            </w:pPr>
          </w:p>
          <w:p w14:paraId="493B673B">
            <w:pPr>
              <w:pStyle w:val="227"/>
              <w:ind w:firstLine="0" w:firstLineChars="0"/>
              <w:jc w:val="left"/>
              <w:rPr>
                <w:color w:val="auto"/>
                <w:highlight w:val="none"/>
              </w:rPr>
            </w:pPr>
          </w:p>
          <w:p w14:paraId="03464F7A">
            <w:pPr>
              <w:pStyle w:val="227"/>
              <w:ind w:firstLine="0" w:firstLineChars="0"/>
              <w:jc w:val="left"/>
              <w:rPr>
                <w:color w:val="auto"/>
                <w:highlight w:val="none"/>
              </w:rPr>
            </w:pPr>
          </w:p>
          <w:p w14:paraId="1EA5DB04">
            <w:pPr>
              <w:pStyle w:val="227"/>
              <w:ind w:firstLine="0" w:firstLineChars="0"/>
              <w:jc w:val="left"/>
              <w:rPr>
                <w:color w:val="auto"/>
                <w:highlight w:val="none"/>
              </w:rPr>
            </w:pPr>
          </w:p>
          <w:p w14:paraId="27F39BC4">
            <w:pPr>
              <w:pStyle w:val="227"/>
              <w:ind w:firstLine="0" w:firstLineChars="0"/>
              <w:jc w:val="left"/>
              <w:rPr>
                <w:color w:val="auto"/>
                <w:highlight w:val="none"/>
              </w:rPr>
            </w:pPr>
          </w:p>
          <w:p w14:paraId="7D6CCCC0">
            <w:pPr>
              <w:pStyle w:val="227"/>
              <w:ind w:firstLine="0" w:firstLineChars="0"/>
              <w:jc w:val="left"/>
              <w:rPr>
                <w:color w:val="auto"/>
                <w:highlight w:val="none"/>
              </w:rPr>
            </w:pPr>
          </w:p>
          <w:p w14:paraId="79AD226A">
            <w:pPr>
              <w:pStyle w:val="227"/>
              <w:ind w:firstLine="0" w:firstLineChars="0"/>
              <w:jc w:val="left"/>
              <w:rPr>
                <w:color w:val="auto"/>
                <w:highlight w:val="none"/>
              </w:rPr>
            </w:pPr>
          </w:p>
          <w:p w14:paraId="33F9C8EB">
            <w:pPr>
              <w:pStyle w:val="227"/>
              <w:ind w:firstLine="0" w:firstLineChars="0"/>
              <w:jc w:val="left"/>
              <w:rPr>
                <w:color w:val="auto"/>
                <w:highlight w:val="none"/>
              </w:rPr>
            </w:pPr>
          </w:p>
          <w:p w14:paraId="76A89BC8">
            <w:pPr>
              <w:pStyle w:val="227"/>
              <w:ind w:firstLine="0" w:firstLineChars="0"/>
              <w:jc w:val="left"/>
              <w:rPr>
                <w:color w:val="auto"/>
                <w:highlight w:val="none"/>
              </w:rPr>
            </w:pPr>
          </w:p>
          <w:p w14:paraId="6CC0E520">
            <w:pPr>
              <w:pStyle w:val="227"/>
              <w:ind w:firstLine="0" w:firstLineChars="0"/>
              <w:jc w:val="left"/>
              <w:rPr>
                <w:color w:val="auto"/>
                <w:highlight w:val="none"/>
              </w:rPr>
            </w:pPr>
          </w:p>
          <w:p w14:paraId="38757C01">
            <w:pPr>
              <w:pStyle w:val="227"/>
              <w:ind w:firstLine="0" w:firstLineChars="0"/>
              <w:jc w:val="left"/>
              <w:rPr>
                <w:color w:val="auto"/>
                <w:highlight w:val="none"/>
              </w:rPr>
            </w:pPr>
          </w:p>
          <w:p w14:paraId="15460A18">
            <w:pPr>
              <w:pStyle w:val="227"/>
              <w:ind w:firstLine="0" w:firstLineChars="0"/>
              <w:jc w:val="left"/>
              <w:rPr>
                <w:color w:val="auto"/>
                <w:highlight w:val="none"/>
              </w:rPr>
            </w:pPr>
          </w:p>
          <w:p w14:paraId="04C646FA">
            <w:pPr>
              <w:pStyle w:val="227"/>
              <w:ind w:firstLine="0" w:firstLineChars="0"/>
              <w:jc w:val="left"/>
              <w:rPr>
                <w:color w:val="auto"/>
                <w:highlight w:val="none"/>
              </w:rPr>
            </w:pPr>
          </w:p>
          <w:p w14:paraId="6A94478A">
            <w:pPr>
              <w:pStyle w:val="227"/>
              <w:ind w:firstLine="0" w:firstLineChars="0"/>
              <w:jc w:val="left"/>
              <w:rPr>
                <w:color w:val="auto"/>
                <w:highlight w:val="none"/>
              </w:rPr>
            </w:pPr>
          </w:p>
          <w:p w14:paraId="3CAAC6DE">
            <w:pPr>
              <w:pStyle w:val="227"/>
              <w:ind w:firstLine="0" w:firstLineChars="0"/>
              <w:jc w:val="left"/>
              <w:rPr>
                <w:color w:val="auto"/>
                <w:highlight w:val="none"/>
              </w:rPr>
            </w:pPr>
          </w:p>
        </w:tc>
      </w:tr>
      <w:tr w14:paraId="66A21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0" w:hRule="atLeast"/>
          <w:jc w:val="center"/>
        </w:trPr>
        <w:tc>
          <w:tcPr>
            <w:tcW w:w="347" w:type="pct"/>
            <w:gridSpan w:val="2"/>
            <w:vAlign w:val="center"/>
          </w:tcPr>
          <w:p w14:paraId="624F8FAE">
            <w:pPr>
              <w:autoSpaceDE w:val="0"/>
              <w:autoSpaceDN w:val="0"/>
              <w:adjustRightInd w:val="0"/>
              <w:snapToGrid w:val="0"/>
              <w:spacing w:line="360" w:lineRule="auto"/>
              <w:jc w:val="center"/>
              <w:rPr>
                <w:rFonts w:ascii="宋体" w:hAnsi="宋体" w:cs="宋体"/>
                <w:color w:val="auto"/>
                <w:kern w:val="0"/>
                <w:sz w:val="24"/>
                <w:szCs w:val="24"/>
                <w:highlight w:val="none"/>
              </w:rPr>
            </w:pPr>
            <w:bookmarkStart w:id="6" w:name="_Toc354926674"/>
            <w:r>
              <w:rPr>
                <w:color w:val="auto"/>
                <w:highlight w:val="none"/>
              </w:rPr>
              <w:br w:type="page"/>
            </w:r>
            <w:r>
              <w:rPr>
                <w:rFonts w:hint="eastAsia" w:ascii="宋体" w:hAnsi="宋体" w:cs="宋体"/>
                <w:color w:val="auto"/>
                <w:kern w:val="0"/>
                <w:sz w:val="24"/>
                <w:szCs w:val="24"/>
                <w:highlight w:val="none"/>
              </w:rPr>
              <w:t>其他符合性分析</w:t>
            </w:r>
          </w:p>
        </w:tc>
        <w:tc>
          <w:tcPr>
            <w:tcW w:w="4652" w:type="pct"/>
            <w:gridSpan w:val="5"/>
            <w:vAlign w:val="center"/>
          </w:tcPr>
          <w:p w14:paraId="3E483468">
            <w:pPr>
              <w:snapToGrid w:val="0"/>
              <w:spacing w:line="360" w:lineRule="auto"/>
              <w:jc w:val="left"/>
              <w:rPr>
                <w:rFonts w:hAnsi="黑体" w:eastAsia="黑体"/>
                <w:b/>
                <w:color w:val="auto"/>
                <w:sz w:val="24"/>
                <w:szCs w:val="24"/>
                <w:highlight w:val="none"/>
              </w:rPr>
            </w:pPr>
            <w:r>
              <w:rPr>
                <w:rFonts w:hint="eastAsia" w:hAnsi="黑体" w:eastAsia="黑体"/>
                <w:b/>
                <w:color w:val="auto"/>
                <w:sz w:val="24"/>
                <w:szCs w:val="24"/>
                <w:highlight w:val="none"/>
              </w:rPr>
              <w:t>1、</w:t>
            </w:r>
            <w:r>
              <w:rPr>
                <w:rFonts w:hint="eastAsia" w:ascii="宋体" w:hAnsi="宋体"/>
                <w:b/>
                <w:color w:val="auto"/>
                <w:sz w:val="24"/>
                <w:szCs w:val="24"/>
                <w:highlight w:val="none"/>
              </w:rPr>
              <w:t>产业政策符合性</w:t>
            </w:r>
          </w:p>
          <w:p w14:paraId="6D188C71">
            <w:pPr>
              <w:snapToGrid w:val="0"/>
              <w:spacing w:line="360" w:lineRule="auto"/>
              <w:ind w:firstLine="480" w:firstLineChars="200"/>
              <w:rPr>
                <w:color w:val="auto"/>
                <w:sz w:val="24"/>
                <w:highlight w:val="none"/>
              </w:rPr>
            </w:pPr>
            <w:r>
              <w:rPr>
                <w:rFonts w:hint="eastAsia"/>
                <w:color w:val="auto"/>
                <w:sz w:val="24"/>
                <w:highlight w:val="none"/>
              </w:rPr>
              <w:t>本项目属于装卸搬运和仓储业，根据《产业结构调整指导目录（</w:t>
            </w:r>
            <w:r>
              <w:rPr>
                <w:rFonts w:hint="eastAsia"/>
                <w:color w:val="auto"/>
                <w:sz w:val="24"/>
                <w:highlight w:val="none"/>
                <w:lang w:val="en-US" w:eastAsia="zh-CN"/>
              </w:rPr>
              <w:t>2024年</w:t>
            </w:r>
            <w:r>
              <w:rPr>
                <w:rFonts w:hint="eastAsia"/>
                <w:color w:val="auto"/>
                <w:sz w:val="24"/>
                <w:highlight w:val="none"/>
              </w:rPr>
              <w:t>本）》，本项目不属于其中的鼓励类、限制类和淘汰类，视为允许建设类。此外，本项目已取得淮南经济技术开发区经济发展局</w:t>
            </w:r>
            <w:r>
              <w:rPr>
                <w:color w:val="auto"/>
                <w:sz w:val="24"/>
                <w:highlight w:val="none"/>
              </w:rPr>
              <w:t>备案</w:t>
            </w:r>
            <w:r>
              <w:rPr>
                <w:rFonts w:hint="eastAsia"/>
                <w:color w:val="auto"/>
                <w:sz w:val="24"/>
                <w:highlight w:val="none"/>
              </w:rPr>
              <w:t>，项目代码为</w:t>
            </w:r>
            <w:r>
              <w:rPr>
                <w:rFonts w:hint="eastAsia"/>
                <w:color w:val="auto"/>
                <w:sz w:val="24"/>
                <w:szCs w:val="24"/>
                <w:highlight w:val="none"/>
                <w:lang w:eastAsia="zh-CN"/>
              </w:rPr>
              <w:t>2606-340461-04-02-407763</w:t>
            </w:r>
            <w:r>
              <w:rPr>
                <w:rFonts w:hint="eastAsia"/>
                <w:color w:val="auto"/>
                <w:sz w:val="24"/>
                <w:highlight w:val="none"/>
              </w:rPr>
              <w:t>。综上所述，本项目符合国家和地方产业政策。</w:t>
            </w:r>
          </w:p>
          <w:p w14:paraId="0B86970C">
            <w:pPr>
              <w:snapToGrid w:val="0"/>
              <w:spacing w:line="360" w:lineRule="auto"/>
              <w:jc w:val="left"/>
              <w:rPr>
                <w:rFonts w:hAnsi="宋体"/>
                <w:b/>
                <w:color w:val="auto"/>
                <w:sz w:val="24"/>
                <w:highlight w:val="none"/>
              </w:rPr>
            </w:pPr>
            <w:r>
              <w:rPr>
                <w:rFonts w:hint="eastAsia" w:hAnsi="宋体"/>
                <w:b/>
                <w:color w:val="auto"/>
                <w:sz w:val="24"/>
                <w:highlight w:val="none"/>
              </w:rPr>
              <w:t>2、与相关生态环境保护法律法规政策、生态环境保护规划的符合性分析</w:t>
            </w:r>
          </w:p>
          <w:p w14:paraId="2D05E3B4">
            <w:pPr>
              <w:snapToGrid w:val="0"/>
              <w:spacing w:line="360" w:lineRule="auto"/>
              <w:ind w:firstLine="480" w:firstLineChars="200"/>
              <w:rPr>
                <w:bCs/>
                <w:color w:val="auto"/>
                <w:sz w:val="24"/>
                <w:szCs w:val="24"/>
                <w:highlight w:val="none"/>
              </w:rPr>
            </w:pPr>
            <w:r>
              <w:rPr>
                <w:rFonts w:hint="eastAsia"/>
                <w:color w:val="auto"/>
                <w:sz w:val="24"/>
                <w:highlight w:val="none"/>
              </w:rPr>
              <w:t>（1）</w:t>
            </w:r>
            <w:r>
              <w:rPr>
                <w:rFonts w:hint="eastAsia" w:hAnsi="宋体"/>
                <w:color w:val="auto"/>
                <w:sz w:val="24"/>
                <w:szCs w:val="24"/>
                <w:highlight w:val="none"/>
              </w:rPr>
              <w:t>与《中共中央、国务院关于深入打好污染防治攻坚战的意见》（</w:t>
            </w:r>
            <w:r>
              <w:rPr>
                <w:color w:val="auto"/>
                <w:sz w:val="24"/>
                <w:szCs w:val="24"/>
                <w:highlight w:val="none"/>
              </w:rPr>
              <w:t>2021</w:t>
            </w:r>
            <w:r>
              <w:rPr>
                <w:rFonts w:hint="eastAsia" w:hAnsi="宋体"/>
                <w:color w:val="auto"/>
                <w:sz w:val="24"/>
                <w:szCs w:val="24"/>
                <w:highlight w:val="none"/>
              </w:rPr>
              <w:t>年</w:t>
            </w:r>
            <w:r>
              <w:rPr>
                <w:color w:val="auto"/>
                <w:sz w:val="24"/>
                <w:szCs w:val="24"/>
                <w:highlight w:val="none"/>
              </w:rPr>
              <w:t>11</w:t>
            </w:r>
            <w:r>
              <w:rPr>
                <w:rFonts w:hint="eastAsia" w:hAnsi="宋体"/>
                <w:color w:val="auto"/>
                <w:sz w:val="24"/>
                <w:szCs w:val="24"/>
                <w:highlight w:val="none"/>
              </w:rPr>
              <w:t>月</w:t>
            </w:r>
            <w:r>
              <w:rPr>
                <w:color w:val="auto"/>
                <w:sz w:val="24"/>
                <w:szCs w:val="24"/>
                <w:highlight w:val="none"/>
              </w:rPr>
              <w:t>2</w:t>
            </w:r>
            <w:r>
              <w:rPr>
                <w:rFonts w:hint="eastAsia" w:hAnsi="宋体"/>
                <w:color w:val="auto"/>
                <w:sz w:val="24"/>
                <w:szCs w:val="24"/>
                <w:highlight w:val="none"/>
              </w:rPr>
              <w:t>日公开发布）相符性分析</w:t>
            </w:r>
          </w:p>
          <w:p w14:paraId="0865CC53">
            <w:pPr>
              <w:autoSpaceDE w:val="0"/>
              <w:autoSpaceDN w:val="0"/>
              <w:adjustRightInd w:val="0"/>
              <w:snapToGrid w:val="0"/>
              <w:spacing w:line="360" w:lineRule="auto"/>
              <w:jc w:val="center"/>
              <w:rPr>
                <w:rFonts w:eastAsia="黑体"/>
                <w:color w:val="auto"/>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w:t>
            </w:r>
            <w:r>
              <w:rPr>
                <w:rFonts w:hint="eastAsia" w:hAnsi="黑体" w:eastAsia="黑体"/>
                <w:color w:val="auto"/>
                <w:sz w:val="24"/>
                <w:szCs w:val="24"/>
                <w:highlight w:val="none"/>
              </w:rPr>
              <w:t>4</w:t>
            </w:r>
            <w:r>
              <w:rPr>
                <w:rFonts w:hAnsi="黑体" w:eastAsia="黑体"/>
                <w:color w:val="auto"/>
                <w:sz w:val="24"/>
                <w:szCs w:val="24"/>
                <w:highlight w:val="none"/>
              </w:rPr>
              <w:t xml:space="preserve"> </w:t>
            </w:r>
            <w:r>
              <w:rPr>
                <w:rFonts w:hint="eastAsia" w:hAnsi="黑体" w:eastAsia="黑体"/>
                <w:color w:val="auto"/>
                <w:sz w:val="24"/>
                <w:szCs w:val="24"/>
                <w:highlight w:val="none"/>
              </w:rPr>
              <w:t>项目与《中共中央、国务院关于深入打好污染防治攻坚战的意见》符合性分析</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3287"/>
              <w:gridCol w:w="3022"/>
              <w:gridCol w:w="916"/>
            </w:tblGrid>
            <w:tr w14:paraId="0BEA72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12" w:space="0"/>
                    <w:left w:val="nil"/>
                    <w:bottom w:val="single" w:color="auto" w:sz="4" w:space="0"/>
                    <w:right w:val="single" w:color="auto" w:sz="4" w:space="0"/>
                  </w:tcBorders>
                  <w:vAlign w:val="center"/>
                </w:tcPr>
                <w:p w14:paraId="046268D1">
                  <w:pPr>
                    <w:spacing w:line="276" w:lineRule="auto"/>
                    <w:jc w:val="center"/>
                    <w:rPr>
                      <w:b/>
                      <w:color w:val="auto"/>
                      <w:szCs w:val="21"/>
                      <w:highlight w:val="none"/>
                    </w:rPr>
                  </w:pPr>
                  <w:r>
                    <w:rPr>
                      <w:rFonts w:hint="eastAsia"/>
                      <w:b/>
                      <w:color w:val="auto"/>
                      <w:szCs w:val="21"/>
                      <w:highlight w:val="none"/>
                    </w:rPr>
                    <w:t>序号</w:t>
                  </w:r>
                </w:p>
              </w:tc>
              <w:tc>
                <w:tcPr>
                  <w:tcW w:w="2083" w:type="pct"/>
                  <w:tcBorders>
                    <w:top w:val="single" w:color="auto" w:sz="12" w:space="0"/>
                    <w:left w:val="single" w:color="auto" w:sz="4" w:space="0"/>
                    <w:bottom w:val="single" w:color="auto" w:sz="4" w:space="0"/>
                    <w:right w:val="single" w:color="auto" w:sz="4" w:space="0"/>
                  </w:tcBorders>
                  <w:vAlign w:val="center"/>
                </w:tcPr>
                <w:p w14:paraId="43AC4D53">
                  <w:pPr>
                    <w:spacing w:line="276" w:lineRule="auto"/>
                    <w:jc w:val="center"/>
                    <w:rPr>
                      <w:b/>
                      <w:color w:val="auto"/>
                      <w:szCs w:val="21"/>
                      <w:highlight w:val="none"/>
                    </w:rPr>
                  </w:pPr>
                  <w:r>
                    <w:rPr>
                      <w:rFonts w:hint="eastAsia"/>
                      <w:b/>
                      <w:color w:val="auto"/>
                      <w:szCs w:val="21"/>
                      <w:highlight w:val="none"/>
                    </w:rPr>
                    <w:t>相关要求</w:t>
                  </w:r>
                </w:p>
              </w:tc>
              <w:tc>
                <w:tcPr>
                  <w:tcW w:w="1915" w:type="pct"/>
                  <w:tcBorders>
                    <w:top w:val="single" w:color="auto" w:sz="12" w:space="0"/>
                    <w:left w:val="single" w:color="auto" w:sz="4" w:space="0"/>
                    <w:bottom w:val="single" w:color="auto" w:sz="4" w:space="0"/>
                    <w:right w:val="single" w:color="auto" w:sz="4" w:space="0"/>
                  </w:tcBorders>
                  <w:vAlign w:val="center"/>
                </w:tcPr>
                <w:p w14:paraId="5C7500DD">
                  <w:pPr>
                    <w:spacing w:line="276" w:lineRule="auto"/>
                    <w:jc w:val="center"/>
                    <w:rPr>
                      <w:b/>
                      <w:color w:val="auto"/>
                      <w:szCs w:val="21"/>
                      <w:highlight w:val="none"/>
                    </w:rPr>
                  </w:pPr>
                  <w:r>
                    <w:rPr>
                      <w:rFonts w:hint="eastAsia"/>
                      <w:b/>
                      <w:color w:val="auto"/>
                      <w:szCs w:val="21"/>
                      <w:highlight w:val="none"/>
                    </w:rPr>
                    <w:t>本项目情况</w:t>
                  </w:r>
                </w:p>
              </w:tc>
              <w:tc>
                <w:tcPr>
                  <w:tcW w:w="580" w:type="pct"/>
                  <w:tcBorders>
                    <w:top w:val="single" w:color="auto" w:sz="12" w:space="0"/>
                    <w:left w:val="single" w:color="auto" w:sz="4" w:space="0"/>
                    <w:bottom w:val="single" w:color="auto" w:sz="4" w:space="0"/>
                    <w:right w:val="nil"/>
                  </w:tcBorders>
                  <w:vAlign w:val="center"/>
                </w:tcPr>
                <w:p w14:paraId="1ADCFAE7">
                  <w:pPr>
                    <w:spacing w:line="276" w:lineRule="auto"/>
                    <w:jc w:val="center"/>
                    <w:rPr>
                      <w:b/>
                      <w:color w:val="auto"/>
                      <w:szCs w:val="21"/>
                      <w:highlight w:val="none"/>
                    </w:rPr>
                  </w:pPr>
                  <w:r>
                    <w:rPr>
                      <w:rFonts w:hint="eastAsia"/>
                      <w:b/>
                      <w:color w:val="auto"/>
                      <w:szCs w:val="21"/>
                      <w:highlight w:val="none"/>
                    </w:rPr>
                    <w:t>符合性分析</w:t>
                  </w:r>
                </w:p>
              </w:tc>
            </w:tr>
            <w:tr w14:paraId="6C88C2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2" w:type="pct"/>
                  <w:tcBorders>
                    <w:top w:val="single" w:color="auto" w:sz="4" w:space="0"/>
                    <w:left w:val="nil"/>
                    <w:bottom w:val="single" w:color="auto" w:sz="4" w:space="0"/>
                    <w:right w:val="single" w:color="auto" w:sz="4" w:space="0"/>
                  </w:tcBorders>
                  <w:vAlign w:val="center"/>
                </w:tcPr>
                <w:p w14:paraId="7BE3007B">
                  <w:pPr>
                    <w:spacing w:line="276" w:lineRule="auto"/>
                    <w:jc w:val="center"/>
                    <w:rPr>
                      <w:color w:val="auto"/>
                      <w:szCs w:val="21"/>
                      <w:highlight w:val="none"/>
                    </w:rPr>
                  </w:pPr>
                  <w:r>
                    <w:rPr>
                      <w:color w:val="auto"/>
                      <w:szCs w:val="21"/>
                      <w:highlight w:val="none"/>
                    </w:rPr>
                    <w:t>1</w:t>
                  </w:r>
                </w:p>
              </w:tc>
              <w:tc>
                <w:tcPr>
                  <w:tcW w:w="2083" w:type="pct"/>
                  <w:tcBorders>
                    <w:top w:val="single" w:color="auto" w:sz="4" w:space="0"/>
                    <w:left w:val="single" w:color="auto" w:sz="4" w:space="0"/>
                    <w:bottom w:val="single" w:color="auto" w:sz="4" w:space="0"/>
                    <w:right w:val="single" w:color="auto" w:sz="4" w:space="0"/>
                  </w:tcBorders>
                  <w:vAlign w:val="center"/>
                </w:tcPr>
                <w:p w14:paraId="08DEEE2F">
                  <w:pPr>
                    <w:spacing w:line="276" w:lineRule="auto"/>
                    <w:jc w:val="center"/>
                    <w:rPr>
                      <w:color w:val="auto"/>
                      <w:szCs w:val="21"/>
                      <w:highlight w:val="none"/>
                    </w:rPr>
                  </w:pPr>
                  <w:r>
                    <w:rPr>
                      <w:rFonts w:hint="eastAsia" w:hAnsi="宋体"/>
                      <w:color w:val="auto"/>
                      <w:szCs w:val="21"/>
                      <w:highlight w:val="none"/>
                      <w:shd w:val="clear" w:color="auto" w:fill="FFFFFF"/>
                    </w:rPr>
                    <w:t>重点区域严禁新增钢铁、焦化、水泥熟料、平板玻璃、电解铝、氧化铝、煤化工产能，合理控制煤制油气产能规模，严控新增炼油产能。</w:t>
                  </w:r>
                </w:p>
              </w:tc>
              <w:tc>
                <w:tcPr>
                  <w:tcW w:w="1915" w:type="pct"/>
                  <w:tcBorders>
                    <w:top w:val="single" w:color="auto" w:sz="4" w:space="0"/>
                    <w:left w:val="single" w:color="auto" w:sz="4" w:space="0"/>
                    <w:bottom w:val="single" w:color="auto" w:sz="4" w:space="0"/>
                    <w:right w:val="single" w:color="auto" w:sz="4" w:space="0"/>
                  </w:tcBorders>
                  <w:vAlign w:val="center"/>
                </w:tcPr>
                <w:p w14:paraId="59FFF577">
                  <w:pPr>
                    <w:spacing w:line="276" w:lineRule="auto"/>
                    <w:jc w:val="center"/>
                    <w:rPr>
                      <w:color w:val="auto"/>
                      <w:kern w:val="0"/>
                      <w:szCs w:val="21"/>
                      <w:highlight w:val="none"/>
                    </w:rPr>
                  </w:pPr>
                  <w:r>
                    <w:rPr>
                      <w:rFonts w:hint="eastAsia"/>
                      <w:color w:val="auto"/>
                      <w:kern w:val="0"/>
                      <w:szCs w:val="21"/>
                      <w:highlight w:val="none"/>
                    </w:rPr>
                    <w:t>本</w:t>
                  </w:r>
                  <w:r>
                    <w:rPr>
                      <w:rFonts w:hint="eastAsia"/>
                      <w:color w:val="auto"/>
                      <w:kern w:val="0"/>
                      <w:szCs w:val="21"/>
                      <w:highlight w:val="none"/>
                      <w:lang w:val="en-US" w:eastAsia="zh-CN"/>
                    </w:rPr>
                    <w:t>次改建新增仓储物质为丙烷及丁烷，属于</w:t>
                  </w:r>
                  <w:r>
                    <w:rPr>
                      <w:rFonts w:hint="eastAsia"/>
                      <w:color w:val="auto"/>
                      <w:kern w:val="0"/>
                      <w:szCs w:val="21"/>
                      <w:highlight w:val="none"/>
                    </w:rPr>
                    <w:t>装卸搬运和仓储业中</w:t>
                  </w:r>
                  <w:r>
                    <w:rPr>
                      <w:rFonts w:hint="eastAsia" w:hAnsi="宋体"/>
                      <w:color w:val="auto"/>
                      <w:szCs w:val="21"/>
                      <w:highlight w:val="none"/>
                    </w:rPr>
                    <w:t>危险化学品仓储</w:t>
                  </w:r>
                  <w:r>
                    <w:rPr>
                      <w:rFonts w:hint="eastAsia"/>
                      <w:color w:val="auto"/>
                      <w:kern w:val="0"/>
                      <w:szCs w:val="21"/>
                      <w:highlight w:val="none"/>
                    </w:rPr>
                    <w:t>，不属于</w:t>
                  </w:r>
                  <w:r>
                    <w:rPr>
                      <w:rFonts w:hint="eastAsia" w:hAnsi="宋体"/>
                      <w:color w:val="auto"/>
                      <w:szCs w:val="21"/>
                      <w:highlight w:val="none"/>
                      <w:shd w:val="clear" w:color="auto" w:fill="FFFFFF"/>
                    </w:rPr>
                    <w:t>钢铁、焦化、水泥熟料、平板玻璃、电解铝、氧化铝、煤化工产业。</w:t>
                  </w:r>
                </w:p>
              </w:tc>
              <w:tc>
                <w:tcPr>
                  <w:tcW w:w="580" w:type="pct"/>
                  <w:tcBorders>
                    <w:top w:val="single" w:color="auto" w:sz="4" w:space="0"/>
                    <w:left w:val="single" w:color="auto" w:sz="4" w:space="0"/>
                    <w:bottom w:val="single" w:color="auto" w:sz="4" w:space="0"/>
                    <w:right w:val="nil"/>
                  </w:tcBorders>
                  <w:vAlign w:val="center"/>
                </w:tcPr>
                <w:p w14:paraId="2A8A16A6">
                  <w:pPr>
                    <w:spacing w:line="276" w:lineRule="auto"/>
                    <w:jc w:val="center"/>
                    <w:rPr>
                      <w:color w:val="auto"/>
                      <w:szCs w:val="21"/>
                      <w:highlight w:val="none"/>
                    </w:rPr>
                  </w:pPr>
                  <w:r>
                    <w:rPr>
                      <w:rFonts w:hint="eastAsia"/>
                      <w:color w:val="auto"/>
                      <w:szCs w:val="21"/>
                      <w:highlight w:val="none"/>
                    </w:rPr>
                    <w:t>符合</w:t>
                  </w:r>
                </w:p>
              </w:tc>
            </w:tr>
            <w:tr w14:paraId="269C23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422" w:type="pct"/>
                  <w:tcBorders>
                    <w:top w:val="single" w:color="auto" w:sz="4" w:space="0"/>
                    <w:left w:val="nil"/>
                    <w:bottom w:val="single" w:color="auto" w:sz="12" w:space="0"/>
                    <w:right w:val="single" w:color="auto" w:sz="4" w:space="0"/>
                  </w:tcBorders>
                  <w:vAlign w:val="center"/>
                </w:tcPr>
                <w:p w14:paraId="41C92443">
                  <w:pPr>
                    <w:spacing w:line="276" w:lineRule="auto"/>
                    <w:jc w:val="center"/>
                    <w:rPr>
                      <w:color w:val="auto"/>
                      <w:szCs w:val="21"/>
                      <w:highlight w:val="none"/>
                    </w:rPr>
                  </w:pPr>
                  <w:r>
                    <w:rPr>
                      <w:color w:val="auto"/>
                      <w:szCs w:val="21"/>
                      <w:highlight w:val="none"/>
                    </w:rPr>
                    <w:t>2</w:t>
                  </w:r>
                </w:p>
              </w:tc>
              <w:tc>
                <w:tcPr>
                  <w:tcW w:w="2083" w:type="pct"/>
                  <w:tcBorders>
                    <w:top w:val="single" w:color="auto" w:sz="4" w:space="0"/>
                    <w:left w:val="single" w:color="auto" w:sz="4" w:space="0"/>
                    <w:bottom w:val="single" w:color="auto" w:sz="12" w:space="0"/>
                    <w:right w:val="single" w:color="auto" w:sz="4" w:space="0"/>
                  </w:tcBorders>
                  <w:vAlign w:val="center"/>
                </w:tcPr>
                <w:p w14:paraId="303F904E">
                  <w:pPr>
                    <w:spacing w:line="276" w:lineRule="auto"/>
                    <w:jc w:val="center"/>
                    <w:rPr>
                      <w:color w:val="auto"/>
                      <w:szCs w:val="21"/>
                      <w:highlight w:val="none"/>
                      <w:shd w:val="clear" w:color="auto" w:fill="FFFFFF"/>
                    </w:rPr>
                  </w:pPr>
                  <w:r>
                    <w:rPr>
                      <w:rFonts w:hint="eastAsia" w:hAnsi="宋体"/>
                      <w:color w:val="auto"/>
                      <w:szCs w:val="21"/>
                      <w:highlight w:val="none"/>
                    </w:rPr>
                    <w:t>着力打好臭氧污染防治攻坚战。聚焦夏秋季臭氧污染，大力推进挥发性有机物和氮氧化物协同减排</w:t>
                  </w:r>
                </w:p>
              </w:tc>
              <w:tc>
                <w:tcPr>
                  <w:tcW w:w="1915" w:type="pct"/>
                  <w:tcBorders>
                    <w:top w:val="single" w:color="auto" w:sz="4" w:space="0"/>
                    <w:left w:val="single" w:color="auto" w:sz="4" w:space="0"/>
                    <w:bottom w:val="single" w:color="auto" w:sz="12" w:space="0"/>
                    <w:right w:val="single" w:color="auto" w:sz="4" w:space="0"/>
                  </w:tcBorders>
                  <w:vAlign w:val="center"/>
                </w:tcPr>
                <w:p w14:paraId="6A569DBA">
                  <w:pPr>
                    <w:pStyle w:val="8"/>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rPr>
                    <w:t>本</w:t>
                  </w:r>
                  <w:r>
                    <w:rPr>
                      <w:rFonts w:hint="eastAsia"/>
                      <w:color w:val="auto"/>
                      <w:kern w:val="0"/>
                      <w:szCs w:val="21"/>
                      <w:highlight w:val="none"/>
                      <w:lang w:val="en-US" w:eastAsia="zh-CN"/>
                    </w:rPr>
                    <w:t>次改建项目，新增丙烷及乙烷</w:t>
                  </w:r>
                  <w:r>
                    <w:rPr>
                      <w:rFonts w:hint="eastAsia"/>
                      <w:color w:val="auto"/>
                      <w:kern w:val="0"/>
                      <w:szCs w:val="21"/>
                      <w:highlight w:val="none"/>
                    </w:rPr>
                    <w:t>充装</w:t>
                  </w:r>
                  <w:r>
                    <w:rPr>
                      <w:rFonts w:hint="eastAsia"/>
                      <w:color w:val="auto"/>
                      <w:kern w:val="0"/>
                      <w:szCs w:val="21"/>
                      <w:highlight w:val="none"/>
                      <w:lang w:eastAsia="zh-CN"/>
                    </w:rPr>
                    <w:t>，</w:t>
                  </w:r>
                  <w:r>
                    <w:rPr>
                      <w:rFonts w:hint="eastAsia"/>
                      <w:color w:val="auto"/>
                      <w:kern w:val="0"/>
                      <w:szCs w:val="21"/>
                      <w:highlight w:val="none"/>
                      <w:lang w:val="en-US" w:eastAsia="zh-CN"/>
                    </w:rPr>
                    <w:t>充装</w:t>
                  </w:r>
                  <w:r>
                    <w:rPr>
                      <w:rFonts w:hint="eastAsia"/>
                      <w:color w:val="auto"/>
                      <w:kern w:val="0"/>
                      <w:szCs w:val="21"/>
                      <w:highlight w:val="none"/>
                    </w:rPr>
                    <w:t>过程设备及管线均封闭，正常工况下不涉及废气排放</w:t>
                  </w:r>
                  <w:r>
                    <w:rPr>
                      <w:rFonts w:hint="eastAsia"/>
                      <w:color w:val="auto"/>
                      <w:kern w:val="0"/>
                      <w:szCs w:val="21"/>
                      <w:highlight w:val="none"/>
                      <w:lang w:eastAsia="zh-CN"/>
                    </w:rPr>
                    <w:t>，</w:t>
                  </w:r>
                  <w:r>
                    <w:rPr>
                      <w:rFonts w:hint="eastAsia"/>
                      <w:color w:val="auto"/>
                      <w:kern w:val="0"/>
                      <w:szCs w:val="21"/>
                      <w:highlight w:val="none"/>
                      <w:lang w:val="en-US" w:eastAsia="zh-CN"/>
                    </w:rPr>
                    <w:t>不新增废气。</w:t>
                  </w:r>
                </w:p>
              </w:tc>
              <w:tc>
                <w:tcPr>
                  <w:tcW w:w="580" w:type="pct"/>
                  <w:tcBorders>
                    <w:top w:val="single" w:color="auto" w:sz="4" w:space="0"/>
                    <w:left w:val="single" w:color="auto" w:sz="4" w:space="0"/>
                    <w:bottom w:val="single" w:color="auto" w:sz="12" w:space="0"/>
                    <w:right w:val="nil"/>
                  </w:tcBorders>
                  <w:vAlign w:val="center"/>
                </w:tcPr>
                <w:p w14:paraId="62D47E29">
                  <w:pPr>
                    <w:spacing w:line="276" w:lineRule="auto"/>
                    <w:jc w:val="center"/>
                    <w:rPr>
                      <w:color w:val="auto"/>
                      <w:szCs w:val="21"/>
                      <w:highlight w:val="none"/>
                    </w:rPr>
                  </w:pPr>
                  <w:r>
                    <w:rPr>
                      <w:rFonts w:hint="eastAsia"/>
                      <w:color w:val="auto"/>
                      <w:szCs w:val="21"/>
                      <w:highlight w:val="none"/>
                    </w:rPr>
                    <w:t>符合</w:t>
                  </w:r>
                </w:p>
              </w:tc>
            </w:tr>
          </w:tbl>
          <w:p w14:paraId="2E2502CA">
            <w:pPr>
              <w:wordWrap w:val="0"/>
              <w:spacing w:line="360" w:lineRule="auto"/>
              <w:ind w:firstLine="480" w:firstLineChars="200"/>
              <w:rPr>
                <w:rFonts w:hAnsi="宋体"/>
                <w:color w:val="auto"/>
                <w:sz w:val="24"/>
                <w:highlight w:val="none"/>
              </w:rPr>
            </w:pPr>
            <w:r>
              <w:rPr>
                <w:rFonts w:hint="eastAsia" w:hAnsi="宋体"/>
                <w:color w:val="auto"/>
                <w:sz w:val="24"/>
                <w:highlight w:val="none"/>
              </w:rPr>
              <w:t>（</w:t>
            </w:r>
            <w:r>
              <w:rPr>
                <w:rFonts w:hint="eastAsia" w:hAnsi="宋体"/>
                <w:color w:val="auto"/>
                <w:sz w:val="24"/>
                <w:highlight w:val="none"/>
                <w:lang w:val="en-US" w:eastAsia="zh-CN"/>
              </w:rPr>
              <w:t>2</w:t>
            </w:r>
            <w:r>
              <w:rPr>
                <w:rFonts w:hint="eastAsia" w:hAnsi="宋体"/>
                <w:color w:val="auto"/>
                <w:sz w:val="24"/>
                <w:highlight w:val="none"/>
              </w:rPr>
              <w:t>）与《挥发性有机物无组织排放控制标准》（GB37822-2019）相符性分析</w:t>
            </w:r>
          </w:p>
          <w:p w14:paraId="55D5E67F">
            <w:pPr>
              <w:autoSpaceDE w:val="0"/>
              <w:autoSpaceDN w:val="0"/>
              <w:adjustRightInd w:val="0"/>
              <w:snapToGrid w:val="0"/>
              <w:jc w:val="center"/>
              <w:rPr>
                <w:rFonts w:hAnsi="黑体" w:eastAsia="黑体"/>
                <w:color w:val="auto"/>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1-5</w:t>
            </w:r>
            <w:r>
              <w:rPr>
                <w:rFonts w:hAnsi="黑体" w:eastAsia="黑体"/>
                <w:color w:val="auto"/>
                <w:sz w:val="24"/>
                <w:szCs w:val="24"/>
                <w:highlight w:val="none"/>
              </w:rPr>
              <w:t xml:space="preserve"> </w:t>
            </w:r>
            <w:r>
              <w:rPr>
                <w:rFonts w:hint="eastAsia" w:hAnsi="黑体" w:eastAsia="黑体"/>
                <w:color w:val="auto"/>
                <w:sz w:val="24"/>
                <w:szCs w:val="24"/>
                <w:highlight w:val="none"/>
              </w:rPr>
              <w:t>项目与《挥发性有机物无组织排放控制标准》（GB37822-2019）相符性分析</w:t>
            </w:r>
          </w:p>
          <w:tbl>
            <w:tblPr>
              <w:tblStyle w:val="36"/>
              <w:tblW w:w="0" w:type="auto"/>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582"/>
              <w:gridCol w:w="3605"/>
              <w:gridCol w:w="2794"/>
              <w:gridCol w:w="910"/>
            </w:tblGrid>
            <w:tr w14:paraId="471433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87" w:type="dxa"/>
                  <w:vAlign w:val="center"/>
                </w:tcPr>
                <w:p w14:paraId="31701C2D">
                  <w:pPr>
                    <w:wordWrap w:val="0"/>
                    <w:spacing w:line="276" w:lineRule="auto"/>
                    <w:jc w:val="center"/>
                    <w:rPr>
                      <w:rFonts w:hAnsi="宋体"/>
                      <w:b/>
                      <w:color w:val="auto"/>
                      <w:szCs w:val="21"/>
                      <w:highlight w:val="none"/>
                    </w:rPr>
                  </w:pPr>
                  <w:r>
                    <w:rPr>
                      <w:rFonts w:hint="eastAsia" w:hAnsi="宋体"/>
                      <w:b/>
                      <w:color w:val="auto"/>
                      <w:szCs w:val="21"/>
                      <w:highlight w:val="none"/>
                    </w:rPr>
                    <w:t>序号</w:t>
                  </w:r>
                </w:p>
              </w:tc>
              <w:tc>
                <w:tcPr>
                  <w:tcW w:w="3685" w:type="dxa"/>
                  <w:vAlign w:val="center"/>
                </w:tcPr>
                <w:p w14:paraId="6A74FD7E">
                  <w:pPr>
                    <w:wordWrap w:val="0"/>
                    <w:spacing w:line="276" w:lineRule="auto"/>
                    <w:jc w:val="center"/>
                    <w:rPr>
                      <w:rFonts w:hAnsi="宋体"/>
                      <w:b/>
                      <w:color w:val="auto"/>
                      <w:szCs w:val="21"/>
                      <w:highlight w:val="none"/>
                    </w:rPr>
                  </w:pPr>
                  <w:r>
                    <w:rPr>
                      <w:rFonts w:hint="eastAsia" w:hAnsi="宋体"/>
                      <w:b/>
                      <w:color w:val="auto"/>
                      <w:szCs w:val="21"/>
                      <w:highlight w:val="none"/>
                    </w:rPr>
                    <w:t>相关要求</w:t>
                  </w:r>
                </w:p>
              </w:tc>
              <w:tc>
                <w:tcPr>
                  <w:tcW w:w="2857" w:type="dxa"/>
                  <w:vAlign w:val="center"/>
                </w:tcPr>
                <w:p w14:paraId="0ED2A194">
                  <w:pPr>
                    <w:wordWrap w:val="0"/>
                    <w:spacing w:line="276" w:lineRule="auto"/>
                    <w:jc w:val="center"/>
                    <w:rPr>
                      <w:rFonts w:hAnsi="宋体"/>
                      <w:b/>
                      <w:color w:val="auto"/>
                      <w:szCs w:val="21"/>
                      <w:highlight w:val="none"/>
                    </w:rPr>
                  </w:pPr>
                  <w:r>
                    <w:rPr>
                      <w:rFonts w:hint="eastAsia" w:hAnsi="宋体"/>
                      <w:b/>
                      <w:color w:val="auto"/>
                      <w:szCs w:val="21"/>
                      <w:highlight w:val="none"/>
                    </w:rPr>
                    <w:t>本项目情况</w:t>
                  </w:r>
                </w:p>
              </w:tc>
              <w:tc>
                <w:tcPr>
                  <w:tcW w:w="924" w:type="dxa"/>
                  <w:vAlign w:val="center"/>
                </w:tcPr>
                <w:p w14:paraId="2D7B1B18">
                  <w:pPr>
                    <w:wordWrap w:val="0"/>
                    <w:spacing w:line="276" w:lineRule="auto"/>
                    <w:jc w:val="center"/>
                    <w:rPr>
                      <w:rFonts w:hAnsi="宋体"/>
                      <w:b/>
                      <w:color w:val="auto"/>
                      <w:szCs w:val="21"/>
                      <w:highlight w:val="none"/>
                    </w:rPr>
                  </w:pPr>
                  <w:r>
                    <w:rPr>
                      <w:rFonts w:hint="eastAsia" w:hAnsi="宋体"/>
                      <w:b/>
                      <w:color w:val="auto"/>
                      <w:szCs w:val="21"/>
                      <w:highlight w:val="none"/>
                    </w:rPr>
                    <w:t>符合性分析</w:t>
                  </w:r>
                </w:p>
              </w:tc>
            </w:tr>
            <w:tr w14:paraId="747496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87" w:type="dxa"/>
                  <w:vAlign w:val="center"/>
                </w:tcPr>
                <w:p w14:paraId="25967A16">
                  <w:pPr>
                    <w:wordWrap w:val="0"/>
                    <w:spacing w:line="276" w:lineRule="auto"/>
                    <w:jc w:val="center"/>
                    <w:rPr>
                      <w:rFonts w:hAnsi="宋体"/>
                      <w:color w:val="auto"/>
                      <w:szCs w:val="21"/>
                      <w:highlight w:val="none"/>
                    </w:rPr>
                  </w:pPr>
                  <w:r>
                    <w:rPr>
                      <w:rFonts w:hint="eastAsia" w:hAnsi="宋体"/>
                      <w:color w:val="auto"/>
                      <w:szCs w:val="21"/>
                      <w:highlight w:val="none"/>
                    </w:rPr>
                    <w:t>1</w:t>
                  </w:r>
                </w:p>
              </w:tc>
              <w:tc>
                <w:tcPr>
                  <w:tcW w:w="3685" w:type="dxa"/>
                  <w:vAlign w:val="center"/>
                </w:tcPr>
                <w:p w14:paraId="48D89016">
                  <w:pPr>
                    <w:autoSpaceDE w:val="0"/>
                    <w:autoSpaceDN w:val="0"/>
                    <w:adjustRightInd w:val="0"/>
                    <w:spacing w:line="276" w:lineRule="auto"/>
                    <w:jc w:val="center"/>
                    <w:rPr>
                      <w:rFonts w:hAnsi="宋体"/>
                      <w:color w:val="auto"/>
                      <w:szCs w:val="21"/>
                      <w:highlight w:val="none"/>
                    </w:rPr>
                  </w:pPr>
                  <w:r>
                    <w:rPr>
                      <w:rFonts w:hint="eastAsia" w:hAnsi="宋体"/>
                      <w:color w:val="auto"/>
                      <w:szCs w:val="21"/>
                      <w:highlight w:val="none"/>
                      <w:shd w:val="clear" w:color="auto" w:fill="FFFFFF"/>
                    </w:rPr>
                    <w:t>暂存：</w:t>
                  </w:r>
                  <w:r>
                    <w:rPr>
                      <w:rFonts w:hAnsi="宋体"/>
                      <w:color w:val="auto"/>
                      <w:szCs w:val="21"/>
                      <w:highlight w:val="none"/>
                      <w:shd w:val="clear" w:color="auto" w:fill="FFFFFF"/>
                    </w:rPr>
                    <w:t>VOCs</w:t>
                  </w:r>
                  <w:r>
                    <w:rPr>
                      <w:rFonts w:hint="eastAsia" w:hAnsi="宋体"/>
                      <w:color w:val="auto"/>
                      <w:szCs w:val="21"/>
                      <w:highlight w:val="none"/>
                      <w:shd w:val="clear" w:color="auto" w:fill="FFFFFF"/>
                    </w:rPr>
                    <w:t>物料应储存于密闭的储罐、储库中。</w:t>
                  </w:r>
                  <w:r>
                    <w:rPr>
                      <w:rFonts w:hAnsi="宋体"/>
                      <w:color w:val="auto"/>
                      <w:szCs w:val="21"/>
                      <w:highlight w:val="none"/>
                      <w:shd w:val="clear" w:color="auto" w:fill="FFFFFF"/>
                    </w:rPr>
                    <w:t>VOCs</w:t>
                  </w:r>
                  <w:r>
                    <w:rPr>
                      <w:rFonts w:hint="eastAsia" w:hAnsi="宋体"/>
                      <w:color w:val="auto"/>
                      <w:szCs w:val="21"/>
                      <w:highlight w:val="none"/>
                      <w:shd w:val="clear" w:color="auto" w:fill="FFFFFF"/>
                    </w:rPr>
                    <w:t>物料储罐应密封良好，采用固定顶罐，排放的废气应收集处理，处理效率不低于</w:t>
                  </w:r>
                  <w:r>
                    <w:rPr>
                      <w:rFonts w:hAnsi="宋体"/>
                      <w:color w:val="auto"/>
                      <w:szCs w:val="21"/>
                      <w:highlight w:val="none"/>
                      <w:shd w:val="clear" w:color="auto" w:fill="FFFFFF"/>
                    </w:rPr>
                    <w:t>90%</w:t>
                  </w:r>
                  <w:r>
                    <w:rPr>
                      <w:rFonts w:hint="eastAsia" w:hAnsi="宋体"/>
                      <w:color w:val="auto"/>
                      <w:szCs w:val="21"/>
                      <w:highlight w:val="none"/>
                      <w:shd w:val="clear" w:color="auto" w:fill="FFFFFF"/>
                    </w:rPr>
                    <w:t>。</w:t>
                  </w:r>
                  <w:r>
                    <w:rPr>
                      <w:rFonts w:hAnsi="宋体"/>
                      <w:color w:val="auto"/>
                      <w:szCs w:val="21"/>
                      <w:highlight w:val="none"/>
                      <w:shd w:val="clear" w:color="auto" w:fill="FFFFFF"/>
                    </w:rPr>
                    <w:t>VOCs</w:t>
                  </w:r>
                  <w:r>
                    <w:rPr>
                      <w:rFonts w:hint="eastAsia" w:hAnsi="宋体"/>
                      <w:color w:val="auto"/>
                      <w:szCs w:val="21"/>
                      <w:highlight w:val="none"/>
                      <w:shd w:val="clear" w:color="auto" w:fill="FFFFFF"/>
                    </w:rPr>
                    <w:t>物料应利用完整的围护结构将污染物质与周围空间阻隔，该封闭区域除人员、车辆、设备、物料进出时随时保持关闭状态。</w:t>
                  </w:r>
                  <w:r>
                    <w:rPr>
                      <w:rFonts w:hint="eastAsia" w:hAnsi="宋体"/>
                      <w:color w:val="auto"/>
                      <w:kern w:val="0"/>
                      <w:szCs w:val="21"/>
                      <w:highlight w:val="none"/>
                      <w:shd w:val="clear" w:color="auto" w:fill="FFFFFF"/>
                    </w:rPr>
                    <w:t>盛装</w:t>
                  </w:r>
                  <w:r>
                    <w:rPr>
                      <w:rFonts w:hAnsi="宋体"/>
                      <w:color w:val="auto"/>
                      <w:kern w:val="0"/>
                      <w:szCs w:val="21"/>
                      <w:highlight w:val="none"/>
                      <w:shd w:val="clear" w:color="auto" w:fill="FFFFFF"/>
                    </w:rPr>
                    <w:t>VOCs</w:t>
                  </w:r>
                  <w:r>
                    <w:rPr>
                      <w:rFonts w:hint="eastAsia" w:hAnsi="宋体"/>
                      <w:color w:val="auto"/>
                      <w:kern w:val="0"/>
                      <w:szCs w:val="21"/>
                      <w:highlight w:val="none"/>
                      <w:shd w:val="clear" w:color="auto" w:fill="FFFFFF"/>
                    </w:rPr>
                    <w:t>物料的容器或包装袋应存放于室内，或存放于设置有雨棚、遮阳和防渗设施的专用场地。盛装</w:t>
                  </w:r>
                  <w:r>
                    <w:rPr>
                      <w:rFonts w:hAnsi="宋体"/>
                      <w:color w:val="auto"/>
                      <w:kern w:val="0"/>
                      <w:szCs w:val="21"/>
                      <w:highlight w:val="none"/>
                      <w:shd w:val="clear" w:color="auto" w:fill="FFFFFF"/>
                    </w:rPr>
                    <w:t>VOCs</w:t>
                  </w:r>
                  <w:r>
                    <w:rPr>
                      <w:rFonts w:hint="eastAsia" w:hAnsi="宋体"/>
                      <w:color w:val="auto"/>
                      <w:kern w:val="0"/>
                      <w:szCs w:val="21"/>
                      <w:highlight w:val="none"/>
                      <w:shd w:val="clear" w:color="auto" w:fill="FFFFFF"/>
                    </w:rPr>
                    <w:t>物料的容器或包装袋在非取用状态时应加盖、封口，保持密闭。</w:t>
                  </w:r>
                </w:p>
              </w:tc>
              <w:tc>
                <w:tcPr>
                  <w:tcW w:w="2857" w:type="dxa"/>
                  <w:vAlign w:val="center"/>
                </w:tcPr>
                <w:p w14:paraId="31F50A98">
                  <w:pPr>
                    <w:wordWrap w:val="0"/>
                    <w:spacing w:line="276" w:lineRule="auto"/>
                    <w:jc w:val="center"/>
                    <w:rPr>
                      <w:rFonts w:hint="default" w:hAnsi="宋体" w:eastAsia="宋体"/>
                      <w:color w:val="auto"/>
                      <w:szCs w:val="21"/>
                      <w:highlight w:val="none"/>
                      <w:lang w:val="en-US" w:eastAsia="zh-CN"/>
                    </w:rPr>
                  </w:pPr>
                  <w:r>
                    <w:rPr>
                      <w:rFonts w:hint="eastAsia" w:hAnsi="宋体"/>
                      <w:color w:val="auto"/>
                      <w:szCs w:val="21"/>
                      <w:highlight w:val="none"/>
                    </w:rPr>
                    <w:t>本项目</w:t>
                  </w:r>
                  <w:r>
                    <w:rPr>
                      <w:rFonts w:hint="eastAsia" w:hAnsi="宋体"/>
                      <w:color w:val="auto"/>
                      <w:szCs w:val="21"/>
                      <w:highlight w:val="none"/>
                      <w:lang w:val="en-US" w:eastAsia="zh-CN"/>
                    </w:rPr>
                    <w:t>新增丙烷及丁烷仓储及充装，丙烷及丁烷</w:t>
                  </w:r>
                  <w:r>
                    <w:rPr>
                      <w:rFonts w:hint="eastAsia" w:hAnsi="宋体"/>
                      <w:color w:val="auto"/>
                      <w:szCs w:val="21"/>
                      <w:highlight w:val="none"/>
                    </w:rPr>
                    <w:t>卸车后储存于密闭的储罐内，装卸设备及管道均密闭良好；</w:t>
                  </w:r>
                  <w:r>
                    <w:rPr>
                      <w:rFonts w:hint="eastAsia" w:hAnsi="宋体"/>
                      <w:color w:val="auto"/>
                      <w:szCs w:val="21"/>
                      <w:highlight w:val="none"/>
                      <w:lang w:val="en-US" w:eastAsia="zh-CN"/>
                    </w:rPr>
                    <w:t>丙烷及丁烷充装管线均为密闭管道；</w:t>
                  </w:r>
                  <w:r>
                    <w:rPr>
                      <w:rFonts w:hint="eastAsia" w:hAnsi="宋体"/>
                      <w:color w:val="auto"/>
                      <w:szCs w:val="21"/>
                      <w:highlight w:val="none"/>
                    </w:rPr>
                    <w:t>充装后载有</w:t>
                  </w:r>
                  <w:r>
                    <w:rPr>
                      <w:rFonts w:hint="eastAsia" w:hAnsi="宋体"/>
                      <w:color w:val="auto"/>
                      <w:szCs w:val="21"/>
                      <w:highlight w:val="none"/>
                      <w:lang w:val="en-US" w:eastAsia="zh-CN"/>
                    </w:rPr>
                    <w:t>丙烷及丁烷</w:t>
                  </w:r>
                  <w:r>
                    <w:rPr>
                      <w:rFonts w:hint="eastAsia" w:hAnsi="宋体"/>
                      <w:color w:val="auto"/>
                      <w:szCs w:val="21"/>
                      <w:highlight w:val="none"/>
                    </w:rPr>
                    <w:t>物料的</w:t>
                  </w:r>
                  <w:r>
                    <w:rPr>
                      <w:rFonts w:hint="eastAsia" w:hAnsi="宋体"/>
                      <w:color w:val="auto"/>
                      <w:szCs w:val="21"/>
                      <w:highlight w:val="none"/>
                      <w:lang w:val="en-US" w:eastAsia="zh-CN"/>
                    </w:rPr>
                    <w:t>钢制气瓶部分直接出售，小部分</w:t>
                  </w:r>
                  <w:r>
                    <w:rPr>
                      <w:rFonts w:hint="eastAsia" w:hAnsi="宋体"/>
                      <w:color w:val="auto"/>
                      <w:szCs w:val="21"/>
                      <w:highlight w:val="none"/>
                    </w:rPr>
                    <w:t>存放于</w:t>
                  </w:r>
                  <w:r>
                    <w:rPr>
                      <w:rFonts w:hint="eastAsia" w:hAnsi="宋体"/>
                      <w:color w:val="auto"/>
                      <w:szCs w:val="21"/>
                      <w:highlight w:val="none"/>
                      <w:lang w:val="en-US" w:eastAsia="zh-CN"/>
                    </w:rPr>
                    <w:t>1#仓库及库棚</w:t>
                  </w:r>
                  <w:r>
                    <w:rPr>
                      <w:rFonts w:hint="eastAsia" w:hAnsi="宋体"/>
                      <w:color w:val="auto"/>
                      <w:szCs w:val="21"/>
                      <w:highlight w:val="none"/>
                    </w:rPr>
                    <w:t>内</w:t>
                  </w:r>
                  <w:r>
                    <w:rPr>
                      <w:rFonts w:hint="eastAsia" w:hAnsi="宋体"/>
                      <w:color w:val="auto"/>
                      <w:szCs w:val="21"/>
                      <w:highlight w:val="none"/>
                      <w:lang w:eastAsia="zh-CN"/>
                    </w:rPr>
                    <w:t>、</w:t>
                  </w:r>
                  <w:r>
                    <w:rPr>
                      <w:rFonts w:hint="eastAsia" w:hAnsi="宋体"/>
                      <w:color w:val="auto"/>
                      <w:szCs w:val="21"/>
                      <w:highlight w:val="none"/>
                    </w:rPr>
                    <w:t>待出售。</w:t>
                  </w:r>
                  <w:r>
                    <w:rPr>
                      <w:rFonts w:hint="eastAsia" w:hAnsi="宋体"/>
                      <w:color w:val="auto"/>
                      <w:szCs w:val="21"/>
                      <w:highlight w:val="none"/>
                      <w:lang w:val="en-US" w:eastAsia="zh-CN"/>
                    </w:rPr>
                    <w:t>改建后，乙烯</w:t>
                  </w:r>
                  <w:r>
                    <w:rPr>
                      <w:rFonts w:hint="eastAsia" w:hAnsi="宋体"/>
                      <w:color w:val="auto"/>
                      <w:szCs w:val="21"/>
                      <w:highlight w:val="none"/>
                    </w:rPr>
                    <w:t>卸车后</w:t>
                  </w:r>
                  <w:r>
                    <w:rPr>
                      <w:rFonts w:hint="eastAsia" w:hAnsi="宋体"/>
                      <w:color w:val="auto"/>
                      <w:szCs w:val="21"/>
                      <w:highlight w:val="none"/>
                      <w:lang w:val="en-US" w:eastAsia="zh-CN"/>
                    </w:rPr>
                    <w:t>仍</w:t>
                  </w:r>
                  <w:r>
                    <w:rPr>
                      <w:rFonts w:hint="eastAsia" w:hAnsi="宋体"/>
                      <w:color w:val="auto"/>
                      <w:szCs w:val="21"/>
                      <w:highlight w:val="none"/>
                    </w:rPr>
                    <w:t>储存于密闭的储罐内，装卸设备及管道均密闭良好</w:t>
                  </w:r>
                  <w:r>
                    <w:rPr>
                      <w:rFonts w:hint="eastAsia" w:hAnsi="宋体"/>
                      <w:color w:val="auto"/>
                      <w:szCs w:val="21"/>
                      <w:highlight w:val="none"/>
                      <w:lang w:eastAsia="zh-CN"/>
                    </w:rPr>
                    <w:t>，</w:t>
                  </w:r>
                  <w:r>
                    <w:rPr>
                      <w:rFonts w:hint="eastAsia" w:hAnsi="宋体"/>
                      <w:color w:val="auto"/>
                      <w:szCs w:val="21"/>
                      <w:highlight w:val="none"/>
                      <w:lang w:val="en-US" w:eastAsia="zh-CN"/>
                    </w:rPr>
                    <w:t>充装管线均为密闭管道，乙烯钢瓶部分直接出售，小部分</w:t>
                  </w:r>
                  <w:r>
                    <w:rPr>
                      <w:rFonts w:hint="eastAsia" w:hAnsi="宋体"/>
                      <w:color w:val="auto"/>
                      <w:szCs w:val="21"/>
                      <w:highlight w:val="none"/>
                    </w:rPr>
                    <w:t>存放于</w:t>
                  </w:r>
                  <w:r>
                    <w:rPr>
                      <w:rFonts w:hint="eastAsia" w:hAnsi="宋体"/>
                      <w:color w:val="auto"/>
                      <w:szCs w:val="21"/>
                      <w:highlight w:val="none"/>
                      <w:lang w:val="en-US" w:eastAsia="zh-CN"/>
                    </w:rPr>
                    <w:t>1#仓库及库棚</w:t>
                  </w:r>
                  <w:r>
                    <w:rPr>
                      <w:rFonts w:hint="eastAsia" w:hAnsi="宋体"/>
                      <w:color w:val="auto"/>
                      <w:szCs w:val="21"/>
                      <w:highlight w:val="none"/>
                    </w:rPr>
                    <w:t>内</w:t>
                  </w:r>
                  <w:r>
                    <w:rPr>
                      <w:rFonts w:hint="eastAsia" w:hAnsi="宋体"/>
                      <w:color w:val="auto"/>
                      <w:szCs w:val="21"/>
                      <w:highlight w:val="none"/>
                      <w:lang w:eastAsia="zh-CN"/>
                    </w:rPr>
                    <w:t>、</w:t>
                  </w:r>
                  <w:r>
                    <w:rPr>
                      <w:rFonts w:hint="eastAsia" w:hAnsi="宋体"/>
                      <w:color w:val="auto"/>
                      <w:szCs w:val="21"/>
                      <w:highlight w:val="none"/>
                    </w:rPr>
                    <w:t>待出售。</w:t>
                  </w:r>
                </w:p>
              </w:tc>
              <w:tc>
                <w:tcPr>
                  <w:tcW w:w="924" w:type="dxa"/>
                  <w:vAlign w:val="center"/>
                </w:tcPr>
                <w:p w14:paraId="605F79E2">
                  <w:pPr>
                    <w:wordWrap w:val="0"/>
                    <w:spacing w:line="276" w:lineRule="auto"/>
                    <w:jc w:val="center"/>
                    <w:rPr>
                      <w:rFonts w:hAnsi="宋体"/>
                      <w:color w:val="auto"/>
                      <w:szCs w:val="21"/>
                      <w:highlight w:val="none"/>
                    </w:rPr>
                  </w:pPr>
                  <w:r>
                    <w:rPr>
                      <w:rFonts w:hint="eastAsia" w:hAnsi="宋体"/>
                      <w:color w:val="auto"/>
                      <w:szCs w:val="21"/>
                      <w:highlight w:val="none"/>
                    </w:rPr>
                    <w:t>符合</w:t>
                  </w:r>
                </w:p>
              </w:tc>
            </w:tr>
            <w:tr w14:paraId="4F0AFE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87" w:type="dxa"/>
                  <w:vAlign w:val="center"/>
                </w:tcPr>
                <w:p w14:paraId="450266D6">
                  <w:pPr>
                    <w:wordWrap w:val="0"/>
                    <w:spacing w:line="276" w:lineRule="auto"/>
                    <w:jc w:val="center"/>
                    <w:rPr>
                      <w:rFonts w:hAnsi="宋体"/>
                      <w:color w:val="auto"/>
                      <w:szCs w:val="21"/>
                      <w:highlight w:val="none"/>
                    </w:rPr>
                  </w:pPr>
                  <w:r>
                    <w:rPr>
                      <w:rFonts w:hint="eastAsia" w:hAnsi="宋体"/>
                      <w:color w:val="auto"/>
                      <w:szCs w:val="21"/>
                      <w:highlight w:val="none"/>
                    </w:rPr>
                    <w:t>2</w:t>
                  </w:r>
                </w:p>
              </w:tc>
              <w:tc>
                <w:tcPr>
                  <w:tcW w:w="3685" w:type="dxa"/>
                  <w:vAlign w:val="center"/>
                </w:tcPr>
                <w:p w14:paraId="6CAA6D9D">
                  <w:pPr>
                    <w:autoSpaceDE w:val="0"/>
                    <w:autoSpaceDN w:val="0"/>
                    <w:adjustRightInd w:val="0"/>
                    <w:spacing w:line="276" w:lineRule="auto"/>
                    <w:jc w:val="center"/>
                    <w:rPr>
                      <w:rFonts w:hAnsi="宋体"/>
                      <w:color w:val="auto"/>
                      <w:szCs w:val="21"/>
                      <w:highlight w:val="none"/>
                    </w:rPr>
                  </w:pPr>
                  <w:r>
                    <w:rPr>
                      <w:rFonts w:hint="eastAsia" w:hAnsi="宋体"/>
                      <w:color w:val="auto"/>
                      <w:szCs w:val="21"/>
                      <w:highlight w:val="none"/>
                      <w:shd w:val="clear" w:color="auto" w:fill="FFFFFF"/>
                    </w:rPr>
                    <w:t>生产：</w:t>
                  </w:r>
                  <w:r>
                    <w:rPr>
                      <w:rFonts w:hAnsi="宋体"/>
                      <w:color w:val="auto"/>
                      <w:szCs w:val="21"/>
                      <w:highlight w:val="none"/>
                      <w:shd w:val="clear" w:color="auto" w:fill="FFFFFF"/>
                    </w:rPr>
                    <w:t>VOCs</w:t>
                  </w:r>
                  <w:r>
                    <w:rPr>
                      <w:rFonts w:hint="eastAsia" w:hAnsi="宋体"/>
                      <w:color w:val="auto"/>
                      <w:szCs w:val="21"/>
                      <w:highlight w:val="none"/>
                      <w:shd w:val="clear" w:color="auto" w:fill="FFFFFF"/>
                    </w:rPr>
                    <w:t>质量占比大于等于</w:t>
                  </w:r>
                  <w:r>
                    <w:rPr>
                      <w:rFonts w:hAnsi="宋体"/>
                      <w:color w:val="auto"/>
                      <w:szCs w:val="21"/>
                      <w:highlight w:val="none"/>
                      <w:shd w:val="clear" w:color="auto" w:fill="FFFFFF"/>
                    </w:rPr>
                    <w:t>10%</w:t>
                  </w:r>
                  <w:r>
                    <w:rPr>
                      <w:rFonts w:hint="eastAsia" w:hAnsi="宋体"/>
                      <w:color w:val="auto"/>
                      <w:szCs w:val="21"/>
                      <w:highlight w:val="none"/>
                      <w:shd w:val="clear" w:color="auto" w:fill="FFFFFF"/>
                    </w:rPr>
                    <w:t>的含</w:t>
                  </w:r>
                  <w:r>
                    <w:rPr>
                      <w:rFonts w:hAnsi="宋体"/>
                      <w:color w:val="auto"/>
                      <w:szCs w:val="21"/>
                      <w:highlight w:val="none"/>
                      <w:shd w:val="clear" w:color="auto" w:fill="FFFFFF"/>
                    </w:rPr>
                    <w:t>VOCs</w:t>
                  </w:r>
                  <w:r>
                    <w:rPr>
                      <w:rFonts w:hint="eastAsia" w:hAnsi="宋体"/>
                      <w:color w:val="auto"/>
                      <w:szCs w:val="21"/>
                      <w:highlight w:val="none"/>
                      <w:shd w:val="clear" w:color="auto" w:fill="FFFFFF"/>
                    </w:rPr>
                    <w:t>产品，其使用过程中应采用密闭设备或在密闭空间内操作，废气应排至</w:t>
                  </w:r>
                  <w:r>
                    <w:rPr>
                      <w:rFonts w:hAnsi="宋体"/>
                      <w:color w:val="auto"/>
                      <w:szCs w:val="21"/>
                      <w:highlight w:val="none"/>
                      <w:shd w:val="clear" w:color="auto" w:fill="FFFFFF"/>
                    </w:rPr>
                    <w:t>VOCs</w:t>
                  </w:r>
                  <w:r>
                    <w:rPr>
                      <w:rFonts w:hint="eastAsia" w:hAnsi="宋体"/>
                      <w:color w:val="auto"/>
                      <w:szCs w:val="21"/>
                      <w:highlight w:val="none"/>
                      <w:shd w:val="clear" w:color="auto" w:fill="FFFFFF"/>
                    </w:rPr>
                    <w:t>废气收集处理系统；无法密闭的，应采取局部气体收集措施，废气应排至</w:t>
                  </w:r>
                  <w:r>
                    <w:rPr>
                      <w:rFonts w:hAnsi="宋体"/>
                      <w:color w:val="auto"/>
                      <w:szCs w:val="21"/>
                      <w:highlight w:val="none"/>
                      <w:shd w:val="clear" w:color="auto" w:fill="FFFFFF"/>
                    </w:rPr>
                    <w:t>VOCs</w:t>
                  </w:r>
                  <w:r>
                    <w:rPr>
                      <w:rFonts w:hint="eastAsia" w:hAnsi="宋体"/>
                      <w:color w:val="auto"/>
                      <w:szCs w:val="21"/>
                      <w:highlight w:val="none"/>
                      <w:shd w:val="clear" w:color="auto" w:fill="FFFFFF"/>
                    </w:rPr>
                    <w:t>废气收集处理系统。含</w:t>
                  </w:r>
                  <w:r>
                    <w:rPr>
                      <w:rFonts w:hAnsi="宋体"/>
                      <w:color w:val="auto"/>
                      <w:szCs w:val="21"/>
                      <w:highlight w:val="none"/>
                      <w:shd w:val="clear" w:color="auto" w:fill="FFFFFF"/>
                    </w:rPr>
                    <w:t>VOCs</w:t>
                  </w:r>
                  <w:r>
                    <w:rPr>
                      <w:rFonts w:hint="eastAsia" w:hAnsi="宋体"/>
                      <w:color w:val="auto"/>
                      <w:szCs w:val="21"/>
                      <w:highlight w:val="none"/>
                      <w:shd w:val="clear" w:color="auto" w:fill="FFFFFF"/>
                    </w:rPr>
                    <w:t>产品的使用过程包括但不限于以下作业：</w:t>
                  </w:r>
                  <w:r>
                    <w:rPr>
                      <w:rFonts w:hAnsi="宋体"/>
                      <w:color w:val="auto"/>
                      <w:szCs w:val="21"/>
                      <w:highlight w:val="none"/>
                      <w:shd w:val="clear" w:color="auto" w:fill="FFFFFF"/>
                    </w:rPr>
                    <w:t>a</w:t>
                  </w:r>
                  <w:r>
                    <w:rPr>
                      <w:rFonts w:hint="eastAsia" w:hAnsi="宋体"/>
                      <w:color w:val="auto"/>
                      <w:szCs w:val="21"/>
                      <w:highlight w:val="none"/>
                      <w:shd w:val="clear" w:color="auto" w:fill="FFFFFF"/>
                    </w:rPr>
                    <w:t>）调配（混合、搅拌等）；</w:t>
                  </w:r>
                  <w:r>
                    <w:rPr>
                      <w:rFonts w:hAnsi="宋体"/>
                      <w:color w:val="auto"/>
                      <w:kern w:val="0"/>
                      <w:szCs w:val="21"/>
                      <w:highlight w:val="none"/>
                      <w:shd w:val="clear" w:color="auto" w:fill="FFFFFF"/>
                    </w:rPr>
                    <w:t>b</w:t>
                  </w:r>
                  <w:r>
                    <w:rPr>
                      <w:rFonts w:hint="eastAsia" w:hAnsi="宋体"/>
                      <w:color w:val="auto"/>
                      <w:kern w:val="0"/>
                      <w:szCs w:val="21"/>
                      <w:highlight w:val="none"/>
                      <w:shd w:val="clear" w:color="auto" w:fill="FFFFFF"/>
                    </w:rPr>
                    <w:t>）涂装（喷涂、浸涂、淋涂、辊涂、刷涂、涂布等）。</w:t>
                  </w:r>
                </w:p>
              </w:tc>
              <w:tc>
                <w:tcPr>
                  <w:tcW w:w="2857" w:type="dxa"/>
                  <w:vAlign w:val="center"/>
                </w:tcPr>
                <w:p w14:paraId="7EF457F3">
                  <w:pPr>
                    <w:wordWrap w:val="0"/>
                    <w:spacing w:line="276" w:lineRule="auto"/>
                    <w:jc w:val="center"/>
                    <w:rPr>
                      <w:rFonts w:hAnsi="宋体"/>
                      <w:color w:val="auto"/>
                      <w:szCs w:val="21"/>
                      <w:highlight w:val="none"/>
                    </w:rPr>
                  </w:pPr>
                  <w:r>
                    <w:rPr>
                      <w:rFonts w:hint="eastAsia" w:hAnsi="宋体"/>
                      <w:color w:val="auto"/>
                      <w:szCs w:val="21"/>
                      <w:highlight w:val="none"/>
                    </w:rPr>
                    <w:t>本项目</w:t>
                  </w:r>
                  <w:r>
                    <w:rPr>
                      <w:rFonts w:hint="eastAsia" w:hAnsi="宋体"/>
                      <w:color w:val="auto"/>
                      <w:szCs w:val="21"/>
                      <w:highlight w:val="none"/>
                      <w:lang w:val="en-US" w:eastAsia="zh-CN"/>
                    </w:rPr>
                    <w:t>新增丙烷及丁烷仓储及充装，丙烷、丁烷</w:t>
                  </w:r>
                  <w:r>
                    <w:rPr>
                      <w:rFonts w:hint="eastAsia" w:hAnsi="宋体"/>
                      <w:color w:val="auto"/>
                      <w:szCs w:val="21"/>
                      <w:highlight w:val="none"/>
                    </w:rPr>
                    <w:t>充装过程中</w:t>
                  </w:r>
                  <w:r>
                    <w:rPr>
                      <w:rFonts w:hint="eastAsia" w:hAnsi="宋体"/>
                      <w:color w:val="auto"/>
                      <w:szCs w:val="21"/>
                      <w:highlight w:val="none"/>
                      <w:lang w:val="en-US" w:eastAsia="zh-CN"/>
                    </w:rPr>
                    <w:t>均</w:t>
                  </w:r>
                  <w:r>
                    <w:rPr>
                      <w:rFonts w:hint="eastAsia" w:hAnsi="宋体"/>
                      <w:color w:val="auto"/>
                      <w:szCs w:val="21"/>
                      <w:highlight w:val="none"/>
                    </w:rPr>
                    <w:t>采用密闭设备及管线，生产过程中无废气排放</w:t>
                  </w:r>
                  <w:r>
                    <w:rPr>
                      <w:rFonts w:hint="eastAsia" w:hAnsi="宋体"/>
                      <w:color w:val="auto"/>
                      <w:szCs w:val="21"/>
                      <w:highlight w:val="none"/>
                      <w:lang w:eastAsia="zh-CN"/>
                    </w:rPr>
                    <w:t>，</w:t>
                  </w:r>
                  <w:r>
                    <w:rPr>
                      <w:rFonts w:hint="eastAsia" w:hAnsi="宋体"/>
                      <w:color w:val="auto"/>
                      <w:szCs w:val="21"/>
                      <w:highlight w:val="none"/>
                      <w:lang w:val="en-US" w:eastAsia="zh-CN"/>
                    </w:rPr>
                    <w:t>不新增废气；改建后，乙烯</w:t>
                  </w:r>
                  <w:r>
                    <w:rPr>
                      <w:rFonts w:hint="eastAsia" w:hAnsi="宋体"/>
                      <w:color w:val="auto"/>
                      <w:szCs w:val="21"/>
                      <w:highlight w:val="none"/>
                    </w:rPr>
                    <w:t>卸车环节</w:t>
                  </w:r>
                  <w:r>
                    <w:rPr>
                      <w:rFonts w:hint="eastAsia" w:hAnsi="宋体"/>
                      <w:color w:val="auto"/>
                      <w:szCs w:val="21"/>
                      <w:highlight w:val="none"/>
                      <w:lang w:val="en-US" w:eastAsia="zh-CN"/>
                    </w:rPr>
                    <w:t>仍</w:t>
                  </w:r>
                  <w:r>
                    <w:rPr>
                      <w:rFonts w:hint="eastAsia" w:hAnsi="宋体"/>
                      <w:color w:val="auto"/>
                      <w:szCs w:val="21"/>
                      <w:highlight w:val="none"/>
                    </w:rPr>
                    <w:t>采用密闭卸车鹤管通过压差输送至低温储罐</w:t>
                  </w:r>
                  <w:r>
                    <w:rPr>
                      <w:rFonts w:hint="eastAsia" w:hAnsi="宋体"/>
                      <w:color w:val="auto"/>
                      <w:szCs w:val="21"/>
                      <w:highlight w:val="none"/>
                      <w:lang w:eastAsia="zh-CN"/>
                    </w:rPr>
                    <w:t>，</w:t>
                  </w:r>
                  <w:r>
                    <w:rPr>
                      <w:rFonts w:hint="eastAsia" w:hAnsi="宋体"/>
                      <w:color w:val="auto"/>
                      <w:szCs w:val="21"/>
                      <w:highlight w:val="none"/>
                    </w:rPr>
                    <w:t>充装时将储罐液相用泵抽出，通过密闭的室温气化器气化后再通过高压管道输送至充装汇流排。</w:t>
                  </w:r>
                </w:p>
              </w:tc>
              <w:tc>
                <w:tcPr>
                  <w:tcW w:w="924" w:type="dxa"/>
                  <w:vAlign w:val="center"/>
                </w:tcPr>
                <w:p w14:paraId="67A322EB">
                  <w:pPr>
                    <w:wordWrap w:val="0"/>
                    <w:spacing w:line="276" w:lineRule="auto"/>
                    <w:jc w:val="center"/>
                    <w:rPr>
                      <w:rFonts w:hAnsi="宋体"/>
                      <w:color w:val="auto"/>
                      <w:szCs w:val="21"/>
                      <w:highlight w:val="none"/>
                    </w:rPr>
                  </w:pPr>
                  <w:r>
                    <w:rPr>
                      <w:rFonts w:hint="eastAsia" w:hAnsi="宋体"/>
                      <w:color w:val="auto"/>
                      <w:szCs w:val="21"/>
                      <w:highlight w:val="none"/>
                    </w:rPr>
                    <w:t>符合</w:t>
                  </w:r>
                </w:p>
              </w:tc>
            </w:tr>
            <w:tr w14:paraId="6B06D9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587" w:type="dxa"/>
                  <w:vAlign w:val="center"/>
                </w:tcPr>
                <w:p w14:paraId="4CFD491E">
                  <w:pPr>
                    <w:wordWrap w:val="0"/>
                    <w:spacing w:line="276" w:lineRule="auto"/>
                    <w:jc w:val="center"/>
                    <w:rPr>
                      <w:rFonts w:hAnsi="宋体"/>
                      <w:color w:val="auto"/>
                      <w:szCs w:val="21"/>
                      <w:highlight w:val="none"/>
                    </w:rPr>
                  </w:pPr>
                  <w:r>
                    <w:rPr>
                      <w:rFonts w:hint="eastAsia" w:hAnsi="宋体"/>
                      <w:color w:val="auto"/>
                      <w:szCs w:val="21"/>
                      <w:highlight w:val="none"/>
                    </w:rPr>
                    <w:t>3</w:t>
                  </w:r>
                </w:p>
              </w:tc>
              <w:tc>
                <w:tcPr>
                  <w:tcW w:w="3685" w:type="dxa"/>
                  <w:vAlign w:val="center"/>
                </w:tcPr>
                <w:p w14:paraId="3A101ECD">
                  <w:pPr>
                    <w:wordWrap w:val="0"/>
                    <w:spacing w:line="276" w:lineRule="auto"/>
                    <w:jc w:val="center"/>
                    <w:rPr>
                      <w:rFonts w:hAnsi="宋体"/>
                      <w:color w:val="auto"/>
                      <w:szCs w:val="21"/>
                      <w:highlight w:val="none"/>
                    </w:rPr>
                  </w:pPr>
                  <w:r>
                    <w:rPr>
                      <w:rFonts w:hint="eastAsia" w:hAnsi="宋体"/>
                      <w:color w:val="auto"/>
                      <w:kern w:val="0"/>
                      <w:szCs w:val="21"/>
                      <w:highlight w:val="none"/>
                      <w:shd w:val="clear" w:color="auto" w:fill="FFFFFF"/>
                    </w:rPr>
                    <w:t>企业应建立台账，记录含</w:t>
                  </w:r>
                  <w:r>
                    <w:rPr>
                      <w:rFonts w:hAnsi="宋体"/>
                      <w:color w:val="auto"/>
                      <w:kern w:val="0"/>
                      <w:szCs w:val="21"/>
                      <w:highlight w:val="none"/>
                      <w:shd w:val="clear" w:color="auto" w:fill="FFFFFF"/>
                    </w:rPr>
                    <w:t>VOCs</w:t>
                  </w:r>
                  <w:r>
                    <w:rPr>
                      <w:rFonts w:hint="eastAsia" w:hAnsi="宋体"/>
                      <w:color w:val="auto"/>
                      <w:kern w:val="0"/>
                      <w:szCs w:val="21"/>
                      <w:highlight w:val="none"/>
                      <w:shd w:val="clear" w:color="auto" w:fill="FFFFFF"/>
                    </w:rPr>
                    <w:t>原辅材料和含</w:t>
                  </w:r>
                  <w:r>
                    <w:rPr>
                      <w:rFonts w:hAnsi="宋体"/>
                      <w:color w:val="auto"/>
                      <w:kern w:val="0"/>
                      <w:szCs w:val="21"/>
                      <w:highlight w:val="none"/>
                      <w:shd w:val="clear" w:color="auto" w:fill="FFFFFF"/>
                    </w:rPr>
                    <w:t>VOCs</w:t>
                  </w:r>
                  <w:r>
                    <w:rPr>
                      <w:rFonts w:hint="eastAsia" w:hAnsi="宋体"/>
                      <w:color w:val="auto"/>
                      <w:kern w:val="0"/>
                      <w:szCs w:val="21"/>
                      <w:highlight w:val="none"/>
                      <w:shd w:val="clear" w:color="auto" w:fill="FFFFFF"/>
                    </w:rPr>
                    <w:t>产品的名称、使用量、回收量、废弃量、去向以及</w:t>
                  </w:r>
                  <w:r>
                    <w:rPr>
                      <w:rFonts w:hAnsi="宋体"/>
                      <w:color w:val="auto"/>
                      <w:kern w:val="0"/>
                      <w:szCs w:val="21"/>
                      <w:highlight w:val="none"/>
                      <w:shd w:val="clear" w:color="auto" w:fill="FFFFFF"/>
                    </w:rPr>
                    <w:t>VOCs</w:t>
                  </w:r>
                  <w:r>
                    <w:rPr>
                      <w:rFonts w:hint="eastAsia" w:hAnsi="宋体"/>
                      <w:color w:val="auto"/>
                      <w:kern w:val="0"/>
                      <w:szCs w:val="21"/>
                      <w:highlight w:val="none"/>
                      <w:shd w:val="clear" w:color="auto" w:fill="FFFFFF"/>
                    </w:rPr>
                    <w:t>含量等信息。台账保存期限不少于</w:t>
                  </w:r>
                  <w:r>
                    <w:rPr>
                      <w:rFonts w:hAnsi="宋体"/>
                      <w:color w:val="auto"/>
                      <w:kern w:val="0"/>
                      <w:szCs w:val="21"/>
                      <w:highlight w:val="none"/>
                      <w:shd w:val="clear" w:color="auto" w:fill="FFFFFF"/>
                    </w:rPr>
                    <w:t>3</w:t>
                  </w:r>
                  <w:r>
                    <w:rPr>
                      <w:rFonts w:hint="eastAsia" w:hAnsi="宋体"/>
                      <w:color w:val="auto"/>
                      <w:kern w:val="0"/>
                      <w:szCs w:val="21"/>
                      <w:highlight w:val="none"/>
                      <w:shd w:val="clear" w:color="auto" w:fill="FFFFFF"/>
                    </w:rPr>
                    <w:t>年。</w:t>
                  </w:r>
                </w:p>
              </w:tc>
              <w:tc>
                <w:tcPr>
                  <w:tcW w:w="2857" w:type="dxa"/>
                  <w:vAlign w:val="center"/>
                </w:tcPr>
                <w:p w14:paraId="7AEDE2B9">
                  <w:pPr>
                    <w:wordWrap w:val="0"/>
                    <w:spacing w:line="276" w:lineRule="auto"/>
                    <w:jc w:val="center"/>
                    <w:rPr>
                      <w:rFonts w:hAnsi="宋体"/>
                      <w:color w:val="auto"/>
                      <w:szCs w:val="21"/>
                      <w:highlight w:val="none"/>
                    </w:rPr>
                  </w:pPr>
                  <w:r>
                    <w:rPr>
                      <w:rFonts w:hint="eastAsia" w:hAnsi="宋体"/>
                      <w:color w:val="auto"/>
                      <w:szCs w:val="21"/>
                      <w:highlight w:val="none"/>
                    </w:rPr>
                    <w:t>本评价要求企业乙烯</w:t>
                  </w:r>
                  <w:r>
                    <w:rPr>
                      <w:rFonts w:hint="eastAsia" w:hAnsi="宋体"/>
                      <w:color w:val="auto"/>
                      <w:szCs w:val="21"/>
                      <w:highlight w:val="none"/>
                      <w:lang w:eastAsia="zh-CN"/>
                    </w:rPr>
                    <w:t>、</w:t>
                  </w:r>
                  <w:r>
                    <w:rPr>
                      <w:rFonts w:hint="eastAsia" w:hAnsi="宋体"/>
                      <w:color w:val="auto"/>
                      <w:szCs w:val="21"/>
                      <w:highlight w:val="none"/>
                      <w:lang w:val="en-US" w:eastAsia="zh-CN"/>
                    </w:rPr>
                    <w:t>丙烷及丁烷</w:t>
                  </w:r>
                  <w:r>
                    <w:rPr>
                      <w:rFonts w:hint="eastAsia" w:hAnsi="宋体"/>
                      <w:color w:val="auto"/>
                      <w:szCs w:val="21"/>
                      <w:highlight w:val="none"/>
                    </w:rPr>
                    <w:t>进出库均设置台账记录</w:t>
                  </w:r>
                  <w:r>
                    <w:rPr>
                      <w:rFonts w:hint="eastAsia"/>
                      <w:color w:val="auto"/>
                      <w:highlight w:val="none"/>
                    </w:rPr>
                    <w:t>，</w:t>
                  </w:r>
                  <w:r>
                    <w:rPr>
                      <w:rFonts w:hint="eastAsia"/>
                      <w:color w:val="auto"/>
                      <w:kern w:val="0"/>
                      <w:szCs w:val="21"/>
                      <w:highlight w:val="none"/>
                    </w:rPr>
                    <w:t>台账保存期限不少于</w:t>
                  </w:r>
                  <w:r>
                    <w:rPr>
                      <w:color w:val="auto"/>
                      <w:kern w:val="0"/>
                      <w:szCs w:val="21"/>
                      <w:highlight w:val="none"/>
                    </w:rPr>
                    <w:t>3</w:t>
                  </w:r>
                  <w:r>
                    <w:rPr>
                      <w:rFonts w:hint="eastAsia"/>
                      <w:color w:val="auto"/>
                      <w:kern w:val="0"/>
                      <w:szCs w:val="21"/>
                      <w:highlight w:val="none"/>
                    </w:rPr>
                    <w:t>年</w:t>
                  </w:r>
                  <w:r>
                    <w:rPr>
                      <w:rFonts w:hint="eastAsia"/>
                      <w:color w:val="auto"/>
                      <w:kern w:val="0"/>
                      <w:szCs w:val="21"/>
                      <w:highlight w:val="none"/>
                      <w:lang w:eastAsia="zh-CN"/>
                    </w:rPr>
                    <w:t>；</w:t>
                  </w:r>
                  <w:r>
                    <w:rPr>
                      <w:rFonts w:hint="eastAsia" w:ascii="宋体" w:hAnsi="宋体"/>
                      <w:color w:val="auto"/>
                      <w:kern w:val="0"/>
                      <w:highlight w:val="none"/>
                    </w:rPr>
                    <w:t>固废均妥善管理、合理处置，不会造成二次污染</w:t>
                  </w:r>
                  <w:r>
                    <w:rPr>
                      <w:rFonts w:hint="eastAsia" w:ascii="宋体" w:hAnsi="宋体"/>
                      <w:color w:val="auto"/>
                      <w:kern w:val="0"/>
                      <w:highlight w:val="none"/>
                      <w:lang w:eastAsia="zh-CN"/>
                    </w:rPr>
                    <w:t>，</w:t>
                  </w:r>
                  <w:r>
                    <w:rPr>
                      <w:rFonts w:hint="eastAsia"/>
                      <w:color w:val="auto"/>
                      <w:szCs w:val="21"/>
                      <w:highlight w:val="none"/>
                    </w:rPr>
                    <w:t>危险废物进出库已按要求登记台账信息，台账保存期限不少于</w:t>
                  </w:r>
                  <w:r>
                    <w:rPr>
                      <w:color w:val="auto"/>
                      <w:szCs w:val="21"/>
                      <w:highlight w:val="none"/>
                    </w:rPr>
                    <w:t>3</w:t>
                  </w:r>
                  <w:r>
                    <w:rPr>
                      <w:rFonts w:hint="eastAsia"/>
                      <w:color w:val="auto"/>
                      <w:szCs w:val="21"/>
                      <w:highlight w:val="none"/>
                    </w:rPr>
                    <w:t>年。</w:t>
                  </w:r>
                </w:p>
              </w:tc>
              <w:tc>
                <w:tcPr>
                  <w:tcW w:w="924" w:type="dxa"/>
                  <w:vAlign w:val="center"/>
                </w:tcPr>
                <w:p w14:paraId="466EAAC1">
                  <w:pPr>
                    <w:wordWrap w:val="0"/>
                    <w:spacing w:line="276" w:lineRule="auto"/>
                    <w:jc w:val="center"/>
                    <w:rPr>
                      <w:rFonts w:hAnsi="宋体"/>
                      <w:color w:val="auto"/>
                      <w:szCs w:val="21"/>
                      <w:highlight w:val="none"/>
                    </w:rPr>
                  </w:pPr>
                  <w:r>
                    <w:rPr>
                      <w:rFonts w:hint="eastAsia" w:hAnsi="宋体"/>
                      <w:color w:val="auto"/>
                      <w:szCs w:val="21"/>
                      <w:highlight w:val="none"/>
                    </w:rPr>
                    <w:t>符合</w:t>
                  </w:r>
                </w:p>
              </w:tc>
            </w:tr>
          </w:tbl>
          <w:p w14:paraId="2BD94316">
            <w:pPr>
              <w:wordWrap w:val="0"/>
              <w:spacing w:line="360" w:lineRule="auto"/>
              <w:ind w:firstLine="480" w:firstLineChars="200"/>
              <w:rPr>
                <w:rFonts w:hAnsi="宋体"/>
                <w:color w:val="auto"/>
                <w:sz w:val="24"/>
                <w:highlight w:val="none"/>
              </w:rPr>
            </w:pPr>
            <w:r>
              <w:rPr>
                <w:rFonts w:hint="eastAsia" w:hAnsi="宋体"/>
                <w:color w:val="auto"/>
                <w:sz w:val="24"/>
                <w:highlight w:val="none"/>
              </w:rPr>
              <w:t>（</w:t>
            </w:r>
            <w:r>
              <w:rPr>
                <w:rFonts w:hint="eastAsia" w:hAnsi="宋体"/>
                <w:color w:val="auto"/>
                <w:sz w:val="24"/>
                <w:highlight w:val="none"/>
                <w:lang w:val="en-US" w:eastAsia="zh-CN"/>
              </w:rPr>
              <w:t>3</w:t>
            </w:r>
            <w:r>
              <w:rPr>
                <w:rFonts w:hint="eastAsia" w:hAnsi="宋体"/>
                <w:color w:val="auto"/>
                <w:sz w:val="24"/>
                <w:highlight w:val="none"/>
              </w:rPr>
              <w:t>）与关于印发《重点行业挥发性有机物综合治理方案》的通知（环大气[2019]53号）的相符性分析</w:t>
            </w:r>
          </w:p>
          <w:p w14:paraId="086B9332">
            <w:pPr>
              <w:spacing w:line="360" w:lineRule="auto"/>
              <w:jc w:val="center"/>
              <w:rPr>
                <w:rFonts w:hAnsi="宋体"/>
                <w:color w:val="auto"/>
                <w:sz w:val="24"/>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1-6</w:t>
            </w:r>
            <w:r>
              <w:rPr>
                <w:rFonts w:hAnsi="黑体" w:eastAsia="黑体"/>
                <w:color w:val="auto"/>
                <w:sz w:val="24"/>
                <w:szCs w:val="24"/>
                <w:highlight w:val="none"/>
              </w:rPr>
              <w:t xml:space="preserve">  </w:t>
            </w:r>
            <w:r>
              <w:rPr>
                <w:rFonts w:hint="eastAsia" w:hAnsi="黑体" w:eastAsia="黑体"/>
                <w:color w:val="auto"/>
                <w:sz w:val="24"/>
                <w:szCs w:val="24"/>
                <w:highlight w:val="none"/>
              </w:rPr>
              <w:t>与环大气[2019]53号文相关要求相符性分析</w:t>
            </w:r>
          </w:p>
          <w:tbl>
            <w:tblPr>
              <w:tblStyle w:val="37"/>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38"/>
              <w:gridCol w:w="838"/>
              <w:gridCol w:w="3453"/>
              <w:gridCol w:w="2377"/>
              <w:gridCol w:w="785"/>
            </w:tblGrid>
            <w:tr w14:paraId="6515DF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38" w:type="dxa"/>
                  <w:vAlign w:val="center"/>
                </w:tcPr>
                <w:p w14:paraId="45F96C33">
                  <w:pPr>
                    <w:spacing w:line="276" w:lineRule="auto"/>
                    <w:jc w:val="center"/>
                    <w:rPr>
                      <w:rFonts w:hAnsi="宋体"/>
                      <w:color w:val="auto"/>
                      <w:szCs w:val="21"/>
                      <w:highlight w:val="none"/>
                    </w:rPr>
                  </w:pPr>
                  <w:r>
                    <w:rPr>
                      <w:rFonts w:hint="eastAsia" w:hAnsi="宋体"/>
                      <w:color w:val="auto"/>
                      <w:szCs w:val="21"/>
                      <w:highlight w:val="none"/>
                    </w:rPr>
                    <w:t>序号</w:t>
                  </w:r>
                </w:p>
              </w:tc>
              <w:tc>
                <w:tcPr>
                  <w:tcW w:w="4384" w:type="dxa"/>
                  <w:gridSpan w:val="2"/>
                  <w:vAlign w:val="center"/>
                </w:tcPr>
                <w:p w14:paraId="1521B4E5">
                  <w:pPr>
                    <w:spacing w:line="276" w:lineRule="auto"/>
                    <w:jc w:val="center"/>
                    <w:rPr>
                      <w:rFonts w:hAnsi="宋体"/>
                      <w:color w:val="auto"/>
                      <w:szCs w:val="21"/>
                      <w:highlight w:val="none"/>
                    </w:rPr>
                  </w:pPr>
                  <w:r>
                    <w:rPr>
                      <w:rFonts w:hint="eastAsia" w:hAnsi="宋体"/>
                      <w:color w:val="auto"/>
                      <w:szCs w:val="21"/>
                      <w:highlight w:val="none"/>
                    </w:rPr>
                    <w:t>要求</w:t>
                  </w:r>
                </w:p>
              </w:tc>
              <w:tc>
                <w:tcPr>
                  <w:tcW w:w="2420" w:type="dxa"/>
                  <w:vAlign w:val="center"/>
                </w:tcPr>
                <w:p w14:paraId="3308D251">
                  <w:pPr>
                    <w:spacing w:line="276" w:lineRule="auto"/>
                    <w:jc w:val="center"/>
                    <w:rPr>
                      <w:rFonts w:hAnsi="宋体"/>
                      <w:color w:val="auto"/>
                      <w:szCs w:val="21"/>
                      <w:highlight w:val="none"/>
                    </w:rPr>
                  </w:pPr>
                  <w:r>
                    <w:rPr>
                      <w:rFonts w:hint="eastAsia" w:hAnsi="宋体"/>
                      <w:color w:val="auto"/>
                      <w:szCs w:val="21"/>
                      <w:highlight w:val="none"/>
                    </w:rPr>
                    <w:t>符合性分析</w:t>
                  </w:r>
                </w:p>
              </w:tc>
              <w:tc>
                <w:tcPr>
                  <w:tcW w:w="796" w:type="dxa"/>
                  <w:vAlign w:val="center"/>
                </w:tcPr>
                <w:p w14:paraId="21D75135">
                  <w:pPr>
                    <w:spacing w:line="276" w:lineRule="auto"/>
                    <w:jc w:val="center"/>
                    <w:rPr>
                      <w:rFonts w:hAnsi="宋体"/>
                      <w:color w:val="auto"/>
                      <w:szCs w:val="21"/>
                      <w:highlight w:val="none"/>
                    </w:rPr>
                  </w:pPr>
                  <w:r>
                    <w:rPr>
                      <w:rFonts w:hint="eastAsia" w:hAnsi="宋体"/>
                      <w:color w:val="auto"/>
                      <w:szCs w:val="21"/>
                      <w:highlight w:val="none"/>
                    </w:rPr>
                    <w:t>符合情况</w:t>
                  </w:r>
                </w:p>
              </w:tc>
            </w:tr>
            <w:tr w14:paraId="4C5D8A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38" w:type="dxa"/>
                  <w:vAlign w:val="center"/>
                </w:tcPr>
                <w:p w14:paraId="2AB09811">
                  <w:pPr>
                    <w:spacing w:line="276" w:lineRule="auto"/>
                    <w:jc w:val="center"/>
                    <w:rPr>
                      <w:rFonts w:hAnsi="宋体"/>
                      <w:color w:val="auto"/>
                      <w:szCs w:val="21"/>
                      <w:highlight w:val="none"/>
                    </w:rPr>
                  </w:pPr>
                  <w:r>
                    <w:rPr>
                      <w:rFonts w:hint="eastAsia" w:hAnsi="宋体"/>
                      <w:color w:val="auto"/>
                      <w:szCs w:val="21"/>
                      <w:highlight w:val="none"/>
                    </w:rPr>
                    <w:t>1</w:t>
                  </w:r>
                </w:p>
              </w:tc>
              <w:tc>
                <w:tcPr>
                  <w:tcW w:w="850" w:type="dxa"/>
                  <w:vMerge w:val="restart"/>
                  <w:vAlign w:val="center"/>
                </w:tcPr>
                <w:p w14:paraId="63310C26">
                  <w:pPr>
                    <w:spacing w:line="276" w:lineRule="auto"/>
                    <w:jc w:val="center"/>
                    <w:rPr>
                      <w:rFonts w:hAnsi="宋体"/>
                      <w:color w:val="auto"/>
                      <w:szCs w:val="21"/>
                      <w:highlight w:val="none"/>
                    </w:rPr>
                  </w:pPr>
                  <w:r>
                    <w:rPr>
                      <w:rFonts w:hint="eastAsia" w:hAnsi="宋体"/>
                      <w:color w:val="auto"/>
                      <w:szCs w:val="21"/>
                      <w:highlight w:val="none"/>
                    </w:rPr>
                    <w:t>全面加强无组织排放控制</w:t>
                  </w:r>
                </w:p>
              </w:tc>
              <w:tc>
                <w:tcPr>
                  <w:tcW w:w="3534" w:type="dxa"/>
                  <w:vAlign w:val="center"/>
                </w:tcPr>
                <w:p w14:paraId="1833E516">
                  <w:pPr>
                    <w:spacing w:line="276" w:lineRule="auto"/>
                    <w:jc w:val="center"/>
                    <w:rPr>
                      <w:rFonts w:hAnsi="宋体"/>
                      <w:color w:val="auto"/>
                      <w:szCs w:val="21"/>
                      <w:highlight w:val="none"/>
                    </w:rPr>
                  </w:pPr>
                  <w:r>
                    <w:rPr>
                      <w:rFonts w:hint="eastAsia" w:hAnsi="宋体"/>
                      <w:color w:val="auto"/>
                      <w:szCs w:val="21"/>
                      <w:highlight w:val="none"/>
                    </w:rPr>
                    <w:t>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 无组织排放。</w:t>
                  </w:r>
                </w:p>
              </w:tc>
              <w:tc>
                <w:tcPr>
                  <w:tcW w:w="2420" w:type="dxa"/>
                  <w:vAlign w:val="center"/>
                </w:tcPr>
                <w:p w14:paraId="68FD5AD2">
                  <w:pPr>
                    <w:spacing w:line="276" w:lineRule="auto"/>
                    <w:jc w:val="center"/>
                    <w:rPr>
                      <w:rFonts w:hint="eastAsia" w:hAnsi="宋体" w:eastAsia="宋体"/>
                      <w:color w:val="auto"/>
                      <w:szCs w:val="21"/>
                      <w:highlight w:val="none"/>
                      <w:lang w:val="en-US" w:eastAsia="zh-CN"/>
                    </w:rPr>
                  </w:pPr>
                  <w:r>
                    <w:rPr>
                      <w:rFonts w:hint="eastAsia" w:hAnsi="宋体"/>
                      <w:color w:val="auto"/>
                      <w:szCs w:val="21"/>
                      <w:highlight w:val="none"/>
                    </w:rPr>
                    <w:t>本项目采用</w:t>
                  </w:r>
                  <w:r>
                    <w:rPr>
                      <w:rFonts w:hint="eastAsia" w:hAnsi="宋体"/>
                      <w:color w:val="auto"/>
                      <w:szCs w:val="21"/>
                      <w:highlight w:val="none"/>
                      <w:lang w:val="en-US" w:eastAsia="zh-CN"/>
                    </w:rPr>
                    <w:t>密闭立式</w:t>
                  </w:r>
                  <w:r>
                    <w:rPr>
                      <w:rFonts w:hint="eastAsia" w:hAnsi="宋体"/>
                      <w:color w:val="auto"/>
                      <w:szCs w:val="21"/>
                      <w:highlight w:val="none"/>
                    </w:rPr>
                    <w:t>储罐、</w:t>
                  </w:r>
                  <w:r>
                    <w:rPr>
                      <w:rFonts w:hint="eastAsia" w:hAnsi="宋体"/>
                      <w:color w:val="auto"/>
                      <w:szCs w:val="21"/>
                      <w:highlight w:val="none"/>
                      <w:lang w:val="en-US" w:eastAsia="zh-CN"/>
                    </w:rPr>
                    <w:t>密闭输送及充装</w:t>
                  </w:r>
                  <w:r>
                    <w:rPr>
                      <w:rFonts w:hint="eastAsia" w:hAnsi="宋体"/>
                      <w:color w:val="auto"/>
                      <w:szCs w:val="21"/>
                      <w:highlight w:val="none"/>
                    </w:rPr>
                    <w:t>管道、</w:t>
                  </w:r>
                  <w:r>
                    <w:rPr>
                      <w:rFonts w:hint="eastAsia" w:hAnsi="宋体"/>
                      <w:color w:val="auto"/>
                      <w:szCs w:val="21"/>
                      <w:highlight w:val="none"/>
                      <w:lang w:val="en-US" w:eastAsia="zh-CN"/>
                    </w:rPr>
                    <w:t>密闭式</w:t>
                  </w:r>
                  <w:r>
                    <w:rPr>
                      <w:rFonts w:hint="eastAsia" w:hAnsi="宋体"/>
                      <w:color w:val="auto"/>
                      <w:szCs w:val="21"/>
                      <w:highlight w:val="none"/>
                    </w:rPr>
                    <w:t>钢瓶进行含VOCs物料的储存、转移和输送；</w:t>
                  </w:r>
                  <w:r>
                    <w:rPr>
                      <w:rFonts w:hint="eastAsia" w:hAnsi="宋体"/>
                      <w:color w:val="auto"/>
                      <w:szCs w:val="21"/>
                      <w:highlight w:val="none"/>
                      <w:lang w:val="en-US" w:eastAsia="zh-CN"/>
                    </w:rPr>
                    <w:t>丙烷/丁烷卸车环节采用密闭卸车鹤管，储罐内气相通过压缩机排压，压缩机增压气对来厂罐车增压并通过卸车鹤管气相管进入槽罐车，罐车与储罐形成压差，罐车内液相采用下进液方式进入储罐，充装时储罐内丙烷/丁烷通过高压管道输送至充装汇流排；改建后，乙烯</w:t>
                  </w:r>
                  <w:r>
                    <w:rPr>
                      <w:rFonts w:hint="eastAsia" w:hAnsi="宋体"/>
                      <w:color w:val="auto"/>
                      <w:szCs w:val="21"/>
                      <w:highlight w:val="none"/>
                    </w:rPr>
                    <w:t>卸车环节</w:t>
                  </w:r>
                  <w:r>
                    <w:rPr>
                      <w:rFonts w:hint="eastAsia" w:hAnsi="宋体"/>
                      <w:color w:val="auto"/>
                      <w:szCs w:val="21"/>
                      <w:highlight w:val="none"/>
                      <w:lang w:val="en-US" w:eastAsia="zh-CN"/>
                    </w:rPr>
                    <w:t>仍</w:t>
                  </w:r>
                  <w:r>
                    <w:rPr>
                      <w:rFonts w:hint="eastAsia" w:hAnsi="宋体"/>
                      <w:color w:val="auto"/>
                      <w:szCs w:val="21"/>
                      <w:highlight w:val="none"/>
                    </w:rPr>
                    <w:t>采用密闭卸车鹤管通过压差输送至低温储罐</w:t>
                  </w:r>
                  <w:r>
                    <w:rPr>
                      <w:rFonts w:hint="eastAsia" w:hAnsi="宋体"/>
                      <w:color w:val="auto"/>
                      <w:szCs w:val="21"/>
                      <w:highlight w:val="none"/>
                      <w:lang w:eastAsia="zh-CN"/>
                    </w:rPr>
                    <w:t>，</w:t>
                  </w:r>
                  <w:r>
                    <w:rPr>
                      <w:rFonts w:hint="eastAsia" w:hAnsi="宋体"/>
                      <w:color w:val="auto"/>
                      <w:szCs w:val="21"/>
                      <w:highlight w:val="none"/>
                    </w:rPr>
                    <w:t>充装时将储罐液相用泵抽出，通过密闭的室温气化器气化后再通过高压管道输送至充装汇流排</w:t>
                  </w:r>
                  <w:r>
                    <w:rPr>
                      <w:rFonts w:hint="eastAsia" w:hAnsi="宋体"/>
                      <w:color w:val="auto"/>
                      <w:szCs w:val="21"/>
                      <w:highlight w:val="none"/>
                      <w:lang w:val="en-US" w:eastAsia="zh-CN"/>
                    </w:rPr>
                    <w:t>。本项目</w:t>
                  </w:r>
                  <w:r>
                    <w:rPr>
                      <w:rFonts w:hint="eastAsia" w:hAnsi="宋体"/>
                      <w:color w:val="auto"/>
                      <w:szCs w:val="21"/>
                      <w:highlight w:val="none"/>
                    </w:rPr>
                    <w:t>所有工艺环节的设备与管线均密闭</w:t>
                  </w:r>
                  <w:r>
                    <w:rPr>
                      <w:rFonts w:hint="eastAsia" w:hAnsi="宋体"/>
                      <w:color w:val="auto"/>
                      <w:szCs w:val="21"/>
                      <w:highlight w:val="none"/>
                      <w:lang w:eastAsia="zh-CN"/>
                    </w:rPr>
                    <w:t>。</w:t>
                  </w:r>
                </w:p>
              </w:tc>
              <w:tc>
                <w:tcPr>
                  <w:tcW w:w="796" w:type="dxa"/>
                  <w:vAlign w:val="center"/>
                </w:tcPr>
                <w:p w14:paraId="2649F420">
                  <w:pPr>
                    <w:spacing w:line="276" w:lineRule="auto"/>
                    <w:jc w:val="center"/>
                    <w:rPr>
                      <w:rFonts w:hAnsi="宋体"/>
                      <w:color w:val="auto"/>
                      <w:szCs w:val="21"/>
                      <w:highlight w:val="none"/>
                    </w:rPr>
                  </w:pPr>
                  <w:r>
                    <w:rPr>
                      <w:rFonts w:hint="eastAsia" w:hAnsi="宋体"/>
                      <w:color w:val="auto"/>
                      <w:szCs w:val="21"/>
                      <w:highlight w:val="none"/>
                    </w:rPr>
                    <w:t>符合</w:t>
                  </w:r>
                </w:p>
              </w:tc>
            </w:tr>
            <w:tr w14:paraId="488891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38" w:type="dxa"/>
                  <w:vAlign w:val="center"/>
                </w:tcPr>
                <w:p w14:paraId="44BC0A16">
                  <w:pPr>
                    <w:spacing w:line="276" w:lineRule="auto"/>
                    <w:jc w:val="center"/>
                    <w:rPr>
                      <w:rFonts w:hAnsi="宋体"/>
                      <w:color w:val="auto"/>
                      <w:szCs w:val="21"/>
                      <w:highlight w:val="none"/>
                    </w:rPr>
                  </w:pPr>
                  <w:r>
                    <w:rPr>
                      <w:rFonts w:hint="eastAsia" w:hAnsi="宋体"/>
                      <w:color w:val="auto"/>
                      <w:szCs w:val="21"/>
                      <w:highlight w:val="none"/>
                    </w:rPr>
                    <w:t>2</w:t>
                  </w:r>
                </w:p>
              </w:tc>
              <w:tc>
                <w:tcPr>
                  <w:tcW w:w="850" w:type="dxa"/>
                  <w:vMerge w:val="continue"/>
                  <w:vAlign w:val="center"/>
                </w:tcPr>
                <w:p w14:paraId="14AD4782">
                  <w:pPr>
                    <w:spacing w:line="276" w:lineRule="auto"/>
                    <w:jc w:val="center"/>
                    <w:rPr>
                      <w:rFonts w:hAnsi="宋体"/>
                      <w:color w:val="auto"/>
                      <w:szCs w:val="21"/>
                      <w:highlight w:val="none"/>
                    </w:rPr>
                  </w:pPr>
                </w:p>
              </w:tc>
              <w:tc>
                <w:tcPr>
                  <w:tcW w:w="3534" w:type="dxa"/>
                  <w:vAlign w:val="center"/>
                </w:tcPr>
                <w:p w14:paraId="3803BA60">
                  <w:pPr>
                    <w:spacing w:line="276" w:lineRule="auto"/>
                    <w:jc w:val="center"/>
                    <w:rPr>
                      <w:rFonts w:hAnsi="宋体"/>
                      <w:color w:val="auto"/>
                      <w:szCs w:val="21"/>
                      <w:highlight w:val="none"/>
                    </w:rPr>
                  </w:pPr>
                  <w:r>
                    <w:rPr>
                      <w:rFonts w:hint="eastAsia" w:hAnsi="宋体"/>
                      <w:color w:val="auto"/>
                      <w:szCs w:val="21"/>
                      <w:highlight w:val="none"/>
                    </w:rPr>
                    <w:t>加强设备与场所密闭管理。含VOCs物料应储存于密闭容器、包装袋，高效密封储罐，封闭式储库、料仓等。含VOCs物料转移和输送，应采用密闭管道或密闭容器、罐车等。</w:t>
                  </w:r>
                </w:p>
              </w:tc>
              <w:tc>
                <w:tcPr>
                  <w:tcW w:w="2420" w:type="dxa"/>
                  <w:vAlign w:val="center"/>
                </w:tcPr>
                <w:p w14:paraId="0FBF3007">
                  <w:pPr>
                    <w:spacing w:line="276" w:lineRule="auto"/>
                    <w:jc w:val="center"/>
                    <w:rPr>
                      <w:rFonts w:hint="eastAsia" w:hAnsi="宋体" w:eastAsia="宋体"/>
                      <w:color w:val="auto"/>
                      <w:szCs w:val="21"/>
                      <w:highlight w:val="none"/>
                      <w:lang w:val="en-US" w:eastAsia="zh-CN"/>
                    </w:rPr>
                  </w:pPr>
                  <w:r>
                    <w:rPr>
                      <w:rFonts w:hint="eastAsia" w:hAnsi="宋体"/>
                      <w:color w:val="auto"/>
                      <w:szCs w:val="21"/>
                      <w:highlight w:val="none"/>
                    </w:rPr>
                    <w:t>本项目</w:t>
                  </w:r>
                  <w:r>
                    <w:rPr>
                      <w:rFonts w:hint="eastAsia" w:hAnsi="宋体"/>
                      <w:color w:val="auto"/>
                      <w:szCs w:val="21"/>
                      <w:highlight w:val="none"/>
                      <w:lang w:val="en-US" w:eastAsia="zh-CN"/>
                    </w:rPr>
                    <w:t>丙烷/丁烷</w:t>
                  </w:r>
                  <w:r>
                    <w:rPr>
                      <w:rFonts w:hint="eastAsia" w:hAnsi="宋体"/>
                      <w:color w:val="auto"/>
                      <w:szCs w:val="21"/>
                      <w:highlight w:val="none"/>
                    </w:rPr>
                    <w:t>卸车后储存于密闭储罐内，</w:t>
                  </w:r>
                  <w:r>
                    <w:rPr>
                      <w:rFonts w:hint="eastAsia" w:hAnsi="宋体"/>
                      <w:color w:val="auto"/>
                      <w:szCs w:val="21"/>
                      <w:highlight w:val="none"/>
                      <w:lang w:val="en-US" w:eastAsia="zh-CN"/>
                    </w:rPr>
                    <w:t>丙烷/丁烷</w:t>
                  </w:r>
                  <w:r>
                    <w:rPr>
                      <w:rFonts w:hint="eastAsia" w:hAnsi="宋体"/>
                      <w:color w:val="auto"/>
                      <w:szCs w:val="21"/>
                      <w:highlight w:val="none"/>
                    </w:rPr>
                    <w:t>采用钢瓶充装，所有工艺环节均采用密闭管道及容器</w:t>
                  </w:r>
                  <w:r>
                    <w:rPr>
                      <w:rFonts w:hint="eastAsia" w:hAnsi="宋体"/>
                      <w:color w:val="auto"/>
                      <w:szCs w:val="21"/>
                      <w:highlight w:val="none"/>
                      <w:lang w:eastAsia="zh-CN"/>
                    </w:rPr>
                    <w:t>；</w:t>
                  </w:r>
                  <w:r>
                    <w:rPr>
                      <w:rFonts w:hint="eastAsia" w:hAnsi="宋体"/>
                      <w:color w:val="auto"/>
                      <w:szCs w:val="21"/>
                      <w:highlight w:val="none"/>
                      <w:lang w:val="en-US" w:eastAsia="zh-CN"/>
                    </w:rPr>
                    <w:t>现有工程</w:t>
                  </w:r>
                  <w:r>
                    <w:rPr>
                      <w:rFonts w:hint="eastAsia" w:hAnsi="宋体"/>
                      <w:color w:val="auto"/>
                      <w:szCs w:val="21"/>
                      <w:highlight w:val="none"/>
                    </w:rPr>
                    <w:t>乙烯卸车后储存于密闭的低温储罐内，乙烯采用钢瓶充装，所有工艺环节均采用密闭管道及容器</w:t>
                  </w:r>
                  <w:r>
                    <w:rPr>
                      <w:rFonts w:hint="eastAsia" w:hAnsi="宋体"/>
                      <w:color w:val="auto"/>
                      <w:szCs w:val="21"/>
                      <w:highlight w:val="none"/>
                      <w:lang w:eastAsia="zh-CN"/>
                    </w:rPr>
                    <w:t>。</w:t>
                  </w:r>
                </w:p>
              </w:tc>
              <w:tc>
                <w:tcPr>
                  <w:tcW w:w="796" w:type="dxa"/>
                  <w:vAlign w:val="center"/>
                </w:tcPr>
                <w:p w14:paraId="6F9DF672">
                  <w:pPr>
                    <w:spacing w:line="276" w:lineRule="auto"/>
                    <w:jc w:val="center"/>
                    <w:rPr>
                      <w:rFonts w:hAnsi="宋体"/>
                      <w:color w:val="auto"/>
                      <w:szCs w:val="21"/>
                      <w:highlight w:val="none"/>
                    </w:rPr>
                  </w:pPr>
                  <w:r>
                    <w:rPr>
                      <w:rFonts w:hint="eastAsia" w:hAnsi="宋体"/>
                      <w:color w:val="auto"/>
                      <w:szCs w:val="21"/>
                      <w:highlight w:val="none"/>
                    </w:rPr>
                    <w:t>符合</w:t>
                  </w:r>
                </w:p>
              </w:tc>
            </w:tr>
            <w:tr w14:paraId="622CC7E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38" w:type="dxa"/>
                  <w:vAlign w:val="center"/>
                </w:tcPr>
                <w:p w14:paraId="31A89A21">
                  <w:pPr>
                    <w:spacing w:line="276" w:lineRule="auto"/>
                    <w:jc w:val="center"/>
                    <w:rPr>
                      <w:rFonts w:hAnsi="宋体"/>
                      <w:color w:val="auto"/>
                      <w:szCs w:val="21"/>
                      <w:highlight w:val="none"/>
                    </w:rPr>
                  </w:pPr>
                  <w:r>
                    <w:rPr>
                      <w:rFonts w:hint="eastAsia" w:hAnsi="宋体"/>
                      <w:color w:val="auto"/>
                      <w:szCs w:val="21"/>
                      <w:highlight w:val="none"/>
                    </w:rPr>
                    <w:t>3</w:t>
                  </w:r>
                </w:p>
              </w:tc>
              <w:tc>
                <w:tcPr>
                  <w:tcW w:w="850" w:type="dxa"/>
                  <w:vMerge w:val="continue"/>
                  <w:vAlign w:val="center"/>
                </w:tcPr>
                <w:p w14:paraId="2E8AA5BA">
                  <w:pPr>
                    <w:spacing w:line="276" w:lineRule="auto"/>
                    <w:jc w:val="center"/>
                    <w:rPr>
                      <w:rFonts w:hAnsi="宋体"/>
                      <w:color w:val="auto"/>
                      <w:szCs w:val="21"/>
                      <w:highlight w:val="none"/>
                    </w:rPr>
                  </w:pPr>
                </w:p>
              </w:tc>
              <w:tc>
                <w:tcPr>
                  <w:tcW w:w="3534" w:type="dxa"/>
                  <w:vAlign w:val="center"/>
                </w:tcPr>
                <w:p w14:paraId="02589AE8">
                  <w:pPr>
                    <w:spacing w:line="276" w:lineRule="auto"/>
                    <w:jc w:val="center"/>
                    <w:rPr>
                      <w:rFonts w:hAnsi="宋体"/>
                      <w:color w:val="auto"/>
                      <w:szCs w:val="21"/>
                      <w:highlight w:val="none"/>
                    </w:rPr>
                  </w:pPr>
                  <w:r>
                    <w:rPr>
                      <w:rFonts w:hint="eastAsia" w:hAnsi="宋体"/>
                      <w:color w:val="auto"/>
                      <w:szCs w:val="21"/>
                      <w:highlight w:val="none"/>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加强设备与管线组件泄漏控制。企业中载有气态、液态VOCs物料的设备与管线组件，密封点数量大于等于2000个的，应按要求开展LDAR工作。石化企业按行业排放标准规定执行。</w:t>
                  </w:r>
                </w:p>
              </w:tc>
              <w:tc>
                <w:tcPr>
                  <w:tcW w:w="2420" w:type="dxa"/>
                  <w:vAlign w:val="center"/>
                </w:tcPr>
                <w:p w14:paraId="59A40D49">
                  <w:pPr>
                    <w:spacing w:line="276" w:lineRule="auto"/>
                    <w:jc w:val="center"/>
                    <w:rPr>
                      <w:rFonts w:hint="eastAsia" w:hAnsi="宋体" w:eastAsia="宋体"/>
                      <w:color w:val="auto"/>
                      <w:szCs w:val="21"/>
                      <w:highlight w:val="none"/>
                      <w:lang w:eastAsia="zh-CN"/>
                    </w:rPr>
                  </w:pPr>
                  <w:r>
                    <w:rPr>
                      <w:rFonts w:hint="eastAsia" w:hAnsi="宋体"/>
                      <w:color w:val="auto"/>
                      <w:szCs w:val="21"/>
                      <w:highlight w:val="none"/>
                    </w:rPr>
                    <w:t>本</w:t>
                  </w:r>
                  <w:r>
                    <w:rPr>
                      <w:rFonts w:hint="eastAsia" w:hAnsi="宋体"/>
                      <w:color w:val="auto"/>
                      <w:szCs w:val="21"/>
                      <w:highlight w:val="none"/>
                      <w:lang w:val="en-US" w:eastAsia="zh-CN"/>
                    </w:rPr>
                    <w:t>次改建后，全厂</w:t>
                  </w:r>
                  <w:r>
                    <w:rPr>
                      <w:rFonts w:hint="eastAsia" w:hAnsi="宋体"/>
                      <w:color w:val="auto"/>
                      <w:szCs w:val="21"/>
                      <w:highlight w:val="none"/>
                    </w:rPr>
                    <w:t>载有气相、液相VOCs物料的设备与管线组件密封点数量小于2000个，不涉及有组织废气排放</w:t>
                  </w:r>
                  <w:r>
                    <w:rPr>
                      <w:rFonts w:hint="eastAsia" w:hAnsi="宋体"/>
                      <w:color w:val="auto"/>
                      <w:szCs w:val="21"/>
                      <w:highlight w:val="none"/>
                      <w:lang w:eastAsia="zh-CN"/>
                    </w:rPr>
                    <w:t>。</w:t>
                  </w:r>
                </w:p>
              </w:tc>
              <w:tc>
                <w:tcPr>
                  <w:tcW w:w="796" w:type="dxa"/>
                  <w:vAlign w:val="center"/>
                </w:tcPr>
                <w:p w14:paraId="23463B05">
                  <w:pPr>
                    <w:spacing w:line="276" w:lineRule="auto"/>
                    <w:jc w:val="center"/>
                    <w:rPr>
                      <w:rFonts w:hAnsi="宋体"/>
                      <w:color w:val="auto"/>
                      <w:szCs w:val="21"/>
                      <w:highlight w:val="none"/>
                    </w:rPr>
                  </w:pPr>
                  <w:r>
                    <w:rPr>
                      <w:rFonts w:hint="eastAsia" w:hAnsi="宋体"/>
                      <w:color w:val="auto"/>
                      <w:szCs w:val="21"/>
                      <w:highlight w:val="none"/>
                    </w:rPr>
                    <w:t>符合</w:t>
                  </w:r>
                </w:p>
              </w:tc>
            </w:tr>
            <w:tr w14:paraId="430915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38" w:type="dxa"/>
                  <w:vAlign w:val="center"/>
                </w:tcPr>
                <w:p w14:paraId="1DA8B853">
                  <w:pPr>
                    <w:spacing w:line="276" w:lineRule="auto"/>
                    <w:jc w:val="center"/>
                    <w:rPr>
                      <w:rFonts w:hAnsi="宋体"/>
                      <w:color w:val="auto"/>
                      <w:szCs w:val="21"/>
                      <w:highlight w:val="none"/>
                    </w:rPr>
                  </w:pPr>
                  <w:r>
                    <w:rPr>
                      <w:rFonts w:hint="eastAsia" w:hAnsi="宋体"/>
                      <w:color w:val="auto"/>
                      <w:szCs w:val="21"/>
                      <w:highlight w:val="none"/>
                    </w:rPr>
                    <w:t>4</w:t>
                  </w:r>
                </w:p>
              </w:tc>
              <w:tc>
                <w:tcPr>
                  <w:tcW w:w="850" w:type="dxa"/>
                  <w:vAlign w:val="center"/>
                </w:tcPr>
                <w:p w14:paraId="1672B17B">
                  <w:pPr>
                    <w:spacing w:line="276" w:lineRule="auto"/>
                    <w:jc w:val="center"/>
                    <w:rPr>
                      <w:rFonts w:hAnsi="宋体"/>
                      <w:color w:val="auto"/>
                      <w:szCs w:val="21"/>
                      <w:highlight w:val="none"/>
                    </w:rPr>
                  </w:pPr>
                  <w:r>
                    <w:rPr>
                      <w:rFonts w:hint="eastAsia" w:hAnsi="宋体"/>
                      <w:color w:val="auto"/>
                      <w:szCs w:val="21"/>
                      <w:highlight w:val="none"/>
                    </w:rPr>
                    <w:t>推进建设适宜高效的治污设施</w:t>
                  </w:r>
                </w:p>
              </w:tc>
              <w:tc>
                <w:tcPr>
                  <w:tcW w:w="3534" w:type="dxa"/>
                  <w:vAlign w:val="center"/>
                </w:tcPr>
                <w:p w14:paraId="6E503413">
                  <w:pPr>
                    <w:spacing w:line="276" w:lineRule="auto"/>
                    <w:jc w:val="center"/>
                    <w:rPr>
                      <w:rFonts w:hAnsi="宋体"/>
                      <w:color w:val="auto"/>
                      <w:szCs w:val="21"/>
                      <w:highlight w:val="none"/>
                    </w:rPr>
                  </w:pPr>
                  <w:r>
                    <w:rPr>
                      <w:rFonts w:hint="eastAsia" w:hAnsi="宋体"/>
                      <w:color w:val="auto"/>
                      <w:szCs w:val="21"/>
                      <w:highlight w:val="none"/>
                    </w:rPr>
                    <w:t>企业新建治污设施或对现有治污设施实施改造，应依据排放废气的浓度、组分、风量，温度、湿度、压力，以及生产工况等，合理选择治理技术。鼓励企业采用多种技术的组合工艺，提高VOCs治理效率。低浓度、大风量废气，宜采用沸石转轮吸附、活性炭吸附、减风增浓等浓缩技术，提高VOCs浓度后净化处理；高浓度废气，优先进行溶剂回收，难以回收的，宜采用高温焚烧、催化燃烧等技术。油气（溶剂）回收宜采用冷凝+吸附、吸附+吸收、膜分离+吸附等技术。低温等离子、光催化、光氧化技术主要适用于恶臭异味等治理；生物法主要适用于低浓度VOCs废气治理和恶臭异味治理。非水溶性的VOCs废气禁止采用水或水溶液喷淋吸收处理。采用一次性活性炭吸附技术的，应定期更换活性炭，废旧活性炭应再生或处理处置。有条件的工业园区和产业集群等，推广集中喷涂、溶剂集中回收、活性炭集中再生等，加强资源共享，提高VOCs治理效率。</w:t>
                  </w:r>
                </w:p>
              </w:tc>
              <w:tc>
                <w:tcPr>
                  <w:tcW w:w="2420" w:type="dxa"/>
                  <w:vAlign w:val="center"/>
                </w:tcPr>
                <w:p w14:paraId="1905C8EC">
                  <w:pPr>
                    <w:spacing w:line="276" w:lineRule="auto"/>
                    <w:jc w:val="center"/>
                    <w:rPr>
                      <w:rFonts w:hAnsi="宋体"/>
                      <w:color w:val="auto"/>
                      <w:szCs w:val="21"/>
                      <w:highlight w:val="none"/>
                    </w:rPr>
                  </w:pPr>
                  <w:r>
                    <w:rPr>
                      <w:rFonts w:hint="eastAsia" w:hAnsi="宋体"/>
                      <w:color w:val="auto"/>
                      <w:szCs w:val="21"/>
                      <w:highlight w:val="none"/>
                    </w:rPr>
                    <w:t>本项目生产工艺及设备情况：</w:t>
                  </w:r>
                </w:p>
                <w:p w14:paraId="748FB810">
                  <w:pPr>
                    <w:spacing w:line="276" w:lineRule="auto"/>
                    <w:jc w:val="center"/>
                    <w:rPr>
                      <w:rFonts w:hAnsi="宋体"/>
                      <w:color w:val="auto"/>
                      <w:szCs w:val="21"/>
                      <w:highlight w:val="none"/>
                    </w:rPr>
                  </w:pPr>
                  <w:r>
                    <w:rPr>
                      <w:rFonts w:hint="eastAsia" w:hAnsi="宋体"/>
                      <w:color w:val="auto"/>
                      <w:szCs w:val="21"/>
                      <w:highlight w:val="none"/>
                    </w:rPr>
                    <w:t>（1）</w:t>
                  </w:r>
                  <w:r>
                    <w:rPr>
                      <w:rFonts w:hint="eastAsia" w:hAnsi="宋体"/>
                      <w:color w:val="auto"/>
                      <w:szCs w:val="21"/>
                      <w:highlight w:val="none"/>
                      <w:lang w:val="en-US" w:eastAsia="zh-CN"/>
                    </w:rPr>
                    <w:t>本次改建项目，新增1台31.5m</w:t>
                  </w:r>
                  <w:r>
                    <w:rPr>
                      <w:rFonts w:hint="eastAsia" w:hAnsi="宋体"/>
                      <w:color w:val="auto"/>
                      <w:szCs w:val="21"/>
                      <w:highlight w:val="none"/>
                      <w:vertAlign w:val="superscript"/>
                      <w:lang w:val="en-US" w:eastAsia="zh-CN"/>
                    </w:rPr>
                    <w:t>3</w:t>
                  </w:r>
                  <w:r>
                    <w:rPr>
                      <w:rFonts w:hint="eastAsia" w:hAnsi="宋体"/>
                      <w:color w:val="auto"/>
                      <w:szCs w:val="21"/>
                      <w:highlight w:val="none"/>
                      <w:lang w:val="en-US" w:eastAsia="zh-CN"/>
                    </w:rPr>
                    <w:t>丙烷立式压力储罐、1台31.5m</w:t>
                  </w:r>
                  <w:r>
                    <w:rPr>
                      <w:rFonts w:hint="eastAsia" w:hAnsi="宋体"/>
                      <w:color w:val="auto"/>
                      <w:szCs w:val="21"/>
                      <w:highlight w:val="none"/>
                      <w:vertAlign w:val="superscript"/>
                      <w:lang w:val="en-US" w:eastAsia="zh-CN"/>
                    </w:rPr>
                    <w:t>3</w:t>
                  </w:r>
                  <w:r>
                    <w:rPr>
                      <w:rFonts w:hint="eastAsia" w:hAnsi="宋体"/>
                      <w:color w:val="auto"/>
                      <w:szCs w:val="21"/>
                      <w:highlight w:val="none"/>
                      <w:lang w:val="en-US" w:eastAsia="zh-CN"/>
                    </w:rPr>
                    <w:t>丁烷立式压力储罐及1台31.5m</w:t>
                  </w:r>
                  <w:r>
                    <w:rPr>
                      <w:rFonts w:hint="eastAsia" w:hAnsi="宋体"/>
                      <w:color w:val="auto"/>
                      <w:szCs w:val="21"/>
                      <w:highlight w:val="none"/>
                      <w:vertAlign w:val="superscript"/>
                      <w:lang w:val="en-US" w:eastAsia="zh-CN"/>
                    </w:rPr>
                    <w:t>3</w:t>
                  </w:r>
                  <w:r>
                    <w:rPr>
                      <w:rFonts w:hint="eastAsia" w:hAnsi="宋体"/>
                      <w:color w:val="auto"/>
                      <w:szCs w:val="21"/>
                      <w:highlight w:val="none"/>
                      <w:lang w:val="en-US" w:eastAsia="zh-CN"/>
                    </w:rPr>
                    <w:t>事故罐（用于丙烷、丁烷事故倒罐使用），停用现有1台30m</w:t>
                  </w:r>
                  <w:r>
                    <w:rPr>
                      <w:rFonts w:hint="eastAsia" w:hAnsi="宋体"/>
                      <w:color w:val="auto"/>
                      <w:szCs w:val="21"/>
                      <w:highlight w:val="none"/>
                      <w:vertAlign w:val="superscript"/>
                      <w:lang w:val="en-US" w:eastAsia="zh-CN"/>
                    </w:rPr>
                    <w:t>3</w:t>
                  </w:r>
                  <w:r>
                    <w:rPr>
                      <w:rFonts w:hint="eastAsia" w:hAnsi="宋体"/>
                      <w:color w:val="auto"/>
                      <w:szCs w:val="21"/>
                      <w:highlight w:val="none"/>
                      <w:lang w:val="en-US" w:eastAsia="zh-CN"/>
                    </w:rPr>
                    <w:t>乙烯低温压力储罐，利用1条乙烯充装线拆除后区域建设丙烷、丁烷充装线，乙烯</w:t>
                  </w:r>
                  <w:r>
                    <w:rPr>
                      <w:rFonts w:hint="eastAsia" w:hAnsi="宋体"/>
                      <w:color w:val="auto"/>
                      <w:szCs w:val="21"/>
                      <w:highlight w:val="none"/>
                    </w:rPr>
                    <w:t>储罐为低温压力储罐，</w:t>
                  </w:r>
                  <w:r>
                    <w:rPr>
                      <w:rFonts w:hint="eastAsia" w:hAnsi="宋体"/>
                      <w:color w:val="auto"/>
                      <w:szCs w:val="21"/>
                      <w:highlight w:val="none"/>
                      <w:lang w:val="en-US" w:eastAsia="zh-CN"/>
                    </w:rPr>
                    <w:t>乙烯</w:t>
                  </w:r>
                  <w:r>
                    <w:rPr>
                      <w:rFonts w:hint="eastAsia"/>
                      <w:color w:val="auto"/>
                      <w:highlight w:val="none"/>
                    </w:rPr>
                    <w:t>卸车</w:t>
                  </w:r>
                  <w:r>
                    <w:rPr>
                      <w:rFonts w:hint="eastAsia"/>
                      <w:color w:val="auto"/>
                      <w:highlight w:val="none"/>
                      <w:lang w:val="en-US" w:eastAsia="zh-CN"/>
                    </w:rPr>
                    <w:t>仍</w:t>
                  </w:r>
                  <w:r>
                    <w:rPr>
                      <w:rFonts w:hint="eastAsia"/>
                      <w:color w:val="auto"/>
                      <w:highlight w:val="none"/>
                    </w:rPr>
                    <w:t>采用气相平衡</w:t>
                  </w:r>
                  <w:r>
                    <w:rPr>
                      <w:rFonts w:hint="eastAsia"/>
                      <w:color w:val="auto"/>
                      <w:highlight w:val="none"/>
                      <w:lang w:val="en-US" w:eastAsia="zh-CN"/>
                    </w:rPr>
                    <w:t>卸车鹤</w:t>
                  </w:r>
                  <w:r>
                    <w:rPr>
                      <w:rFonts w:hint="eastAsia"/>
                      <w:color w:val="auto"/>
                      <w:highlight w:val="none"/>
                    </w:rPr>
                    <w:t>管进行装卸</w:t>
                  </w:r>
                  <w:r>
                    <w:rPr>
                      <w:rFonts w:hint="eastAsia"/>
                      <w:color w:val="auto"/>
                      <w:highlight w:val="none"/>
                      <w:lang w:eastAsia="zh-CN"/>
                    </w:rPr>
                    <w:t>；</w:t>
                  </w:r>
                  <w:r>
                    <w:rPr>
                      <w:rFonts w:hint="eastAsia"/>
                      <w:color w:val="auto"/>
                      <w:highlight w:val="none"/>
                      <w:lang w:val="en-US" w:eastAsia="zh-CN"/>
                    </w:rPr>
                    <w:t>丙烷/丁烷采用气相压差卸车方式通过卸车鹤管卸车，压缩机抽吸的储罐气相压缩后输送至罐车气相空间，使罐车压力高于储罐后，罐车内液相物料自流至储罐，该过程全密闭，气液两相平衡，</w:t>
                  </w:r>
                  <w:r>
                    <w:rPr>
                      <w:rFonts w:hint="eastAsia"/>
                      <w:color w:val="auto"/>
                      <w:highlight w:val="none"/>
                    </w:rPr>
                    <w:t>无废气产生；</w:t>
                  </w:r>
                  <w:r>
                    <w:rPr>
                      <w:rFonts w:hint="eastAsia"/>
                      <w:color w:val="auto"/>
                      <w:highlight w:val="none"/>
                      <w:lang w:val="en-US" w:eastAsia="zh-CN"/>
                    </w:rPr>
                    <w:t>物料在储罐内</w:t>
                  </w:r>
                  <w:r>
                    <w:rPr>
                      <w:rFonts w:hint="eastAsia"/>
                      <w:color w:val="auto"/>
                      <w:highlight w:val="none"/>
                    </w:rPr>
                    <w:t>日常存储过程中无呼吸废气排放，偶有超压废气经超压阀泄放，可忽略不计。</w:t>
                  </w:r>
                  <w:r>
                    <w:rPr>
                      <w:rFonts w:hAnsi="宋体"/>
                      <w:color w:val="auto"/>
                      <w:szCs w:val="21"/>
                      <w:highlight w:val="none"/>
                    </w:rPr>
                    <w:t>（</w:t>
                  </w:r>
                  <w:r>
                    <w:rPr>
                      <w:rFonts w:hint="eastAsia" w:hAnsi="宋体"/>
                      <w:color w:val="auto"/>
                      <w:szCs w:val="21"/>
                      <w:highlight w:val="none"/>
                    </w:rPr>
                    <w:t>2</w:t>
                  </w:r>
                  <w:r>
                    <w:rPr>
                      <w:rFonts w:hAnsi="宋体"/>
                      <w:color w:val="auto"/>
                      <w:szCs w:val="21"/>
                      <w:highlight w:val="none"/>
                    </w:rPr>
                    <w:t>）</w:t>
                  </w:r>
                  <w:r>
                    <w:rPr>
                      <w:rFonts w:hint="eastAsia"/>
                      <w:color w:val="auto"/>
                      <w:highlight w:val="none"/>
                    </w:rPr>
                    <w:t>项目新钢瓶入场时，先抽真空再采用氮气置换两次，再次抽完真空后，进行压力充装，充装过程无氮气产生。（3）项目返厂钢瓶会残存0</w:t>
                  </w:r>
                  <w:r>
                    <w:rPr>
                      <w:color w:val="auto"/>
                      <w:highlight w:val="none"/>
                    </w:rPr>
                    <w:t>.05</w:t>
                  </w:r>
                  <w:r>
                    <w:rPr>
                      <w:rFonts w:hint="eastAsia"/>
                      <w:color w:val="auto"/>
                      <w:highlight w:val="none"/>
                    </w:rPr>
                    <w:t>M</w:t>
                  </w:r>
                  <w:r>
                    <w:rPr>
                      <w:color w:val="auto"/>
                      <w:highlight w:val="none"/>
                    </w:rPr>
                    <w:t>pa</w:t>
                  </w:r>
                  <w:r>
                    <w:rPr>
                      <w:rFonts w:hint="eastAsia"/>
                      <w:color w:val="auto"/>
                      <w:highlight w:val="none"/>
                    </w:rPr>
                    <w:t>压力，检测合格后可直接充装，无需抽残处理；返厂不合格钢瓶，直接返回钢瓶厂家进行维修，不在厂内维修处理，因此无废气产生。（4）项目</w:t>
                  </w:r>
                  <w:r>
                    <w:rPr>
                      <w:rFonts w:hint="eastAsia"/>
                      <w:color w:val="auto"/>
                      <w:highlight w:val="none"/>
                      <w:lang w:val="en-US" w:eastAsia="zh-CN"/>
                    </w:rPr>
                    <w:t>乙烯、丙烷、丁烷均</w:t>
                  </w:r>
                  <w:r>
                    <w:rPr>
                      <w:rFonts w:hint="eastAsia"/>
                      <w:color w:val="auto"/>
                      <w:highlight w:val="none"/>
                    </w:rPr>
                    <w:t>为压力充装，每次充装结束后，管内保留部分气体维持正压，防止空气进入，管道密封性好。</w:t>
                  </w:r>
                </w:p>
              </w:tc>
              <w:tc>
                <w:tcPr>
                  <w:tcW w:w="796" w:type="dxa"/>
                  <w:vAlign w:val="center"/>
                </w:tcPr>
                <w:p w14:paraId="1ED262D8">
                  <w:pPr>
                    <w:spacing w:line="276" w:lineRule="auto"/>
                    <w:jc w:val="center"/>
                    <w:rPr>
                      <w:rFonts w:hAnsi="宋体"/>
                      <w:color w:val="auto"/>
                      <w:szCs w:val="21"/>
                      <w:highlight w:val="none"/>
                    </w:rPr>
                  </w:pPr>
                  <w:r>
                    <w:rPr>
                      <w:rFonts w:hint="eastAsia" w:hAnsi="宋体"/>
                      <w:color w:val="auto"/>
                      <w:szCs w:val="21"/>
                      <w:highlight w:val="none"/>
                    </w:rPr>
                    <w:t>符合</w:t>
                  </w:r>
                </w:p>
              </w:tc>
            </w:tr>
          </w:tbl>
          <w:p w14:paraId="6EA6C5B9">
            <w:pPr>
              <w:keepNext w:val="0"/>
              <w:keepLines w:val="0"/>
              <w:suppressLineNumbers w:val="0"/>
              <w:spacing w:before="0" w:beforeAutospacing="0" w:after="0" w:afterAutospacing="0" w:line="360" w:lineRule="auto"/>
              <w:ind w:left="0" w:right="0" w:firstLine="482" w:firstLineChars="200"/>
              <w:rPr>
                <w:rFonts w:hint="default" w:eastAsia="黑体"/>
                <w:color w:val="auto"/>
                <w:sz w:val="24"/>
                <w:szCs w:val="24"/>
                <w:highlight w:val="none"/>
              </w:rPr>
            </w:pPr>
            <w:r>
              <w:rPr>
                <w:rFonts w:hint="default"/>
                <w:b/>
                <w:color w:val="auto"/>
                <w:sz w:val="24"/>
                <w:szCs w:val="24"/>
                <w:highlight w:val="none"/>
              </w:rPr>
              <w:t>（</w:t>
            </w:r>
            <w:r>
              <w:rPr>
                <w:rFonts w:hint="eastAsia"/>
                <w:b/>
                <w:color w:val="auto"/>
                <w:sz w:val="24"/>
                <w:szCs w:val="24"/>
                <w:highlight w:val="none"/>
                <w:lang w:val="en-US" w:eastAsia="zh-CN"/>
              </w:rPr>
              <w:t>4</w:t>
            </w:r>
            <w:r>
              <w:rPr>
                <w:rFonts w:hint="default"/>
                <w:b/>
                <w:color w:val="auto"/>
                <w:sz w:val="24"/>
                <w:szCs w:val="24"/>
                <w:highlight w:val="none"/>
              </w:rPr>
              <w:t>）与</w:t>
            </w:r>
            <w:r>
              <w:rPr>
                <w:rFonts w:hint="eastAsia"/>
                <w:b/>
                <w:color w:val="auto"/>
                <w:sz w:val="24"/>
                <w:szCs w:val="24"/>
                <w:highlight w:val="none"/>
                <w:lang w:eastAsia="zh-CN"/>
              </w:rPr>
              <w:t>《</w:t>
            </w:r>
            <w:r>
              <w:rPr>
                <w:rFonts w:hint="eastAsia"/>
                <w:b/>
                <w:color w:val="auto"/>
                <w:sz w:val="24"/>
                <w:szCs w:val="24"/>
                <w:highlight w:val="none"/>
                <w:lang w:val="en-US" w:eastAsia="zh-CN"/>
              </w:rPr>
              <w:t>安徽省长江经济带发展负面清单实施细则（试行，2022年版）</w:t>
            </w:r>
            <w:r>
              <w:rPr>
                <w:rFonts w:hint="eastAsia"/>
                <w:b/>
                <w:color w:val="auto"/>
                <w:sz w:val="24"/>
                <w:szCs w:val="24"/>
                <w:highlight w:val="none"/>
                <w:lang w:eastAsia="zh-CN"/>
              </w:rPr>
              <w:t>》（皖长江办〔2022〕10号）</w:t>
            </w:r>
            <w:r>
              <w:rPr>
                <w:rFonts w:hint="default"/>
                <w:b/>
                <w:color w:val="auto"/>
                <w:sz w:val="24"/>
                <w:szCs w:val="24"/>
                <w:highlight w:val="none"/>
              </w:rPr>
              <w:t>符合性分析</w:t>
            </w:r>
          </w:p>
          <w:p w14:paraId="725D4A5D">
            <w:pPr>
              <w:keepNext w:val="0"/>
              <w:keepLines w:val="0"/>
              <w:suppressLineNumbers w:val="0"/>
              <w:spacing w:before="0" w:beforeAutospacing="0" w:after="0" w:afterAutospacing="0" w:line="360" w:lineRule="auto"/>
              <w:ind w:left="0" w:right="0"/>
              <w:jc w:val="center"/>
              <w:rPr>
                <w:rFonts w:hint="default" w:eastAsia="黑体"/>
                <w:color w:val="auto"/>
                <w:w w:val="90"/>
                <w:sz w:val="24"/>
                <w:szCs w:val="24"/>
                <w:highlight w:val="none"/>
              </w:rPr>
            </w:pPr>
            <w:r>
              <w:rPr>
                <w:rFonts w:hint="default" w:eastAsia="黑体"/>
                <w:color w:val="auto"/>
                <w:sz w:val="24"/>
                <w:szCs w:val="24"/>
                <w:highlight w:val="none"/>
              </w:rPr>
              <w:t>表</w:t>
            </w:r>
            <w:r>
              <w:rPr>
                <w:rFonts w:hint="eastAsia" w:eastAsia="黑体"/>
                <w:color w:val="auto"/>
                <w:sz w:val="24"/>
                <w:szCs w:val="24"/>
                <w:highlight w:val="none"/>
                <w:lang w:val="en-US" w:eastAsia="zh-CN"/>
              </w:rPr>
              <w:t>1-7</w:t>
            </w:r>
            <w:r>
              <w:rPr>
                <w:rFonts w:hint="eastAsia" w:eastAsia="黑体"/>
                <w:color w:val="auto"/>
                <w:sz w:val="24"/>
                <w:szCs w:val="24"/>
                <w:highlight w:val="none"/>
              </w:rPr>
              <w:t xml:space="preserve"> </w:t>
            </w:r>
            <w:r>
              <w:rPr>
                <w:rFonts w:hint="default" w:eastAsia="黑体"/>
                <w:color w:val="auto"/>
                <w:sz w:val="24"/>
                <w:szCs w:val="24"/>
                <w:highlight w:val="none"/>
              </w:rPr>
              <w:t>与《安徽省长江经济带发展负面清单实施细则》符合性分析</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591"/>
              <w:gridCol w:w="3361"/>
              <w:gridCol w:w="3083"/>
              <w:gridCol w:w="856"/>
            </w:tblGrid>
            <w:tr w14:paraId="4B2EB5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192A0166">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序号</w:t>
                  </w:r>
                </w:p>
              </w:tc>
              <w:tc>
                <w:tcPr>
                  <w:tcW w:w="2129" w:type="pct"/>
                  <w:noWrap w:val="0"/>
                  <w:vAlign w:val="center"/>
                </w:tcPr>
                <w:p w14:paraId="13DC127A">
                  <w:pPr>
                    <w:keepNext w:val="0"/>
                    <w:keepLines w:val="0"/>
                    <w:suppressLineNumbers w:val="0"/>
                    <w:spacing w:before="0" w:beforeAutospacing="0" w:after="0" w:afterAutospacing="0" w:line="276" w:lineRule="auto"/>
                    <w:ind w:left="0" w:right="0"/>
                    <w:jc w:val="center"/>
                    <w:rPr>
                      <w:rFonts w:hint="default" w:eastAsia="宋体"/>
                      <w:b/>
                      <w:color w:val="auto"/>
                      <w:szCs w:val="21"/>
                      <w:highlight w:val="none"/>
                      <w:lang w:val="en-US" w:eastAsia="zh-CN"/>
                    </w:rPr>
                  </w:pPr>
                  <w:r>
                    <w:rPr>
                      <w:rFonts w:hint="eastAsia"/>
                      <w:b/>
                      <w:color w:val="auto"/>
                      <w:szCs w:val="21"/>
                      <w:highlight w:val="none"/>
                      <w:lang w:val="en-US" w:eastAsia="zh-CN"/>
                    </w:rPr>
                    <w:t>相关内容</w:t>
                  </w:r>
                </w:p>
              </w:tc>
              <w:tc>
                <w:tcPr>
                  <w:tcW w:w="1953" w:type="pct"/>
                  <w:noWrap w:val="0"/>
                  <w:vAlign w:val="center"/>
                </w:tcPr>
                <w:p w14:paraId="749EE62F">
                  <w:pPr>
                    <w:keepNext w:val="0"/>
                    <w:keepLines w:val="0"/>
                    <w:suppressLineNumbers w:val="0"/>
                    <w:spacing w:before="0" w:beforeAutospacing="0" w:after="0" w:afterAutospacing="0" w:line="276" w:lineRule="auto"/>
                    <w:ind w:left="0" w:right="0"/>
                    <w:jc w:val="center"/>
                    <w:rPr>
                      <w:rFonts w:hint="default" w:eastAsia="宋体"/>
                      <w:b/>
                      <w:color w:val="auto"/>
                      <w:szCs w:val="21"/>
                      <w:highlight w:val="none"/>
                      <w:lang w:val="en-US" w:eastAsia="zh-CN"/>
                    </w:rPr>
                  </w:pPr>
                  <w:r>
                    <w:rPr>
                      <w:rFonts w:hint="eastAsia"/>
                      <w:b/>
                      <w:color w:val="auto"/>
                      <w:szCs w:val="21"/>
                      <w:highlight w:val="none"/>
                      <w:lang w:val="en-US" w:eastAsia="zh-CN"/>
                    </w:rPr>
                    <w:t>本项目情况</w:t>
                  </w:r>
                </w:p>
              </w:tc>
              <w:tc>
                <w:tcPr>
                  <w:tcW w:w="542" w:type="pct"/>
                  <w:noWrap w:val="0"/>
                  <w:vAlign w:val="center"/>
                </w:tcPr>
                <w:p w14:paraId="4548ADE5">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hAnsi="Calibri"/>
                      <w:b/>
                      <w:color w:val="auto"/>
                      <w:szCs w:val="21"/>
                      <w:highlight w:val="none"/>
                    </w:rPr>
                    <w:t>符合性</w:t>
                  </w:r>
                </w:p>
              </w:tc>
            </w:tr>
            <w:tr w14:paraId="0B10892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7894C717">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1</w:t>
                  </w:r>
                </w:p>
              </w:tc>
              <w:tc>
                <w:tcPr>
                  <w:tcW w:w="2129" w:type="pct"/>
                  <w:noWrap w:val="0"/>
                  <w:vAlign w:val="center"/>
                </w:tcPr>
                <w:p w14:paraId="6CF84968">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建设不符合全国和省港口布局规划以及港口总体规划的码头项目。码头建设项目需要使用港口岸线的，项目单位应当按照国家和省港口岸线使用管理相关规定，办理港口岸线使用手续。未取得港口岸线使用许可的，不得开工建设。禁止建设不符合国家《长江干线过江通道布局规划》的过长江通道项目。</w:t>
                  </w:r>
                </w:p>
              </w:tc>
              <w:tc>
                <w:tcPr>
                  <w:tcW w:w="1953" w:type="pct"/>
                  <w:noWrap w:val="0"/>
                  <w:vAlign w:val="center"/>
                </w:tcPr>
                <w:p w14:paraId="6F41E827">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本次改建项目为装卸搬运和仓储业，不属于码头、长江通道项目。</w:t>
                  </w:r>
                </w:p>
              </w:tc>
              <w:tc>
                <w:tcPr>
                  <w:tcW w:w="542" w:type="pct"/>
                  <w:noWrap w:val="0"/>
                  <w:vAlign w:val="center"/>
                </w:tcPr>
                <w:p w14:paraId="2B582A97">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6D5231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26645329">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2</w:t>
                  </w:r>
                </w:p>
              </w:tc>
              <w:tc>
                <w:tcPr>
                  <w:tcW w:w="2129" w:type="pct"/>
                  <w:noWrap w:val="0"/>
                  <w:vAlign w:val="center"/>
                </w:tcPr>
                <w:p w14:paraId="0EC62A60">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在自然保护区核心区、缓冲区的岸线和河段范围内投资建设旅游和生产经营项目。禁止违反风景名胜区规划，在风景名胜区的岸线和河段范围内设立各类开发区，在核心景区的岸线和河段范围内建设与风景名胜资源保护无关的项目。</w:t>
                  </w:r>
                </w:p>
              </w:tc>
              <w:tc>
                <w:tcPr>
                  <w:tcW w:w="1953" w:type="pct"/>
                  <w:noWrap w:val="0"/>
                  <w:vAlign w:val="center"/>
                </w:tcPr>
                <w:p w14:paraId="08EE275A">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项目位于安徽省淮南市淮南经济技术开发区安徽永银科技发展有限公司（经开区长宁路80号）内，不位于自然保护区核心区、缓冲区、风景名胜区核心景区的岸线与河段；主要从事危险化学品仓储，不属于建设旅游和生产经营项目。</w:t>
                  </w:r>
                </w:p>
              </w:tc>
              <w:tc>
                <w:tcPr>
                  <w:tcW w:w="542" w:type="pct"/>
                  <w:noWrap w:val="0"/>
                  <w:vAlign w:val="center"/>
                </w:tcPr>
                <w:p w14:paraId="1FE1E443">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0A902A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0D5D423F">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3</w:t>
                  </w:r>
                </w:p>
              </w:tc>
              <w:tc>
                <w:tcPr>
                  <w:tcW w:w="2129" w:type="pct"/>
                  <w:noWrap w:val="0"/>
                  <w:vAlign w:val="center"/>
                </w:tcPr>
                <w:p w14:paraId="5FE95F56">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在饮用水水源一级保护区的岸线和河段范围内新建、改建、扩建与供水设施和保护水源无关的项目，以及网箱养殖、畜禽养殖、施用化肥农药的种植以及旅游等可能污染饮用水水体的投资建设项目，禁止设立工业废渣、生活垃圾和其他废弃物堆场，禁止设置排污口。禁止在饮用水水源二级保护区的岸线和河段范围内新建、改建、扩建排放污染物的项目，禁止设置排污口。</w:t>
                  </w:r>
                </w:p>
              </w:tc>
              <w:tc>
                <w:tcPr>
                  <w:tcW w:w="1953" w:type="pct"/>
                  <w:noWrap w:val="0"/>
                  <w:vAlign w:val="center"/>
                </w:tcPr>
                <w:p w14:paraId="5BAA6D03">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本项目不位于饮用水水源一级保护区、二级保护区的岸线和河段，不属于供水设施和保护水源无关项目，不涉及</w:t>
                  </w:r>
                  <w:r>
                    <w:rPr>
                      <w:rFonts w:hint="eastAsia" w:eastAsia="宋体"/>
                      <w:color w:val="auto"/>
                      <w:szCs w:val="21"/>
                      <w:highlight w:val="none"/>
                      <w:lang w:val="en-US" w:eastAsia="zh-CN"/>
                    </w:rPr>
                    <w:t>网箱养殖、畜禽养殖、旅游等可能污染饮用水水体的投资建设项目，不涉及设立工业废渣、生活垃圾和其他废弃物堆场，不新增入河排污口。</w:t>
                  </w:r>
                </w:p>
              </w:tc>
              <w:tc>
                <w:tcPr>
                  <w:tcW w:w="542" w:type="pct"/>
                  <w:noWrap w:val="0"/>
                  <w:vAlign w:val="center"/>
                </w:tcPr>
                <w:p w14:paraId="789C0858">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4B4260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0F814F33">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4</w:t>
                  </w:r>
                </w:p>
              </w:tc>
              <w:tc>
                <w:tcPr>
                  <w:tcW w:w="2129" w:type="pct"/>
                  <w:noWrap w:val="0"/>
                  <w:vAlign w:val="center"/>
                </w:tcPr>
                <w:p w14:paraId="6665E3A3">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在水产种质资源保护区的岸线和河段范围内新建围湖造田、围海造地或围填海等投资建设项目。除国家另有规定外，禁止在国家湿地公园的岸线和河段范围内挖沙、采矿，以及任何不符合主体功能定位的投资建设项目。</w:t>
                  </w:r>
                </w:p>
              </w:tc>
              <w:tc>
                <w:tcPr>
                  <w:tcW w:w="1953" w:type="pct"/>
                  <w:noWrap w:val="0"/>
                  <w:vAlign w:val="center"/>
                </w:tcPr>
                <w:p w14:paraId="77659C55">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本项目不位于水产种质资源保护区、国家湿地公园的岸线和河段，不属于挖沙、采矿、</w:t>
                  </w:r>
                  <w:r>
                    <w:rPr>
                      <w:rFonts w:hint="eastAsia" w:eastAsia="宋体"/>
                      <w:color w:val="auto"/>
                      <w:szCs w:val="21"/>
                      <w:highlight w:val="none"/>
                      <w:lang w:val="en-US" w:eastAsia="zh-CN"/>
                    </w:rPr>
                    <w:t>围湖造田、围海造地或围填海等投资建设项目。</w:t>
                  </w:r>
                </w:p>
              </w:tc>
              <w:tc>
                <w:tcPr>
                  <w:tcW w:w="542" w:type="pct"/>
                  <w:noWrap w:val="0"/>
                  <w:vAlign w:val="center"/>
                </w:tcPr>
                <w:p w14:paraId="300AAE5B">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28D0F5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1326873A">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5</w:t>
                  </w:r>
                </w:p>
              </w:tc>
              <w:tc>
                <w:tcPr>
                  <w:tcW w:w="2129" w:type="pct"/>
                  <w:noWrap w:val="0"/>
                  <w:vAlign w:val="center"/>
                </w:tcPr>
                <w:p w14:paraId="3D72B224">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违法利用、占用长江流域河湖岸线。禁止在《长江岸线保护和开发利用总体规划》划定的岸线保护区和保留区内投资建设除事关公共安全及公共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953" w:type="pct"/>
                  <w:noWrap w:val="0"/>
                  <w:vAlign w:val="center"/>
                </w:tcPr>
                <w:p w14:paraId="4548B117">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本项目依托现有厂区建设，位于安徽省淮南市淮南经济技术开发区安徽永银科技发展有限公司（经开区长宁路80号）内，不位于</w:t>
                  </w:r>
                  <w:r>
                    <w:rPr>
                      <w:rFonts w:hint="eastAsia" w:eastAsia="宋体"/>
                      <w:color w:val="auto"/>
                      <w:szCs w:val="21"/>
                      <w:highlight w:val="none"/>
                      <w:lang w:val="en-US" w:eastAsia="zh-CN"/>
                    </w:rPr>
                    <w:t>长江流域河湖岸线、湖泊保护区及保留区范围内；本项目不新增生产废水及生活污水。</w:t>
                  </w:r>
                </w:p>
              </w:tc>
              <w:tc>
                <w:tcPr>
                  <w:tcW w:w="542" w:type="pct"/>
                  <w:noWrap w:val="0"/>
                  <w:vAlign w:val="center"/>
                </w:tcPr>
                <w:p w14:paraId="348C6382">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7F7271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75D2B816">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6</w:t>
                  </w:r>
                </w:p>
              </w:tc>
              <w:tc>
                <w:tcPr>
                  <w:tcW w:w="2129" w:type="pct"/>
                  <w:noWrap w:val="0"/>
                  <w:vAlign w:val="center"/>
                </w:tcPr>
                <w:p w14:paraId="78C0AB5E">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禁止未经许可在长江（安徽段）干支流、湖泊新设、改设或扩大排污口。</w:t>
                  </w:r>
                </w:p>
              </w:tc>
              <w:tc>
                <w:tcPr>
                  <w:tcW w:w="1953" w:type="pct"/>
                  <w:noWrap w:val="0"/>
                  <w:vAlign w:val="center"/>
                </w:tcPr>
                <w:p w14:paraId="26A657D3">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eastAsia="宋体"/>
                      <w:color w:val="auto"/>
                      <w:szCs w:val="21"/>
                      <w:highlight w:val="none"/>
                      <w:lang w:val="en-US" w:eastAsia="zh-CN"/>
                    </w:rPr>
                    <w:t>本项目不新增生产废水及生活污水，</w:t>
                  </w:r>
                  <w:r>
                    <w:rPr>
                      <w:rFonts w:hint="eastAsia"/>
                      <w:color w:val="auto"/>
                      <w:szCs w:val="21"/>
                      <w:highlight w:val="none"/>
                      <w:lang w:val="en-US" w:eastAsia="zh-CN"/>
                    </w:rPr>
                    <w:t>不涉及新设、改设或扩大排污口。</w:t>
                  </w:r>
                </w:p>
              </w:tc>
              <w:tc>
                <w:tcPr>
                  <w:tcW w:w="542" w:type="pct"/>
                  <w:noWrap w:val="0"/>
                  <w:vAlign w:val="center"/>
                </w:tcPr>
                <w:p w14:paraId="61EF65DA">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5B556D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1D7B5CE5">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7</w:t>
                  </w:r>
                </w:p>
              </w:tc>
              <w:tc>
                <w:tcPr>
                  <w:tcW w:w="2129" w:type="pct"/>
                  <w:noWrap w:val="0"/>
                  <w:vAlign w:val="center"/>
                </w:tcPr>
                <w:p w14:paraId="039CD5F3">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在长江干流安徽段及华阳河、水阳江、皖河、青弋江、漳河、滁河干流以及菜子湖（包括白兔湖、嬉子湖、长河）、巢湖（包括巢湖主体、裕溪河）等8个主要支流和44个全面禁捕水生生物保护区开展生产性捕捞。</w:t>
                  </w:r>
                </w:p>
              </w:tc>
              <w:tc>
                <w:tcPr>
                  <w:tcW w:w="1953" w:type="pct"/>
                  <w:noWrap w:val="0"/>
                  <w:vAlign w:val="center"/>
                </w:tcPr>
                <w:p w14:paraId="6EA9DB3C">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本项目不在</w:t>
                  </w:r>
                  <w:r>
                    <w:rPr>
                      <w:rFonts w:hint="eastAsia" w:eastAsia="宋体"/>
                      <w:color w:val="auto"/>
                      <w:szCs w:val="21"/>
                      <w:highlight w:val="none"/>
                      <w:lang w:val="en-US" w:eastAsia="zh-CN"/>
                    </w:rPr>
                    <w:t>长江干流安徽段及华阳河、水阳江、皖河、青弋江、漳河、滁河干流以及菜子湖（包括白兔湖、嬉子湖、长河）、巢湖（包括巢湖主体、裕溪河）等8个主要支流和44个全面禁捕水生生物保护区，</w:t>
                  </w:r>
                  <w:r>
                    <w:rPr>
                      <w:rFonts w:hint="eastAsia"/>
                      <w:color w:val="auto"/>
                      <w:szCs w:val="21"/>
                      <w:highlight w:val="none"/>
                      <w:lang w:val="en-US" w:eastAsia="zh-CN"/>
                    </w:rPr>
                    <w:t>不涉及水生生物捕捞工作。</w:t>
                  </w:r>
                </w:p>
              </w:tc>
              <w:tc>
                <w:tcPr>
                  <w:tcW w:w="542" w:type="pct"/>
                  <w:noWrap w:val="0"/>
                  <w:vAlign w:val="center"/>
                </w:tcPr>
                <w:p w14:paraId="5289719E">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36EAA65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3005B17B">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8</w:t>
                  </w:r>
                </w:p>
              </w:tc>
              <w:tc>
                <w:tcPr>
                  <w:tcW w:w="2129" w:type="pct"/>
                  <w:noWrap w:val="0"/>
                  <w:vAlign w:val="center"/>
                </w:tcPr>
                <w:p w14:paraId="764601FB">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在长江（安徽段）干支流、巢湖岸线一公里范围内新建、扩建化工园区和化工项目。已批未开工的项目，依法停止建设，支持重新选址。已经开工建设的项目，严格进行检查评估，不符合岸线规划和环保、安全要求的，全部依法依规停建搬迁。禁止在长江干流岸线三公里范围内和主要支流岸线一公里范围内新建、改建、扩建尾矿库、冶炼渣库和磷石膏库，以提升安全、生态环境保护水平为目的的改建除外。</w:t>
                  </w:r>
                </w:p>
              </w:tc>
              <w:tc>
                <w:tcPr>
                  <w:tcW w:w="1953" w:type="pct"/>
                  <w:vMerge w:val="restart"/>
                  <w:noWrap w:val="0"/>
                  <w:vAlign w:val="center"/>
                </w:tcPr>
                <w:p w14:paraId="71B8F1BB">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r>
                    <w:rPr>
                      <w:rFonts w:hint="eastAsia"/>
                      <w:color w:val="auto"/>
                      <w:szCs w:val="21"/>
                      <w:highlight w:val="none"/>
                      <w:lang w:val="en-US" w:eastAsia="zh-CN"/>
                    </w:rPr>
                    <w:t>本项目所在地属于淮河流域管理范畴，不在</w:t>
                  </w:r>
                  <w:r>
                    <w:rPr>
                      <w:rFonts w:hint="eastAsia" w:eastAsia="宋体"/>
                      <w:color w:val="auto"/>
                      <w:szCs w:val="21"/>
                      <w:highlight w:val="none"/>
                      <w:lang w:val="en-US" w:eastAsia="zh-CN"/>
                    </w:rPr>
                    <w:t>（安徽段）干支流、巢湖岸线</w:t>
                  </w:r>
                  <w:r>
                    <w:rPr>
                      <w:rFonts w:hint="eastAsia"/>
                      <w:color w:val="auto"/>
                      <w:szCs w:val="21"/>
                      <w:highlight w:val="none"/>
                      <w:lang w:val="en-US" w:eastAsia="zh-CN"/>
                    </w:rPr>
                    <w:t>三公里范围内；项目行业类别为G5942危险化学品仓储，为改建项目，不涉及尾矿库、冶炼渣库和磷石膏库建设。</w:t>
                  </w:r>
                </w:p>
                <w:p w14:paraId="73A51067">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b w:val="0"/>
                      <w:bCs w:val="0"/>
                      <w:color w:val="auto"/>
                      <w:szCs w:val="21"/>
                      <w:highlight w:val="none"/>
                      <w:lang w:val="en-US" w:eastAsia="zh-CN"/>
                    </w:rPr>
                    <w:t>本项目选址在淮南经开化工园区（原名“淮南经济技术开发区化工集中区”，为合规园区）内，属于淮南经济技术开发区管理范畴；结合安徽省发展改革委长江处回复（附件10），高污染项目判定依据生态环境部《环境保护综合名录（2021版）》中“双高（高污染、高环境风险）”类项目产品规定执行，经对照，本项目不涉及“双高”类项目产品，不属于钢铁、</w:t>
                  </w:r>
                  <w:r>
                    <w:rPr>
                      <w:rFonts w:hint="eastAsia" w:eastAsia="宋体"/>
                      <w:b w:val="0"/>
                      <w:bCs w:val="0"/>
                      <w:color w:val="auto"/>
                      <w:szCs w:val="21"/>
                      <w:highlight w:val="none"/>
                      <w:lang w:val="en-US" w:eastAsia="zh-CN"/>
                    </w:rPr>
                    <w:t>石化、化工、焦化、建材、有色、制浆造纸等高污染项目，也不属于高耗能高排放项目，不属于长江经济带负面清单实施细则中强制进入合规园区的项目。</w:t>
                  </w:r>
                  <w:r>
                    <w:rPr>
                      <w:rFonts w:hint="eastAsia" w:eastAsia="宋体"/>
                      <w:color w:val="auto"/>
                      <w:szCs w:val="21"/>
                      <w:highlight w:val="none"/>
                      <w:lang w:val="en-US" w:eastAsia="zh-CN"/>
                    </w:rPr>
                    <w:t>不新增水泥及水泥熟料产能；项目建设符合产业政策及相关规划。</w:t>
                  </w:r>
                </w:p>
              </w:tc>
              <w:tc>
                <w:tcPr>
                  <w:tcW w:w="542" w:type="pct"/>
                  <w:noWrap w:val="0"/>
                  <w:vAlign w:val="center"/>
                </w:tcPr>
                <w:p w14:paraId="67040A81">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474279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07654541">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9</w:t>
                  </w:r>
                </w:p>
              </w:tc>
              <w:tc>
                <w:tcPr>
                  <w:tcW w:w="2129" w:type="pct"/>
                  <w:noWrap w:val="0"/>
                  <w:vAlign w:val="center"/>
                </w:tcPr>
                <w:p w14:paraId="1234DA11">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b w:val="0"/>
                      <w:bCs w:val="0"/>
                      <w:color w:val="auto"/>
                      <w:szCs w:val="21"/>
                      <w:highlight w:val="none"/>
                      <w:lang w:val="en-US" w:eastAsia="zh-CN"/>
                    </w:rPr>
                    <w:t>禁止在合规园区外新建、扩建钢铁、石化、化工、焦化、建材、有色、制浆造纸等高污染项目。</w:t>
                  </w:r>
                </w:p>
              </w:tc>
              <w:tc>
                <w:tcPr>
                  <w:tcW w:w="1953" w:type="pct"/>
                  <w:vMerge w:val="continue"/>
                  <w:noWrap w:val="0"/>
                  <w:vAlign w:val="center"/>
                </w:tcPr>
                <w:p w14:paraId="64D64184">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p>
              </w:tc>
              <w:tc>
                <w:tcPr>
                  <w:tcW w:w="542" w:type="pct"/>
                  <w:noWrap w:val="0"/>
                  <w:vAlign w:val="center"/>
                </w:tcPr>
                <w:p w14:paraId="55FAABBC">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符合</w:t>
                  </w:r>
                </w:p>
              </w:tc>
            </w:tr>
            <w:tr w14:paraId="7C13F46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3F855619">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10</w:t>
                  </w:r>
                </w:p>
              </w:tc>
              <w:tc>
                <w:tcPr>
                  <w:tcW w:w="2129" w:type="pct"/>
                  <w:noWrap w:val="0"/>
                  <w:vAlign w:val="center"/>
                </w:tcPr>
                <w:p w14:paraId="253991F2">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禁止新建、扩建不符合国家石化、现代煤化工等产业布局规划的项目。</w:t>
                  </w:r>
                </w:p>
              </w:tc>
              <w:tc>
                <w:tcPr>
                  <w:tcW w:w="1953" w:type="pct"/>
                  <w:vMerge w:val="continue"/>
                  <w:noWrap w:val="0"/>
                  <w:vAlign w:val="center"/>
                </w:tcPr>
                <w:p w14:paraId="47BA813D">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p>
              </w:tc>
              <w:tc>
                <w:tcPr>
                  <w:tcW w:w="542" w:type="pct"/>
                  <w:noWrap w:val="0"/>
                  <w:vAlign w:val="center"/>
                </w:tcPr>
                <w:p w14:paraId="3B50F5B0">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r>
                    <w:rPr>
                      <w:rFonts w:hint="eastAsia"/>
                      <w:color w:val="auto"/>
                      <w:szCs w:val="21"/>
                      <w:highlight w:val="none"/>
                      <w:lang w:val="en-US" w:eastAsia="zh-CN"/>
                    </w:rPr>
                    <w:t>符合</w:t>
                  </w:r>
                </w:p>
              </w:tc>
            </w:tr>
            <w:tr w14:paraId="0D775C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25AABB7E">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11</w:t>
                  </w:r>
                </w:p>
              </w:tc>
              <w:tc>
                <w:tcPr>
                  <w:tcW w:w="2129" w:type="pct"/>
                  <w:noWrap w:val="0"/>
                  <w:vAlign w:val="center"/>
                </w:tcPr>
                <w:p w14:paraId="5C80FFC8">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禁止新建、扩建法律法规和相关政策明令禁止的落后产能项目。严格执行国家《产业结构调整指导目录》淘汰类和限制类有关规定，禁止投资建设属于淘汰类的项目，禁止投资新建属于限制类的项目。对属于限制类的现有生产能力，允许企业在一定期限内采取措施改造升级。禁止新建、扩建不符合国家产能置换要求的严重过剩产能行业的项目。禁止新建、扩建不符合要求的高耗能高排放项目。</w:t>
                  </w:r>
                </w:p>
              </w:tc>
              <w:tc>
                <w:tcPr>
                  <w:tcW w:w="1953" w:type="pct"/>
                  <w:vMerge w:val="continue"/>
                  <w:noWrap w:val="0"/>
                  <w:vAlign w:val="center"/>
                </w:tcPr>
                <w:p w14:paraId="3F44B0DA">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p>
              </w:tc>
              <w:tc>
                <w:tcPr>
                  <w:tcW w:w="542" w:type="pct"/>
                  <w:noWrap w:val="0"/>
                  <w:vAlign w:val="center"/>
                </w:tcPr>
                <w:p w14:paraId="3ECB069F">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r>
                    <w:rPr>
                      <w:rFonts w:hint="eastAsia"/>
                      <w:color w:val="auto"/>
                      <w:szCs w:val="21"/>
                      <w:highlight w:val="none"/>
                      <w:lang w:val="en-US" w:eastAsia="zh-CN"/>
                    </w:rPr>
                    <w:t>符合</w:t>
                  </w:r>
                </w:p>
              </w:tc>
            </w:tr>
            <w:tr w14:paraId="0D7E34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375" w:type="pct"/>
                  <w:noWrap w:val="0"/>
                  <w:vAlign w:val="center"/>
                </w:tcPr>
                <w:p w14:paraId="46B647B4">
                  <w:pPr>
                    <w:keepNext w:val="0"/>
                    <w:keepLines w:val="0"/>
                    <w:suppressLineNumbers w:val="0"/>
                    <w:spacing w:before="0" w:beforeAutospacing="0" w:after="0" w:afterAutospacing="0" w:line="276" w:lineRule="auto"/>
                    <w:ind w:left="0" w:right="0"/>
                    <w:jc w:val="center"/>
                    <w:rPr>
                      <w:rFonts w:hint="default"/>
                      <w:color w:val="auto"/>
                      <w:szCs w:val="21"/>
                      <w:highlight w:val="none"/>
                      <w:lang w:val="en-US" w:eastAsia="zh-CN"/>
                    </w:rPr>
                  </w:pPr>
                  <w:r>
                    <w:rPr>
                      <w:rFonts w:hint="eastAsia"/>
                      <w:color w:val="auto"/>
                      <w:szCs w:val="21"/>
                      <w:highlight w:val="none"/>
                      <w:lang w:val="en-US" w:eastAsia="zh-CN"/>
                    </w:rPr>
                    <w:t>12</w:t>
                  </w:r>
                </w:p>
              </w:tc>
              <w:tc>
                <w:tcPr>
                  <w:tcW w:w="2129" w:type="pct"/>
                  <w:noWrap w:val="0"/>
                  <w:vAlign w:val="center"/>
                </w:tcPr>
                <w:p w14:paraId="51AD1F93">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val="en-US" w:eastAsia="zh-CN"/>
                    </w:rPr>
                  </w:pPr>
                  <w:r>
                    <w:rPr>
                      <w:rFonts w:hint="eastAsia" w:eastAsia="宋体"/>
                      <w:color w:val="auto"/>
                      <w:szCs w:val="21"/>
                      <w:highlight w:val="none"/>
                      <w:lang w:val="en-US" w:eastAsia="zh-CN"/>
                    </w:rPr>
                    <w:t>法律法规及相关政策文件有更加严格规定的从其规定。</w:t>
                  </w:r>
                </w:p>
              </w:tc>
              <w:tc>
                <w:tcPr>
                  <w:tcW w:w="1953" w:type="pct"/>
                  <w:vMerge w:val="continue"/>
                  <w:noWrap w:val="0"/>
                  <w:vAlign w:val="center"/>
                </w:tcPr>
                <w:p w14:paraId="59301FC4">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p>
              </w:tc>
              <w:tc>
                <w:tcPr>
                  <w:tcW w:w="542" w:type="pct"/>
                  <w:noWrap w:val="0"/>
                  <w:vAlign w:val="center"/>
                </w:tcPr>
                <w:p w14:paraId="10AD2CF0">
                  <w:pPr>
                    <w:keepNext w:val="0"/>
                    <w:keepLines w:val="0"/>
                    <w:suppressLineNumbers w:val="0"/>
                    <w:spacing w:before="0" w:beforeAutospacing="0" w:after="0" w:afterAutospacing="0" w:line="276" w:lineRule="auto"/>
                    <w:ind w:left="0" w:right="0"/>
                    <w:jc w:val="center"/>
                    <w:rPr>
                      <w:rFonts w:hint="eastAsia"/>
                      <w:color w:val="auto"/>
                      <w:szCs w:val="21"/>
                      <w:highlight w:val="none"/>
                      <w:lang w:val="en-US" w:eastAsia="zh-CN"/>
                    </w:rPr>
                  </w:pPr>
                  <w:r>
                    <w:rPr>
                      <w:rFonts w:hint="eastAsia"/>
                      <w:color w:val="auto"/>
                      <w:szCs w:val="21"/>
                      <w:highlight w:val="none"/>
                      <w:lang w:val="en-US" w:eastAsia="zh-CN"/>
                    </w:rPr>
                    <w:t>符合</w:t>
                  </w:r>
                </w:p>
              </w:tc>
            </w:tr>
          </w:tbl>
          <w:p w14:paraId="3C8490FA">
            <w:pPr>
              <w:keepNext w:val="0"/>
              <w:keepLines w:val="0"/>
              <w:pageBreakBefore w:val="0"/>
              <w:widowControl w:val="0"/>
              <w:kinsoku/>
              <w:wordWrap/>
              <w:overflowPunct/>
              <w:topLinePunct w:val="0"/>
              <w:bidi w:val="0"/>
              <w:spacing w:line="360" w:lineRule="auto"/>
              <w:ind w:firstLine="480" w:firstLineChars="200"/>
              <w:textAlignment w:val="auto"/>
              <w:rPr>
                <w:rFonts w:hint="eastAsia" w:hAnsi="宋体"/>
                <w:color w:val="auto"/>
                <w:sz w:val="24"/>
                <w:highlight w:val="none"/>
              </w:rPr>
            </w:pPr>
          </w:p>
          <w:p w14:paraId="46F60AA8">
            <w:pPr>
              <w:keepNext w:val="0"/>
              <w:keepLines w:val="0"/>
              <w:pageBreakBefore w:val="0"/>
              <w:widowControl w:val="0"/>
              <w:kinsoku/>
              <w:wordWrap/>
              <w:overflowPunct/>
              <w:topLinePunct w:val="0"/>
              <w:bidi w:val="0"/>
              <w:spacing w:line="360" w:lineRule="auto"/>
              <w:ind w:firstLine="480" w:firstLineChars="200"/>
              <w:textAlignment w:val="auto"/>
              <w:rPr>
                <w:rFonts w:hAnsi="宋体"/>
                <w:color w:val="auto"/>
                <w:sz w:val="24"/>
                <w:highlight w:val="none"/>
              </w:rPr>
            </w:pPr>
            <w:r>
              <w:rPr>
                <w:rFonts w:hint="eastAsia" w:hAnsi="宋体"/>
                <w:color w:val="auto"/>
                <w:sz w:val="24"/>
                <w:highlight w:val="none"/>
              </w:rPr>
              <w:t>（</w:t>
            </w:r>
            <w:r>
              <w:rPr>
                <w:rFonts w:hint="eastAsia" w:hAnsi="宋体"/>
                <w:color w:val="auto"/>
                <w:sz w:val="24"/>
                <w:highlight w:val="none"/>
                <w:lang w:val="en-US" w:eastAsia="zh-CN"/>
              </w:rPr>
              <w:t>5</w:t>
            </w:r>
            <w:r>
              <w:rPr>
                <w:rFonts w:hint="eastAsia" w:hAnsi="宋体"/>
                <w:color w:val="auto"/>
                <w:sz w:val="24"/>
                <w:highlight w:val="none"/>
              </w:rPr>
              <w:t>）与《安徽省淮河流域水污染防治条例》</w:t>
            </w:r>
            <w:r>
              <w:rPr>
                <w:rFonts w:hint="eastAsia" w:hAnsi="宋体"/>
                <w:color w:val="auto"/>
                <w:sz w:val="24"/>
                <w:highlight w:val="none"/>
                <w:lang w:eastAsia="zh-CN"/>
              </w:rPr>
              <w:t>（</w:t>
            </w:r>
            <w:r>
              <w:rPr>
                <w:rFonts w:hint="eastAsia" w:hAnsi="宋体"/>
                <w:color w:val="auto"/>
                <w:sz w:val="24"/>
                <w:highlight w:val="none"/>
                <w:lang w:val="en-US" w:eastAsia="zh-CN"/>
              </w:rPr>
              <w:t>2026年修订</w:t>
            </w:r>
            <w:r>
              <w:rPr>
                <w:rFonts w:hint="eastAsia" w:hAnsi="宋体"/>
                <w:color w:val="auto"/>
                <w:sz w:val="24"/>
                <w:highlight w:val="none"/>
                <w:lang w:eastAsia="zh-CN"/>
              </w:rPr>
              <w:t>）</w:t>
            </w:r>
            <w:r>
              <w:rPr>
                <w:rFonts w:hint="eastAsia" w:hAnsi="宋体"/>
                <w:color w:val="auto"/>
                <w:sz w:val="24"/>
                <w:highlight w:val="none"/>
              </w:rPr>
              <w:t>的相符性分析</w:t>
            </w:r>
          </w:p>
          <w:p w14:paraId="5A47E499">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eastAsia="黑体"/>
                <w:color w:val="auto"/>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1-8</w:t>
            </w:r>
            <w:r>
              <w:rPr>
                <w:rFonts w:hint="eastAsia" w:hAnsi="黑体" w:eastAsia="黑体"/>
                <w:color w:val="auto"/>
                <w:sz w:val="24"/>
                <w:szCs w:val="24"/>
                <w:highlight w:val="none"/>
              </w:rPr>
              <w:t xml:space="preserve"> 与《安徽省淮河流域水污染防治条例》</w:t>
            </w:r>
            <w:r>
              <w:rPr>
                <w:rFonts w:hint="eastAsia" w:hAnsi="黑体" w:eastAsia="黑体"/>
                <w:color w:val="auto"/>
                <w:sz w:val="24"/>
                <w:szCs w:val="24"/>
                <w:highlight w:val="none"/>
                <w:lang w:eastAsia="zh-CN"/>
              </w:rPr>
              <w:t>（</w:t>
            </w:r>
            <w:r>
              <w:rPr>
                <w:rFonts w:hint="eastAsia" w:hAnsi="黑体" w:eastAsia="黑体"/>
                <w:color w:val="auto"/>
                <w:sz w:val="24"/>
                <w:szCs w:val="24"/>
                <w:highlight w:val="none"/>
                <w:lang w:val="en-US" w:eastAsia="zh-CN"/>
              </w:rPr>
              <w:t>2026年修订</w:t>
            </w:r>
            <w:r>
              <w:rPr>
                <w:rFonts w:hint="eastAsia" w:hAnsi="黑体" w:eastAsia="黑体"/>
                <w:color w:val="auto"/>
                <w:sz w:val="24"/>
                <w:szCs w:val="24"/>
                <w:highlight w:val="none"/>
                <w:lang w:eastAsia="zh-CN"/>
              </w:rPr>
              <w:t>）</w:t>
            </w:r>
            <w:r>
              <w:rPr>
                <w:rFonts w:hint="eastAsia" w:hAnsi="黑体" w:eastAsia="黑体"/>
                <w:color w:val="auto"/>
                <w:sz w:val="24"/>
                <w:szCs w:val="24"/>
                <w:highlight w:val="none"/>
              </w:rPr>
              <w:t>的相符性分析</w:t>
            </w:r>
          </w:p>
          <w:tbl>
            <w:tblPr>
              <w:tblStyle w:val="36"/>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909"/>
              <w:gridCol w:w="2114"/>
              <w:gridCol w:w="868"/>
            </w:tblGrid>
            <w:tr w14:paraId="412F62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110" w:type="pct"/>
                  <w:vAlign w:val="center"/>
                </w:tcPr>
                <w:p w14:paraId="6F639D15">
                  <w:pPr>
                    <w:wordWrap w:val="0"/>
                    <w:spacing w:line="276" w:lineRule="auto"/>
                    <w:jc w:val="center"/>
                    <w:rPr>
                      <w:rFonts w:hAnsi="宋体"/>
                      <w:b/>
                      <w:color w:val="auto"/>
                      <w:szCs w:val="21"/>
                      <w:highlight w:val="none"/>
                    </w:rPr>
                  </w:pPr>
                  <w:r>
                    <w:rPr>
                      <w:rFonts w:hint="eastAsia" w:hAnsi="宋体"/>
                      <w:b/>
                      <w:color w:val="auto"/>
                      <w:szCs w:val="21"/>
                      <w:highlight w:val="none"/>
                    </w:rPr>
                    <w:t>相关条例</w:t>
                  </w:r>
                </w:p>
              </w:tc>
              <w:tc>
                <w:tcPr>
                  <w:tcW w:w="1339" w:type="pct"/>
                  <w:vAlign w:val="center"/>
                </w:tcPr>
                <w:p w14:paraId="65DB8D15">
                  <w:pPr>
                    <w:wordWrap w:val="0"/>
                    <w:spacing w:line="276" w:lineRule="auto"/>
                    <w:jc w:val="center"/>
                    <w:rPr>
                      <w:rFonts w:hAnsi="宋体"/>
                      <w:b/>
                      <w:color w:val="auto"/>
                      <w:szCs w:val="21"/>
                      <w:highlight w:val="none"/>
                    </w:rPr>
                  </w:pPr>
                  <w:r>
                    <w:rPr>
                      <w:rFonts w:hint="eastAsia" w:hAnsi="宋体"/>
                      <w:b/>
                      <w:color w:val="auto"/>
                      <w:szCs w:val="21"/>
                      <w:highlight w:val="none"/>
                    </w:rPr>
                    <w:t>本项目情况</w:t>
                  </w:r>
                </w:p>
              </w:tc>
              <w:tc>
                <w:tcPr>
                  <w:tcW w:w="550" w:type="pct"/>
                  <w:vAlign w:val="center"/>
                </w:tcPr>
                <w:p w14:paraId="255C2F4C">
                  <w:pPr>
                    <w:wordWrap w:val="0"/>
                    <w:spacing w:line="276" w:lineRule="auto"/>
                    <w:jc w:val="center"/>
                    <w:rPr>
                      <w:rFonts w:hAnsi="宋体"/>
                      <w:b/>
                      <w:color w:val="auto"/>
                      <w:szCs w:val="21"/>
                      <w:highlight w:val="none"/>
                    </w:rPr>
                  </w:pPr>
                  <w:r>
                    <w:rPr>
                      <w:rFonts w:hint="eastAsia" w:hAnsi="宋体"/>
                      <w:b/>
                      <w:color w:val="auto"/>
                      <w:szCs w:val="21"/>
                      <w:highlight w:val="none"/>
                    </w:rPr>
                    <w:t>符合性分析</w:t>
                  </w:r>
                </w:p>
              </w:tc>
            </w:tr>
            <w:tr w14:paraId="5A87D0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110" w:type="pct"/>
                  <w:vAlign w:val="center"/>
                </w:tcPr>
                <w:p w14:paraId="370F10FF">
                  <w:pPr>
                    <w:spacing w:line="276" w:lineRule="auto"/>
                    <w:jc w:val="left"/>
                    <w:rPr>
                      <w:rFonts w:hAnsi="宋体"/>
                      <w:color w:val="auto"/>
                      <w:szCs w:val="21"/>
                      <w:highlight w:val="none"/>
                    </w:rPr>
                  </w:pPr>
                  <w:r>
                    <w:rPr>
                      <w:rFonts w:hint="eastAsia" w:hAnsi="宋体"/>
                      <w:color w:val="auto"/>
                      <w:spacing w:val="-4"/>
                      <w:szCs w:val="21"/>
                      <w:highlight w:val="none"/>
                    </w:rPr>
                    <w:t>第十三条 禁止在淮河流域新建化学制浆造纸企业和印染、制革、化工、电镀、酿造等污染严重的小型企业。严格限制在淮河流域新建印染、制革、化工、电镀、酿造等大中型项目或者其他污染严重的项目，建设该类项目应当事前征得省人民政府生态环境行政主管部门的同意，并按照规定办理有关手续。</w:t>
                  </w:r>
                </w:p>
              </w:tc>
              <w:tc>
                <w:tcPr>
                  <w:tcW w:w="1339" w:type="pct"/>
                  <w:vAlign w:val="center"/>
                </w:tcPr>
                <w:p w14:paraId="2C7863D8">
                  <w:pPr>
                    <w:wordWrap w:val="0"/>
                    <w:spacing w:line="276" w:lineRule="auto"/>
                    <w:jc w:val="center"/>
                    <w:rPr>
                      <w:rFonts w:hAnsi="宋体"/>
                      <w:color w:val="auto"/>
                      <w:szCs w:val="21"/>
                      <w:highlight w:val="none"/>
                    </w:rPr>
                  </w:pPr>
                  <w:r>
                    <w:rPr>
                      <w:rFonts w:hint="eastAsia" w:hAnsi="宋体"/>
                      <w:color w:val="auto"/>
                      <w:szCs w:val="21"/>
                      <w:highlight w:val="none"/>
                    </w:rPr>
                    <w:t>本项目为</w:t>
                  </w:r>
                  <w:r>
                    <w:rPr>
                      <w:rFonts w:hint="eastAsia" w:hAnsi="宋体"/>
                      <w:color w:val="auto"/>
                      <w:szCs w:val="21"/>
                      <w:highlight w:val="none"/>
                      <w:lang w:val="en-US" w:eastAsia="zh-CN"/>
                    </w:rPr>
                    <w:t>改建</w:t>
                  </w:r>
                  <w:r>
                    <w:rPr>
                      <w:rFonts w:hint="eastAsia" w:hAnsi="宋体"/>
                      <w:color w:val="auto"/>
                      <w:szCs w:val="21"/>
                      <w:highlight w:val="none"/>
                    </w:rPr>
                    <w:t>项目，</w:t>
                  </w:r>
                  <w:r>
                    <w:rPr>
                      <w:rFonts w:hint="eastAsia" w:hAnsi="宋体"/>
                      <w:color w:val="auto"/>
                      <w:szCs w:val="21"/>
                      <w:highlight w:val="none"/>
                      <w:lang w:val="en-US" w:eastAsia="zh-CN"/>
                    </w:rPr>
                    <w:t>依托现有厂区建设，</w:t>
                  </w:r>
                  <w:r>
                    <w:rPr>
                      <w:rFonts w:hint="eastAsia" w:hAnsi="宋体"/>
                      <w:color w:val="auto"/>
                      <w:szCs w:val="21"/>
                      <w:highlight w:val="none"/>
                    </w:rPr>
                    <w:t>属于装卸搬运和仓储业中危险化学品仓储，不属于新建化学制浆造纸企业和印染、制革、化工、电镀、酿造等污染严重的小型企业，也不属于新建印染、制革、化工、电镀、酿造等大中型项目或者其他污染严重的项目。</w:t>
                  </w:r>
                </w:p>
              </w:tc>
              <w:tc>
                <w:tcPr>
                  <w:tcW w:w="550" w:type="pct"/>
                  <w:vAlign w:val="center"/>
                </w:tcPr>
                <w:p w14:paraId="583DFD34">
                  <w:pPr>
                    <w:wordWrap w:val="0"/>
                    <w:spacing w:line="276" w:lineRule="auto"/>
                    <w:jc w:val="center"/>
                    <w:rPr>
                      <w:rFonts w:hAnsi="宋体"/>
                      <w:color w:val="auto"/>
                      <w:szCs w:val="21"/>
                      <w:highlight w:val="none"/>
                    </w:rPr>
                  </w:pPr>
                  <w:r>
                    <w:rPr>
                      <w:rFonts w:hint="eastAsia" w:hAnsi="宋体"/>
                      <w:color w:val="auto"/>
                      <w:szCs w:val="21"/>
                      <w:highlight w:val="none"/>
                    </w:rPr>
                    <w:t>符合</w:t>
                  </w:r>
                </w:p>
              </w:tc>
            </w:tr>
            <w:tr w14:paraId="6843A68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110" w:type="pct"/>
                  <w:vAlign w:val="center"/>
                </w:tcPr>
                <w:p w14:paraId="68B2D959">
                  <w:pPr>
                    <w:spacing w:line="264" w:lineRule="auto"/>
                    <w:jc w:val="left"/>
                    <w:rPr>
                      <w:rFonts w:hAnsi="宋体"/>
                      <w:color w:val="auto"/>
                      <w:szCs w:val="21"/>
                      <w:highlight w:val="none"/>
                    </w:rPr>
                  </w:pPr>
                  <w:r>
                    <w:rPr>
                      <w:rFonts w:hint="eastAsia" w:hAnsi="宋体"/>
                      <w:color w:val="auto"/>
                      <w:szCs w:val="21"/>
                      <w:highlight w:val="none"/>
                    </w:rPr>
                    <w:t>第十四条 新建、改建、扩建直接或者间接向水体排放污染物的建设项目和其他水上设施，应当依法进行</w:t>
                  </w:r>
                  <w:r>
                    <w:rPr>
                      <w:rFonts w:hint="eastAsia" w:hAnsi="宋体"/>
                      <w:color w:val="auto"/>
                      <w:szCs w:val="21"/>
                      <w:highlight w:val="none"/>
                      <w:lang w:val="en-US" w:eastAsia="zh-CN"/>
                    </w:rPr>
                    <w:t>生态</w:t>
                  </w:r>
                  <w:r>
                    <w:rPr>
                      <w:rFonts w:hint="eastAsia" w:hAnsi="宋体"/>
                      <w:color w:val="auto"/>
                      <w:szCs w:val="21"/>
                      <w:highlight w:val="none"/>
                    </w:rPr>
                    <w:t>环境影响评价。建设项目的水污染防治设施，应当符合经审批的生态环境影响报告书、生态环境影响报告表的要求，并与主体工程同时设计、同时施工、同时投入使用。</w:t>
                  </w:r>
                </w:p>
                <w:p w14:paraId="4064FF89">
                  <w:pPr>
                    <w:wordWrap w:val="0"/>
                    <w:spacing w:line="276" w:lineRule="auto"/>
                    <w:ind w:firstLine="420" w:firstLineChars="200"/>
                    <w:jc w:val="left"/>
                    <w:rPr>
                      <w:rFonts w:hint="eastAsia" w:hAnsi="宋体"/>
                      <w:color w:val="auto"/>
                      <w:szCs w:val="21"/>
                      <w:highlight w:val="none"/>
                    </w:rPr>
                  </w:pPr>
                  <w:r>
                    <w:rPr>
                      <w:rFonts w:hint="eastAsia" w:hAnsi="宋体"/>
                      <w:color w:val="auto"/>
                      <w:szCs w:val="21"/>
                      <w:highlight w:val="none"/>
                    </w:rPr>
                    <w:t>新建、扩建、改建项目，除执行前款规定外，还应当遵守下列规定：</w:t>
                  </w:r>
                </w:p>
                <w:p w14:paraId="5C21AD01">
                  <w:pPr>
                    <w:wordWrap w:val="0"/>
                    <w:spacing w:line="276" w:lineRule="auto"/>
                    <w:ind w:firstLine="420" w:firstLineChars="200"/>
                    <w:jc w:val="left"/>
                    <w:rPr>
                      <w:rFonts w:hint="eastAsia" w:hAnsi="宋体"/>
                      <w:color w:val="auto"/>
                      <w:szCs w:val="21"/>
                      <w:highlight w:val="none"/>
                    </w:rPr>
                  </w:pPr>
                  <w:r>
                    <w:rPr>
                      <w:rFonts w:hint="eastAsia" w:hAnsi="宋体"/>
                      <w:color w:val="auto"/>
                      <w:szCs w:val="21"/>
                      <w:highlight w:val="none"/>
                    </w:rPr>
                    <w:t>（一）新建项目的选址应符合城市总体规划，避开饮用水水源地和对环境有特殊要求的功能区；</w:t>
                  </w:r>
                </w:p>
                <w:p w14:paraId="09E61739">
                  <w:pPr>
                    <w:wordWrap w:val="0"/>
                    <w:spacing w:line="276" w:lineRule="auto"/>
                    <w:ind w:firstLine="420" w:firstLineChars="200"/>
                    <w:jc w:val="left"/>
                    <w:rPr>
                      <w:rFonts w:hint="eastAsia" w:hAnsi="宋体"/>
                      <w:color w:val="auto"/>
                      <w:szCs w:val="21"/>
                      <w:highlight w:val="none"/>
                    </w:rPr>
                  </w:pPr>
                  <w:r>
                    <w:rPr>
                      <w:rFonts w:hint="eastAsia" w:hAnsi="宋体"/>
                      <w:color w:val="auto"/>
                      <w:szCs w:val="21"/>
                      <w:highlight w:val="none"/>
                    </w:rPr>
                    <w:t>（二）采用资源利用率高、污染物排放量少的先进设备和先进工艺；</w:t>
                  </w:r>
                </w:p>
                <w:p w14:paraId="0CDD0D7C">
                  <w:pPr>
                    <w:wordWrap w:val="0"/>
                    <w:spacing w:line="276" w:lineRule="auto"/>
                    <w:ind w:firstLine="420" w:firstLineChars="200"/>
                    <w:jc w:val="left"/>
                    <w:rPr>
                      <w:rFonts w:hint="eastAsia" w:hAnsi="宋体"/>
                      <w:color w:val="auto"/>
                      <w:szCs w:val="21"/>
                      <w:highlight w:val="none"/>
                    </w:rPr>
                  </w:pPr>
                  <w:r>
                    <w:rPr>
                      <w:rFonts w:hint="eastAsia" w:hAnsi="宋体"/>
                      <w:color w:val="auto"/>
                      <w:szCs w:val="21"/>
                      <w:highlight w:val="none"/>
                    </w:rPr>
                    <w:t>（三）改建、扩建项目和技改项目应当把水污染治理纳入项目内容。</w:t>
                  </w:r>
                </w:p>
                <w:p w14:paraId="598FE853">
                  <w:pPr>
                    <w:wordWrap w:val="0"/>
                    <w:spacing w:line="276" w:lineRule="auto"/>
                    <w:ind w:firstLine="420" w:firstLineChars="200"/>
                    <w:jc w:val="left"/>
                    <w:rPr>
                      <w:rFonts w:hAnsi="宋体"/>
                      <w:color w:val="auto"/>
                      <w:szCs w:val="21"/>
                      <w:highlight w:val="none"/>
                    </w:rPr>
                  </w:pPr>
                  <w:r>
                    <w:rPr>
                      <w:rFonts w:hint="eastAsia" w:hAnsi="宋体"/>
                      <w:color w:val="auto"/>
                      <w:szCs w:val="21"/>
                      <w:highlight w:val="none"/>
                    </w:rPr>
                    <w:t>工程配套建设的水污染防治设施竣工后，建设单位应当按照国家规定进行验收。水污染防治设施未建成或者未达到规定要求，不得投入生产、使用。</w:t>
                  </w:r>
                </w:p>
              </w:tc>
              <w:tc>
                <w:tcPr>
                  <w:tcW w:w="1339" w:type="pct"/>
                  <w:vAlign w:val="center"/>
                </w:tcPr>
                <w:p w14:paraId="39649648">
                  <w:pPr>
                    <w:wordWrap w:val="0"/>
                    <w:spacing w:line="276" w:lineRule="auto"/>
                    <w:jc w:val="center"/>
                    <w:rPr>
                      <w:rFonts w:hAnsi="宋体"/>
                      <w:color w:val="auto"/>
                      <w:szCs w:val="21"/>
                      <w:highlight w:val="none"/>
                    </w:rPr>
                  </w:pPr>
                  <w:r>
                    <w:rPr>
                      <w:rFonts w:hint="eastAsia" w:hAnsi="宋体"/>
                      <w:color w:val="auto"/>
                      <w:szCs w:val="21"/>
                      <w:highlight w:val="none"/>
                    </w:rPr>
                    <w:t>本</w:t>
                  </w:r>
                  <w:r>
                    <w:rPr>
                      <w:rFonts w:hint="eastAsia" w:hAnsi="宋体"/>
                      <w:color w:val="auto"/>
                      <w:szCs w:val="21"/>
                      <w:highlight w:val="none"/>
                      <w:lang w:val="en-US" w:eastAsia="zh-CN"/>
                    </w:rPr>
                    <w:t>次改建项目不新增生产废水及生活污水，厂区现有</w:t>
                  </w:r>
                  <w:r>
                    <w:rPr>
                      <w:rFonts w:hint="eastAsia" w:hAnsi="宋体"/>
                      <w:color w:val="auto"/>
                      <w:szCs w:val="21"/>
                      <w:highlight w:val="none"/>
                    </w:rPr>
                    <w:t>生活污水经化粪池处理后</w:t>
                  </w:r>
                  <w:r>
                    <w:rPr>
                      <w:rFonts w:hint="eastAsia" w:hAnsi="宋体"/>
                      <w:color w:val="auto"/>
                      <w:szCs w:val="21"/>
                      <w:highlight w:val="none"/>
                      <w:lang w:val="en-US" w:eastAsia="zh-CN"/>
                    </w:rPr>
                    <w:t>通过废水总排口进入园区污水管网后接管至</w:t>
                  </w:r>
                  <w:r>
                    <w:rPr>
                      <w:rFonts w:hint="eastAsia" w:hAnsi="宋体"/>
                      <w:color w:val="auto"/>
                      <w:szCs w:val="21"/>
                      <w:highlight w:val="none"/>
                    </w:rPr>
                    <w:t>淮南经济技术开发区污水处理厂处理</w:t>
                  </w:r>
                  <w:r>
                    <w:rPr>
                      <w:rFonts w:hint="eastAsia" w:hAnsi="宋体"/>
                      <w:color w:val="auto"/>
                      <w:szCs w:val="21"/>
                      <w:highlight w:val="none"/>
                      <w:lang w:eastAsia="zh-CN"/>
                    </w:rPr>
                    <w:t>，</w:t>
                  </w:r>
                  <w:r>
                    <w:rPr>
                      <w:rFonts w:hint="eastAsia" w:hAnsi="宋体"/>
                      <w:color w:val="auto"/>
                      <w:szCs w:val="21"/>
                      <w:highlight w:val="none"/>
                      <w:lang w:val="en-US" w:eastAsia="zh-CN"/>
                    </w:rPr>
                    <w:t>处理</w:t>
                  </w:r>
                  <w:r>
                    <w:rPr>
                      <w:rFonts w:hint="eastAsia" w:hAnsi="宋体"/>
                      <w:color w:val="auto"/>
                      <w:szCs w:val="21"/>
                      <w:highlight w:val="none"/>
                    </w:rPr>
                    <w:t>达标</w:t>
                  </w:r>
                  <w:r>
                    <w:rPr>
                      <w:rFonts w:hint="eastAsia" w:hAnsi="宋体"/>
                      <w:color w:val="auto"/>
                      <w:szCs w:val="21"/>
                      <w:highlight w:val="none"/>
                      <w:lang w:val="en-US" w:eastAsia="zh-CN"/>
                    </w:rPr>
                    <w:t>后</w:t>
                  </w:r>
                  <w:r>
                    <w:rPr>
                      <w:rFonts w:hint="eastAsia" w:hAnsi="宋体"/>
                      <w:color w:val="auto"/>
                      <w:szCs w:val="21"/>
                      <w:highlight w:val="none"/>
                    </w:rPr>
                    <w:t>排放。本项目的选址符合《淮南经济技术开发区化工集中区总体规划》用地要求，不位于饮用水水源保护</w:t>
                  </w:r>
                  <w:r>
                    <w:rPr>
                      <w:rFonts w:hint="eastAsia" w:hAnsi="宋体"/>
                      <w:color w:val="auto"/>
                      <w:szCs w:val="21"/>
                      <w:highlight w:val="none"/>
                      <w:lang w:val="en-US" w:eastAsia="zh-CN"/>
                    </w:rPr>
                    <w:t>及</w:t>
                  </w:r>
                  <w:r>
                    <w:rPr>
                      <w:rFonts w:hint="eastAsia" w:hAnsi="宋体"/>
                      <w:color w:val="auto"/>
                      <w:szCs w:val="21"/>
                      <w:highlight w:val="none"/>
                    </w:rPr>
                    <w:t>生态保护红线</w:t>
                  </w:r>
                  <w:r>
                    <w:rPr>
                      <w:rFonts w:hint="eastAsia" w:hAnsi="宋体"/>
                      <w:color w:val="auto"/>
                      <w:szCs w:val="21"/>
                      <w:highlight w:val="none"/>
                      <w:lang w:val="en-US" w:eastAsia="zh-CN"/>
                    </w:rPr>
                    <w:t>区域范围</w:t>
                  </w:r>
                  <w:r>
                    <w:rPr>
                      <w:rFonts w:hint="eastAsia" w:hAnsi="宋体"/>
                      <w:color w:val="auto"/>
                      <w:szCs w:val="21"/>
                      <w:highlight w:val="none"/>
                    </w:rPr>
                    <w:t>内。</w:t>
                  </w:r>
                </w:p>
              </w:tc>
              <w:tc>
                <w:tcPr>
                  <w:tcW w:w="550" w:type="pct"/>
                  <w:vAlign w:val="center"/>
                </w:tcPr>
                <w:p w14:paraId="6E89948B">
                  <w:pPr>
                    <w:wordWrap w:val="0"/>
                    <w:spacing w:line="276" w:lineRule="auto"/>
                    <w:jc w:val="center"/>
                    <w:rPr>
                      <w:rFonts w:hAnsi="宋体"/>
                      <w:color w:val="auto"/>
                      <w:szCs w:val="21"/>
                      <w:highlight w:val="none"/>
                    </w:rPr>
                  </w:pPr>
                  <w:r>
                    <w:rPr>
                      <w:rFonts w:hint="eastAsia" w:hAnsi="宋体"/>
                      <w:color w:val="auto"/>
                      <w:szCs w:val="21"/>
                      <w:highlight w:val="none"/>
                    </w:rPr>
                    <w:t>符合</w:t>
                  </w:r>
                </w:p>
              </w:tc>
            </w:tr>
            <w:tr w14:paraId="5CA827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110" w:type="pct"/>
                  <w:vAlign w:val="center"/>
                </w:tcPr>
                <w:p w14:paraId="6DF253F8">
                  <w:pPr>
                    <w:spacing w:line="276" w:lineRule="auto"/>
                    <w:jc w:val="left"/>
                    <w:rPr>
                      <w:rFonts w:hAnsi="宋体"/>
                      <w:color w:val="auto"/>
                      <w:szCs w:val="21"/>
                      <w:highlight w:val="none"/>
                    </w:rPr>
                  </w:pPr>
                  <w:r>
                    <w:rPr>
                      <w:rFonts w:hint="eastAsia" w:hAnsi="宋体"/>
                      <w:color w:val="auto"/>
                      <w:szCs w:val="21"/>
                      <w:highlight w:val="none"/>
                    </w:rPr>
                    <w:t>第十六条 在淮河流域城市公共排水设施覆盖区域内，应当实行雨水、污水分流；排水户应当将雨水、污水分别排入公共雨水、污水管网及其附属设施。现有排水设施未实行雨水、污水分流的，应当编制规划，进行分流改造。</w:t>
                  </w:r>
                </w:p>
              </w:tc>
              <w:tc>
                <w:tcPr>
                  <w:tcW w:w="1339" w:type="pct"/>
                  <w:vAlign w:val="center"/>
                </w:tcPr>
                <w:p w14:paraId="4BEEA465">
                  <w:pPr>
                    <w:wordWrap w:val="0"/>
                    <w:spacing w:line="276" w:lineRule="auto"/>
                    <w:jc w:val="center"/>
                    <w:rPr>
                      <w:rFonts w:hAnsi="宋体"/>
                      <w:color w:val="auto"/>
                      <w:szCs w:val="21"/>
                      <w:highlight w:val="none"/>
                    </w:rPr>
                  </w:pPr>
                  <w:r>
                    <w:rPr>
                      <w:rFonts w:hint="eastAsia" w:hAnsi="宋体"/>
                      <w:color w:val="auto"/>
                      <w:szCs w:val="21"/>
                      <w:highlight w:val="none"/>
                      <w:lang w:val="en-US" w:eastAsia="zh-CN"/>
                    </w:rPr>
                    <w:t>本项目依托现有厂区建设，厂区内已</w:t>
                  </w:r>
                  <w:r>
                    <w:rPr>
                      <w:rFonts w:hint="eastAsia" w:hAnsi="宋体"/>
                      <w:color w:val="auto"/>
                      <w:szCs w:val="21"/>
                      <w:highlight w:val="none"/>
                    </w:rPr>
                    <w:t>实行雨污分流制度，雨水通过雨水管网收集，经</w:t>
                  </w:r>
                  <w:r>
                    <w:rPr>
                      <w:rFonts w:hint="eastAsia" w:hAnsi="宋体"/>
                      <w:color w:val="auto"/>
                      <w:szCs w:val="21"/>
                      <w:highlight w:val="none"/>
                      <w:lang w:val="en-US" w:eastAsia="zh-CN"/>
                    </w:rPr>
                    <w:t>厂区</w:t>
                  </w:r>
                  <w:r>
                    <w:rPr>
                      <w:rFonts w:hint="eastAsia" w:hAnsi="宋体"/>
                      <w:color w:val="auto"/>
                      <w:szCs w:val="21"/>
                      <w:highlight w:val="none"/>
                    </w:rPr>
                    <w:t>雨水总排口汇入园区雨水管网</w:t>
                  </w:r>
                  <w:r>
                    <w:rPr>
                      <w:rFonts w:hint="eastAsia" w:hAnsi="宋体"/>
                      <w:color w:val="auto"/>
                      <w:szCs w:val="21"/>
                      <w:highlight w:val="none"/>
                      <w:lang w:eastAsia="zh-CN"/>
                    </w:rPr>
                    <w:t>；</w:t>
                  </w:r>
                  <w:r>
                    <w:rPr>
                      <w:rFonts w:hint="eastAsia" w:hAnsi="宋体"/>
                      <w:color w:val="auto"/>
                      <w:szCs w:val="21"/>
                      <w:highlight w:val="none"/>
                      <w:lang w:val="en-US" w:eastAsia="zh-CN"/>
                    </w:rPr>
                    <w:t>本项目</w:t>
                  </w:r>
                  <w:r>
                    <w:rPr>
                      <w:rFonts w:hint="eastAsia" w:hAnsi="宋体"/>
                      <w:color w:val="auto"/>
                      <w:szCs w:val="21"/>
                      <w:highlight w:val="none"/>
                    </w:rPr>
                    <w:t>生产环节不消耗水，无生产废水排放</w:t>
                  </w:r>
                  <w:r>
                    <w:rPr>
                      <w:rFonts w:hint="eastAsia" w:hAnsi="宋体"/>
                      <w:color w:val="auto"/>
                      <w:szCs w:val="21"/>
                      <w:highlight w:val="none"/>
                      <w:lang w:eastAsia="zh-CN"/>
                    </w:rPr>
                    <w:t>；</w:t>
                  </w:r>
                  <w:r>
                    <w:rPr>
                      <w:rFonts w:hint="eastAsia" w:hAnsi="宋体"/>
                      <w:color w:val="auto"/>
                      <w:szCs w:val="21"/>
                      <w:highlight w:val="none"/>
                    </w:rPr>
                    <w:t>本项目</w:t>
                  </w:r>
                  <w:r>
                    <w:rPr>
                      <w:rFonts w:hint="eastAsia" w:hAnsi="宋体"/>
                      <w:color w:val="auto"/>
                      <w:szCs w:val="21"/>
                      <w:highlight w:val="none"/>
                      <w:lang w:val="en-US" w:eastAsia="zh-CN"/>
                    </w:rPr>
                    <w:t>不新增劳动定员、不新增生活污水，厂区现有</w:t>
                  </w:r>
                  <w:r>
                    <w:rPr>
                      <w:rFonts w:hint="eastAsia" w:hAnsi="宋体"/>
                      <w:color w:val="auto"/>
                      <w:szCs w:val="21"/>
                      <w:highlight w:val="none"/>
                    </w:rPr>
                    <w:t>生活污水经化粪池</w:t>
                  </w:r>
                  <w:r>
                    <w:rPr>
                      <w:rFonts w:hint="eastAsia" w:hAnsi="宋体"/>
                      <w:color w:val="auto"/>
                      <w:szCs w:val="21"/>
                      <w:highlight w:val="none"/>
                      <w:lang w:val="en-US" w:eastAsia="zh-CN"/>
                    </w:rPr>
                    <w:t>预</w:t>
                  </w:r>
                  <w:r>
                    <w:rPr>
                      <w:rFonts w:hint="eastAsia" w:hAnsi="宋体"/>
                      <w:color w:val="auto"/>
                      <w:szCs w:val="21"/>
                      <w:highlight w:val="none"/>
                    </w:rPr>
                    <w:t>处理后</w:t>
                  </w:r>
                  <w:r>
                    <w:rPr>
                      <w:rFonts w:hint="eastAsia" w:hAnsi="宋体"/>
                      <w:color w:val="auto"/>
                      <w:szCs w:val="21"/>
                      <w:highlight w:val="none"/>
                      <w:lang w:val="en-US" w:eastAsia="zh-CN"/>
                    </w:rPr>
                    <w:t>经废水总排口进入园区污水管网，接管至</w:t>
                  </w:r>
                  <w:r>
                    <w:rPr>
                      <w:rFonts w:hint="eastAsia" w:hAnsi="宋体"/>
                      <w:color w:val="auto"/>
                      <w:szCs w:val="21"/>
                      <w:highlight w:val="none"/>
                    </w:rPr>
                    <w:t>淮南经济技术开发区污水处理厂处理，处理达标后排放。</w:t>
                  </w:r>
                </w:p>
              </w:tc>
              <w:tc>
                <w:tcPr>
                  <w:tcW w:w="550" w:type="pct"/>
                  <w:vAlign w:val="center"/>
                </w:tcPr>
                <w:p w14:paraId="1DD70E02">
                  <w:pPr>
                    <w:wordWrap w:val="0"/>
                    <w:spacing w:line="276" w:lineRule="auto"/>
                    <w:jc w:val="center"/>
                    <w:rPr>
                      <w:rFonts w:hAnsi="宋体"/>
                      <w:color w:val="auto"/>
                      <w:szCs w:val="21"/>
                      <w:highlight w:val="none"/>
                    </w:rPr>
                  </w:pPr>
                  <w:r>
                    <w:rPr>
                      <w:rFonts w:hint="eastAsia" w:hAnsi="宋体"/>
                      <w:color w:val="auto"/>
                      <w:szCs w:val="21"/>
                      <w:highlight w:val="none"/>
                    </w:rPr>
                    <w:t>符合</w:t>
                  </w:r>
                </w:p>
              </w:tc>
            </w:tr>
          </w:tbl>
          <w:p w14:paraId="5805E6C8">
            <w:pPr>
              <w:keepNext w:val="0"/>
              <w:keepLines w:val="0"/>
              <w:pageBreakBefore w:val="0"/>
              <w:widowControl w:val="0"/>
              <w:kinsoku/>
              <w:wordWrap/>
              <w:overflowPunct/>
              <w:topLinePunct w:val="0"/>
              <w:autoSpaceDE w:val="0"/>
              <w:autoSpaceDN w:val="0"/>
              <w:bidi w:val="0"/>
              <w:snapToGrid/>
              <w:spacing w:line="360" w:lineRule="auto"/>
              <w:textAlignment w:val="auto"/>
              <w:rPr>
                <w:b/>
                <w:color w:val="auto"/>
                <w:sz w:val="24"/>
                <w:szCs w:val="24"/>
                <w:highlight w:val="none"/>
              </w:rPr>
            </w:pPr>
            <w:r>
              <w:rPr>
                <w:rFonts w:hint="eastAsia"/>
                <w:b/>
                <w:bCs/>
                <w:color w:val="auto"/>
                <w:sz w:val="24"/>
                <w:szCs w:val="24"/>
                <w:highlight w:val="none"/>
                <w:lang w:val="en-US" w:eastAsia="zh-CN"/>
              </w:rPr>
              <w:t>3、</w:t>
            </w:r>
            <w:r>
              <w:rPr>
                <w:rFonts w:hint="eastAsia"/>
                <w:b/>
                <w:color w:val="auto"/>
                <w:sz w:val="24"/>
                <w:szCs w:val="24"/>
                <w:highlight w:val="none"/>
              </w:rPr>
              <w:t>与《“三线一单”生态环境分区管控方案》协调性分析</w:t>
            </w:r>
          </w:p>
          <w:p w14:paraId="5F31C1AF">
            <w:pPr>
              <w:pStyle w:val="52"/>
              <w:keepNext w:val="0"/>
              <w:keepLines w:val="0"/>
              <w:pageBreakBefore w:val="0"/>
              <w:widowControl w:val="0"/>
              <w:kinsoku/>
              <w:wordWrap/>
              <w:overflowPunct/>
              <w:topLinePunct w:val="0"/>
              <w:autoSpaceDE w:val="0"/>
              <w:autoSpaceDN w:val="0"/>
              <w:bidi w:val="0"/>
              <w:snapToGrid/>
              <w:spacing w:line="360" w:lineRule="auto"/>
              <w:ind w:firstLine="480" w:firstLineChars="200"/>
              <w:textAlignment w:val="auto"/>
              <w:rPr>
                <w:color w:val="auto"/>
                <w:highlight w:val="none"/>
              </w:rPr>
            </w:pPr>
            <w:r>
              <w:rPr>
                <w:rFonts w:hint="eastAsia"/>
                <w:color w:val="auto"/>
                <w:sz w:val="24"/>
                <w:szCs w:val="24"/>
                <w:highlight w:val="none"/>
              </w:rPr>
              <w:t>根据安徽省“三线一单”公众服务平台套合图（网址：</w:t>
            </w:r>
            <w:r>
              <w:rPr>
                <w:rFonts w:hint="eastAsia"/>
                <w:color w:val="auto"/>
                <w:highlight w:val="none"/>
              </w:rPr>
              <w:fldChar w:fldCharType="begin"/>
            </w:r>
            <w:r>
              <w:rPr>
                <w:color w:val="auto"/>
                <w:sz w:val="24"/>
                <w:szCs w:val="24"/>
                <w:highlight w:val="none"/>
              </w:rPr>
              <w:instrText xml:space="preserve"> HYPERLINK "http://39.145.8.156:1509/ah/public/" \l "/home），本项目所在地存在0个优先管控单元、1" </w:instrText>
            </w:r>
            <w:r>
              <w:rPr>
                <w:rFonts w:hint="eastAsia"/>
                <w:color w:val="auto"/>
                <w:highlight w:val="none"/>
              </w:rPr>
              <w:fldChar w:fldCharType="separate"/>
            </w:r>
            <w:r>
              <w:rPr>
                <w:rStyle w:val="46"/>
                <w:color w:val="auto"/>
                <w:sz w:val="24"/>
                <w:szCs w:val="24"/>
                <w:highlight w:val="none"/>
              </w:rPr>
              <w:t>http://39.145.8.156:1509/ah/public/#/home</w:t>
            </w:r>
            <w:r>
              <w:rPr>
                <w:rStyle w:val="46"/>
                <w:rFonts w:hint="eastAsia"/>
                <w:color w:val="auto"/>
                <w:sz w:val="24"/>
                <w:szCs w:val="24"/>
                <w:highlight w:val="none"/>
              </w:rPr>
              <w:t>），本项目所在地存在0个优先管控单元、1</w:t>
            </w:r>
            <w:r>
              <w:rPr>
                <w:rStyle w:val="46"/>
                <w:rFonts w:hint="eastAsia"/>
                <w:color w:val="auto"/>
                <w:sz w:val="24"/>
                <w:szCs w:val="24"/>
                <w:highlight w:val="none"/>
              </w:rPr>
              <w:fldChar w:fldCharType="end"/>
            </w:r>
            <w:r>
              <w:rPr>
                <w:rFonts w:hint="eastAsia"/>
                <w:color w:val="auto"/>
                <w:sz w:val="24"/>
                <w:szCs w:val="24"/>
                <w:highlight w:val="none"/>
              </w:rPr>
              <w:t>个重点管控单元、0个一般管控单元，属于重点管控单元（大气重点/水重点），编码为ZH34040220005（具体见附图</w:t>
            </w:r>
            <w:r>
              <w:rPr>
                <w:rFonts w:hint="eastAsia"/>
                <w:color w:val="auto"/>
                <w:sz w:val="24"/>
                <w:szCs w:val="24"/>
                <w:highlight w:val="none"/>
                <w:lang w:val="en-US" w:eastAsia="zh-CN"/>
              </w:rPr>
              <w:t>10</w:t>
            </w:r>
            <w:r>
              <w:rPr>
                <w:rFonts w:hint="eastAsia"/>
                <w:color w:val="auto"/>
                <w:sz w:val="24"/>
                <w:szCs w:val="24"/>
                <w:highlight w:val="none"/>
              </w:rPr>
              <w:t>）。本项目与所在环境管控单元空间布局约束、污染物排放管控、环境风险防控、资源开发效率要求、区域总体管控要求协调性分析如下表。</w:t>
            </w:r>
          </w:p>
          <w:p w14:paraId="0669CE98">
            <w:pPr>
              <w:pStyle w:val="52"/>
              <w:spacing w:line="440" w:lineRule="exact"/>
              <w:ind w:firstLine="480" w:firstLineChars="200"/>
              <w:rPr>
                <w:color w:val="auto"/>
                <w:highlight w:val="none"/>
              </w:rPr>
            </w:pPr>
          </w:p>
          <w:p w14:paraId="346AD92A">
            <w:pPr>
              <w:pStyle w:val="52"/>
              <w:spacing w:line="440" w:lineRule="exact"/>
              <w:ind w:firstLine="480" w:firstLineChars="200"/>
              <w:rPr>
                <w:color w:val="auto"/>
                <w:highlight w:val="none"/>
              </w:rPr>
            </w:pPr>
          </w:p>
          <w:p w14:paraId="16C8CA05">
            <w:pPr>
              <w:pStyle w:val="52"/>
              <w:spacing w:line="440" w:lineRule="exact"/>
              <w:ind w:firstLine="480" w:firstLineChars="200"/>
              <w:rPr>
                <w:color w:val="auto"/>
                <w:highlight w:val="none"/>
              </w:rPr>
            </w:pPr>
          </w:p>
          <w:p w14:paraId="2A41E85F">
            <w:pPr>
              <w:pStyle w:val="52"/>
              <w:spacing w:line="440" w:lineRule="exact"/>
              <w:ind w:firstLine="480" w:firstLineChars="200"/>
              <w:rPr>
                <w:color w:val="auto"/>
                <w:highlight w:val="none"/>
              </w:rPr>
            </w:pPr>
          </w:p>
          <w:p w14:paraId="7870FB5A">
            <w:pPr>
              <w:pStyle w:val="52"/>
              <w:spacing w:line="440" w:lineRule="exact"/>
              <w:ind w:firstLine="480" w:firstLineChars="200"/>
              <w:rPr>
                <w:color w:val="auto"/>
                <w:highlight w:val="none"/>
              </w:rPr>
            </w:pPr>
          </w:p>
          <w:p w14:paraId="622AA2D4">
            <w:pPr>
              <w:pStyle w:val="52"/>
              <w:spacing w:line="440" w:lineRule="exact"/>
              <w:ind w:firstLine="480" w:firstLineChars="200"/>
              <w:rPr>
                <w:color w:val="auto"/>
                <w:highlight w:val="none"/>
              </w:rPr>
            </w:pPr>
          </w:p>
          <w:p w14:paraId="452BDB71">
            <w:pPr>
              <w:pStyle w:val="52"/>
              <w:spacing w:line="440" w:lineRule="exact"/>
              <w:ind w:firstLine="480" w:firstLineChars="200"/>
              <w:rPr>
                <w:color w:val="auto"/>
                <w:highlight w:val="none"/>
              </w:rPr>
            </w:pPr>
          </w:p>
          <w:p w14:paraId="2B9544DF">
            <w:pPr>
              <w:pStyle w:val="52"/>
              <w:spacing w:line="440" w:lineRule="exact"/>
              <w:ind w:firstLine="480" w:firstLineChars="200"/>
              <w:rPr>
                <w:color w:val="auto"/>
                <w:highlight w:val="none"/>
              </w:rPr>
            </w:pPr>
          </w:p>
          <w:p w14:paraId="6B0F48FD">
            <w:pPr>
              <w:pStyle w:val="52"/>
              <w:spacing w:line="440" w:lineRule="exact"/>
              <w:ind w:firstLine="480" w:firstLineChars="200"/>
              <w:rPr>
                <w:color w:val="auto"/>
                <w:highlight w:val="none"/>
              </w:rPr>
            </w:pPr>
          </w:p>
          <w:p w14:paraId="4871F4F6">
            <w:pPr>
              <w:pStyle w:val="52"/>
              <w:spacing w:line="440" w:lineRule="exact"/>
              <w:rPr>
                <w:color w:val="auto"/>
                <w:highlight w:val="none"/>
              </w:rPr>
            </w:pPr>
          </w:p>
          <w:p w14:paraId="3543F9C2">
            <w:pPr>
              <w:pStyle w:val="52"/>
              <w:spacing w:line="440" w:lineRule="exact"/>
              <w:rPr>
                <w:color w:val="auto"/>
                <w:highlight w:val="none"/>
              </w:rPr>
            </w:pPr>
          </w:p>
        </w:tc>
      </w:tr>
    </w:tbl>
    <w:p w14:paraId="18163599">
      <w:pPr>
        <w:widowControl/>
        <w:jc w:val="center"/>
        <w:outlineLvl w:val="0"/>
        <w:rPr>
          <w:rFonts w:ascii="宋体" w:hAnsi="宋体"/>
          <w:b/>
          <w:bCs/>
          <w:color w:val="auto"/>
          <w:kern w:val="0"/>
          <w:sz w:val="30"/>
          <w:szCs w:val="30"/>
          <w:highlight w:val="none"/>
        </w:rPr>
        <w:sectPr>
          <w:headerReference r:id="rId6" w:type="default"/>
          <w:footerReference r:id="rId7" w:type="default"/>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3556"/>
      </w:tblGrid>
      <w:tr w14:paraId="5BA6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42D64A18">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ascii="宋体" w:hAnsi="宋体"/>
                <w:b/>
                <w:bCs/>
                <w:color w:val="auto"/>
                <w:kern w:val="0"/>
                <w:sz w:val="24"/>
                <w:szCs w:val="24"/>
                <w:highlight w:val="none"/>
                <w:vertAlign w:val="baseline"/>
              </w:rPr>
            </w:pPr>
            <w:r>
              <w:rPr>
                <w:color w:val="auto"/>
                <w:sz w:val="24"/>
                <w:szCs w:val="24"/>
                <w:highlight w:val="none"/>
              </w:rPr>
              <w:br w:type="page"/>
            </w:r>
            <w:r>
              <w:rPr>
                <w:rFonts w:hint="eastAsia" w:ascii="宋体" w:hAnsi="宋体" w:cs="宋体"/>
                <w:color w:val="auto"/>
                <w:kern w:val="0"/>
                <w:sz w:val="24"/>
                <w:szCs w:val="24"/>
                <w:highlight w:val="none"/>
              </w:rPr>
              <w:t>其他符合性分析</w:t>
            </w:r>
          </w:p>
        </w:tc>
        <w:tc>
          <w:tcPr>
            <w:tcW w:w="13556" w:type="dxa"/>
          </w:tcPr>
          <w:p w14:paraId="691E2CC7">
            <w:pPr>
              <w:widowControl/>
              <w:spacing w:line="360" w:lineRule="auto"/>
              <w:jc w:val="center"/>
              <w:outlineLvl w:val="0"/>
              <w:rPr>
                <w:rFonts w:hint="default" w:hAnsi="黑体" w:eastAsia="黑体" w:cs="Times New Roman"/>
                <w:color w:val="auto"/>
                <w:sz w:val="24"/>
                <w:szCs w:val="24"/>
                <w:highlight w:val="none"/>
              </w:rPr>
            </w:pPr>
            <w:r>
              <w:rPr>
                <w:rFonts w:hint="default" w:hAnsi="黑体" w:eastAsia="黑体" w:cs="Times New Roman"/>
                <w:color w:val="auto"/>
                <w:sz w:val="24"/>
                <w:szCs w:val="24"/>
                <w:highlight w:val="none"/>
              </w:rPr>
              <w:t>表</w:t>
            </w:r>
            <w:r>
              <w:rPr>
                <w:rFonts w:hint="eastAsia" w:eastAsia="黑体" w:cs="Times New Roman"/>
                <w:color w:val="auto"/>
                <w:sz w:val="24"/>
                <w:szCs w:val="24"/>
                <w:highlight w:val="none"/>
                <w:lang w:val="en-US" w:eastAsia="zh-CN"/>
              </w:rPr>
              <w:t>1-9</w:t>
            </w:r>
            <w:r>
              <w:rPr>
                <w:rFonts w:hint="default" w:eastAsia="黑体" w:cs="Times New Roman"/>
                <w:color w:val="auto"/>
                <w:sz w:val="24"/>
                <w:szCs w:val="24"/>
                <w:highlight w:val="none"/>
              </w:rPr>
              <w:t xml:space="preserve"> </w:t>
            </w:r>
            <w:r>
              <w:rPr>
                <w:rFonts w:hint="default" w:hAnsi="黑体" w:eastAsia="黑体" w:cs="Times New Roman"/>
                <w:color w:val="auto"/>
                <w:sz w:val="24"/>
                <w:szCs w:val="24"/>
                <w:highlight w:val="none"/>
              </w:rPr>
              <w:t>本项目与环境管控单元要求协调性分析</w:t>
            </w:r>
          </w:p>
          <w:tbl>
            <w:tblPr>
              <w:tblStyle w:val="36"/>
              <w:tblW w:w="0" w:type="auto"/>
              <w:jc w:val="center"/>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753"/>
              <w:gridCol w:w="659"/>
              <w:gridCol w:w="779"/>
              <w:gridCol w:w="6558"/>
              <w:gridCol w:w="3682"/>
              <w:gridCol w:w="909"/>
            </w:tblGrid>
            <w:tr w14:paraId="7D65D974">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516FB66">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环境管控单元分类</w:t>
                  </w:r>
                </w:p>
              </w:tc>
              <w:tc>
                <w:tcPr>
                  <w:tcW w:w="0" w:type="auto"/>
                  <w:vAlign w:val="center"/>
                </w:tcPr>
                <w:p w14:paraId="02C8A85C">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区域名称</w:t>
                  </w:r>
                </w:p>
              </w:tc>
              <w:tc>
                <w:tcPr>
                  <w:tcW w:w="779" w:type="dxa"/>
                  <w:vAlign w:val="center"/>
                </w:tcPr>
                <w:p w14:paraId="213C429C">
                  <w:pPr>
                    <w:keepNext w:val="0"/>
                    <w:keepLines w:val="0"/>
                    <w:suppressLineNumbers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管控</w:t>
                  </w:r>
                </w:p>
                <w:p w14:paraId="5906A565">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类别</w:t>
                  </w:r>
                </w:p>
              </w:tc>
              <w:tc>
                <w:tcPr>
                  <w:tcW w:w="6558" w:type="dxa"/>
                  <w:vAlign w:val="center"/>
                </w:tcPr>
                <w:p w14:paraId="337725E0">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管控要求</w:t>
                  </w:r>
                </w:p>
              </w:tc>
              <w:tc>
                <w:tcPr>
                  <w:tcW w:w="3682" w:type="dxa"/>
                  <w:vAlign w:val="center"/>
                </w:tcPr>
                <w:p w14:paraId="1449FCA5">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协调性分析</w:t>
                  </w:r>
                </w:p>
              </w:tc>
              <w:tc>
                <w:tcPr>
                  <w:tcW w:w="909" w:type="dxa"/>
                  <w:vAlign w:val="center"/>
                </w:tcPr>
                <w:p w14:paraId="02EA6D72">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b/>
                      <w:color w:val="auto"/>
                      <w:szCs w:val="21"/>
                      <w:highlight w:val="none"/>
                    </w:rPr>
                  </w:pPr>
                  <w:r>
                    <w:rPr>
                      <w:rFonts w:hint="default" w:eastAsiaTheme="majorEastAsia"/>
                      <w:b/>
                      <w:color w:val="auto"/>
                      <w:szCs w:val="21"/>
                      <w:highlight w:val="none"/>
                    </w:rPr>
                    <w:t>符合性分析</w:t>
                  </w:r>
                </w:p>
              </w:tc>
            </w:tr>
            <w:tr w14:paraId="16947A3E">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5" w:hRule="atLeast"/>
                <w:jc w:val="center"/>
              </w:trPr>
              <w:tc>
                <w:tcPr>
                  <w:tcW w:w="0" w:type="auto"/>
                  <w:vMerge w:val="restart"/>
                  <w:vAlign w:val="center"/>
                </w:tcPr>
                <w:p w14:paraId="4CDFA52D">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重点管控单元</w:t>
                  </w:r>
                </w:p>
              </w:tc>
              <w:tc>
                <w:tcPr>
                  <w:tcW w:w="0" w:type="auto"/>
                  <w:vMerge w:val="restart"/>
                  <w:vAlign w:val="center"/>
                </w:tcPr>
                <w:p w14:paraId="4EB0EF24">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重点管控单元</w:t>
                  </w:r>
                </w:p>
                <w:p w14:paraId="41A86BCF">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lang w:val="en-US" w:eastAsia="zh-CN"/>
                    </w:rPr>
                  </w:pPr>
                  <w:r>
                    <w:rPr>
                      <w:rFonts w:hint="eastAsia" w:eastAsiaTheme="majorEastAsia"/>
                      <w:color w:val="auto"/>
                      <w:szCs w:val="21"/>
                      <w:highlight w:val="none"/>
                      <w:lang w:val="en-US" w:eastAsia="zh-CN"/>
                    </w:rPr>
                    <w:t>2</w:t>
                  </w:r>
                </w:p>
              </w:tc>
              <w:tc>
                <w:tcPr>
                  <w:tcW w:w="779" w:type="dxa"/>
                  <w:vMerge w:val="restart"/>
                  <w:vAlign w:val="center"/>
                </w:tcPr>
                <w:p w14:paraId="42074E70">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eastAsia" w:eastAsiaTheme="majorEastAsia"/>
                      <w:color w:val="auto"/>
                      <w:szCs w:val="21"/>
                      <w:highlight w:val="none"/>
                    </w:rPr>
                    <w:t>空间布局</w:t>
                  </w:r>
                  <w:r>
                    <w:rPr>
                      <w:rFonts w:hint="default" w:eastAsiaTheme="majorEastAsia"/>
                      <w:color w:val="auto"/>
                      <w:szCs w:val="21"/>
                      <w:highlight w:val="none"/>
                    </w:rPr>
                    <w:t>约束</w:t>
                  </w:r>
                </w:p>
              </w:tc>
              <w:tc>
                <w:tcPr>
                  <w:tcW w:w="6558" w:type="dxa"/>
                  <w:shd w:val="clear" w:color="auto" w:fill="auto"/>
                  <w:vAlign w:val="center"/>
                </w:tcPr>
                <w:p w14:paraId="482CF639">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rPr>
                  </w:pPr>
                  <w:r>
                    <w:rPr>
                      <w:rFonts w:hint="default"/>
                      <w:color w:val="auto"/>
                      <w:szCs w:val="21"/>
                      <w:highlight w:val="none"/>
                      <w:shd w:val="clear" w:color="auto" w:fill="FFFFFF"/>
                    </w:rPr>
                    <w:t>3严禁新增钢铁、焦化、电解铝、铸造、水泥和平板玻璃等产能；严格执行钢铁、水泥、平板玻璃等行业产能置换实施办法。</w:t>
                  </w:r>
                </w:p>
                <w:p w14:paraId="67294B10">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rPr>
                  </w:pPr>
                  <w:r>
                    <w:rPr>
                      <w:rFonts w:hint="default"/>
                      <w:color w:val="auto"/>
                      <w:szCs w:val="21"/>
                      <w:highlight w:val="none"/>
                      <w:shd w:val="clear" w:color="auto" w:fill="FFFFFF"/>
                    </w:rPr>
                    <w:t>4严格执行国家关于“两高”产业准入目录和产能总量控制政策措施。严禁新增钢铁、焦化、电解铝、铸造、水泥和平板玻璃等产能；新、改、扩建涉及大宗物料运输的建设项目，原则上不得采用公路运输。</w:t>
                  </w:r>
                </w:p>
                <w:p w14:paraId="53BA1E1A">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lang w:val="en-US" w:eastAsia="zh-CN"/>
                    </w:rPr>
                  </w:pPr>
                  <w:r>
                    <w:rPr>
                      <w:rFonts w:hint="default"/>
                      <w:color w:val="auto"/>
                      <w:szCs w:val="21"/>
                      <w:highlight w:val="none"/>
                      <w:shd w:val="clear" w:color="auto" w:fill="FFFFFF"/>
                      <w:lang w:val="en-US" w:eastAsia="zh-CN"/>
                    </w:rPr>
                    <w:t>11禁止新建不符合国家规定的燃煤发电机组、燃油发电机组和燃煤热电机组。</w:t>
                  </w:r>
                </w:p>
                <w:p w14:paraId="1FAF1A79">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lang w:val="en-US" w:eastAsia="zh-CN"/>
                    </w:rPr>
                  </w:pPr>
                  <w:r>
                    <w:rPr>
                      <w:rFonts w:hint="default"/>
                      <w:color w:val="auto"/>
                      <w:szCs w:val="21"/>
                      <w:highlight w:val="none"/>
                      <w:shd w:val="clear" w:color="auto" w:fill="FFFFFF"/>
                      <w:lang w:val="en-US" w:eastAsia="zh-CN"/>
                    </w:rPr>
                    <w:t>12禁止新建、扩建分散燃煤供热锅炉。</w:t>
                  </w:r>
                </w:p>
                <w:p w14:paraId="0D805DAD">
                  <w:pPr>
                    <w:keepNext w:val="0"/>
                    <w:keepLines w:val="0"/>
                    <w:suppressLineNumbers w:val="0"/>
                    <w:autoSpaceDE w:val="0"/>
                    <w:autoSpaceDN w:val="0"/>
                    <w:spacing w:before="0" w:beforeAutospacing="0" w:after="0" w:afterAutospacing="0" w:line="276" w:lineRule="auto"/>
                    <w:ind w:left="0" w:right="0"/>
                    <w:jc w:val="center"/>
                    <w:rPr>
                      <w:rFonts w:hint="default"/>
                      <w:color w:val="auto"/>
                      <w:highlight w:val="none"/>
                      <w:lang w:val="en-US" w:eastAsia="zh-CN"/>
                    </w:rPr>
                  </w:pPr>
                  <w:r>
                    <w:rPr>
                      <w:rFonts w:hint="default"/>
                      <w:color w:val="auto"/>
                      <w:szCs w:val="21"/>
                      <w:highlight w:val="none"/>
                      <w:shd w:val="clear" w:color="auto" w:fill="FFFFFF"/>
                      <w:lang w:val="en-US" w:eastAsia="zh-CN"/>
                    </w:rPr>
                    <w:t>13在城市规划区内禁止新建、扩建大气污染严重的建设项目</w:t>
                  </w:r>
                  <w:r>
                    <w:rPr>
                      <w:rFonts w:hint="eastAsia"/>
                      <w:color w:val="auto"/>
                      <w:szCs w:val="21"/>
                      <w:highlight w:val="none"/>
                      <w:shd w:val="clear" w:color="auto" w:fill="FFFFFF"/>
                      <w:lang w:val="en-US" w:eastAsia="zh-CN"/>
                    </w:rPr>
                    <w:t>。</w:t>
                  </w:r>
                </w:p>
              </w:tc>
              <w:tc>
                <w:tcPr>
                  <w:tcW w:w="3682" w:type="dxa"/>
                  <w:shd w:val="clear" w:color="auto" w:fill="auto"/>
                  <w:vAlign w:val="center"/>
                </w:tcPr>
                <w:p w14:paraId="256528AD">
                  <w:pPr>
                    <w:keepNext w:val="0"/>
                    <w:keepLines w:val="0"/>
                    <w:suppressLineNumbers w:val="0"/>
                    <w:autoSpaceDE w:val="0"/>
                    <w:autoSpaceDN w:val="0"/>
                    <w:spacing w:before="0" w:beforeAutospacing="0" w:after="0" w:afterAutospacing="0" w:line="276"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hAnsi="宋体"/>
                      <w:color w:val="auto"/>
                      <w:szCs w:val="21"/>
                      <w:highlight w:val="none"/>
                      <w:lang w:val="en-US" w:eastAsia="zh-CN"/>
                    </w:rPr>
                    <w:t>本次改建项目</w:t>
                  </w:r>
                  <w:r>
                    <w:rPr>
                      <w:rFonts w:hint="default" w:hAnsi="宋体"/>
                      <w:color w:val="auto"/>
                      <w:szCs w:val="21"/>
                      <w:highlight w:val="none"/>
                    </w:rPr>
                    <w:t>不属于</w:t>
                  </w:r>
                  <w:r>
                    <w:rPr>
                      <w:rFonts w:hint="default"/>
                      <w:color w:val="auto"/>
                      <w:szCs w:val="21"/>
                      <w:highlight w:val="none"/>
                      <w:shd w:val="clear" w:color="auto" w:fill="FFFFFF"/>
                    </w:rPr>
                    <w:t>新增钢铁、焦化、电解铝、铸造、水泥和平板玻璃等产能</w:t>
                  </w:r>
                  <w:r>
                    <w:rPr>
                      <w:rFonts w:hint="eastAsia"/>
                      <w:color w:val="auto"/>
                      <w:szCs w:val="21"/>
                      <w:highlight w:val="none"/>
                      <w:shd w:val="clear" w:color="auto" w:fill="FFFFFF"/>
                      <w:lang w:val="en-US" w:eastAsia="zh-CN"/>
                    </w:rPr>
                    <w:t>项目，</w:t>
                  </w:r>
                  <w:r>
                    <w:rPr>
                      <w:rFonts w:hint="eastAsia" w:hAnsi="宋体"/>
                      <w:color w:val="auto"/>
                      <w:szCs w:val="21"/>
                      <w:highlight w:val="none"/>
                      <w:lang w:val="en-US" w:eastAsia="zh-CN"/>
                    </w:rPr>
                    <w:t>不涉及</w:t>
                  </w:r>
                  <w:r>
                    <w:rPr>
                      <w:rFonts w:hint="default"/>
                      <w:color w:val="auto"/>
                      <w:szCs w:val="21"/>
                      <w:highlight w:val="none"/>
                      <w:shd w:val="clear" w:color="auto" w:fill="FFFFFF"/>
                    </w:rPr>
                    <w:t>“两高”产业</w:t>
                  </w:r>
                  <w:r>
                    <w:rPr>
                      <w:rFonts w:hint="eastAsia"/>
                      <w:color w:val="auto"/>
                      <w:szCs w:val="21"/>
                      <w:highlight w:val="none"/>
                      <w:shd w:val="clear" w:color="auto" w:fill="FFFFFF"/>
                      <w:lang w:eastAsia="zh-CN"/>
                    </w:rPr>
                    <w:t>，</w:t>
                  </w:r>
                  <w:r>
                    <w:rPr>
                      <w:rFonts w:hint="eastAsia"/>
                      <w:color w:val="auto"/>
                      <w:szCs w:val="21"/>
                      <w:highlight w:val="none"/>
                      <w:shd w:val="clear" w:color="auto" w:fill="FFFFFF"/>
                      <w:lang w:val="en-US" w:eastAsia="zh-CN"/>
                    </w:rPr>
                    <w:t>不属于</w:t>
                  </w:r>
                  <w:r>
                    <w:rPr>
                      <w:rFonts w:hint="default"/>
                      <w:color w:val="auto"/>
                      <w:szCs w:val="21"/>
                      <w:highlight w:val="none"/>
                      <w:shd w:val="clear" w:color="auto" w:fill="FFFFFF"/>
                    </w:rPr>
                    <w:t>新、改、扩建涉及大宗物料运输的建设项目</w:t>
                  </w:r>
                  <w:r>
                    <w:rPr>
                      <w:rFonts w:hint="eastAsia"/>
                      <w:color w:val="auto"/>
                      <w:szCs w:val="21"/>
                      <w:highlight w:val="none"/>
                      <w:shd w:val="clear" w:color="auto" w:fill="FFFFFF"/>
                      <w:lang w:eastAsia="zh-CN"/>
                    </w:rPr>
                    <w:t>，</w:t>
                  </w:r>
                  <w:r>
                    <w:rPr>
                      <w:rFonts w:hint="eastAsia"/>
                      <w:color w:val="auto"/>
                      <w:szCs w:val="21"/>
                      <w:highlight w:val="none"/>
                      <w:shd w:val="clear" w:color="auto" w:fill="FFFFFF"/>
                      <w:lang w:val="en-US" w:eastAsia="zh-CN"/>
                    </w:rPr>
                    <w:t>不新建</w:t>
                  </w:r>
                  <w:r>
                    <w:rPr>
                      <w:rFonts w:hint="default"/>
                      <w:color w:val="auto"/>
                      <w:szCs w:val="21"/>
                      <w:highlight w:val="none"/>
                      <w:shd w:val="clear" w:color="auto" w:fill="FFFFFF"/>
                      <w:lang w:val="en-US" w:eastAsia="zh-CN"/>
                    </w:rPr>
                    <w:t>燃煤发电机组、燃油发电机组和燃煤热电机组</w:t>
                  </w:r>
                  <w:r>
                    <w:rPr>
                      <w:rFonts w:hint="eastAsia"/>
                      <w:color w:val="auto"/>
                      <w:szCs w:val="21"/>
                      <w:highlight w:val="none"/>
                      <w:shd w:val="clear" w:color="auto" w:fill="FFFFFF"/>
                      <w:lang w:val="en-US" w:eastAsia="zh-CN"/>
                    </w:rPr>
                    <w:t>、</w:t>
                  </w:r>
                  <w:r>
                    <w:rPr>
                      <w:rFonts w:hint="default"/>
                      <w:color w:val="auto"/>
                      <w:szCs w:val="21"/>
                      <w:highlight w:val="none"/>
                      <w:shd w:val="clear" w:color="auto" w:fill="FFFFFF"/>
                      <w:lang w:val="en-US" w:eastAsia="zh-CN"/>
                    </w:rPr>
                    <w:t>分散燃煤供热锅炉</w:t>
                  </w:r>
                  <w:r>
                    <w:rPr>
                      <w:rFonts w:hint="eastAsia"/>
                      <w:color w:val="auto"/>
                      <w:szCs w:val="21"/>
                      <w:highlight w:val="none"/>
                      <w:shd w:val="clear" w:color="auto" w:fill="FFFFFF"/>
                      <w:lang w:val="en-US" w:eastAsia="zh-CN"/>
                    </w:rPr>
                    <w:t>等，不</w:t>
                  </w:r>
                  <w:r>
                    <w:rPr>
                      <w:rFonts w:hint="default"/>
                      <w:color w:val="auto"/>
                      <w:szCs w:val="21"/>
                      <w:highlight w:val="none"/>
                      <w:shd w:val="clear" w:color="auto" w:fill="FFFFFF"/>
                      <w:lang w:val="en-US" w:eastAsia="zh-CN"/>
                    </w:rPr>
                    <w:t>在城市规划区内禁止新建、扩建大气污染严重的建设项目</w:t>
                  </w:r>
                  <w:r>
                    <w:rPr>
                      <w:rFonts w:hint="eastAsia"/>
                      <w:color w:val="auto"/>
                      <w:szCs w:val="21"/>
                      <w:highlight w:val="none"/>
                      <w:shd w:val="clear" w:color="auto" w:fill="FFFFFF"/>
                      <w:lang w:val="en-US" w:eastAsia="zh-CN"/>
                    </w:rPr>
                    <w:t>。</w:t>
                  </w:r>
                </w:p>
              </w:tc>
              <w:tc>
                <w:tcPr>
                  <w:tcW w:w="909" w:type="dxa"/>
                  <w:shd w:val="clear" w:color="auto" w:fill="auto"/>
                  <w:vAlign w:val="center"/>
                </w:tcPr>
                <w:p w14:paraId="531AD14E">
                  <w:pPr>
                    <w:keepNext w:val="0"/>
                    <w:keepLines w:val="0"/>
                    <w:suppressLineNumbers w:val="0"/>
                    <w:autoSpaceDE w:val="0"/>
                    <w:autoSpaceDN w:val="0"/>
                    <w:spacing w:before="0" w:beforeAutospacing="0" w:after="0" w:afterAutospacing="0" w:line="276" w:lineRule="auto"/>
                    <w:ind w:left="0" w:right="0"/>
                    <w:jc w:val="center"/>
                    <w:rPr>
                      <w:rFonts w:hint="default" w:ascii="Times New Roman" w:hAnsi="Times New Roman" w:cs="Times New Roman" w:eastAsiaTheme="majorEastAsia"/>
                      <w:color w:val="auto"/>
                      <w:kern w:val="2"/>
                      <w:sz w:val="21"/>
                      <w:szCs w:val="21"/>
                      <w:highlight w:val="none"/>
                      <w:lang w:val="en-US" w:eastAsia="zh-CN" w:bidi="ar-SA"/>
                    </w:rPr>
                  </w:pPr>
                  <w:r>
                    <w:rPr>
                      <w:rFonts w:hint="default" w:eastAsiaTheme="majorEastAsia"/>
                      <w:color w:val="auto"/>
                      <w:szCs w:val="21"/>
                      <w:highlight w:val="none"/>
                    </w:rPr>
                    <w:t>符合</w:t>
                  </w:r>
                </w:p>
              </w:tc>
            </w:tr>
            <w:tr w14:paraId="4CF8F5BF">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5" w:hRule="atLeast"/>
                <w:jc w:val="center"/>
              </w:trPr>
              <w:tc>
                <w:tcPr>
                  <w:tcW w:w="0" w:type="auto"/>
                  <w:vMerge w:val="continue"/>
                  <w:vAlign w:val="center"/>
                </w:tcPr>
                <w:p w14:paraId="0522C4E1">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0" w:type="auto"/>
                  <w:vMerge w:val="continue"/>
                  <w:vAlign w:val="center"/>
                </w:tcPr>
                <w:p w14:paraId="1DDC5DB3">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779" w:type="dxa"/>
                  <w:vMerge w:val="continue"/>
                  <w:vAlign w:val="center"/>
                </w:tcPr>
                <w:p w14:paraId="7607E289">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6558" w:type="dxa"/>
                  <w:shd w:val="clear" w:color="auto" w:fill="auto"/>
                  <w:vAlign w:val="center"/>
                </w:tcPr>
                <w:p w14:paraId="07389322">
                  <w:pPr>
                    <w:keepNext w:val="0"/>
                    <w:keepLines w:val="0"/>
                    <w:suppressLineNumbers w:val="0"/>
                    <w:autoSpaceDE w:val="0"/>
                    <w:autoSpaceDN w:val="0"/>
                    <w:spacing w:before="0" w:beforeAutospacing="0" w:after="0" w:afterAutospacing="0" w:line="276" w:lineRule="auto"/>
                    <w:ind w:left="0" w:right="0"/>
                    <w:jc w:val="center"/>
                    <w:rPr>
                      <w:rFonts w:hint="default" w:eastAsia="宋体"/>
                      <w:color w:val="auto"/>
                      <w:highlight w:val="none"/>
                      <w:lang w:val="en-US" w:eastAsia="zh-CN"/>
                    </w:rPr>
                  </w:pPr>
                  <w:r>
                    <w:rPr>
                      <w:rFonts w:hint="eastAsia"/>
                      <w:color w:val="auto"/>
                      <w:highlight w:val="none"/>
                      <w:lang w:val="en-US" w:eastAsia="zh-CN"/>
                    </w:rPr>
                    <w:t>17禁止新建焦化、有色金属、制革、农药等行业企业。18禁止非法污泥堆放和处理不达标的污泥进入耕地。19禁止在限养区内新建、扩建规模化畜禽养殖场。20禁止生产、销售不符合节水标准的产品、设备。</w:t>
                  </w:r>
                </w:p>
              </w:tc>
              <w:tc>
                <w:tcPr>
                  <w:tcW w:w="3682" w:type="dxa"/>
                  <w:shd w:val="clear" w:color="auto" w:fill="auto"/>
                  <w:vAlign w:val="center"/>
                </w:tcPr>
                <w:p w14:paraId="594CD0B6">
                  <w:pPr>
                    <w:keepNext w:val="0"/>
                    <w:keepLines w:val="0"/>
                    <w:suppressLineNumbers w:val="0"/>
                    <w:autoSpaceDE w:val="0"/>
                    <w:autoSpaceDN w:val="0"/>
                    <w:spacing w:before="0" w:beforeAutospacing="0" w:after="0" w:afterAutospacing="0" w:line="276" w:lineRule="auto"/>
                    <w:ind w:left="0" w:right="0"/>
                    <w:jc w:val="center"/>
                    <w:rPr>
                      <w:rFonts w:hint="default" w:hAnsi="宋体"/>
                      <w:color w:val="auto"/>
                      <w:szCs w:val="21"/>
                      <w:highlight w:val="none"/>
                      <w:lang w:val="en-US" w:eastAsia="zh-CN"/>
                    </w:rPr>
                  </w:pPr>
                  <w:r>
                    <w:rPr>
                      <w:rFonts w:hint="eastAsia" w:hAnsi="宋体"/>
                      <w:color w:val="auto"/>
                      <w:szCs w:val="21"/>
                      <w:highlight w:val="none"/>
                      <w:lang w:val="en-US" w:eastAsia="zh-CN"/>
                    </w:rPr>
                    <w:t>本次改建项目不涉及</w:t>
                  </w:r>
                  <w:r>
                    <w:rPr>
                      <w:rFonts w:hint="eastAsia"/>
                      <w:color w:val="auto"/>
                      <w:highlight w:val="none"/>
                      <w:lang w:val="en-US" w:eastAsia="zh-CN"/>
                    </w:rPr>
                    <w:t>新建焦化、有色金属、制革、农药等行业，不涉及非法污泥堆放和处理，不涉及畜禽养殖场，不涉及生产、销售不符合节水标准的产品、设备。</w:t>
                  </w:r>
                </w:p>
              </w:tc>
              <w:tc>
                <w:tcPr>
                  <w:tcW w:w="909" w:type="dxa"/>
                  <w:shd w:val="clear" w:color="auto" w:fill="auto"/>
                  <w:vAlign w:val="center"/>
                </w:tcPr>
                <w:p w14:paraId="186AF282">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lang w:val="en-US" w:eastAsia="zh-CN"/>
                    </w:rPr>
                  </w:pPr>
                  <w:r>
                    <w:rPr>
                      <w:rFonts w:hint="eastAsia" w:eastAsiaTheme="majorEastAsia"/>
                      <w:color w:val="auto"/>
                      <w:szCs w:val="21"/>
                      <w:highlight w:val="none"/>
                      <w:lang w:val="en-US" w:eastAsia="zh-CN"/>
                    </w:rPr>
                    <w:t>符合</w:t>
                  </w:r>
                </w:p>
              </w:tc>
            </w:tr>
            <w:tr w14:paraId="490B7F74">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5" w:hRule="atLeast"/>
                <w:jc w:val="center"/>
              </w:trPr>
              <w:tc>
                <w:tcPr>
                  <w:tcW w:w="0" w:type="auto"/>
                  <w:vMerge w:val="continue"/>
                  <w:vAlign w:val="center"/>
                </w:tcPr>
                <w:p w14:paraId="53ABCD4E">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0" w:type="auto"/>
                  <w:vMerge w:val="continue"/>
                  <w:vAlign w:val="center"/>
                </w:tcPr>
                <w:p w14:paraId="066161B3">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779" w:type="dxa"/>
                  <w:vMerge w:val="continue"/>
                  <w:vAlign w:val="center"/>
                </w:tcPr>
                <w:p w14:paraId="23B47A33">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6558" w:type="dxa"/>
                  <w:shd w:val="clear" w:color="auto" w:fill="auto"/>
                  <w:vAlign w:val="center"/>
                </w:tcPr>
                <w:p w14:paraId="64B802DE">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rPr>
                  </w:pPr>
                  <w:r>
                    <w:rPr>
                      <w:rFonts w:hint="eastAsia"/>
                      <w:color w:val="auto"/>
                      <w:highlight w:val="none"/>
                    </w:rPr>
                    <w:t>28</w:t>
                  </w:r>
                  <w:r>
                    <w:rPr>
                      <w:rFonts w:hint="eastAsia"/>
                      <w:color w:val="auto"/>
                      <w:highlight w:val="none"/>
                      <w:lang w:val="en-US" w:eastAsia="zh-CN"/>
                    </w:rPr>
                    <w:t>.</w:t>
                  </w:r>
                  <w:r>
                    <w:rPr>
                      <w:rFonts w:hint="eastAsia"/>
                      <w:color w:val="auto"/>
                      <w:highlight w:val="none"/>
                    </w:rPr>
                    <w:t>重点区域钢铁、水泥、焦化、石化、化工、有色等行业，二氧化硫、氮氧化物、颗粒物、挥发性有机物（VOCs）排放全面执行大气污染物特别排放限值。29</w:t>
                  </w:r>
                  <w:r>
                    <w:rPr>
                      <w:rFonts w:hint="eastAsia"/>
                      <w:color w:val="auto"/>
                      <w:highlight w:val="none"/>
                      <w:lang w:val="en-US" w:eastAsia="zh-CN"/>
                    </w:rPr>
                    <w:t>.</w:t>
                  </w:r>
                  <w:r>
                    <w:rPr>
                      <w:rFonts w:hint="eastAsia"/>
                      <w:color w:val="auto"/>
                      <w:highlight w:val="none"/>
                    </w:rPr>
                    <w:t>加大工业涂装、包装印刷等行业低挥发性有机物含量原辅材料替代力度，严格执行涂料、油墨、胶粘剂、清洗剂挥发性有机物含量限值标准，确保生产、销售、进口、使用符合标准的产品。</w:t>
                  </w:r>
                </w:p>
              </w:tc>
              <w:tc>
                <w:tcPr>
                  <w:tcW w:w="3682" w:type="dxa"/>
                  <w:shd w:val="clear" w:color="auto" w:fill="auto"/>
                  <w:vAlign w:val="center"/>
                </w:tcPr>
                <w:p w14:paraId="72228E5E">
                  <w:pPr>
                    <w:keepNext w:val="0"/>
                    <w:keepLines w:val="0"/>
                    <w:suppressLineNumbers w:val="0"/>
                    <w:autoSpaceDE w:val="0"/>
                    <w:autoSpaceDN w:val="0"/>
                    <w:spacing w:before="0" w:beforeAutospacing="0" w:after="0" w:afterAutospacing="0" w:line="276" w:lineRule="auto"/>
                    <w:ind w:left="0" w:right="0"/>
                    <w:jc w:val="center"/>
                    <w:rPr>
                      <w:rFonts w:hint="default" w:hAnsi="宋体" w:eastAsia="宋体"/>
                      <w:color w:val="auto"/>
                      <w:szCs w:val="21"/>
                      <w:highlight w:val="none"/>
                      <w:lang w:val="en-US" w:eastAsia="zh-CN"/>
                    </w:rPr>
                  </w:pPr>
                  <w:r>
                    <w:rPr>
                      <w:rFonts w:hint="eastAsia" w:hAnsi="宋体"/>
                      <w:color w:val="auto"/>
                      <w:szCs w:val="21"/>
                      <w:highlight w:val="none"/>
                      <w:lang w:val="en-US" w:eastAsia="zh-CN"/>
                    </w:rPr>
                    <w:t>本项目不属于重点区域钢铁、水泥、焦化、石化、化工、有色等行业，不使用</w:t>
                  </w:r>
                  <w:r>
                    <w:rPr>
                      <w:rFonts w:hint="eastAsia"/>
                      <w:color w:val="auto"/>
                      <w:highlight w:val="none"/>
                    </w:rPr>
                    <w:t>涂料、油墨、胶粘剂、清洗剂</w:t>
                  </w:r>
                  <w:r>
                    <w:rPr>
                      <w:rFonts w:hint="eastAsia"/>
                      <w:color w:val="auto"/>
                      <w:highlight w:val="none"/>
                      <w:lang w:eastAsia="zh-CN"/>
                    </w:rPr>
                    <w:t>，</w:t>
                  </w:r>
                  <w:r>
                    <w:rPr>
                      <w:rFonts w:hint="eastAsia" w:hAnsi="宋体"/>
                      <w:color w:val="auto"/>
                      <w:szCs w:val="21"/>
                      <w:highlight w:val="none"/>
                      <w:lang w:val="en-US" w:eastAsia="zh-CN"/>
                    </w:rPr>
                    <w:t>运营期正常工况下无废气产生</w:t>
                  </w:r>
                  <w:r>
                    <w:rPr>
                      <w:rFonts w:hint="eastAsia"/>
                      <w:color w:val="auto"/>
                      <w:szCs w:val="21"/>
                      <w:highlight w:val="none"/>
                      <w:lang w:val="en-US" w:eastAsia="zh-CN"/>
                    </w:rPr>
                    <w:t>。</w:t>
                  </w:r>
                </w:p>
              </w:tc>
              <w:tc>
                <w:tcPr>
                  <w:tcW w:w="909" w:type="dxa"/>
                  <w:shd w:val="clear" w:color="auto" w:fill="auto"/>
                  <w:vAlign w:val="center"/>
                </w:tcPr>
                <w:p w14:paraId="5F28339F">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lang w:val="en-US" w:eastAsia="zh-CN"/>
                    </w:rPr>
                  </w:pPr>
                  <w:r>
                    <w:rPr>
                      <w:rFonts w:hint="eastAsia" w:eastAsiaTheme="majorEastAsia"/>
                      <w:color w:val="auto"/>
                      <w:szCs w:val="21"/>
                      <w:highlight w:val="none"/>
                      <w:lang w:val="en-US" w:eastAsia="zh-CN"/>
                    </w:rPr>
                    <w:t>符合</w:t>
                  </w:r>
                </w:p>
              </w:tc>
            </w:tr>
            <w:tr w14:paraId="0C2B9912">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365" w:hRule="atLeast"/>
                <w:jc w:val="center"/>
              </w:trPr>
              <w:tc>
                <w:tcPr>
                  <w:tcW w:w="0" w:type="auto"/>
                  <w:vMerge w:val="continue"/>
                  <w:vAlign w:val="center"/>
                </w:tcPr>
                <w:p w14:paraId="38242D98">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0" w:type="auto"/>
                  <w:vMerge w:val="continue"/>
                  <w:vAlign w:val="center"/>
                </w:tcPr>
                <w:p w14:paraId="0D5E1436">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779" w:type="dxa"/>
                  <w:vMerge w:val="continue"/>
                  <w:vAlign w:val="center"/>
                </w:tcPr>
                <w:p w14:paraId="7DDDBA8D">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rPr>
                  </w:pPr>
                </w:p>
              </w:tc>
              <w:tc>
                <w:tcPr>
                  <w:tcW w:w="6558" w:type="dxa"/>
                  <w:shd w:val="clear" w:color="auto" w:fill="auto"/>
                  <w:vAlign w:val="center"/>
                </w:tcPr>
                <w:p w14:paraId="5FCC0F99">
                  <w:pPr>
                    <w:keepNext w:val="0"/>
                    <w:keepLines w:val="0"/>
                    <w:suppressLineNumbers w:val="0"/>
                    <w:autoSpaceDE w:val="0"/>
                    <w:autoSpaceDN w:val="0"/>
                    <w:spacing w:before="0" w:beforeAutospacing="0" w:after="0" w:afterAutospacing="0" w:line="276" w:lineRule="auto"/>
                    <w:ind w:left="0" w:right="0"/>
                    <w:jc w:val="center"/>
                    <w:rPr>
                      <w:rFonts w:hint="default"/>
                      <w:color w:val="auto"/>
                      <w:szCs w:val="21"/>
                      <w:highlight w:val="none"/>
                      <w:shd w:val="clear" w:color="auto" w:fill="FFFFFF"/>
                    </w:rPr>
                  </w:pPr>
                  <w:r>
                    <w:rPr>
                      <w:rFonts w:hint="default"/>
                      <w:color w:val="auto"/>
                      <w:szCs w:val="21"/>
                      <w:highlight w:val="none"/>
                      <w:shd w:val="clear" w:color="auto" w:fill="FFFFFF"/>
                    </w:rPr>
                    <w:t>35关停退出、能耗、安全、质量技术等方面不达标、不合格产品。同时，鼓励引导“限制类”生产工艺装备和产品逐步退出。重点对水泥、砖瓦、铸造、化工等重点行业过剩产能逐渐淘汰，加快淘汰落后产能和不达标工业炉窑。</w:t>
                  </w:r>
                </w:p>
              </w:tc>
              <w:tc>
                <w:tcPr>
                  <w:tcW w:w="3682" w:type="dxa"/>
                  <w:shd w:val="clear" w:color="auto" w:fill="auto"/>
                  <w:vAlign w:val="center"/>
                </w:tcPr>
                <w:p w14:paraId="3C354E59">
                  <w:pPr>
                    <w:keepNext w:val="0"/>
                    <w:keepLines w:val="0"/>
                    <w:suppressLineNumbers w:val="0"/>
                    <w:autoSpaceDE w:val="0"/>
                    <w:autoSpaceDN w:val="0"/>
                    <w:spacing w:before="0" w:beforeAutospacing="0" w:after="0" w:afterAutospacing="0" w:line="276" w:lineRule="auto"/>
                    <w:ind w:left="0" w:right="0"/>
                    <w:jc w:val="center"/>
                    <w:rPr>
                      <w:rFonts w:hint="default" w:hAnsi="宋体" w:eastAsia="宋体"/>
                      <w:color w:val="auto"/>
                      <w:szCs w:val="21"/>
                      <w:highlight w:val="none"/>
                      <w:lang w:val="en-US" w:eastAsia="zh-CN"/>
                    </w:rPr>
                  </w:pPr>
                  <w:r>
                    <w:rPr>
                      <w:rFonts w:hint="eastAsia" w:hAnsi="宋体"/>
                      <w:color w:val="auto"/>
                      <w:szCs w:val="21"/>
                      <w:highlight w:val="none"/>
                      <w:lang w:val="en-US" w:eastAsia="zh-CN"/>
                    </w:rPr>
                    <w:t>本项目主要从事危化品仓储，不属于</w:t>
                  </w:r>
                  <w:r>
                    <w:rPr>
                      <w:rFonts w:hint="default"/>
                      <w:color w:val="auto"/>
                      <w:szCs w:val="21"/>
                      <w:highlight w:val="none"/>
                      <w:shd w:val="clear" w:color="auto" w:fill="FFFFFF"/>
                    </w:rPr>
                    <w:t>水泥、砖瓦、铸造、化工等重点行业过剩产能</w:t>
                  </w:r>
                  <w:r>
                    <w:rPr>
                      <w:rFonts w:hint="eastAsia"/>
                      <w:color w:val="auto"/>
                      <w:szCs w:val="21"/>
                      <w:highlight w:val="none"/>
                      <w:shd w:val="clear" w:color="auto" w:fill="FFFFFF"/>
                      <w:lang w:eastAsia="zh-CN"/>
                    </w:rPr>
                    <w:t>；</w:t>
                  </w:r>
                  <w:r>
                    <w:rPr>
                      <w:rFonts w:hint="eastAsia"/>
                      <w:color w:val="auto"/>
                      <w:szCs w:val="21"/>
                      <w:highlight w:val="none"/>
                      <w:shd w:val="clear" w:color="auto" w:fill="FFFFFF"/>
                      <w:lang w:val="en-US" w:eastAsia="zh-CN"/>
                    </w:rPr>
                    <w:t>不涉及工业窑炉建设及使用。</w:t>
                  </w:r>
                </w:p>
              </w:tc>
              <w:tc>
                <w:tcPr>
                  <w:tcW w:w="909" w:type="dxa"/>
                  <w:shd w:val="clear" w:color="auto" w:fill="auto"/>
                  <w:vAlign w:val="center"/>
                </w:tcPr>
                <w:p w14:paraId="7B9774FF">
                  <w:pPr>
                    <w:keepNext w:val="0"/>
                    <w:keepLines w:val="0"/>
                    <w:suppressLineNumbers w:val="0"/>
                    <w:autoSpaceDE w:val="0"/>
                    <w:autoSpaceDN w:val="0"/>
                    <w:spacing w:before="0" w:beforeAutospacing="0" w:after="0" w:afterAutospacing="0" w:line="276" w:lineRule="auto"/>
                    <w:ind w:left="0" w:right="0"/>
                    <w:jc w:val="center"/>
                    <w:rPr>
                      <w:rFonts w:hint="eastAsia" w:eastAsiaTheme="majorEastAsia"/>
                      <w:color w:val="auto"/>
                      <w:szCs w:val="21"/>
                      <w:highlight w:val="none"/>
                      <w:lang w:val="en-US" w:eastAsia="zh-CN"/>
                    </w:rPr>
                  </w:pPr>
                  <w:r>
                    <w:rPr>
                      <w:rFonts w:hint="eastAsia" w:eastAsiaTheme="majorEastAsia"/>
                      <w:color w:val="auto"/>
                      <w:szCs w:val="21"/>
                      <w:highlight w:val="none"/>
                      <w:lang w:val="en-US" w:eastAsia="zh-CN"/>
                    </w:rPr>
                    <w:t>符合</w:t>
                  </w:r>
                </w:p>
              </w:tc>
            </w:tr>
            <w:tr w14:paraId="66B3E54F">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vAlign w:val="center"/>
                </w:tcPr>
                <w:p w14:paraId="47467ADF">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0" w:type="auto"/>
                  <w:vMerge w:val="continue"/>
                  <w:vAlign w:val="center"/>
                </w:tcPr>
                <w:p w14:paraId="1E7F369A">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779" w:type="dxa"/>
                  <w:vAlign w:val="center"/>
                </w:tcPr>
                <w:p w14:paraId="2C9BCF0E">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污染物排放管</w:t>
                  </w:r>
                </w:p>
                <w:p w14:paraId="79819C59">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控</w:t>
                  </w:r>
                </w:p>
              </w:tc>
              <w:tc>
                <w:tcPr>
                  <w:tcW w:w="6558" w:type="dxa"/>
                  <w:shd w:val="clear" w:color="auto" w:fill="auto"/>
                  <w:vAlign w:val="center"/>
                </w:tcPr>
                <w:p w14:paraId="7AD88904">
                  <w:pPr>
                    <w:keepNext w:val="0"/>
                    <w:keepLines w:val="0"/>
                    <w:numPr>
                      <w:ilvl w:val="0"/>
                      <w:numId w:val="0"/>
                    </w:numPr>
                    <w:suppressLineNumbers w:val="0"/>
                    <w:autoSpaceDE w:val="0"/>
                    <w:autoSpaceDN w:val="0"/>
                    <w:spacing w:before="0" w:beforeAutospacing="0" w:after="0" w:afterAutospacing="0" w:line="276" w:lineRule="auto"/>
                    <w:ind w:left="0" w:leftChars="0" w:right="0" w:rightChars="0"/>
                    <w:jc w:val="center"/>
                    <w:rPr>
                      <w:rFonts w:hint="eastAsia"/>
                      <w:color w:val="auto"/>
                      <w:szCs w:val="21"/>
                      <w:highlight w:val="none"/>
                      <w:lang w:eastAsia="zh-CN"/>
                    </w:rPr>
                  </w:pPr>
                  <w:r>
                    <w:rPr>
                      <w:rFonts w:hint="eastAsia" w:ascii="Times New Roman" w:hAnsi="Times New Roman" w:eastAsia="宋体" w:cs="Times New Roman"/>
                      <w:color w:val="auto"/>
                      <w:kern w:val="2"/>
                      <w:sz w:val="21"/>
                      <w:szCs w:val="21"/>
                      <w:highlight w:val="none"/>
                      <w:lang w:val="en-US" w:eastAsia="zh-CN" w:bidi="ar-SA"/>
                    </w:rPr>
                    <w:t>51.</w:t>
                  </w:r>
                  <w:r>
                    <w:rPr>
                      <w:rFonts w:hint="default"/>
                      <w:color w:val="auto"/>
                      <w:szCs w:val="21"/>
                      <w:highlight w:val="none"/>
                    </w:rPr>
                    <w:t>对以煤、石油焦、渣油、重油等为燃料的工业炉窑，加快使用清洁低碳能源以及利用工厂余热、电厂热力等进行替代</w:t>
                  </w:r>
                  <w:r>
                    <w:rPr>
                      <w:rFonts w:hint="eastAsia"/>
                      <w:color w:val="auto"/>
                      <w:szCs w:val="21"/>
                      <w:highlight w:val="none"/>
                      <w:lang w:eastAsia="zh-CN"/>
                    </w:rPr>
                    <w:t>。</w:t>
                  </w:r>
                </w:p>
                <w:p w14:paraId="05EDEE67">
                  <w:pPr>
                    <w:keepNext w:val="0"/>
                    <w:keepLines w:val="0"/>
                    <w:numPr>
                      <w:ilvl w:val="0"/>
                      <w:numId w:val="0"/>
                    </w:numPr>
                    <w:suppressLineNumbers w:val="0"/>
                    <w:autoSpaceDE w:val="0"/>
                    <w:autoSpaceDN w:val="0"/>
                    <w:spacing w:before="0" w:beforeAutospacing="0" w:after="0" w:afterAutospacing="0" w:line="276" w:lineRule="auto"/>
                    <w:ind w:left="0" w:leftChars="0" w:right="0" w:rightChars="0"/>
                    <w:jc w:val="center"/>
                    <w:rPr>
                      <w:rFonts w:hint="eastAsia"/>
                      <w:color w:val="auto"/>
                      <w:highlight w:val="none"/>
                    </w:rPr>
                  </w:pPr>
                  <w:r>
                    <w:rPr>
                      <w:rFonts w:hint="eastAsia"/>
                      <w:color w:val="auto"/>
                      <w:highlight w:val="none"/>
                    </w:rPr>
                    <w:t>54</w:t>
                  </w:r>
                  <w:r>
                    <w:rPr>
                      <w:rFonts w:hint="eastAsia"/>
                      <w:color w:val="auto"/>
                      <w:highlight w:val="none"/>
                      <w:lang w:val="en-US" w:eastAsia="zh-CN"/>
                    </w:rPr>
                    <w:t>.</w:t>
                  </w:r>
                  <w:r>
                    <w:rPr>
                      <w:rFonts w:hint="eastAsia"/>
                      <w:color w:val="auto"/>
                      <w:highlight w:val="none"/>
                    </w:rPr>
                    <w:t>全面推动挥发性有机物纳入排污许可管理。禁止建设生产和使用高挥发性有机物含量涂料、油墨、胶粘剂、清洗剂等项目。加快推进石化、化工、涂装、医药、包装印刷和油品储运销等重点行业挥发性有机物深度治理，全面提升废气收集率、治理设施同步运行率和去除率，提高水性、高</w:t>
                  </w:r>
                  <w:r>
                    <w:rPr>
                      <w:rFonts w:hint="eastAsia"/>
                      <w:color w:val="auto"/>
                      <w:highlight w:val="none"/>
                      <w:lang w:eastAsia="zh-CN"/>
                    </w:rPr>
                    <w:t>固体份</w:t>
                  </w:r>
                  <w:r>
                    <w:rPr>
                      <w:rFonts w:hint="eastAsia"/>
                      <w:color w:val="auto"/>
                      <w:highlight w:val="none"/>
                    </w:rPr>
                    <w:t>、无溶剂、粉末、辐射固化等低挥发性有机物含量产品的比重。加大工业涂装、包装印刷等行业低挥发性有机物含量原辅材料替代力度，严格执行涂料、油墨、胶粘剂、清洗剂挥发性有机物含量限值标准，确保生产、销售、进口、使用符合标准的产品。到2025年，溶剂型工业涂料、油墨使用比例分别降低20个、10个百分点。溶剂型胶粘剂使用量降低20%。</w:t>
                  </w:r>
                </w:p>
                <w:p w14:paraId="43A30346">
                  <w:pPr>
                    <w:keepNext w:val="0"/>
                    <w:keepLines w:val="0"/>
                    <w:numPr>
                      <w:ilvl w:val="0"/>
                      <w:numId w:val="0"/>
                    </w:numPr>
                    <w:suppressLineNumbers w:val="0"/>
                    <w:autoSpaceDE w:val="0"/>
                    <w:autoSpaceDN w:val="0"/>
                    <w:spacing w:before="0" w:beforeAutospacing="0" w:after="0" w:afterAutospacing="0" w:line="276" w:lineRule="auto"/>
                    <w:ind w:left="0" w:leftChars="0" w:right="0" w:rightChars="0"/>
                    <w:jc w:val="center"/>
                    <w:rPr>
                      <w:rFonts w:hint="eastAsia"/>
                      <w:color w:val="auto"/>
                      <w:highlight w:val="none"/>
                    </w:rPr>
                  </w:pPr>
                  <w:r>
                    <w:rPr>
                      <w:rFonts w:hint="eastAsia" w:ascii="Times New Roman" w:hAnsi="Times New Roman" w:eastAsia="宋体" w:cs="Times New Roman"/>
                      <w:color w:val="auto"/>
                      <w:kern w:val="2"/>
                      <w:sz w:val="21"/>
                      <w:szCs w:val="22"/>
                      <w:highlight w:val="none"/>
                      <w:lang w:val="en-US" w:eastAsia="zh-CN" w:bidi="ar-SA"/>
                    </w:rPr>
                    <w:t>56.</w:t>
                  </w:r>
                  <w:r>
                    <w:rPr>
                      <w:rFonts w:hint="eastAsia"/>
                      <w:color w:val="auto"/>
                      <w:highlight w:val="none"/>
                    </w:rPr>
                    <w:t>使用粉末、水性、高</w:t>
                  </w:r>
                  <w:r>
                    <w:rPr>
                      <w:rFonts w:hint="eastAsia"/>
                      <w:color w:val="auto"/>
                      <w:highlight w:val="none"/>
                      <w:lang w:eastAsia="zh-CN"/>
                    </w:rPr>
                    <w:t>固体份</w:t>
                  </w:r>
                  <w:r>
                    <w:rPr>
                      <w:rFonts w:hint="eastAsia"/>
                      <w:color w:val="auto"/>
                      <w:highlight w:val="none"/>
                    </w:rPr>
                    <w:t>、辐射固化等低VOCs含量的涂料替代溶剂型涂料。汽车制造底漆大力推广使用水性涂料，乘用车中涂、色漆大力推广使用高</w:t>
                  </w:r>
                  <w:r>
                    <w:rPr>
                      <w:rFonts w:hint="eastAsia"/>
                      <w:color w:val="auto"/>
                      <w:highlight w:val="none"/>
                      <w:lang w:eastAsia="zh-CN"/>
                    </w:rPr>
                    <w:t>固体份</w:t>
                  </w:r>
                  <w:r>
                    <w:rPr>
                      <w:rFonts w:hint="eastAsia"/>
                      <w:color w:val="auto"/>
                      <w:highlight w:val="none"/>
                    </w:rPr>
                    <w:t>或水性涂料，加快客车、货车等中涂、色漆改造。钢制集装箱制造在箱内、箱外、木地板涂装等工序大力推广使用水性涂料，在确保防腐蚀功能的前提下，加快推进特种集装箱采用水性涂料。木质家具制造大力推广使用水性、辐射固化、粉末等涂料和水性胶粘剂；金属家具制造大力推广使用粉末涂料；软体家具制造大力推广使用水性胶粘剂。工程机械制造大力推广使用水性、粉末和高</w:t>
                  </w:r>
                  <w:r>
                    <w:rPr>
                      <w:rFonts w:hint="eastAsia"/>
                      <w:color w:val="auto"/>
                      <w:highlight w:val="none"/>
                      <w:lang w:eastAsia="zh-CN"/>
                    </w:rPr>
                    <w:t>固体份</w:t>
                  </w:r>
                  <w:r>
                    <w:rPr>
                      <w:rFonts w:hint="eastAsia"/>
                      <w:color w:val="auto"/>
                      <w:highlight w:val="none"/>
                    </w:rPr>
                    <w:t>涂料。电子产品制造推广使用粉末、水性、辐射固化等涂料。</w:t>
                  </w:r>
                </w:p>
                <w:p w14:paraId="15808AB9">
                  <w:pPr>
                    <w:keepNext w:val="0"/>
                    <w:keepLines w:val="0"/>
                    <w:numPr>
                      <w:ilvl w:val="0"/>
                      <w:numId w:val="0"/>
                    </w:numPr>
                    <w:suppressLineNumbers w:val="0"/>
                    <w:autoSpaceDE w:val="0"/>
                    <w:autoSpaceDN w:val="0"/>
                    <w:spacing w:before="0" w:beforeAutospacing="0" w:after="0" w:afterAutospacing="0" w:line="276" w:lineRule="auto"/>
                    <w:ind w:left="0" w:leftChars="0" w:right="0" w:rightChars="0" w:firstLine="0" w:firstLineChars="0"/>
                    <w:jc w:val="center"/>
                    <w:rPr>
                      <w:rFonts w:hint="eastAsia" w:ascii="Times New Roman" w:hAnsi="Times New Roman" w:eastAsia="宋体" w:cs="Times New Roman"/>
                      <w:color w:val="auto"/>
                      <w:kern w:val="2"/>
                      <w:sz w:val="21"/>
                      <w:szCs w:val="22"/>
                      <w:highlight w:val="none"/>
                      <w:lang w:val="en-US" w:eastAsia="zh-CN" w:bidi="ar-SA"/>
                    </w:rPr>
                  </w:pPr>
                  <w:r>
                    <w:rPr>
                      <w:rFonts w:hint="eastAsia"/>
                      <w:color w:val="auto"/>
                      <w:highlight w:val="none"/>
                    </w:rPr>
                    <w:t>63</w:t>
                  </w:r>
                  <w:r>
                    <w:rPr>
                      <w:rFonts w:hint="eastAsia"/>
                      <w:color w:val="auto"/>
                      <w:highlight w:val="none"/>
                      <w:lang w:val="en-US" w:eastAsia="zh-CN"/>
                    </w:rPr>
                    <w:t>.</w:t>
                  </w:r>
                  <w:r>
                    <w:rPr>
                      <w:rFonts w:hint="eastAsia"/>
                      <w:color w:val="auto"/>
                      <w:highlight w:val="none"/>
                    </w:rPr>
                    <w:t>铸造行业烧结、高炉工序污染排放控制按照钢铁行业相关标准要求执行；原则上按照颗粒物、二氧化硫、氮氧化物排放限值分别不高于30、200、300毫克/立方米实施改造</w:t>
                  </w:r>
                  <w:r>
                    <w:rPr>
                      <w:rFonts w:hint="eastAsia"/>
                      <w:color w:val="auto"/>
                      <w:highlight w:val="none"/>
                      <w:lang w:eastAsia="zh-CN"/>
                    </w:rPr>
                    <w:t>，</w:t>
                  </w:r>
                  <w:r>
                    <w:rPr>
                      <w:rFonts w:hint="eastAsia"/>
                      <w:color w:val="auto"/>
                      <w:highlight w:val="none"/>
                    </w:rPr>
                    <w:t>其中，日用玻璃、玻璃棉氮氧化物排放限值不高于400毫克/立方米。</w:t>
                  </w:r>
                </w:p>
              </w:tc>
              <w:tc>
                <w:tcPr>
                  <w:tcW w:w="3682" w:type="dxa"/>
                  <w:shd w:val="clear" w:color="auto" w:fill="auto"/>
                  <w:vAlign w:val="center"/>
                </w:tcPr>
                <w:p w14:paraId="1F4ACAAA">
                  <w:pPr>
                    <w:keepNext w:val="0"/>
                    <w:keepLines w:val="0"/>
                    <w:suppressLineNumbers w:val="0"/>
                    <w:autoSpaceDE w:val="0"/>
                    <w:autoSpaceDN w:val="0"/>
                    <w:spacing w:before="0" w:beforeAutospacing="0" w:after="0" w:afterAutospacing="0" w:line="276" w:lineRule="auto"/>
                    <w:ind w:left="0" w:leftChars="0" w:right="0" w:rightChars="0"/>
                    <w:jc w:val="center"/>
                    <w:rPr>
                      <w:rFonts w:hint="default"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lang w:val="en-US" w:eastAsia="zh-CN"/>
                    </w:rPr>
                    <w:t>51.</w:t>
                  </w:r>
                  <w:r>
                    <w:rPr>
                      <w:rFonts w:hint="default" w:hAnsi="宋体"/>
                      <w:color w:val="auto"/>
                      <w:szCs w:val="21"/>
                      <w:highlight w:val="none"/>
                    </w:rPr>
                    <w:t>本项目不涉及以煤、石油焦、渣油、重油等为燃料的工业炉窑；不属于建设生产和使用高挥发性有机物含量涂料、油墨、胶粘剂、清洗剂等项目。</w:t>
                  </w:r>
                </w:p>
              </w:tc>
              <w:tc>
                <w:tcPr>
                  <w:tcW w:w="909" w:type="dxa"/>
                  <w:vAlign w:val="center"/>
                </w:tcPr>
                <w:p w14:paraId="7CD1AECE">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符合</w:t>
                  </w:r>
                </w:p>
              </w:tc>
            </w:tr>
            <w:tr w14:paraId="3B3A5018">
              <w:tblPrEx>
                <w:tblBorders>
                  <w:top w:val="single" w:color="000000" w:themeColor="text1" w:sz="12" w:space="0"/>
                  <w:left w:val="none" w:color="auto" w:sz="0" w:space="0"/>
                  <w:bottom w:val="single" w:color="000000" w:themeColor="text1" w:sz="12" w:space="0"/>
                  <w:right w:val="none" w:color="auto" w:sz="0"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Merge w:val="continue"/>
                  <w:vAlign w:val="center"/>
                </w:tcPr>
                <w:p w14:paraId="20A4FFEF">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0" w:type="auto"/>
                  <w:vMerge w:val="continue"/>
                  <w:vAlign w:val="center"/>
                </w:tcPr>
                <w:p w14:paraId="50AD4971">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p>
              </w:tc>
              <w:tc>
                <w:tcPr>
                  <w:tcW w:w="779" w:type="dxa"/>
                  <w:vAlign w:val="center"/>
                </w:tcPr>
                <w:p w14:paraId="5F811668">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资源开发效率</w:t>
                  </w:r>
                </w:p>
                <w:p w14:paraId="0735ABCD">
                  <w:pPr>
                    <w:keepNext w:val="0"/>
                    <w:keepLines w:val="0"/>
                    <w:suppressLineNumbers w:val="0"/>
                    <w:autoSpaceDE w:val="0"/>
                    <w:autoSpaceDN w:val="0"/>
                    <w:spacing w:before="0" w:beforeAutospacing="0" w:after="0" w:afterAutospacing="0" w:line="276" w:lineRule="auto"/>
                    <w:ind w:left="0" w:right="0"/>
                    <w:jc w:val="center"/>
                    <w:rPr>
                      <w:rFonts w:hint="default" w:eastAsiaTheme="majorEastAsia"/>
                      <w:color w:val="auto"/>
                      <w:szCs w:val="21"/>
                      <w:highlight w:val="none"/>
                    </w:rPr>
                  </w:pPr>
                  <w:r>
                    <w:rPr>
                      <w:rFonts w:hint="default" w:eastAsiaTheme="majorEastAsia"/>
                      <w:color w:val="auto"/>
                      <w:szCs w:val="21"/>
                      <w:highlight w:val="none"/>
                    </w:rPr>
                    <w:t>要求</w:t>
                  </w:r>
                </w:p>
              </w:tc>
              <w:tc>
                <w:tcPr>
                  <w:tcW w:w="6558" w:type="dxa"/>
                  <w:shd w:val="clear" w:color="auto" w:fill="auto"/>
                  <w:vAlign w:val="center"/>
                </w:tcPr>
                <w:p w14:paraId="7C007DB7">
                  <w:pPr>
                    <w:keepNext w:val="0"/>
                    <w:keepLines w:val="0"/>
                    <w:suppressLineNumbers w:val="0"/>
                    <w:autoSpaceDE w:val="0"/>
                    <w:autoSpaceDN w:val="0"/>
                    <w:spacing w:before="0" w:beforeAutospacing="0" w:after="0" w:afterAutospacing="0" w:line="276" w:lineRule="auto"/>
                    <w:ind w:left="0" w:right="0"/>
                    <w:jc w:val="center"/>
                    <w:rPr>
                      <w:rFonts w:hint="eastAsia"/>
                      <w:color w:val="auto"/>
                      <w:highlight w:val="none"/>
                    </w:rPr>
                  </w:pPr>
                  <w:r>
                    <w:rPr>
                      <w:rFonts w:hint="eastAsia"/>
                      <w:color w:val="auto"/>
                      <w:highlight w:val="none"/>
                      <w:lang w:val="en-US" w:eastAsia="zh-CN"/>
                    </w:rPr>
                    <w:t>71.</w:t>
                  </w:r>
                  <w:r>
                    <w:rPr>
                      <w:rFonts w:hint="eastAsia"/>
                      <w:color w:val="auto"/>
                      <w:highlight w:val="none"/>
                    </w:rPr>
                    <w:t>控制煤炭消费总量，加快实施重点用能单位节能低碳行动和重点产业能效提升计划，严格执行高耗能行业产品能耗限额标准体系。推进煤电企业通过资产整合、股权投资等方式深度融合，提高煤炭就地转化率，提高煤电联营规模，推动电力、煤炭产业一体化协调发展。推进传统电力能源和电力新能源协调发展，建设智慧电厂，全面推行热电联产、冷热电联供模式，利用国际领先水平的清洁高效煤电成套设备，升级改造现役电厂发电设备和配套设施，全面提升电网智能化水平，提升电网接入和消纳能力。优化电力新能源项目布局，支持光伏发电、风电项目建设。严格实施行业内新建项目重点污染物排放等量或减量置换，煤炭、水泥等产能过剩行业实施重点污染物排放等量</w:t>
                  </w:r>
                </w:p>
                <w:p w14:paraId="4BAC751C">
                  <w:pPr>
                    <w:keepNext w:val="0"/>
                    <w:keepLines w:val="0"/>
                    <w:suppressLineNumbers w:val="0"/>
                    <w:autoSpaceDE w:val="0"/>
                    <w:autoSpaceDN w:val="0"/>
                    <w:spacing w:before="0" w:beforeAutospacing="0" w:after="0" w:afterAutospacing="0" w:line="276" w:lineRule="auto"/>
                    <w:ind w:left="0" w:right="0"/>
                    <w:jc w:val="center"/>
                    <w:rPr>
                      <w:rFonts w:hint="eastAsia"/>
                      <w:color w:val="auto"/>
                      <w:highlight w:val="none"/>
                    </w:rPr>
                  </w:pPr>
                  <w:r>
                    <w:rPr>
                      <w:rFonts w:hint="eastAsia"/>
                      <w:color w:val="auto"/>
                      <w:highlight w:val="none"/>
                    </w:rPr>
                    <w:t>或减量置换。严格控制煤炭消费总量，落实煤炭消费减量替代与污染减排“双挂钩”制度，提高非化石能源消费比重，降低煤炭在能源总消费中比例。优化配置生产要素，发挥清洁能源市场规模优势和已有的能源产业基础优势，促进传统能源要素和新兴清洁能源要素的有机融合。</w:t>
                  </w:r>
                </w:p>
                <w:p w14:paraId="47E24880">
                  <w:pPr>
                    <w:keepNext w:val="0"/>
                    <w:keepLines w:val="0"/>
                    <w:suppressLineNumbers w:val="0"/>
                    <w:autoSpaceDE w:val="0"/>
                    <w:autoSpaceDN w:val="0"/>
                    <w:spacing w:before="0" w:beforeAutospacing="0" w:after="0" w:afterAutospacing="0" w:line="276" w:lineRule="auto"/>
                    <w:ind w:left="0" w:right="0"/>
                    <w:jc w:val="center"/>
                    <w:rPr>
                      <w:rFonts w:hint="eastAsia"/>
                      <w:color w:val="auto"/>
                      <w:highlight w:val="none"/>
                    </w:rPr>
                  </w:pPr>
                  <w:r>
                    <w:rPr>
                      <w:rFonts w:hint="eastAsia"/>
                      <w:color w:val="auto"/>
                      <w:highlight w:val="none"/>
                    </w:rPr>
                    <w:t>73</w:t>
                  </w:r>
                  <w:r>
                    <w:rPr>
                      <w:rFonts w:hint="eastAsia"/>
                      <w:color w:val="auto"/>
                      <w:highlight w:val="none"/>
                      <w:lang w:val="en-US" w:eastAsia="zh-CN"/>
                    </w:rPr>
                    <w:t>.</w:t>
                  </w:r>
                  <w:r>
                    <w:rPr>
                      <w:rFonts w:hint="eastAsia"/>
                      <w:color w:val="auto"/>
                      <w:highlight w:val="none"/>
                    </w:rPr>
                    <w:t>禁燃区内禁止燃用《高污染燃料目录》中的Ⅱ类燃料组合，即在禁燃区内，禁止使用除单台出力大于等于20蒸吨/小时的锅炉以外燃用的煤炭及其制品，及石油焦、油页岩、原油、重油、渣油、煤焦油。</w:t>
                  </w:r>
                </w:p>
                <w:p w14:paraId="4C4D0B45">
                  <w:pPr>
                    <w:keepNext w:val="0"/>
                    <w:keepLines w:val="0"/>
                    <w:suppressLineNumbers w:val="0"/>
                    <w:autoSpaceDE w:val="0"/>
                    <w:autoSpaceDN w:val="0"/>
                    <w:spacing w:before="0" w:beforeAutospacing="0" w:after="0" w:afterAutospacing="0" w:line="276" w:lineRule="auto"/>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rPr>
                    <w:t>74</w:t>
                  </w:r>
                  <w:r>
                    <w:rPr>
                      <w:rFonts w:hint="eastAsia"/>
                      <w:color w:val="auto"/>
                      <w:highlight w:val="none"/>
                      <w:lang w:val="en-US" w:eastAsia="zh-CN"/>
                    </w:rPr>
                    <w:t>.</w:t>
                  </w:r>
                  <w:r>
                    <w:rPr>
                      <w:rFonts w:hint="eastAsia"/>
                      <w:color w:val="auto"/>
                      <w:highlight w:val="none"/>
                    </w:rPr>
                    <w:t>禁燃区内禁止销售、燃用高污染燃料，不得新建、扩建燃用高污染燃料的锅炉、窑炉、炉灶等燃烧设施（集中供热、火电厂锅炉除外）</w:t>
                  </w:r>
                  <w:r>
                    <w:rPr>
                      <w:rFonts w:hint="eastAsia"/>
                      <w:color w:val="auto"/>
                      <w:highlight w:val="none"/>
                      <w:lang w:eastAsia="zh-CN"/>
                    </w:rPr>
                    <w:t>。</w:t>
                  </w:r>
                </w:p>
              </w:tc>
              <w:tc>
                <w:tcPr>
                  <w:tcW w:w="3682" w:type="dxa"/>
                  <w:shd w:val="clear" w:color="auto" w:fill="auto"/>
                  <w:vAlign w:val="center"/>
                </w:tcPr>
                <w:p w14:paraId="6A741936">
                  <w:pPr>
                    <w:keepNext w:val="0"/>
                    <w:keepLines w:val="0"/>
                    <w:suppressLineNumbers w:val="0"/>
                    <w:autoSpaceDE w:val="0"/>
                    <w:autoSpaceDN w:val="0"/>
                    <w:spacing w:before="0" w:beforeAutospacing="0" w:after="0" w:afterAutospacing="0" w:line="276" w:lineRule="auto"/>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hAnsi="宋体"/>
                      <w:color w:val="auto"/>
                      <w:szCs w:val="21"/>
                      <w:highlight w:val="none"/>
                    </w:rPr>
                    <w:t>本项目</w:t>
                  </w:r>
                  <w:r>
                    <w:rPr>
                      <w:rFonts w:hint="eastAsia" w:hAnsi="宋体"/>
                      <w:color w:val="auto"/>
                      <w:szCs w:val="21"/>
                      <w:highlight w:val="none"/>
                      <w:lang w:val="en-US" w:eastAsia="zh-CN"/>
                    </w:rPr>
                    <w:t>生产主要涉及电能消耗，不涉及使用煤炭等高污染燃料</w:t>
                  </w:r>
                  <w:r>
                    <w:rPr>
                      <w:rFonts w:hint="default" w:hAnsi="宋体"/>
                      <w:color w:val="auto"/>
                      <w:szCs w:val="21"/>
                      <w:highlight w:val="none"/>
                    </w:rPr>
                    <w:t>。</w:t>
                  </w:r>
                </w:p>
              </w:tc>
              <w:tc>
                <w:tcPr>
                  <w:tcW w:w="909" w:type="dxa"/>
                  <w:shd w:val="clear" w:color="auto" w:fill="auto"/>
                  <w:vAlign w:val="center"/>
                </w:tcPr>
                <w:p w14:paraId="2E25E72A">
                  <w:pPr>
                    <w:keepNext w:val="0"/>
                    <w:keepLines w:val="0"/>
                    <w:suppressLineNumbers w:val="0"/>
                    <w:autoSpaceDE w:val="0"/>
                    <w:autoSpaceDN w:val="0"/>
                    <w:spacing w:before="0" w:beforeAutospacing="0" w:after="0" w:afterAutospacing="0" w:line="276" w:lineRule="auto"/>
                    <w:ind w:left="0" w:right="0"/>
                    <w:jc w:val="center"/>
                    <w:rPr>
                      <w:rFonts w:hint="default" w:ascii="Times New Roman" w:hAnsi="Times New Roman" w:cs="Times New Roman" w:eastAsiaTheme="majorEastAsia"/>
                      <w:color w:val="auto"/>
                      <w:kern w:val="2"/>
                      <w:sz w:val="21"/>
                      <w:szCs w:val="21"/>
                      <w:highlight w:val="none"/>
                      <w:lang w:val="en-US" w:eastAsia="zh-CN" w:bidi="ar-SA"/>
                    </w:rPr>
                  </w:pPr>
                  <w:r>
                    <w:rPr>
                      <w:rFonts w:hint="default" w:eastAsiaTheme="majorEastAsia"/>
                      <w:color w:val="auto"/>
                      <w:szCs w:val="21"/>
                      <w:highlight w:val="none"/>
                    </w:rPr>
                    <w:t>符合</w:t>
                  </w:r>
                </w:p>
              </w:tc>
            </w:tr>
          </w:tbl>
          <w:p w14:paraId="57275844">
            <w:pPr>
              <w:widowControl/>
              <w:spacing w:line="360" w:lineRule="auto"/>
              <w:jc w:val="both"/>
              <w:outlineLvl w:val="0"/>
              <w:rPr>
                <w:rFonts w:hint="default" w:hAnsi="黑体" w:eastAsia="黑体" w:cs="Times New Roman"/>
                <w:color w:val="auto"/>
                <w:sz w:val="24"/>
                <w:szCs w:val="24"/>
                <w:highlight w:val="none"/>
              </w:rPr>
            </w:pPr>
          </w:p>
          <w:p w14:paraId="7FE5EE06">
            <w:pPr>
              <w:widowControl/>
              <w:spacing w:line="360" w:lineRule="auto"/>
              <w:jc w:val="both"/>
              <w:outlineLvl w:val="0"/>
              <w:rPr>
                <w:rFonts w:hint="default" w:hAnsi="黑体" w:eastAsia="黑体" w:cs="Times New Roman"/>
                <w:color w:val="auto"/>
                <w:sz w:val="24"/>
                <w:szCs w:val="24"/>
                <w:highlight w:val="none"/>
              </w:rPr>
            </w:pPr>
          </w:p>
          <w:p w14:paraId="194E0916">
            <w:pPr>
              <w:widowControl/>
              <w:spacing w:line="360" w:lineRule="auto"/>
              <w:jc w:val="both"/>
              <w:outlineLvl w:val="0"/>
              <w:rPr>
                <w:rFonts w:hint="default" w:hAnsi="黑体" w:eastAsia="黑体" w:cs="Times New Roman"/>
                <w:color w:val="auto"/>
                <w:sz w:val="24"/>
                <w:szCs w:val="24"/>
                <w:highlight w:val="none"/>
              </w:rPr>
            </w:pPr>
          </w:p>
          <w:p w14:paraId="1F29F7F7">
            <w:pPr>
              <w:widowControl/>
              <w:spacing w:line="360" w:lineRule="auto"/>
              <w:jc w:val="both"/>
              <w:outlineLvl w:val="0"/>
              <w:rPr>
                <w:rFonts w:hint="default" w:hAnsi="黑体" w:eastAsia="黑体" w:cs="Times New Roman"/>
                <w:color w:val="auto"/>
                <w:sz w:val="24"/>
                <w:szCs w:val="24"/>
                <w:highlight w:val="none"/>
              </w:rPr>
            </w:pPr>
          </w:p>
          <w:p w14:paraId="657C284A">
            <w:pPr>
              <w:widowControl/>
              <w:spacing w:line="360" w:lineRule="auto"/>
              <w:jc w:val="both"/>
              <w:outlineLvl w:val="0"/>
              <w:rPr>
                <w:rFonts w:hint="default" w:hAnsi="黑体" w:eastAsia="黑体" w:cs="Times New Roman"/>
                <w:color w:val="auto"/>
                <w:sz w:val="24"/>
                <w:szCs w:val="24"/>
                <w:highlight w:val="none"/>
              </w:rPr>
            </w:pPr>
          </w:p>
          <w:p w14:paraId="13AC72BF">
            <w:pPr>
              <w:widowControl/>
              <w:spacing w:line="360" w:lineRule="auto"/>
              <w:jc w:val="both"/>
              <w:outlineLvl w:val="0"/>
              <w:rPr>
                <w:rFonts w:hint="default" w:hAnsi="黑体" w:eastAsia="黑体" w:cs="Times New Roman"/>
                <w:color w:val="auto"/>
                <w:sz w:val="24"/>
                <w:szCs w:val="24"/>
                <w:highlight w:val="none"/>
              </w:rPr>
            </w:pPr>
          </w:p>
          <w:p w14:paraId="7D867892">
            <w:pPr>
              <w:widowControl/>
              <w:spacing w:line="360" w:lineRule="auto"/>
              <w:jc w:val="both"/>
              <w:outlineLvl w:val="0"/>
              <w:rPr>
                <w:rFonts w:hint="default" w:hAnsi="黑体" w:eastAsia="黑体" w:cs="Times New Roman"/>
                <w:color w:val="auto"/>
                <w:sz w:val="24"/>
                <w:szCs w:val="24"/>
                <w:highlight w:val="none"/>
              </w:rPr>
            </w:pPr>
          </w:p>
          <w:p w14:paraId="4758A6D7">
            <w:pPr>
              <w:widowControl/>
              <w:jc w:val="both"/>
              <w:outlineLvl w:val="0"/>
              <w:rPr>
                <w:rFonts w:hint="default" w:hAnsi="黑体" w:eastAsia="黑体" w:cs="Times New Roman"/>
                <w:color w:val="auto"/>
                <w:highlight w:val="none"/>
              </w:rPr>
            </w:pPr>
          </w:p>
          <w:p w14:paraId="2922F14D">
            <w:pPr>
              <w:pStyle w:val="52"/>
              <w:rPr>
                <w:rFonts w:hint="default" w:hAnsi="黑体" w:eastAsia="黑体" w:cs="Times New Roman"/>
                <w:color w:val="auto"/>
                <w:highlight w:val="none"/>
              </w:rPr>
            </w:pPr>
          </w:p>
          <w:p w14:paraId="7C53A9C5">
            <w:pPr>
              <w:pStyle w:val="52"/>
              <w:rPr>
                <w:rFonts w:hint="default" w:hAnsi="黑体" w:eastAsia="黑体" w:cs="Times New Roman"/>
                <w:color w:val="auto"/>
                <w:highlight w:val="none"/>
              </w:rPr>
            </w:pPr>
          </w:p>
          <w:p w14:paraId="7CB6B16E">
            <w:pPr>
              <w:pStyle w:val="52"/>
              <w:rPr>
                <w:rFonts w:hint="default" w:hAnsi="黑体" w:eastAsia="黑体" w:cs="Times New Roman"/>
                <w:color w:val="auto"/>
                <w:highlight w:val="none"/>
              </w:rPr>
            </w:pPr>
          </w:p>
          <w:p w14:paraId="63DAA739">
            <w:pPr>
              <w:pStyle w:val="52"/>
              <w:rPr>
                <w:rFonts w:hint="default" w:hAnsi="黑体" w:eastAsia="黑体" w:cs="Times New Roman"/>
                <w:color w:val="auto"/>
                <w:highlight w:val="none"/>
              </w:rPr>
            </w:pPr>
          </w:p>
          <w:p w14:paraId="59C47A42">
            <w:pPr>
              <w:pStyle w:val="52"/>
              <w:rPr>
                <w:rFonts w:hint="default" w:hAnsi="黑体" w:eastAsia="黑体" w:cs="Times New Roman"/>
                <w:color w:val="auto"/>
                <w:highlight w:val="none"/>
              </w:rPr>
            </w:pPr>
          </w:p>
          <w:p w14:paraId="5B3F1BDF">
            <w:pPr>
              <w:pStyle w:val="52"/>
              <w:rPr>
                <w:rFonts w:hint="default" w:hAnsi="黑体" w:eastAsia="黑体" w:cs="Times New Roman"/>
                <w:color w:val="auto"/>
                <w:highlight w:val="none"/>
              </w:rPr>
            </w:pPr>
          </w:p>
        </w:tc>
      </w:tr>
    </w:tbl>
    <w:p w14:paraId="28D642A1">
      <w:pPr>
        <w:widowControl/>
        <w:jc w:val="both"/>
        <w:outlineLvl w:val="0"/>
        <w:rPr>
          <w:rFonts w:ascii="宋体" w:hAnsi="宋体"/>
          <w:b w:val="0"/>
          <w:bCs w:val="0"/>
          <w:color w:val="auto"/>
          <w:kern w:val="0"/>
          <w:sz w:val="24"/>
          <w:szCs w:val="24"/>
          <w:highlight w:val="none"/>
        </w:rPr>
        <w:sectPr>
          <w:pgSz w:w="16838" w:h="11906" w:orient="landscape"/>
          <w:pgMar w:top="1797" w:right="1440" w:bottom="1508" w:left="1440" w:header="851" w:footer="992" w:gutter="0"/>
          <w:pgBorders>
            <w:top w:val="none" w:sz="0" w:space="0"/>
            <w:left w:val="none" w:sz="0" w:space="0"/>
            <w:bottom w:val="none" w:sz="0" w:space="0"/>
            <w:right w:val="none" w:sz="0" w:space="0"/>
          </w:pgBorders>
          <w:cols w:space="720" w:num="1"/>
          <w:docGrid w:type="lines" w:linePitch="312" w:charSpace="0"/>
        </w:sectPr>
      </w:pPr>
    </w:p>
    <w:p w14:paraId="082C93C6">
      <w:pPr>
        <w:widowControl/>
        <w:jc w:val="center"/>
        <w:outlineLvl w:val="0"/>
        <w:rPr>
          <w:rFonts w:ascii="宋体" w:hAnsi="宋体"/>
          <w:b/>
          <w:bCs/>
          <w:color w:val="auto"/>
          <w:kern w:val="0"/>
          <w:sz w:val="30"/>
          <w:szCs w:val="30"/>
          <w:highlight w:val="none"/>
        </w:rPr>
      </w:pPr>
      <w:bookmarkStart w:id="7" w:name="_Toc140650605"/>
      <w:bookmarkStart w:id="8" w:name="_Toc140651372"/>
      <w:r>
        <w:rPr>
          <w:rFonts w:ascii="宋体" w:hAnsi="宋体"/>
          <w:b/>
          <w:bCs/>
          <w:color w:val="auto"/>
          <w:kern w:val="0"/>
          <w:sz w:val="30"/>
          <w:szCs w:val="30"/>
          <w:highlight w:val="none"/>
        </w:rPr>
        <w:t>二</w:t>
      </w:r>
      <w:r>
        <w:rPr>
          <w:rFonts w:hint="eastAsia" w:ascii="宋体" w:hAnsi="宋体"/>
          <w:b/>
          <w:bCs/>
          <w:color w:val="auto"/>
          <w:kern w:val="0"/>
          <w:sz w:val="30"/>
          <w:szCs w:val="30"/>
          <w:highlight w:val="none"/>
        </w:rPr>
        <w:t>、</w:t>
      </w:r>
      <w:bookmarkEnd w:id="6"/>
      <w:r>
        <w:rPr>
          <w:rFonts w:ascii="宋体" w:hAnsi="宋体"/>
          <w:b/>
          <w:bCs/>
          <w:color w:val="auto"/>
          <w:kern w:val="0"/>
          <w:sz w:val="30"/>
          <w:szCs w:val="30"/>
          <w:highlight w:val="none"/>
        </w:rPr>
        <w:t>建设项目工程分析</w:t>
      </w:r>
      <w:bookmarkEnd w:id="7"/>
      <w:bookmarkEnd w:id="8"/>
    </w:p>
    <w:tbl>
      <w:tblPr>
        <w:tblStyle w:val="36"/>
        <w:tblW w:w="8817"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37"/>
        <w:gridCol w:w="8280"/>
      </w:tblGrid>
      <w:tr w14:paraId="5C828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088" w:hRule="atLeast"/>
        </w:trPr>
        <w:tc>
          <w:tcPr>
            <w:tcW w:w="537" w:type="dxa"/>
            <w:vAlign w:val="center"/>
          </w:tcPr>
          <w:p w14:paraId="14BF83C4">
            <w:pPr>
              <w:widowControl/>
              <w:spacing w:line="360" w:lineRule="auto"/>
              <w:jc w:val="center"/>
              <w:rPr>
                <w:rFonts w:hAnsi="宋体"/>
                <w:color w:val="auto"/>
                <w:kern w:val="0"/>
                <w:sz w:val="24"/>
                <w:highlight w:val="none"/>
              </w:rPr>
            </w:pPr>
            <w:r>
              <w:rPr>
                <w:rFonts w:hAnsi="宋体"/>
                <w:color w:val="auto"/>
                <w:kern w:val="0"/>
                <w:sz w:val="24"/>
                <w:highlight w:val="none"/>
              </w:rPr>
              <w:t>建设</w:t>
            </w:r>
          </w:p>
          <w:p w14:paraId="4F8990E8">
            <w:pPr>
              <w:widowControl/>
              <w:spacing w:line="360" w:lineRule="auto"/>
              <w:jc w:val="center"/>
              <w:rPr>
                <w:b/>
                <w:bCs/>
                <w:color w:val="auto"/>
                <w:kern w:val="0"/>
                <w:sz w:val="24"/>
                <w:szCs w:val="28"/>
                <w:highlight w:val="none"/>
              </w:rPr>
            </w:pPr>
            <w:r>
              <w:rPr>
                <w:rFonts w:hAnsi="宋体"/>
                <w:color w:val="auto"/>
                <w:kern w:val="0"/>
                <w:sz w:val="24"/>
                <w:highlight w:val="none"/>
              </w:rPr>
              <w:t>内容</w:t>
            </w:r>
          </w:p>
        </w:tc>
        <w:tc>
          <w:tcPr>
            <w:tcW w:w="8280" w:type="dxa"/>
          </w:tcPr>
          <w:p w14:paraId="71107780">
            <w:pPr>
              <w:spacing w:line="360" w:lineRule="auto"/>
              <w:ind w:firstLine="482" w:firstLineChars="200"/>
              <w:rPr>
                <w:b/>
                <w:color w:val="auto"/>
                <w:sz w:val="24"/>
                <w:highlight w:val="none"/>
              </w:rPr>
            </w:pPr>
            <w:r>
              <w:rPr>
                <w:rFonts w:hint="eastAsia"/>
                <w:b/>
                <w:color w:val="auto"/>
                <w:sz w:val="24"/>
                <w:highlight w:val="none"/>
              </w:rPr>
              <w:t>1、项目背景</w:t>
            </w:r>
          </w:p>
          <w:p w14:paraId="1ADD3D8A">
            <w:pPr>
              <w:pStyle w:val="52"/>
              <w:adjustRightInd/>
              <w:spacing w:line="360" w:lineRule="auto"/>
              <w:ind w:firstLine="480" w:firstLineChars="200"/>
              <w:rPr>
                <w:rFonts w:hint="default"/>
                <w:color w:val="auto"/>
                <w:highlight w:val="none"/>
                <w:lang w:val="en-US" w:eastAsia="zh-CN"/>
              </w:rPr>
            </w:pPr>
            <w:r>
              <w:rPr>
                <w:rFonts w:hint="eastAsia"/>
                <w:color w:val="auto"/>
                <w:highlight w:val="none"/>
              </w:rPr>
              <w:t>安徽永银科技发展有限公司</w:t>
            </w:r>
            <w:r>
              <w:rPr>
                <w:rFonts w:hint="eastAsia"/>
                <w:color w:val="auto"/>
                <w:highlight w:val="none"/>
                <w:lang w:val="en-US" w:eastAsia="zh-CN"/>
              </w:rPr>
              <w:t>成立于2023年4月10日，</w:t>
            </w:r>
            <w:r>
              <w:rPr>
                <w:rFonts w:hint="eastAsia"/>
                <w:color w:val="auto"/>
                <w:highlight w:val="none"/>
              </w:rPr>
              <w:t>主要从事装卸搬运和仓储业中危险化学品仓储，公司位于</w:t>
            </w:r>
            <w:r>
              <w:rPr>
                <w:rFonts w:hint="eastAsia"/>
                <w:color w:val="auto"/>
                <w:highlight w:val="none"/>
                <w:lang w:eastAsia="zh-CN"/>
              </w:rPr>
              <w:t>安徽省淮南市淮南经济技术开发区长宁路80号</w:t>
            </w:r>
            <w:r>
              <w:rPr>
                <w:rFonts w:hint="eastAsia"/>
                <w:color w:val="auto"/>
                <w:highlight w:val="none"/>
              </w:rPr>
              <w:t>，2024年2月2日，永银科技取得了厂区地块的《不动产权证》皖（2024）淮南市不动产权第0001087号，宗地面积为15333.3m</w:t>
            </w:r>
            <w:r>
              <w:rPr>
                <w:rFonts w:hint="eastAsia"/>
                <w:color w:val="auto"/>
                <w:highlight w:val="none"/>
                <w:vertAlign w:val="superscript"/>
              </w:rPr>
              <w:t>2</w:t>
            </w:r>
            <w:r>
              <w:rPr>
                <w:rFonts w:hint="eastAsia"/>
                <w:color w:val="auto"/>
                <w:highlight w:val="none"/>
              </w:rPr>
              <w:t>，该土地权利人为安徽永银科技发展有限公司。</w:t>
            </w:r>
            <w:r>
              <w:rPr>
                <w:rFonts w:hint="eastAsia"/>
                <w:color w:val="auto"/>
                <w:highlight w:val="none"/>
                <w:lang w:val="en-US" w:eastAsia="zh-CN"/>
              </w:rPr>
              <w:t>厂区现有工程“年产40万瓶乙烯存储充装科技项目”，于2024年11月完成自主性竣工环境保护验收并正常投运。</w:t>
            </w:r>
          </w:p>
          <w:p w14:paraId="1B33FA7A">
            <w:pPr>
              <w:pStyle w:val="52"/>
              <w:adjustRightInd/>
              <w:spacing w:line="360" w:lineRule="auto"/>
              <w:ind w:firstLine="480" w:firstLineChars="200"/>
              <w:rPr>
                <w:rFonts w:hint="default"/>
                <w:color w:val="auto"/>
                <w:highlight w:val="none"/>
                <w:lang w:val="en-US"/>
              </w:rPr>
            </w:pPr>
            <w:r>
              <w:rPr>
                <w:rFonts w:hint="eastAsia"/>
                <w:color w:val="auto"/>
                <w:highlight w:val="none"/>
                <w:lang w:val="en-US" w:eastAsia="zh-CN"/>
              </w:rPr>
              <w:t>因市场经济因素，建设单位拟</w:t>
            </w:r>
            <w:r>
              <w:rPr>
                <w:rFonts w:hint="eastAsia"/>
                <w:color w:val="auto"/>
                <w:highlight w:val="none"/>
              </w:rPr>
              <w:t>永久停用</w:t>
            </w:r>
            <w:r>
              <w:rPr>
                <w:rFonts w:hint="eastAsia"/>
                <w:color w:val="auto"/>
                <w:highlight w:val="none"/>
                <w:lang w:val="en-US" w:eastAsia="zh-CN"/>
              </w:rPr>
              <w:t>厂区现有1台</w:t>
            </w:r>
            <w:r>
              <w:rPr>
                <w:rFonts w:hint="eastAsia"/>
                <w:color w:val="auto"/>
                <w:highlight w:val="none"/>
              </w:rPr>
              <w:t>30m</w:t>
            </w:r>
            <w:r>
              <w:rPr>
                <w:rFonts w:hint="eastAsia"/>
                <w:color w:val="auto"/>
                <w:highlight w:val="none"/>
                <w:vertAlign w:val="superscript"/>
                <w:lang w:val="en-US" w:eastAsia="zh-CN"/>
              </w:rPr>
              <w:t>3</w:t>
            </w:r>
            <w:r>
              <w:rPr>
                <w:rFonts w:hint="eastAsia"/>
                <w:color w:val="auto"/>
                <w:highlight w:val="none"/>
              </w:rPr>
              <w:t>的</w:t>
            </w:r>
            <w:r>
              <w:rPr>
                <w:rFonts w:hint="eastAsia"/>
                <w:color w:val="auto"/>
                <w:highlight w:val="none"/>
                <w:lang w:val="en-US" w:eastAsia="zh-CN"/>
              </w:rPr>
              <w:t>低温</w:t>
            </w:r>
            <w:r>
              <w:rPr>
                <w:rFonts w:hint="eastAsia"/>
                <w:color w:val="auto"/>
                <w:highlight w:val="none"/>
              </w:rPr>
              <w:t>乙烯储罐</w:t>
            </w:r>
            <w:r>
              <w:rPr>
                <w:rFonts w:hint="eastAsia"/>
                <w:color w:val="auto"/>
                <w:highlight w:val="none"/>
                <w:lang w:val="en-US" w:eastAsia="zh-CN"/>
              </w:rPr>
              <w:t>及配套的1台出料泵及汽化器。为顺应市场需求及企业发展需要，建设单位拟投资520万元利用现有厂区建设</w:t>
            </w:r>
            <w:r>
              <w:rPr>
                <w:rFonts w:hint="eastAsia"/>
                <w:color w:val="auto"/>
                <w:highlight w:val="none"/>
                <w:lang w:eastAsia="zh-CN"/>
              </w:rPr>
              <w:t>丙烷、丁烷充装科技改造项目，</w:t>
            </w:r>
            <w:r>
              <w:rPr>
                <w:rFonts w:hint="eastAsia"/>
                <w:color w:val="auto"/>
                <w:highlight w:val="none"/>
                <w:lang w:val="en-US" w:eastAsia="zh-CN"/>
              </w:rPr>
              <w:t>主要工程内容为：</w:t>
            </w:r>
            <w:r>
              <w:rPr>
                <w:rFonts w:hint="eastAsia"/>
                <w:color w:val="auto"/>
                <w:highlight w:val="none"/>
                <w:lang w:eastAsia="zh-CN"/>
              </w:rPr>
              <w:t>在保留原乙烯罐区1台30m</w:t>
            </w:r>
            <w:r>
              <w:rPr>
                <w:rFonts w:hint="eastAsia"/>
                <w:color w:val="auto"/>
                <w:highlight w:val="none"/>
                <w:vertAlign w:val="superscript"/>
                <w:lang w:val="en-US" w:eastAsia="zh-CN"/>
              </w:rPr>
              <w:t>3</w:t>
            </w:r>
            <w:r>
              <w:rPr>
                <w:rFonts w:hint="eastAsia"/>
                <w:color w:val="auto"/>
                <w:highlight w:val="none"/>
                <w:lang w:eastAsia="zh-CN"/>
              </w:rPr>
              <w:t>立式储罐基础上，新增3台立式储罐，配套建设库棚</w:t>
            </w:r>
            <w:r>
              <w:rPr>
                <w:rFonts w:hint="eastAsia"/>
                <w:color w:val="auto"/>
                <w:highlight w:val="none"/>
                <w:lang w:val="en-US" w:eastAsia="zh-CN"/>
              </w:rPr>
              <w:t>及储罐基础、防火堤、输送管线、阀门、鹤管、压缩机、泵、液位压力远传监控安全系统等设备设施；将充装间的1条乙烯充装线（包含2组充装排）改造为丙烷、丁烷充装线，配套完善管线、阀门、仪表及安全设施等。项目建成后，新增丙烷充装规模1000吨/年、丁烷充装规模800吨/年，形成全厂年充装乙烯2000t、丙烷1000t、丁烷800t的规模。</w:t>
            </w:r>
          </w:p>
          <w:p w14:paraId="20DD829D">
            <w:pPr>
              <w:pStyle w:val="8"/>
              <w:spacing w:line="360" w:lineRule="auto"/>
              <w:ind w:firstLine="480" w:firstLineChars="200"/>
              <w:rPr>
                <w:color w:val="auto"/>
                <w:sz w:val="24"/>
                <w:highlight w:val="none"/>
              </w:rPr>
            </w:pPr>
            <w:r>
              <w:rPr>
                <w:rFonts w:hint="eastAsia" w:hAnsi="宋体"/>
                <w:color w:val="auto"/>
                <w:sz w:val="24"/>
                <w:highlight w:val="none"/>
              </w:rPr>
              <w:t>根据《中华人民共和国</w:t>
            </w:r>
            <w:r>
              <w:rPr>
                <w:rFonts w:hint="eastAsia" w:hAnsi="宋体"/>
                <w:color w:val="auto"/>
                <w:sz w:val="24"/>
                <w:highlight w:val="none"/>
                <w:lang w:val="en-US" w:eastAsia="zh-CN"/>
              </w:rPr>
              <w:t>生态环境</w:t>
            </w:r>
            <w:r>
              <w:rPr>
                <w:rFonts w:hint="eastAsia" w:hAnsi="宋体"/>
                <w:color w:val="auto"/>
                <w:sz w:val="24"/>
                <w:highlight w:val="none"/>
              </w:rPr>
              <w:t>法</w:t>
            </w:r>
            <w:r>
              <w:rPr>
                <w:rFonts w:hint="eastAsia" w:hAnsi="宋体"/>
                <w:color w:val="auto"/>
                <w:sz w:val="24"/>
                <w:highlight w:val="none"/>
                <w:lang w:val="en-US" w:eastAsia="zh-CN"/>
              </w:rPr>
              <w:t>典</w:t>
            </w:r>
            <w:r>
              <w:rPr>
                <w:rFonts w:hint="eastAsia" w:hAnsi="宋体"/>
                <w:color w:val="auto"/>
                <w:sz w:val="24"/>
                <w:highlight w:val="none"/>
              </w:rPr>
              <w:t>》（</w:t>
            </w:r>
            <w:r>
              <w:rPr>
                <w:rFonts w:hint="eastAsia" w:hAnsi="宋体"/>
                <w:color w:val="auto"/>
                <w:sz w:val="24"/>
                <w:highlight w:val="none"/>
                <w:lang w:val="en-US" w:eastAsia="zh-CN"/>
              </w:rPr>
              <w:t>2026年8月15日起施行</w:t>
            </w:r>
            <w:r>
              <w:rPr>
                <w:rFonts w:hint="eastAsia" w:hAnsi="宋体"/>
                <w:color w:val="auto"/>
                <w:sz w:val="24"/>
                <w:highlight w:val="none"/>
              </w:rPr>
              <w:t>）</w:t>
            </w:r>
            <w:r>
              <w:rPr>
                <w:rFonts w:hint="eastAsia" w:hAnsi="宋体"/>
                <w:color w:val="auto"/>
                <w:sz w:val="24"/>
                <w:szCs w:val="24"/>
                <w:highlight w:val="none"/>
              </w:rPr>
              <w:t>中有关规定，同时根据《建设项目环境影响评价分</w:t>
            </w:r>
            <w:r>
              <w:rPr>
                <w:color w:val="auto"/>
                <w:sz w:val="24"/>
                <w:szCs w:val="24"/>
                <w:highlight w:val="none"/>
              </w:rPr>
              <w:t>类管理名录》（2021年版），</w:t>
            </w:r>
            <w:r>
              <w:rPr>
                <w:rFonts w:hAnsi="宋体"/>
                <w:color w:val="auto"/>
                <w:sz w:val="24"/>
                <w:szCs w:val="24"/>
                <w:highlight w:val="none"/>
              </w:rPr>
              <w:t>本项目</w:t>
            </w:r>
            <w:r>
              <w:rPr>
                <w:rFonts w:hint="eastAsia" w:hAnsi="宋体"/>
                <w:color w:val="auto"/>
                <w:sz w:val="24"/>
                <w:szCs w:val="24"/>
                <w:highlight w:val="none"/>
                <w:lang w:val="en-US" w:eastAsia="zh-CN"/>
              </w:rPr>
              <w:t>新增危险化学品丙烷、丁烷仓储，</w:t>
            </w:r>
            <w:r>
              <w:rPr>
                <w:rFonts w:hAnsi="宋体"/>
                <w:color w:val="auto"/>
                <w:sz w:val="24"/>
                <w:szCs w:val="24"/>
                <w:highlight w:val="none"/>
              </w:rPr>
              <w:t>属于</w:t>
            </w:r>
            <w:r>
              <w:rPr>
                <w:rFonts w:ascii="宋体" w:hAnsi="宋体"/>
                <w:color w:val="auto"/>
                <w:sz w:val="24"/>
                <w:szCs w:val="24"/>
                <w:highlight w:val="none"/>
              </w:rPr>
              <w:t>“五十三、装卸搬运和仓储业</w:t>
            </w:r>
            <w:r>
              <w:rPr>
                <w:color w:val="auto"/>
                <w:sz w:val="24"/>
                <w:szCs w:val="24"/>
                <w:highlight w:val="none"/>
              </w:rPr>
              <w:t>59</w:t>
            </w:r>
            <w:r>
              <w:rPr>
                <w:rFonts w:ascii="宋体" w:hAnsi="宋体"/>
                <w:color w:val="auto"/>
                <w:sz w:val="24"/>
                <w:szCs w:val="24"/>
                <w:highlight w:val="none"/>
              </w:rPr>
              <w:t>”的“</w:t>
            </w:r>
            <w:r>
              <w:rPr>
                <w:rFonts w:hint="eastAsia"/>
                <w:color w:val="auto"/>
                <w:sz w:val="24"/>
                <w:szCs w:val="24"/>
                <w:highlight w:val="none"/>
              </w:rPr>
              <w:t>149危险品仓储594（不含加油站的油库；不含加气站的气库）</w:t>
            </w:r>
            <w:r>
              <w:rPr>
                <w:rFonts w:ascii="宋体" w:hAnsi="宋体"/>
                <w:color w:val="auto"/>
                <w:sz w:val="24"/>
                <w:szCs w:val="24"/>
                <w:highlight w:val="none"/>
              </w:rPr>
              <w:t>”的“其他（含有毒、有害、危险品的仓储；含液化天然气库）”，</w:t>
            </w:r>
            <w:r>
              <w:rPr>
                <w:rFonts w:hint="eastAsia" w:ascii="宋体" w:hAnsi="宋体"/>
                <w:color w:val="auto"/>
                <w:sz w:val="24"/>
                <w:szCs w:val="24"/>
                <w:highlight w:val="none"/>
                <w:lang w:val="en-US" w:eastAsia="zh-CN"/>
              </w:rPr>
              <w:t>因此，</w:t>
            </w:r>
            <w:r>
              <w:rPr>
                <w:rFonts w:ascii="宋体" w:hAnsi="宋体"/>
                <w:color w:val="auto"/>
                <w:sz w:val="24"/>
                <w:szCs w:val="24"/>
                <w:highlight w:val="none"/>
              </w:rPr>
              <w:t>建设项目应编制</w:t>
            </w:r>
            <w:r>
              <w:rPr>
                <w:rFonts w:hint="eastAsia" w:ascii="宋体" w:hAnsi="宋体"/>
                <w:color w:val="auto"/>
                <w:sz w:val="24"/>
                <w:szCs w:val="24"/>
                <w:highlight w:val="none"/>
                <w:lang w:val="en-US" w:eastAsia="zh-CN"/>
              </w:rPr>
              <w:t>生态</w:t>
            </w:r>
            <w:r>
              <w:rPr>
                <w:rFonts w:ascii="宋体" w:hAnsi="宋体"/>
                <w:color w:val="auto"/>
                <w:sz w:val="24"/>
                <w:szCs w:val="24"/>
                <w:highlight w:val="none"/>
              </w:rPr>
              <w:t>环境影响报告表</w:t>
            </w:r>
            <w:r>
              <w:rPr>
                <w:rFonts w:ascii="宋体" w:hAnsi="宋体"/>
                <w:color w:val="auto"/>
                <w:sz w:val="24"/>
                <w:highlight w:val="none"/>
              </w:rPr>
              <w:t>。</w:t>
            </w:r>
          </w:p>
          <w:p w14:paraId="4B49B6CD">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Ansi="黑体" w:eastAsia="黑体"/>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2-1</w:t>
            </w:r>
            <w:r>
              <w:rPr>
                <w:rFonts w:hAnsi="黑体" w:eastAsia="黑体"/>
                <w:color w:val="auto"/>
                <w:sz w:val="24"/>
                <w:szCs w:val="24"/>
                <w:highlight w:val="none"/>
              </w:rPr>
              <w:t xml:space="preserve">  建设项目环境影响评价分类管理名录</w:t>
            </w:r>
          </w:p>
          <w:tbl>
            <w:tblPr>
              <w:tblStyle w:val="36"/>
              <w:tblW w:w="49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63"/>
              <w:gridCol w:w="2633"/>
              <w:gridCol w:w="2115"/>
              <w:gridCol w:w="942"/>
            </w:tblGrid>
            <w:tr w14:paraId="00B7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54" w:type="pct"/>
                  <w:gridSpan w:val="2"/>
                  <w:tcBorders>
                    <w:top w:val="single" w:color="auto" w:sz="12" w:space="0"/>
                    <w:left w:val="nil"/>
                    <w:tl2br w:val="single" w:color="auto" w:sz="4" w:space="0"/>
                  </w:tcBorders>
                  <w:vAlign w:val="center"/>
                </w:tcPr>
                <w:p w14:paraId="7E0ED6A5">
                  <w:pPr>
                    <w:autoSpaceDE w:val="0"/>
                    <w:autoSpaceDN w:val="0"/>
                    <w:spacing w:line="276" w:lineRule="auto"/>
                    <w:jc w:val="right"/>
                    <w:rPr>
                      <w:b/>
                      <w:color w:val="auto"/>
                      <w:szCs w:val="21"/>
                      <w:highlight w:val="none"/>
                    </w:rPr>
                  </w:pPr>
                  <w:r>
                    <w:rPr>
                      <w:rFonts w:hAnsi="宋体"/>
                      <w:b/>
                      <w:color w:val="auto"/>
                      <w:szCs w:val="21"/>
                      <w:highlight w:val="none"/>
                    </w:rPr>
                    <w:t>环评类别</w:t>
                  </w:r>
                </w:p>
                <w:p w14:paraId="5F1A8E89">
                  <w:pPr>
                    <w:spacing w:line="276" w:lineRule="auto"/>
                    <w:jc w:val="left"/>
                    <w:rPr>
                      <w:color w:val="auto"/>
                      <w:highlight w:val="none"/>
                    </w:rPr>
                  </w:pPr>
                  <w:r>
                    <w:rPr>
                      <w:rFonts w:hAnsi="宋体"/>
                      <w:b/>
                      <w:color w:val="auto"/>
                      <w:szCs w:val="21"/>
                      <w:highlight w:val="none"/>
                    </w:rPr>
                    <w:t>项目类别</w:t>
                  </w:r>
                </w:p>
              </w:tc>
              <w:tc>
                <w:tcPr>
                  <w:tcW w:w="1641" w:type="pct"/>
                  <w:tcBorders>
                    <w:top w:val="single" w:color="auto" w:sz="12" w:space="0"/>
                  </w:tcBorders>
                  <w:vAlign w:val="center"/>
                </w:tcPr>
                <w:p w14:paraId="6BFC301F">
                  <w:pPr>
                    <w:autoSpaceDE w:val="0"/>
                    <w:autoSpaceDN w:val="0"/>
                    <w:spacing w:line="276" w:lineRule="auto"/>
                    <w:jc w:val="center"/>
                    <w:rPr>
                      <w:b/>
                      <w:color w:val="auto"/>
                      <w:szCs w:val="21"/>
                      <w:highlight w:val="none"/>
                    </w:rPr>
                  </w:pPr>
                  <w:r>
                    <w:rPr>
                      <w:rFonts w:hAnsi="宋体"/>
                      <w:b/>
                      <w:color w:val="auto"/>
                      <w:szCs w:val="21"/>
                      <w:highlight w:val="none"/>
                    </w:rPr>
                    <w:t>报告书</w:t>
                  </w:r>
                </w:p>
              </w:tc>
              <w:tc>
                <w:tcPr>
                  <w:tcW w:w="1318" w:type="pct"/>
                  <w:tcBorders>
                    <w:top w:val="single" w:color="auto" w:sz="12" w:space="0"/>
                  </w:tcBorders>
                  <w:shd w:val="clear" w:color="auto" w:fill="D9D9D9"/>
                  <w:vAlign w:val="center"/>
                </w:tcPr>
                <w:p w14:paraId="2FF49F90">
                  <w:pPr>
                    <w:autoSpaceDE w:val="0"/>
                    <w:autoSpaceDN w:val="0"/>
                    <w:spacing w:line="276" w:lineRule="auto"/>
                    <w:jc w:val="center"/>
                    <w:rPr>
                      <w:b/>
                      <w:color w:val="auto"/>
                      <w:szCs w:val="21"/>
                      <w:highlight w:val="none"/>
                    </w:rPr>
                  </w:pPr>
                  <w:r>
                    <w:rPr>
                      <w:rFonts w:hAnsi="宋体"/>
                      <w:b/>
                      <w:color w:val="auto"/>
                      <w:szCs w:val="21"/>
                      <w:highlight w:val="none"/>
                    </w:rPr>
                    <w:t>报告表</w:t>
                  </w:r>
                </w:p>
              </w:tc>
              <w:tc>
                <w:tcPr>
                  <w:tcW w:w="585" w:type="pct"/>
                  <w:tcBorders>
                    <w:top w:val="single" w:color="auto" w:sz="12" w:space="0"/>
                    <w:right w:val="nil"/>
                  </w:tcBorders>
                  <w:vAlign w:val="center"/>
                </w:tcPr>
                <w:p w14:paraId="597A65BC">
                  <w:pPr>
                    <w:autoSpaceDE w:val="0"/>
                    <w:autoSpaceDN w:val="0"/>
                    <w:spacing w:line="276" w:lineRule="auto"/>
                    <w:jc w:val="center"/>
                    <w:rPr>
                      <w:b/>
                      <w:color w:val="auto"/>
                      <w:szCs w:val="21"/>
                      <w:highlight w:val="none"/>
                    </w:rPr>
                  </w:pPr>
                  <w:r>
                    <w:rPr>
                      <w:rFonts w:hAnsi="宋体"/>
                      <w:b/>
                      <w:color w:val="auto"/>
                      <w:szCs w:val="21"/>
                      <w:highlight w:val="none"/>
                    </w:rPr>
                    <w:t>登记表</w:t>
                  </w:r>
                </w:p>
              </w:tc>
            </w:tr>
            <w:tr w14:paraId="457DD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00" w:type="pct"/>
                  <w:gridSpan w:val="5"/>
                  <w:tcBorders>
                    <w:left w:val="nil"/>
                    <w:bottom w:val="single" w:color="auto" w:sz="4" w:space="0"/>
                    <w:right w:val="nil"/>
                  </w:tcBorders>
                  <w:vAlign w:val="center"/>
                </w:tcPr>
                <w:p w14:paraId="163E2B0D">
                  <w:pPr>
                    <w:spacing w:line="276" w:lineRule="auto"/>
                    <w:jc w:val="left"/>
                    <w:rPr>
                      <w:color w:val="auto"/>
                      <w:szCs w:val="21"/>
                      <w:highlight w:val="none"/>
                    </w:rPr>
                  </w:pPr>
                  <w:r>
                    <w:rPr>
                      <w:color w:val="auto"/>
                      <w:szCs w:val="21"/>
                      <w:highlight w:val="none"/>
                    </w:rPr>
                    <w:t>五十三、装卸搬运和仓储业</w:t>
                  </w:r>
                  <w:r>
                    <w:rPr>
                      <w:rFonts w:hint="eastAsia"/>
                      <w:color w:val="auto"/>
                      <w:szCs w:val="21"/>
                      <w:highlight w:val="none"/>
                    </w:rPr>
                    <w:t xml:space="preserve"> 59</w:t>
                  </w:r>
                </w:p>
              </w:tc>
            </w:tr>
            <w:tr w14:paraId="52D6E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417" w:type="pct"/>
                  <w:tcBorders>
                    <w:left w:val="nil"/>
                  </w:tcBorders>
                  <w:vAlign w:val="center"/>
                </w:tcPr>
                <w:p w14:paraId="790ECF1B">
                  <w:pPr>
                    <w:spacing w:line="276" w:lineRule="auto"/>
                    <w:jc w:val="center"/>
                    <w:rPr>
                      <w:color w:val="auto"/>
                      <w:highlight w:val="none"/>
                    </w:rPr>
                  </w:pPr>
                  <w:r>
                    <w:rPr>
                      <w:rFonts w:hint="eastAsia"/>
                      <w:color w:val="auto"/>
                      <w:highlight w:val="none"/>
                    </w:rPr>
                    <w:t>149</w:t>
                  </w:r>
                </w:p>
              </w:tc>
              <w:tc>
                <w:tcPr>
                  <w:tcW w:w="1037" w:type="pct"/>
                  <w:vAlign w:val="center"/>
                </w:tcPr>
                <w:p w14:paraId="57394CD7">
                  <w:pPr>
                    <w:spacing w:line="276" w:lineRule="auto"/>
                    <w:jc w:val="center"/>
                    <w:rPr>
                      <w:color w:val="auto"/>
                      <w:highlight w:val="none"/>
                    </w:rPr>
                  </w:pPr>
                  <w:r>
                    <w:rPr>
                      <w:rFonts w:hint="eastAsia"/>
                      <w:color w:val="auto"/>
                      <w:highlight w:val="none"/>
                    </w:rPr>
                    <w:t>危险品仓储594（不含加油站的油库；不含加气站的气库）</w:t>
                  </w:r>
                </w:p>
              </w:tc>
              <w:tc>
                <w:tcPr>
                  <w:tcW w:w="1641" w:type="pct"/>
                  <w:vAlign w:val="center"/>
                </w:tcPr>
                <w:p w14:paraId="2ECD6E1F">
                  <w:pPr>
                    <w:spacing w:line="276" w:lineRule="auto"/>
                    <w:jc w:val="center"/>
                    <w:rPr>
                      <w:color w:val="auto"/>
                      <w:highlight w:val="none"/>
                    </w:rPr>
                  </w:pPr>
                  <w:r>
                    <w:rPr>
                      <w:color w:val="auto"/>
                      <w:highlight w:val="none"/>
                    </w:rPr>
                    <w:t>总容量</w:t>
                  </w:r>
                  <w:r>
                    <w:rPr>
                      <w:rFonts w:hint="eastAsia"/>
                      <w:color w:val="auto"/>
                      <w:highlight w:val="none"/>
                    </w:rPr>
                    <w:t>20万立方米及以上的油库（含油品码头后方配套油库）；地下油库；地下气库</w:t>
                  </w:r>
                </w:p>
              </w:tc>
              <w:tc>
                <w:tcPr>
                  <w:tcW w:w="1318" w:type="pct"/>
                  <w:shd w:val="clear" w:color="auto" w:fill="D9D9D9"/>
                  <w:vAlign w:val="center"/>
                </w:tcPr>
                <w:p w14:paraId="55C15B5F">
                  <w:pPr>
                    <w:spacing w:line="276" w:lineRule="auto"/>
                    <w:jc w:val="center"/>
                    <w:rPr>
                      <w:color w:val="auto"/>
                      <w:highlight w:val="none"/>
                    </w:rPr>
                  </w:pPr>
                  <w:r>
                    <w:rPr>
                      <w:color w:val="auto"/>
                      <w:highlight w:val="none"/>
                    </w:rPr>
                    <w:t>其他（含有毒、有害、危险品的仓储；含液化天然气库）</w:t>
                  </w:r>
                </w:p>
              </w:tc>
              <w:tc>
                <w:tcPr>
                  <w:tcW w:w="585" w:type="pct"/>
                  <w:tcBorders>
                    <w:right w:val="nil"/>
                  </w:tcBorders>
                  <w:vAlign w:val="center"/>
                </w:tcPr>
                <w:p w14:paraId="7E078A46">
                  <w:pPr>
                    <w:spacing w:line="276" w:lineRule="auto"/>
                    <w:jc w:val="center"/>
                    <w:rPr>
                      <w:color w:val="auto"/>
                      <w:highlight w:val="none"/>
                    </w:rPr>
                  </w:pPr>
                  <w:r>
                    <w:rPr>
                      <w:rFonts w:hint="eastAsia"/>
                      <w:color w:val="auto"/>
                      <w:szCs w:val="21"/>
                      <w:highlight w:val="none"/>
                    </w:rPr>
                    <w:t>/</w:t>
                  </w:r>
                </w:p>
              </w:tc>
            </w:tr>
          </w:tbl>
          <w:p w14:paraId="27BD4C99">
            <w:pPr>
              <w:spacing w:line="360" w:lineRule="auto"/>
              <w:ind w:firstLine="472" w:firstLineChars="200"/>
              <w:rPr>
                <w:color w:val="auto"/>
                <w:spacing w:val="-2"/>
                <w:kern w:val="0"/>
                <w:sz w:val="24"/>
                <w:szCs w:val="24"/>
                <w:highlight w:val="none"/>
              </w:rPr>
            </w:pPr>
            <w:r>
              <w:rPr>
                <w:rFonts w:hint="eastAsia"/>
                <w:color w:val="auto"/>
                <w:spacing w:val="-2"/>
                <w:kern w:val="0"/>
                <w:sz w:val="24"/>
                <w:szCs w:val="24"/>
                <w:highlight w:val="none"/>
              </w:rPr>
              <w:t>根据安徽省生态环境厅于</w:t>
            </w:r>
            <w:r>
              <w:rPr>
                <w:color w:val="auto"/>
                <w:spacing w:val="-2"/>
                <w:kern w:val="0"/>
                <w:sz w:val="24"/>
                <w:szCs w:val="24"/>
                <w:highlight w:val="none"/>
              </w:rPr>
              <w:t>2021</w:t>
            </w:r>
            <w:r>
              <w:rPr>
                <w:rFonts w:hint="eastAsia"/>
                <w:color w:val="auto"/>
                <w:spacing w:val="-2"/>
                <w:kern w:val="0"/>
                <w:sz w:val="24"/>
                <w:szCs w:val="24"/>
                <w:highlight w:val="none"/>
              </w:rPr>
              <w:t>年</w:t>
            </w:r>
            <w:r>
              <w:rPr>
                <w:color w:val="auto"/>
                <w:spacing w:val="-2"/>
                <w:kern w:val="0"/>
                <w:sz w:val="24"/>
                <w:szCs w:val="24"/>
                <w:highlight w:val="none"/>
              </w:rPr>
              <w:t>1</w:t>
            </w:r>
            <w:r>
              <w:rPr>
                <w:rFonts w:hint="eastAsia"/>
                <w:color w:val="auto"/>
                <w:spacing w:val="-2"/>
                <w:kern w:val="0"/>
                <w:sz w:val="24"/>
                <w:szCs w:val="24"/>
                <w:highlight w:val="none"/>
              </w:rPr>
              <w:t>月</w:t>
            </w:r>
            <w:r>
              <w:rPr>
                <w:color w:val="auto"/>
                <w:spacing w:val="-2"/>
                <w:kern w:val="0"/>
                <w:sz w:val="24"/>
                <w:szCs w:val="24"/>
                <w:highlight w:val="none"/>
              </w:rPr>
              <w:t>30</w:t>
            </w:r>
            <w:r>
              <w:rPr>
                <w:rFonts w:hint="eastAsia"/>
                <w:color w:val="auto"/>
                <w:spacing w:val="-2"/>
                <w:kern w:val="0"/>
                <w:sz w:val="24"/>
                <w:szCs w:val="24"/>
                <w:highlight w:val="none"/>
              </w:rPr>
              <w:t>日发布的《安徽省生态环境厅关于统筹做好固定污染源排污许可日常监管工作的通知》（皖环发〔</w:t>
            </w:r>
            <w:r>
              <w:rPr>
                <w:color w:val="auto"/>
                <w:spacing w:val="-2"/>
                <w:kern w:val="0"/>
                <w:sz w:val="24"/>
                <w:szCs w:val="24"/>
                <w:highlight w:val="none"/>
              </w:rPr>
              <w:t>2021</w:t>
            </w:r>
            <w:r>
              <w:rPr>
                <w:rFonts w:hint="eastAsia"/>
                <w:color w:val="auto"/>
                <w:spacing w:val="-2"/>
                <w:kern w:val="0"/>
                <w:sz w:val="24"/>
                <w:szCs w:val="24"/>
                <w:highlight w:val="none"/>
              </w:rPr>
              <w:t>〕</w:t>
            </w:r>
            <w:r>
              <w:rPr>
                <w:color w:val="auto"/>
                <w:spacing w:val="-2"/>
                <w:kern w:val="0"/>
                <w:sz w:val="24"/>
                <w:szCs w:val="24"/>
                <w:highlight w:val="none"/>
              </w:rPr>
              <w:t>7</w:t>
            </w:r>
            <w:r>
              <w:rPr>
                <w:rFonts w:hint="eastAsia"/>
                <w:color w:val="auto"/>
                <w:spacing w:val="-2"/>
                <w:kern w:val="0"/>
                <w:sz w:val="24"/>
                <w:szCs w:val="24"/>
                <w:highlight w:val="none"/>
              </w:rPr>
              <w:t>号），属于现行《固定污染源排污许可分类管理名录》内重点管理和简化管理的行业，在环评文件中应明确“建设项目环境影响评价与排污许可联动内容”。</w:t>
            </w:r>
          </w:p>
          <w:p w14:paraId="0DDD6737">
            <w:pPr>
              <w:pStyle w:val="52"/>
              <w:spacing w:line="360" w:lineRule="auto"/>
              <w:ind w:firstLine="480" w:firstLineChars="200"/>
              <w:rPr>
                <w:color w:val="auto"/>
                <w:highlight w:val="none"/>
              </w:rPr>
            </w:pPr>
            <w:r>
              <w:rPr>
                <w:rFonts w:hint="eastAsia"/>
                <w:color w:val="auto"/>
                <w:highlight w:val="none"/>
              </w:rPr>
              <w:t>本项目国民经济行业类别为G5942危险化学品仓储，</w:t>
            </w:r>
            <w:r>
              <w:rPr>
                <w:rFonts w:hint="eastAsia"/>
                <w:color w:val="auto"/>
                <w:highlight w:val="none"/>
                <w:lang w:val="en-US" w:eastAsia="zh-CN"/>
              </w:rPr>
              <w:t>涉及危险化学品乙烯、丙烷及丁烷仓储，</w:t>
            </w:r>
            <w:r>
              <w:rPr>
                <w:rFonts w:hint="eastAsia"/>
                <w:color w:val="auto"/>
                <w:highlight w:val="none"/>
              </w:rPr>
              <w:t>根据《固定污染源排污许可分类管理名录（</w:t>
            </w:r>
            <w:r>
              <w:rPr>
                <w:color w:val="auto"/>
                <w:highlight w:val="none"/>
              </w:rPr>
              <w:t>2019</w:t>
            </w:r>
            <w:r>
              <w:rPr>
                <w:rFonts w:hint="eastAsia"/>
                <w:color w:val="auto"/>
                <w:highlight w:val="none"/>
              </w:rPr>
              <w:t>年版）》，本项目属于固定污染源排污许可分类管理名录表中的“四十四、装卸搬运和仓储业59”的“102</w:t>
            </w:r>
            <w:r>
              <w:rPr>
                <w:color w:val="auto"/>
                <w:highlight w:val="none"/>
              </w:rPr>
              <w:t>危险品仓储</w:t>
            </w:r>
            <w:r>
              <w:rPr>
                <w:rFonts w:hint="eastAsia"/>
                <w:color w:val="auto"/>
                <w:highlight w:val="none"/>
              </w:rPr>
              <w:t>594”中的“其他危险品仓储（含油品码头后方配套油库，不含储备油库）”。因此，项目的排污许可填报管理类别应为“登记管理”。</w:t>
            </w:r>
          </w:p>
          <w:p w14:paraId="3106DA98">
            <w:pPr>
              <w:autoSpaceDE w:val="0"/>
              <w:autoSpaceDN w:val="0"/>
              <w:adjustRightInd w:val="0"/>
              <w:snapToGrid w:val="0"/>
              <w:spacing w:line="360" w:lineRule="auto"/>
              <w:jc w:val="center"/>
              <w:rPr>
                <w:rFonts w:hAnsi="黑体" w:eastAsia="黑体"/>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2-2</w:t>
            </w:r>
            <w:r>
              <w:rPr>
                <w:rFonts w:hAnsi="黑体" w:eastAsia="黑体"/>
                <w:color w:val="auto"/>
                <w:sz w:val="24"/>
                <w:szCs w:val="24"/>
                <w:highlight w:val="none"/>
              </w:rPr>
              <w:t xml:space="preserve">  固定污染源排污许可分类管理名录</w:t>
            </w:r>
          </w:p>
          <w:tbl>
            <w:tblPr>
              <w:tblStyle w:val="36"/>
              <w:tblW w:w="5000" w:type="pct"/>
              <w:tblInd w:w="0" w:type="dxa"/>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205"/>
              <w:gridCol w:w="1976"/>
              <w:gridCol w:w="2131"/>
              <w:gridCol w:w="1942"/>
            </w:tblGrid>
            <w:tr w14:paraId="0C580B2E">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3" w:type="pct"/>
                  <w:vAlign w:val="center"/>
                </w:tcPr>
                <w:p w14:paraId="04EBD733">
                  <w:pPr>
                    <w:spacing w:line="276" w:lineRule="auto"/>
                    <w:jc w:val="center"/>
                    <w:rPr>
                      <w:b/>
                      <w:color w:val="auto"/>
                      <w:highlight w:val="none"/>
                    </w:rPr>
                  </w:pPr>
                  <w:r>
                    <w:rPr>
                      <w:b/>
                      <w:color w:val="auto"/>
                      <w:highlight w:val="none"/>
                    </w:rPr>
                    <w:t>序号</w:t>
                  </w:r>
                </w:p>
              </w:tc>
              <w:tc>
                <w:tcPr>
                  <w:tcW w:w="747" w:type="pct"/>
                  <w:vAlign w:val="center"/>
                </w:tcPr>
                <w:p w14:paraId="2BC41DBA">
                  <w:pPr>
                    <w:spacing w:line="276" w:lineRule="auto"/>
                    <w:jc w:val="center"/>
                    <w:rPr>
                      <w:b/>
                      <w:color w:val="auto"/>
                      <w:highlight w:val="none"/>
                    </w:rPr>
                  </w:pPr>
                  <w:r>
                    <w:rPr>
                      <w:b/>
                      <w:color w:val="auto"/>
                      <w:highlight w:val="none"/>
                    </w:rPr>
                    <w:t>行业类别</w:t>
                  </w:r>
                </w:p>
              </w:tc>
              <w:tc>
                <w:tcPr>
                  <w:tcW w:w="1225" w:type="pct"/>
                  <w:vAlign w:val="center"/>
                </w:tcPr>
                <w:p w14:paraId="6E685027">
                  <w:pPr>
                    <w:spacing w:line="276" w:lineRule="auto"/>
                    <w:jc w:val="center"/>
                    <w:rPr>
                      <w:b/>
                      <w:color w:val="auto"/>
                      <w:highlight w:val="none"/>
                    </w:rPr>
                  </w:pPr>
                  <w:r>
                    <w:rPr>
                      <w:b/>
                      <w:color w:val="auto"/>
                      <w:highlight w:val="none"/>
                    </w:rPr>
                    <w:t>重点管理</w:t>
                  </w:r>
                </w:p>
              </w:tc>
              <w:tc>
                <w:tcPr>
                  <w:tcW w:w="1321" w:type="pct"/>
                  <w:shd w:val="clear" w:color="auto" w:fill="auto"/>
                  <w:vAlign w:val="center"/>
                </w:tcPr>
                <w:p w14:paraId="3BC9C54A">
                  <w:pPr>
                    <w:spacing w:line="276" w:lineRule="auto"/>
                    <w:jc w:val="center"/>
                    <w:rPr>
                      <w:b/>
                      <w:color w:val="auto"/>
                      <w:highlight w:val="none"/>
                    </w:rPr>
                  </w:pPr>
                  <w:r>
                    <w:rPr>
                      <w:b/>
                      <w:color w:val="auto"/>
                      <w:highlight w:val="none"/>
                    </w:rPr>
                    <w:t>简化管理</w:t>
                  </w:r>
                </w:p>
              </w:tc>
              <w:tc>
                <w:tcPr>
                  <w:tcW w:w="1203" w:type="pct"/>
                  <w:vAlign w:val="center"/>
                </w:tcPr>
                <w:p w14:paraId="4063D41D">
                  <w:pPr>
                    <w:spacing w:line="276" w:lineRule="auto"/>
                    <w:jc w:val="center"/>
                    <w:rPr>
                      <w:b/>
                      <w:color w:val="auto"/>
                      <w:highlight w:val="none"/>
                    </w:rPr>
                  </w:pPr>
                  <w:r>
                    <w:rPr>
                      <w:b/>
                      <w:color w:val="auto"/>
                      <w:highlight w:val="none"/>
                    </w:rPr>
                    <w:t>登记管理</w:t>
                  </w:r>
                </w:p>
              </w:tc>
            </w:tr>
            <w:tr w14:paraId="3ACB83F2">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00" w:type="pct"/>
                  <w:gridSpan w:val="5"/>
                  <w:vAlign w:val="center"/>
                </w:tcPr>
                <w:p w14:paraId="695CCBF5">
                  <w:pPr>
                    <w:spacing w:line="276" w:lineRule="auto"/>
                    <w:jc w:val="left"/>
                    <w:rPr>
                      <w:color w:val="auto"/>
                      <w:szCs w:val="21"/>
                      <w:highlight w:val="none"/>
                    </w:rPr>
                  </w:pPr>
                  <w:r>
                    <w:rPr>
                      <w:color w:val="auto"/>
                      <w:highlight w:val="none"/>
                    </w:rPr>
                    <w:t>四十四、装卸搬运和仓储业</w:t>
                  </w:r>
                  <w:r>
                    <w:rPr>
                      <w:rFonts w:hint="eastAsia"/>
                      <w:color w:val="auto"/>
                      <w:highlight w:val="none"/>
                    </w:rPr>
                    <w:t>59</w:t>
                  </w:r>
                </w:p>
              </w:tc>
            </w:tr>
            <w:tr w14:paraId="72315DC3">
              <w:tblPrEx>
                <w:tblBorders>
                  <w:top w:val="single" w:color="auto" w:sz="4"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 w:hRule="atLeast"/>
              </w:trPr>
              <w:tc>
                <w:tcPr>
                  <w:tcW w:w="503" w:type="pct"/>
                  <w:vAlign w:val="center"/>
                </w:tcPr>
                <w:p w14:paraId="7349D94A">
                  <w:pPr>
                    <w:spacing w:line="276" w:lineRule="auto"/>
                    <w:jc w:val="center"/>
                    <w:rPr>
                      <w:color w:val="auto"/>
                      <w:highlight w:val="none"/>
                    </w:rPr>
                  </w:pPr>
                  <w:r>
                    <w:rPr>
                      <w:rFonts w:hint="eastAsia"/>
                      <w:color w:val="auto"/>
                      <w:highlight w:val="none"/>
                    </w:rPr>
                    <w:t>102</w:t>
                  </w:r>
                </w:p>
              </w:tc>
              <w:tc>
                <w:tcPr>
                  <w:tcW w:w="747" w:type="pct"/>
                  <w:vAlign w:val="center"/>
                </w:tcPr>
                <w:p w14:paraId="612BA477">
                  <w:pPr>
                    <w:spacing w:line="276" w:lineRule="auto"/>
                    <w:jc w:val="center"/>
                    <w:rPr>
                      <w:color w:val="auto"/>
                      <w:highlight w:val="none"/>
                    </w:rPr>
                  </w:pPr>
                  <w:r>
                    <w:rPr>
                      <w:color w:val="auto"/>
                      <w:highlight w:val="none"/>
                    </w:rPr>
                    <w:t>危险品仓储</w:t>
                  </w:r>
                  <w:r>
                    <w:rPr>
                      <w:rFonts w:hint="eastAsia"/>
                      <w:color w:val="auto"/>
                      <w:highlight w:val="none"/>
                    </w:rPr>
                    <w:t>594</w:t>
                  </w:r>
                </w:p>
              </w:tc>
              <w:tc>
                <w:tcPr>
                  <w:tcW w:w="1225" w:type="pct"/>
                  <w:vAlign w:val="center"/>
                </w:tcPr>
                <w:p w14:paraId="4F3DC2EB">
                  <w:pPr>
                    <w:spacing w:line="276" w:lineRule="auto"/>
                    <w:jc w:val="center"/>
                    <w:rPr>
                      <w:color w:val="auto"/>
                      <w:highlight w:val="none"/>
                    </w:rPr>
                  </w:pPr>
                  <w:r>
                    <w:rPr>
                      <w:color w:val="auto"/>
                      <w:highlight w:val="none"/>
                    </w:rPr>
                    <w:t>总容量</w:t>
                  </w:r>
                  <w:r>
                    <w:rPr>
                      <w:rFonts w:hint="eastAsia"/>
                      <w:color w:val="auto"/>
                      <w:highlight w:val="none"/>
                    </w:rPr>
                    <w:t>10万立方米及以上的油库（含油品码头后方配套油库，不含储备油库）</w:t>
                  </w:r>
                </w:p>
              </w:tc>
              <w:tc>
                <w:tcPr>
                  <w:tcW w:w="1321" w:type="pct"/>
                  <w:shd w:val="clear" w:color="auto" w:fill="auto"/>
                  <w:vAlign w:val="center"/>
                </w:tcPr>
                <w:p w14:paraId="01EFE2AC">
                  <w:pPr>
                    <w:spacing w:line="276" w:lineRule="auto"/>
                    <w:jc w:val="center"/>
                    <w:rPr>
                      <w:color w:val="auto"/>
                      <w:highlight w:val="none"/>
                    </w:rPr>
                  </w:pPr>
                  <w:r>
                    <w:rPr>
                      <w:color w:val="auto"/>
                      <w:highlight w:val="none"/>
                    </w:rPr>
                    <w:t>总容量</w:t>
                  </w:r>
                  <w:r>
                    <w:rPr>
                      <w:rFonts w:hint="eastAsia"/>
                      <w:color w:val="auto"/>
                      <w:highlight w:val="none"/>
                    </w:rPr>
                    <w:t>1万立方米及以上10万立方米以下的油库（含油品码头后方配套油库，不含储备油库）</w:t>
                  </w:r>
                </w:p>
              </w:tc>
              <w:tc>
                <w:tcPr>
                  <w:tcW w:w="1203" w:type="pct"/>
                  <w:vAlign w:val="center"/>
                </w:tcPr>
                <w:p w14:paraId="602702AD">
                  <w:pPr>
                    <w:spacing w:line="276" w:lineRule="auto"/>
                    <w:jc w:val="center"/>
                    <w:rPr>
                      <w:color w:val="auto"/>
                      <w:highlight w:val="none"/>
                    </w:rPr>
                  </w:pPr>
                  <w:r>
                    <w:rPr>
                      <w:rFonts w:hint="eastAsia"/>
                      <w:color w:val="auto"/>
                      <w:szCs w:val="21"/>
                      <w:highlight w:val="none"/>
                    </w:rPr>
                    <w:t>其他危险品仓储（含油品码头后方配套油库，不含储备油库）</w:t>
                  </w:r>
                </w:p>
              </w:tc>
            </w:tr>
          </w:tbl>
          <w:p w14:paraId="52A76BA5">
            <w:pPr>
              <w:spacing w:line="360" w:lineRule="auto"/>
              <w:ind w:firstLine="480" w:firstLineChars="200"/>
              <w:rPr>
                <w:color w:val="auto"/>
                <w:kern w:val="0"/>
                <w:sz w:val="24"/>
                <w:szCs w:val="24"/>
                <w:highlight w:val="none"/>
              </w:rPr>
            </w:pPr>
            <w:r>
              <w:rPr>
                <w:rFonts w:hint="eastAsia"/>
                <w:color w:val="auto"/>
                <w:sz w:val="24"/>
                <w:szCs w:val="24"/>
                <w:highlight w:val="none"/>
              </w:rPr>
              <w:t>安徽永银科技发展有限公司</w:t>
            </w:r>
            <w:r>
              <w:rPr>
                <w:rFonts w:hint="eastAsia" w:ascii="宋体" w:hAnsi="宋体" w:cs="宋体"/>
                <w:color w:val="auto"/>
                <w:kern w:val="0"/>
                <w:sz w:val="24"/>
                <w:szCs w:val="24"/>
                <w:highlight w:val="none"/>
              </w:rPr>
              <w:t>于</w:t>
            </w:r>
            <w:r>
              <w:rPr>
                <w:color w:val="auto"/>
                <w:sz w:val="24"/>
                <w:szCs w:val="24"/>
                <w:highlight w:val="none"/>
              </w:rPr>
              <w:t>20</w:t>
            </w:r>
            <w:r>
              <w:rPr>
                <w:rFonts w:hint="eastAsia"/>
                <w:color w:val="auto"/>
                <w:sz w:val="24"/>
                <w:szCs w:val="24"/>
                <w:highlight w:val="none"/>
                <w:lang w:val="en-US" w:eastAsia="zh-CN"/>
              </w:rPr>
              <w:t>26</w:t>
            </w:r>
            <w:r>
              <w:rPr>
                <w:rFonts w:hint="eastAsia" w:hAnsi="宋体"/>
                <w:color w:val="auto"/>
                <w:sz w:val="24"/>
                <w:szCs w:val="24"/>
                <w:highlight w:val="none"/>
              </w:rPr>
              <w:t>年</w:t>
            </w:r>
            <w:r>
              <w:rPr>
                <w:rFonts w:hint="eastAsia"/>
                <w:color w:val="auto"/>
                <w:sz w:val="24"/>
                <w:szCs w:val="24"/>
                <w:highlight w:val="none"/>
                <w:lang w:val="en-US" w:eastAsia="zh-CN"/>
              </w:rPr>
              <w:t>9</w:t>
            </w:r>
            <w:r>
              <w:rPr>
                <w:rFonts w:hint="eastAsia"/>
                <w:color w:val="auto"/>
                <w:sz w:val="24"/>
                <w:szCs w:val="24"/>
                <w:highlight w:val="none"/>
              </w:rPr>
              <w:t>月</w:t>
            </w:r>
            <w:r>
              <w:rPr>
                <w:rFonts w:hint="eastAsia" w:hAnsi="宋体"/>
                <w:color w:val="auto"/>
                <w:sz w:val="24"/>
                <w:szCs w:val="24"/>
                <w:highlight w:val="none"/>
              </w:rPr>
              <w:t>委托我公司为该项目进行环境影响评价。我公司在接受委托后，立即到现场踏勘，认真了解项目所在区域的周边环境情况，收集有关资料，编写完成本项目的</w:t>
            </w:r>
            <w:r>
              <w:rPr>
                <w:rFonts w:hint="eastAsia" w:hAnsi="宋体"/>
                <w:color w:val="auto"/>
                <w:sz w:val="24"/>
                <w:szCs w:val="24"/>
                <w:highlight w:val="none"/>
                <w:lang w:val="en-US" w:eastAsia="zh-CN"/>
              </w:rPr>
              <w:t>生态</w:t>
            </w:r>
            <w:r>
              <w:rPr>
                <w:rFonts w:hint="eastAsia" w:hAnsi="宋体"/>
                <w:color w:val="auto"/>
                <w:sz w:val="24"/>
                <w:szCs w:val="24"/>
                <w:highlight w:val="none"/>
              </w:rPr>
              <w:t>环境影响报告表，现呈报生态环境主管部门审批。</w:t>
            </w:r>
          </w:p>
          <w:p w14:paraId="08E0C4A9">
            <w:pPr>
              <w:spacing w:line="360" w:lineRule="auto"/>
              <w:ind w:firstLine="482" w:firstLineChars="200"/>
              <w:rPr>
                <w:b/>
                <w:color w:val="auto"/>
                <w:sz w:val="24"/>
                <w:highlight w:val="none"/>
              </w:rPr>
            </w:pPr>
            <w:r>
              <w:rPr>
                <w:rFonts w:hint="eastAsia"/>
                <w:b/>
                <w:color w:val="auto"/>
                <w:sz w:val="24"/>
                <w:highlight w:val="none"/>
              </w:rPr>
              <w:t>2、项目基本情况</w:t>
            </w:r>
          </w:p>
          <w:p w14:paraId="3EEC5EB1">
            <w:pPr>
              <w:spacing w:line="360" w:lineRule="auto"/>
              <w:ind w:firstLine="480" w:firstLineChars="200"/>
              <w:rPr>
                <w:rFonts w:hint="eastAsia" w:eastAsia="宋体"/>
                <w:color w:val="auto"/>
                <w:sz w:val="24"/>
                <w:szCs w:val="28"/>
                <w:highlight w:val="none"/>
                <w:lang w:eastAsia="zh-CN"/>
              </w:rPr>
            </w:pPr>
            <w:r>
              <w:rPr>
                <w:rFonts w:hint="eastAsia"/>
                <w:color w:val="auto"/>
                <w:sz w:val="24"/>
                <w:szCs w:val="28"/>
                <w:highlight w:val="none"/>
              </w:rPr>
              <w:t>（1）</w:t>
            </w:r>
            <w:r>
              <w:rPr>
                <w:color w:val="auto"/>
                <w:sz w:val="24"/>
                <w:szCs w:val="28"/>
                <w:highlight w:val="none"/>
              </w:rPr>
              <w:t>项目名称</w:t>
            </w:r>
            <w:r>
              <w:rPr>
                <w:rFonts w:hint="eastAsia"/>
                <w:color w:val="auto"/>
                <w:sz w:val="24"/>
                <w:szCs w:val="28"/>
                <w:highlight w:val="none"/>
              </w:rPr>
              <w:t>：</w:t>
            </w:r>
            <w:r>
              <w:rPr>
                <w:rFonts w:hint="eastAsia"/>
                <w:color w:val="auto"/>
                <w:sz w:val="24"/>
                <w:szCs w:val="28"/>
                <w:highlight w:val="none"/>
                <w:lang w:eastAsia="zh-CN"/>
              </w:rPr>
              <w:t>丙烷、丁烷充装科技改造项目</w:t>
            </w:r>
          </w:p>
          <w:p w14:paraId="34BAFB02">
            <w:pPr>
              <w:spacing w:line="360" w:lineRule="auto"/>
              <w:ind w:firstLine="480" w:firstLineChars="200"/>
              <w:rPr>
                <w:color w:val="auto"/>
                <w:sz w:val="24"/>
                <w:szCs w:val="28"/>
                <w:highlight w:val="none"/>
              </w:rPr>
            </w:pPr>
            <w:r>
              <w:rPr>
                <w:rFonts w:hint="eastAsia"/>
                <w:color w:val="auto"/>
                <w:sz w:val="24"/>
                <w:szCs w:val="28"/>
                <w:highlight w:val="none"/>
              </w:rPr>
              <w:t>（2）</w:t>
            </w:r>
            <w:r>
              <w:rPr>
                <w:color w:val="auto"/>
                <w:sz w:val="24"/>
                <w:szCs w:val="28"/>
                <w:highlight w:val="none"/>
              </w:rPr>
              <w:t>建设单位</w:t>
            </w:r>
            <w:r>
              <w:rPr>
                <w:rFonts w:hint="eastAsia"/>
                <w:color w:val="auto"/>
                <w:sz w:val="24"/>
                <w:szCs w:val="28"/>
                <w:highlight w:val="none"/>
              </w:rPr>
              <w:t>：</w:t>
            </w:r>
            <w:r>
              <w:rPr>
                <w:color w:val="auto"/>
                <w:sz w:val="24"/>
                <w:szCs w:val="24"/>
                <w:highlight w:val="none"/>
              </w:rPr>
              <w:t>安徽永银科技发展有限公司</w:t>
            </w:r>
          </w:p>
          <w:p w14:paraId="233C02F9">
            <w:pPr>
              <w:spacing w:line="360" w:lineRule="auto"/>
              <w:ind w:firstLine="480" w:firstLineChars="200"/>
              <w:rPr>
                <w:rFonts w:hint="eastAsia" w:eastAsia="宋体"/>
                <w:color w:val="auto"/>
                <w:sz w:val="24"/>
                <w:szCs w:val="28"/>
                <w:highlight w:val="none"/>
                <w:lang w:eastAsia="zh-CN"/>
              </w:rPr>
            </w:pPr>
            <w:r>
              <w:rPr>
                <w:rFonts w:hint="eastAsia"/>
                <w:color w:val="auto"/>
                <w:sz w:val="24"/>
                <w:szCs w:val="28"/>
                <w:highlight w:val="none"/>
              </w:rPr>
              <w:t>（3）</w:t>
            </w:r>
            <w:r>
              <w:rPr>
                <w:color w:val="auto"/>
                <w:sz w:val="24"/>
                <w:szCs w:val="28"/>
                <w:highlight w:val="none"/>
              </w:rPr>
              <w:t>项目性质</w:t>
            </w:r>
            <w:r>
              <w:rPr>
                <w:rFonts w:hint="eastAsia"/>
                <w:color w:val="auto"/>
                <w:sz w:val="24"/>
                <w:szCs w:val="28"/>
                <w:highlight w:val="none"/>
              </w:rPr>
              <w:t>：</w:t>
            </w:r>
            <w:r>
              <w:rPr>
                <w:rFonts w:hint="eastAsia"/>
                <w:color w:val="auto"/>
                <w:sz w:val="24"/>
                <w:szCs w:val="28"/>
                <w:highlight w:val="none"/>
                <w:lang w:val="en-US" w:eastAsia="zh-CN"/>
              </w:rPr>
              <w:t>改建</w:t>
            </w:r>
          </w:p>
          <w:p w14:paraId="191721A5">
            <w:pPr>
              <w:spacing w:line="360" w:lineRule="auto"/>
              <w:ind w:firstLine="480" w:firstLineChars="200"/>
              <w:rPr>
                <w:color w:val="auto"/>
                <w:sz w:val="24"/>
                <w:szCs w:val="28"/>
                <w:highlight w:val="none"/>
              </w:rPr>
            </w:pPr>
            <w:r>
              <w:rPr>
                <w:rFonts w:hint="eastAsia"/>
                <w:color w:val="auto"/>
                <w:sz w:val="24"/>
                <w:szCs w:val="28"/>
                <w:highlight w:val="none"/>
              </w:rPr>
              <w:t>（4）项目建设地点：</w:t>
            </w:r>
            <w:r>
              <w:rPr>
                <w:rFonts w:hint="eastAsia" w:hAnsi="宋体"/>
                <w:color w:val="auto"/>
                <w:sz w:val="24"/>
                <w:highlight w:val="none"/>
              </w:rPr>
              <w:t>本项目位于</w:t>
            </w:r>
            <w:r>
              <w:rPr>
                <w:rFonts w:hint="eastAsia"/>
                <w:color w:val="auto"/>
                <w:sz w:val="24"/>
                <w:szCs w:val="24"/>
                <w:highlight w:val="none"/>
                <w:lang w:eastAsia="zh-CN"/>
              </w:rPr>
              <w:t>安徽省淮南市淮南经济技术开发区安徽永银科技发展有限公司（经开区长宁路80号）</w:t>
            </w:r>
            <w:r>
              <w:rPr>
                <w:rFonts w:hint="eastAsia"/>
                <w:color w:val="auto"/>
                <w:sz w:val="24"/>
                <w:szCs w:val="28"/>
                <w:highlight w:val="none"/>
              </w:rPr>
              <w:t>，项目中心位置地理坐标为（</w:t>
            </w:r>
            <w:r>
              <w:rPr>
                <w:rFonts w:hint="eastAsia" w:ascii="Times New Roman" w:hAnsi="Times New Roman" w:eastAsia="宋体" w:cs="Times New Roman"/>
                <w:bCs/>
                <w:color w:val="auto"/>
                <w:sz w:val="24"/>
                <w:szCs w:val="24"/>
                <w:highlight w:val="none"/>
                <w:lang w:val="en-US" w:eastAsia="zh-CN"/>
              </w:rPr>
              <w:t>E</w:t>
            </w:r>
            <w:r>
              <w:rPr>
                <w:color w:val="auto"/>
                <w:sz w:val="24"/>
                <w:szCs w:val="24"/>
                <w:highlight w:val="none"/>
                <w:u w:val="none"/>
              </w:rPr>
              <w:t>1</w:t>
            </w:r>
            <w:r>
              <w:rPr>
                <w:rFonts w:hint="eastAsia"/>
                <w:color w:val="auto"/>
                <w:sz w:val="24"/>
                <w:szCs w:val="24"/>
                <w:highlight w:val="none"/>
                <w:u w:val="none"/>
              </w:rPr>
              <w:t>17</w:t>
            </w:r>
            <w:r>
              <w:rPr>
                <w:rFonts w:hint="eastAsia" w:ascii="宋体" w:hAnsi="宋体" w:cs="宋体"/>
                <w:color w:val="auto"/>
                <w:sz w:val="24"/>
                <w:szCs w:val="24"/>
                <w:highlight w:val="none"/>
                <w:u w:val="none"/>
              </w:rPr>
              <w:t>度</w:t>
            </w:r>
            <w:r>
              <w:rPr>
                <w:rFonts w:hint="eastAsia"/>
                <w:color w:val="auto"/>
                <w:sz w:val="24"/>
                <w:szCs w:val="24"/>
                <w:highlight w:val="none"/>
                <w:u w:val="none"/>
              </w:rPr>
              <w:t>6</w:t>
            </w:r>
            <w:r>
              <w:rPr>
                <w:rFonts w:hint="eastAsia" w:ascii="宋体" w:hAnsi="宋体" w:cs="宋体"/>
                <w:color w:val="auto"/>
                <w:sz w:val="24"/>
                <w:szCs w:val="24"/>
                <w:highlight w:val="none"/>
                <w:u w:val="none"/>
              </w:rPr>
              <w:t>分</w:t>
            </w:r>
            <w:r>
              <w:rPr>
                <w:rFonts w:hint="eastAsia"/>
                <w:color w:val="auto"/>
                <w:sz w:val="24"/>
                <w:szCs w:val="24"/>
                <w:highlight w:val="none"/>
                <w:u w:val="none"/>
              </w:rPr>
              <w:t>10.450</w:t>
            </w:r>
            <w:r>
              <w:rPr>
                <w:rFonts w:hint="eastAsia" w:ascii="宋体" w:hAnsi="宋体" w:cs="宋体"/>
                <w:color w:val="auto"/>
                <w:sz w:val="24"/>
                <w:szCs w:val="24"/>
                <w:highlight w:val="none"/>
                <w:u w:val="none"/>
              </w:rPr>
              <w:t>秒，</w:t>
            </w:r>
            <w:r>
              <w:rPr>
                <w:rFonts w:hint="eastAsia" w:ascii="Times New Roman" w:hAnsi="Times New Roman" w:eastAsia="宋体" w:cs="Times New Roman"/>
                <w:bCs/>
                <w:color w:val="auto"/>
                <w:sz w:val="24"/>
                <w:szCs w:val="24"/>
                <w:highlight w:val="none"/>
                <w:u w:val="none"/>
                <w:lang w:val="en-US" w:eastAsia="zh-CN"/>
              </w:rPr>
              <w:t>N</w:t>
            </w:r>
            <w:r>
              <w:rPr>
                <w:color w:val="auto"/>
                <w:sz w:val="24"/>
                <w:szCs w:val="24"/>
                <w:highlight w:val="none"/>
                <w:u w:val="none"/>
              </w:rPr>
              <w:t>3</w:t>
            </w:r>
            <w:r>
              <w:rPr>
                <w:rFonts w:hint="eastAsia"/>
                <w:color w:val="auto"/>
                <w:sz w:val="24"/>
                <w:szCs w:val="24"/>
                <w:highlight w:val="none"/>
                <w:u w:val="none"/>
              </w:rPr>
              <w:t>2</w:t>
            </w:r>
            <w:r>
              <w:rPr>
                <w:rFonts w:hint="eastAsia" w:ascii="宋体" w:hAnsi="宋体" w:cs="宋体"/>
                <w:color w:val="auto"/>
                <w:sz w:val="24"/>
                <w:szCs w:val="24"/>
                <w:highlight w:val="none"/>
                <w:u w:val="none"/>
              </w:rPr>
              <w:t>度</w:t>
            </w:r>
            <w:r>
              <w:rPr>
                <w:rFonts w:hint="eastAsia"/>
                <w:color w:val="auto"/>
                <w:sz w:val="24"/>
                <w:szCs w:val="24"/>
                <w:highlight w:val="none"/>
                <w:u w:val="none"/>
              </w:rPr>
              <w:t>39</w:t>
            </w:r>
            <w:r>
              <w:rPr>
                <w:rFonts w:hint="eastAsia" w:ascii="宋体" w:hAnsi="宋体" w:cs="宋体"/>
                <w:color w:val="auto"/>
                <w:sz w:val="24"/>
                <w:szCs w:val="24"/>
                <w:highlight w:val="none"/>
                <w:u w:val="none"/>
              </w:rPr>
              <w:t>分</w:t>
            </w:r>
            <w:r>
              <w:rPr>
                <w:rFonts w:hint="eastAsia"/>
                <w:color w:val="auto"/>
                <w:sz w:val="24"/>
                <w:szCs w:val="24"/>
                <w:highlight w:val="none"/>
                <w:u w:val="none"/>
              </w:rPr>
              <w:t>15.600</w:t>
            </w:r>
            <w:r>
              <w:rPr>
                <w:rFonts w:hint="eastAsia" w:ascii="宋体" w:hAnsi="宋体" w:cs="宋体"/>
                <w:color w:val="auto"/>
                <w:sz w:val="24"/>
                <w:szCs w:val="24"/>
                <w:highlight w:val="none"/>
                <w:u w:val="none"/>
              </w:rPr>
              <w:t>秒</w:t>
            </w:r>
            <w:r>
              <w:rPr>
                <w:rFonts w:hint="eastAsia"/>
                <w:color w:val="auto"/>
                <w:sz w:val="24"/>
                <w:szCs w:val="28"/>
                <w:highlight w:val="none"/>
              </w:rPr>
              <w:t>）。本项目地理位置见附图1。</w:t>
            </w:r>
          </w:p>
          <w:p w14:paraId="6FB2D6FB">
            <w:pPr>
              <w:pStyle w:val="8"/>
              <w:spacing w:line="360" w:lineRule="auto"/>
              <w:ind w:firstLine="480" w:firstLineChars="200"/>
              <w:rPr>
                <w:color w:val="auto"/>
                <w:sz w:val="24"/>
                <w:szCs w:val="28"/>
                <w:highlight w:val="none"/>
              </w:rPr>
            </w:pPr>
            <w:r>
              <w:rPr>
                <w:rFonts w:hint="eastAsia"/>
                <w:color w:val="auto"/>
                <w:sz w:val="24"/>
                <w:szCs w:val="28"/>
                <w:highlight w:val="none"/>
              </w:rPr>
              <w:t>（</w:t>
            </w:r>
            <w:r>
              <w:rPr>
                <w:color w:val="auto"/>
                <w:sz w:val="24"/>
                <w:szCs w:val="28"/>
                <w:highlight w:val="none"/>
              </w:rPr>
              <w:t>5</w:t>
            </w:r>
            <w:r>
              <w:rPr>
                <w:rFonts w:hint="eastAsia"/>
                <w:color w:val="auto"/>
                <w:sz w:val="24"/>
                <w:szCs w:val="28"/>
                <w:highlight w:val="none"/>
              </w:rPr>
              <w:t>）项目投资：项目总投资</w:t>
            </w:r>
            <w:r>
              <w:rPr>
                <w:rFonts w:hint="eastAsia"/>
                <w:color w:val="auto"/>
                <w:sz w:val="24"/>
                <w:szCs w:val="28"/>
                <w:highlight w:val="none"/>
                <w:lang w:val="en-US" w:eastAsia="zh-CN"/>
              </w:rPr>
              <w:t>520</w:t>
            </w:r>
            <w:r>
              <w:rPr>
                <w:rFonts w:hint="eastAsia"/>
                <w:color w:val="auto"/>
                <w:sz w:val="24"/>
                <w:szCs w:val="28"/>
                <w:highlight w:val="none"/>
              </w:rPr>
              <w:t>万元，其中环保投资</w:t>
            </w:r>
            <w:r>
              <w:rPr>
                <w:rFonts w:hint="eastAsia"/>
                <w:color w:val="auto"/>
                <w:sz w:val="24"/>
                <w:szCs w:val="28"/>
                <w:highlight w:val="none"/>
                <w:lang w:val="en-US" w:eastAsia="zh-CN"/>
              </w:rPr>
              <w:t>50</w:t>
            </w:r>
            <w:r>
              <w:rPr>
                <w:rFonts w:hint="eastAsia"/>
                <w:color w:val="auto"/>
                <w:sz w:val="24"/>
                <w:szCs w:val="28"/>
                <w:highlight w:val="none"/>
              </w:rPr>
              <w:t>万元，占总投资</w:t>
            </w:r>
            <w:r>
              <w:rPr>
                <w:rFonts w:hint="eastAsia"/>
                <w:color w:val="auto"/>
                <w:sz w:val="24"/>
                <w:szCs w:val="28"/>
                <w:highlight w:val="none"/>
                <w:lang w:val="en-US" w:eastAsia="zh-CN"/>
              </w:rPr>
              <w:t>9.6</w:t>
            </w:r>
            <w:r>
              <w:rPr>
                <w:color w:val="auto"/>
                <w:sz w:val="24"/>
                <w:szCs w:val="28"/>
                <w:highlight w:val="none"/>
              </w:rPr>
              <w:t>%</w:t>
            </w:r>
            <w:r>
              <w:rPr>
                <w:rFonts w:hint="eastAsia"/>
                <w:color w:val="auto"/>
                <w:sz w:val="24"/>
                <w:szCs w:val="28"/>
                <w:highlight w:val="none"/>
              </w:rPr>
              <w:t>。</w:t>
            </w:r>
          </w:p>
          <w:p w14:paraId="79FF1187">
            <w:pPr>
              <w:spacing w:line="360" w:lineRule="auto"/>
              <w:ind w:firstLine="482" w:firstLineChars="200"/>
              <w:rPr>
                <w:b/>
                <w:color w:val="auto"/>
                <w:sz w:val="24"/>
                <w:highlight w:val="none"/>
              </w:rPr>
            </w:pPr>
            <w:r>
              <w:rPr>
                <w:rFonts w:hint="eastAsia"/>
                <w:b/>
                <w:color w:val="auto"/>
                <w:sz w:val="24"/>
                <w:highlight w:val="none"/>
              </w:rPr>
              <w:t>3</w:t>
            </w:r>
            <w:r>
              <w:rPr>
                <w:b/>
                <w:color w:val="auto"/>
                <w:sz w:val="24"/>
                <w:highlight w:val="none"/>
              </w:rPr>
              <w:t>、</w:t>
            </w:r>
            <w:r>
              <w:rPr>
                <w:rFonts w:hint="eastAsia"/>
                <w:b/>
                <w:color w:val="auto"/>
                <w:sz w:val="24"/>
                <w:highlight w:val="none"/>
              </w:rPr>
              <w:t>项目</w:t>
            </w:r>
            <w:r>
              <w:rPr>
                <w:b/>
                <w:color w:val="auto"/>
                <w:sz w:val="24"/>
                <w:highlight w:val="none"/>
              </w:rPr>
              <w:t>组成</w:t>
            </w:r>
          </w:p>
          <w:p w14:paraId="14D9BAEC">
            <w:pPr>
              <w:pStyle w:val="52"/>
              <w:adjustRightInd/>
              <w:spacing w:line="360" w:lineRule="auto"/>
              <w:ind w:firstLine="480" w:firstLineChars="200"/>
              <w:rPr>
                <w:rFonts w:hint="eastAsia" w:eastAsia="宋体"/>
                <w:color w:val="auto"/>
                <w:highlight w:val="none"/>
                <w:vertAlign w:val="baseline"/>
                <w:lang w:val="en-US" w:eastAsia="zh-CN"/>
              </w:rPr>
            </w:pPr>
            <w:r>
              <w:rPr>
                <w:rFonts w:hint="eastAsia" w:hAnsi="宋体"/>
                <w:color w:val="auto"/>
                <w:kern w:val="0"/>
                <w:sz w:val="24"/>
                <w:highlight w:val="none"/>
              </w:rPr>
              <w:t>本项目位于</w:t>
            </w:r>
            <w:r>
              <w:rPr>
                <w:rFonts w:hint="eastAsia" w:hAnsi="宋体"/>
                <w:color w:val="auto"/>
                <w:kern w:val="0"/>
                <w:sz w:val="24"/>
                <w:highlight w:val="none"/>
                <w:lang w:eastAsia="zh-CN"/>
              </w:rPr>
              <w:t>安徽省淮南市淮南经济技术开发区安徽永银科技发展有限公司（经开区长宁路80号），</w:t>
            </w:r>
            <w:r>
              <w:rPr>
                <w:rFonts w:hint="eastAsia" w:hAnsi="宋体"/>
                <w:color w:val="auto"/>
                <w:kern w:val="0"/>
                <w:sz w:val="24"/>
                <w:highlight w:val="none"/>
                <w:lang w:val="en-US" w:eastAsia="zh-CN"/>
              </w:rPr>
              <w:t>总</w:t>
            </w:r>
            <w:r>
              <w:rPr>
                <w:rFonts w:hint="eastAsia" w:hAnsi="宋体"/>
                <w:color w:val="auto"/>
                <w:kern w:val="0"/>
                <w:sz w:val="24"/>
                <w:highlight w:val="none"/>
              </w:rPr>
              <w:t>占地面积15333.3m</w:t>
            </w:r>
            <w:r>
              <w:rPr>
                <w:rFonts w:hint="eastAsia" w:hAnsi="宋体"/>
                <w:color w:val="auto"/>
                <w:kern w:val="0"/>
                <w:sz w:val="24"/>
                <w:highlight w:val="none"/>
                <w:vertAlign w:val="superscript"/>
              </w:rPr>
              <w:t>2</w:t>
            </w:r>
            <w:r>
              <w:rPr>
                <w:rFonts w:hint="eastAsia" w:hAnsi="宋体"/>
                <w:color w:val="auto"/>
                <w:kern w:val="0"/>
                <w:sz w:val="24"/>
                <w:highlight w:val="none"/>
                <w:vertAlign w:val="baseline"/>
                <w:lang w:eastAsia="zh-CN"/>
              </w:rPr>
              <w:t>。</w:t>
            </w:r>
            <w:r>
              <w:rPr>
                <w:rFonts w:hint="eastAsia"/>
                <w:color w:val="auto"/>
                <w:highlight w:val="none"/>
                <w:lang w:val="en-US" w:eastAsia="zh-CN"/>
              </w:rPr>
              <w:t>本次改建</w:t>
            </w:r>
            <w:r>
              <w:rPr>
                <w:rFonts w:hint="eastAsia"/>
                <w:color w:val="auto"/>
                <w:highlight w:val="none"/>
              </w:rPr>
              <w:t>项目主要</w:t>
            </w:r>
            <w:r>
              <w:rPr>
                <w:rFonts w:hint="eastAsia"/>
                <w:color w:val="auto"/>
                <w:highlight w:val="none"/>
                <w:lang w:val="en-US" w:eastAsia="zh-CN"/>
              </w:rPr>
              <w:t>依托厂区现有低温储罐区进行调整改造，利用低温储罐区西侧空置区域新增1台31.5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丁烷立式压力储罐、</w:t>
            </w:r>
            <w:r>
              <w:rPr>
                <w:rFonts w:hint="eastAsia"/>
                <w:color w:val="auto"/>
                <w:highlight w:val="none"/>
                <w:lang w:val="en-US" w:eastAsia="zh-CN"/>
              </w:rPr>
              <w:t>1台31.5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丙烷立式压力储罐、</w:t>
            </w:r>
            <w:r>
              <w:rPr>
                <w:rFonts w:hint="eastAsia"/>
                <w:color w:val="auto"/>
                <w:highlight w:val="none"/>
                <w:lang w:val="en-US" w:eastAsia="zh-CN"/>
              </w:rPr>
              <w:t>1台31.5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事故立式压力储罐以及储罐基础、防火堤；利用厂区东部空置区域新增丙烷、丁烷卸车鹤管、出料泵及压缩机等装卸输送设备；依托厂区现有乙烯充装间（包含检测区和乙烯充装线），拆除其中1条乙烯充装线，新建1条丙烷充装线、1条丁烷充装线；并于现有1#仓库北侧空置区域，新增占地面积约50.4m</w:t>
            </w:r>
            <w:r>
              <w:rPr>
                <w:rFonts w:hint="eastAsia"/>
                <w:color w:val="auto"/>
                <w:highlight w:val="none"/>
                <w:vertAlign w:val="superscript"/>
                <w:lang w:val="en-US" w:eastAsia="zh-CN"/>
              </w:rPr>
              <w:t>2</w:t>
            </w:r>
            <w:r>
              <w:rPr>
                <w:rFonts w:hint="eastAsia"/>
                <w:color w:val="auto"/>
                <w:highlight w:val="none"/>
                <w:vertAlign w:val="baseline"/>
                <w:lang w:val="en-US" w:eastAsia="zh-CN"/>
              </w:rPr>
              <w:t>的库棚（甲类），主要用于丙烷、丁烷钢瓶储存；其他公辅工程及风险防范措施均依托厂区现有工程，如</w:t>
            </w:r>
            <w:r>
              <w:rPr>
                <w:rFonts w:hint="eastAsia"/>
                <w:color w:val="auto"/>
                <w:highlight w:val="none"/>
              </w:rPr>
              <w:t>控制室</w:t>
            </w:r>
            <w:r>
              <w:rPr>
                <w:rFonts w:hint="eastAsia"/>
                <w:color w:val="auto"/>
                <w:highlight w:val="none"/>
                <w:lang w:eastAsia="zh-CN"/>
              </w:rPr>
              <w:t>（</w:t>
            </w:r>
            <w:r>
              <w:rPr>
                <w:rFonts w:hint="eastAsia"/>
                <w:color w:val="auto"/>
                <w:highlight w:val="none"/>
                <w:lang w:val="en-US" w:eastAsia="zh-CN"/>
              </w:rPr>
              <w:t>含办公区</w:t>
            </w:r>
            <w:r>
              <w:rPr>
                <w:rFonts w:hint="eastAsia"/>
                <w:color w:val="auto"/>
                <w:highlight w:val="none"/>
                <w:lang w:eastAsia="zh-CN"/>
              </w:rPr>
              <w:t>）</w:t>
            </w:r>
            <w:r>
              <w:rPr>
                <w:rFonts w:hint="eastAsia"/>
                <w:color w:val="auto"/>
                <w:highlight w:val="none"/>
              </w:rPr>
              <w:t>、配电房、门岗（南门及东门）、甲类仓库</w:t>
            </w:r>
            <w:r>
              <w:rPr>
                <w:rFonts w:hint="eastAsia"/>
                <w:color w:val="auto"/>
                <w:highlight w:val="none"/>
                <w:lang w:eastAsia="zh-CN"/>
              </w:rPr>
              <w:t>（</w:t>
            </w:r>
            <w:r>
              <w:rPr>
                <w:rFonts w:hint="eastAsia"/>
                <w:color w:val="auto"/>
                <w:highlight w:val="none"/>
                <w:lang w:val="en-US" w:eastAsia="zh-CN"/>
              </w:rPr>
              <w:t>1#仓库</w:t>
            </w:r>
            <w:r>
              <w:rPr>
                <w:rFonts w:hint="eastAsia"/>
                <w:color w:val="auto"/>
                <w:highlight w:val="none"/>
                <w:lang w:eastAsia="zh-CN"/>
              </w:rPr>
              <w:t>）</w:t>
            </w:r>
            <w:r>
              <w:rPr>
                <w:rFonts w:hint="eastAsia"/>
                <w:color w:val="auto"/>
                <w:highlight w:val="none"/>
              </w:rPr>
              <w:t>、备件库、消防泵房、消防水池、事故应急池等</w:t>
            </w:r>
            <w:r>
              <w:rPr>
                <w:rFonts w:hint="eastAsia"/>
                <w:color w:val="auto"/>
                <w:highlight w:val="none"/>
                <w:lang w:val="en-US" w:eastAsia="zh-CN"/>
              </w:rPr>
              <w:t>。</w:t>
            </w:r>
          </w:p>
          <w:p w14:paraId="168CC4BB">
            <w:pPr>
              <w:spacing w:line="360" w:lineRule="auto"/>
              <w:ind w:firstLine="480" w:firstLineChars="200"/>
              <w:rPr>
                <w:rFonts w:hAnsi="宋体"/>
                <w:color w:val="auto"/>
                <w:kern w:val="0"/>
                <w:sz w:val="24"/>
                <w:highlight w:val="none"/>
              </w:rPr>
            </w:pPr>
            <w:r>
              <w:rPr>
                <w:rFonts w:hint="eastAsia" w:hAnsi="宋体"/>
                <w:color w:val="auto"/>
                <w:kern w:val="0"/>
                <w:sz w:val="24"/>
                <w:highlight w:val="none"/>
                <w:lang w:val="en-US" w:eastAsia="zh-CN"/>
              </w:rPr>
              <w:t>本次改建项目建成后，全厂可达到</w:t>
            </w:r>
            <w:r>
              <w:rPr>
                <w:rFonts w:hint="eastAsia" w:hAnsi="宋体"/>
                <w:color w:val="auto"/>
                <w:kern w:val="0"/>
                <w:sz w:val="24"/>
                <w:highlight w:val="none"/>
              </w:rPr>
              <w:t>年销售乙烯</w:t>
            </w:r>
            <w:r>
              <w:rPr>
                <w:rFonts w:hint="eastAsia" w:hAnsi="宋体"/>
                <w:color w:val="auto"/>
                <w:kern w:val="0"/>
                <w:sz w:val="24"/>
                <w:highlight w:val="none"/>
                <w:lang w:val="en-US" w:eastAsia="zh-CN"/>
              </w:rPr>
              <w:t>2</w:t>
            </w:r>
            <w:r>
              <w:rPr>
                <w:rFonts w:hint="eastAsia" w:hAnsi="宋体"/>
                <w:color w:val="auto"/>
                <w:kern w:val="0"/>
                <w:sz w:val="24"/>
                <w:highlight w:val="none"/>
              </w:rPr>
              <w:t>000t</w:t>
            </w:r>
            <w:r>
              <w:rPr>
                <w:rFonts w:hint="eastAsia" w:hAnsi="宋体"/>
                <w:color w:val="auto"/>
                <w:kern w:val="0"/>
                <w:sz w:val="24"/>
                <w:highlight w:val="none"/>
                <w:lang w:eastAsia="zh-CN"/>
              </w:rPr>
              <w:t>（</w:t>
            </w:r>
            <w:r>
              <w:rPr>
                <w:rFonts w:hint="eastAsia" w:hAnsi="宋体"/>
                <w:color w:val="auto"/>
                <w:kern w:val="0"/>
                <w:sz w:val="24"/>
                <w:highlight w:val="none"/>
              </w:rPr>
              <w:t>折合</w:t>
            </w:r>
            <w:r>
              <w:rPr>
                <w:rFonts w:hint="eastAsia" w:hAnsi="宋体"/>
                <w:color w:val="auto"/>
                <w:kern w:val="0"/>
                <w:sz w:val="24"/>
                <w:highlight w:val="none"/>
                <w:lang w:val="en-US" w:eastAsia="zh-CN"/>
              </w:rPr>
              <w:t>40L</w:t>
            </w:r>
            <w:r>
              <w:rPr>
                <w:rFonts w:hint="eastAsia" w:hAnsi="宋体"/>
                <w:color w:val="auto"/>
                <w:kern w:val="0"/>
                <w:sz w:val="24"/>
                <w:highlight w:val="none"/>
              </w:rPr>
              <w:t>标准瓶</w:t>
            </w:r>
            <w:r>
              <w:rPr>
                <w:rFonts w:hint="eastAsia" w:hAnsi="宋体"/>
                <w:color w:val="auto"/>
                <w:kern w:val="0"/>
                <w:sz w:val="24"/>
                <w:highlight w:val="none"/>
                <w:lang w:val="en-US" w:eastAsia="zh-CN"/>
              </w:rPr>
              <w:t>约20</w:t>
            </w:r>
            <w:r>
              <w:rPr>
                <w:rFonts w:hint="eastAsia" w:hAnsi="宋体"/>
                <w:color w:val="auto"/>
                <w:kern w:val="0"/>
                <w:sz w:val="24"/>
                <w:highlight w:val="none"/>
              </w:rPr>
              <w:t>万瓶</w:t>
            </w:r>
            <w:r>
              <w:rPr>
                <w:rFonts w:hint="eastAsia" w:hAnsi="宋体"/>
                <w:color w:val="auto"/>
                <w:kern w:val="0"/>
                <w:sz w:val="24"/>
                <w:highlight w:val="none"/>
                <w:lang w:eastAsia="zh-CN"/>
              </w:rPr>
              <w:t>）、</w:t>
            </w:r>
            <w:r>
              <w:rPr>
                <w:rFonts w:hint="eastAsia" w:hAnsi="宋体"/>
                <w:color w:val="auto"/>
                <w:kern w:val="0"/>
                <w:sz w:val="24"/>
                <w:highlight w:val="none"/>
                <w:lang w:val="en-US" w:eastAsia="zh-CN"/>
              </w:rPr>
              <w:t>丙烷1000t（折合20kg标准瓶约5万瓶）、丁烷800t（折合20kg标准瓶约4万瓶）</w:t>
            </w:r>
            <w:r>
              <w:rPr>
                <w:rFonts w:hint="eastAsia" w:hAnsi="宋体"/>
                <w:color w:val="auto"/>
                <w:kern w:val="0"/>
                <w:sz w:val="24"/>
                <w:highlight w:val="none"/>
              </w:rPr>
              <w:t>。项目建设内容见下表。</w:t>
            </w:r>
          </w:p>
          <w:p w14:paraId="796C286D">
            <w:pPr>
              <w:autoSpaceDE w:val="0"/>
              <w:autoSpaceDN w:val="0"/>
              <w:adjustRightInd w:val="0"/>
              <w:snapToGrid w:val="0"/>
              <w:spacing w:line="360" w:lineRule="auto"/>
              <w:jc w:val="center"/>
              <w:rPr>
                <w:rFonts w:ascii="黑体" w:hAnsi="黑体"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2-3</w:t>
            </w:r>
            <w:r>
              <w:rPr>
                <w:rFonts w:hAnsi="黑体" w:eastAsia="黑体"/>
                <w:color w:val="auto"/>
                <w:sz w:val="24"/>
                <w:szCs w:val="24"/>
                <w:highlight w:val="none"/>
              </w:rPr>
              <w:t xml:space="preserve"> 项目建设组成一览表</w:t>
            </w:r>
          </w:p>
          <w:tbl>
            <w:tblPr>
              <w:tblStyle w:val="36"/>
              <w:tblW w:w="4997"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53"/>
              <w:gridCol w:w="795"/>
              <w:gridCol w:w="540"/>
              <w:gridCol w:w="1701"/>
              <w:gridCol w:w="2336"/>
              <w:gridCol w:w="1270"/>
              <w:gridCol w:w="865"/>
            </w:tblGrid>
            <w:tr w14:paraId="50F886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c>
                <w:tcPr>
                  <w:tcW w:w="343" w:type="pct"/>
                  <w:vAlign w:val="center"/>
                </w:tcPr>
                <w:p w14:paraId="7CE17C02">
                  <w:pPr>
                    <w:spacing w:line="276" w:lineRule="auto"/>
                    <w:contextualSpacing/>
                    <w:jc w:val="center"/>
                    <w:rPr>
                      <w:b/>
                      <w:bCs/>
                      <w:color w:val="auto"/>
                      <w:szCs w:val="21"/>
                      <w:highlight w:val="none"/>
                    </w:rPr>
                  </w:pPr>
                  <w:r>
                    <w:rPr>
                      <w:b/>
                      <w:bCs/>
                      <w:color w:val="auto"/>
                      <w:szCs w:val="21"/>
                      <w:highlight w:val="none"/>
                    </w:rPr>
                    <w:t>工程</w:t>
                  </w:r>
                </w:p>
                <w:p w14:paraId="546C6DAF">
                  <w:pPr>
                    <w:spacing w:line="276" w:lineRule="auto"/>
                    <w:contextualSpacing/>
                    <w:jc w:val="center"/>
                    <w:rPr>
                      <w:b/>
                      <w:bCs/>
                      <w:color w:val="auto"/>
                      <w:szCs w:val="21"/>
                      <w:highlight w:val="none"/>
                    </w:rPr>
                  </w:pPr>
                  <w:r>
                    <w:rPr>
                      <w:b/>
                      <w:bCs/>
                      <w:color w:val="auto"/>
                      <w:szCs w:val="21"/>
                      <w:highlight w:val="none"/>
                    </w:rPr>
                    <w:t>类别</w:t>
                  </w:r>
                </w:p>
              </w:tc>
              <w:tc>
                <w:tcPr>
                  <w:tcW w:w="493" w:type="pct"/>
                  <w:vAlign w:val="center"/>
                </w:tcPr>
                <w:p w14:paraId="4B9B55C1">
                  <w:pPr>
                    <w:spacing w:line="276" w:lineRule="auto"/>
                    <w:contextualSpacing/>
                    <w:jc w:val="center"/>
                    <w:rPr>
                      <w:b/>
                      <w:bCs/>
                      <w:color w:val="auto"/>
                      <w:szCs w:val="21"/>
                      <w:highlight w:val="none"/>
                    </w:rPr>
                  </w:pPr>
                  <w:r>
                    <w:rPr>
                      <w:b/>
                      <w:bCs/>
                      <w:color w:val="auto"/>
                      <w:szCs w:val="21"/>
                      <w:highlight w:val="none"/>
                    </w:rPr>
                    <w:t>单项工程名</w:t>
                  </w:r>
                  <w:r>
                    <w:rPr>
                      <w:rFonts w:hint="eastAsia"/>
                      <w:b/>
                      <w:bCs/>
                      <w:color w:val="auto"/>
                      <w:szCs w:val="21"/>
                      <w:highlight w:val="none"/>
                    </w:rPr>
                    <w:t>称</w:t>
                  </w:r>
                </w:p>
              </w:tc>
              <w:tc>
                <w:tcPr>
                  <w:tcW w:w="1390" w:type="pct"/>
                  <w:gridSpan w:val="2"/>
                  <w:vAlign w:val="center"/>
                </w:tcPr>
                <w:p w14:paraId="2207D9F4">
                  <w:pPr>
                    <w:spacing w:line="276" w:lineRule="auto"/>
                    <w:contextualSpacing/>
                    <w:jc w:val="center"/>
                    <w:rPr>
                      <w:b/>
                      <w:bCs/>
                      <w:color w:val="auto"/>
                      <w:szCs w:val="21"/>
                      <w:highlight w:val="none"/>
                    </w:rPr>
                  </w:pPr>
                  <w:r>
                    <w:rPr>
                      <w:rFonts w:hint="eastAsia"/>
                      <w:b/>
                      <w:bCs/>
                      <w:color w:val="auto"/>
                      <w:szCs w:val="21"/>
                      <w:highlight w:val="none"/>
                      <w:lang w:val="en-US" w:eastAsia="zh-CN"/>
                    </w:rPr>
                    <w:t>现有</w:t>
                  </w:r>
                  <w:r>
                    <w:rPr>
                      <w:b/>
                      <w:bCs/>
                      <w:color w:val="auto"/>
                      <w:szCs w:val="21"/>
                      <w:highlight w:val="none"/>
                    </w:rPr>
                    <w:t>工程内容</w:t>
                  </w:r>
                  <w:r>
                    <w:rPr>
                      <w:rFonts w:hint="eastAsia"/>
                      <w:b/>
                      <w:bCs/>
                      <w:color w:val="auto"/>
                      <w:szCs w:val="21"/>
                      <w:highlight w:val="none"/>
                      <w:lang w:val="en-US" w:eastAsia="zh-CN"/>
                    </w:rPr>
                    <w:t>及</w:t>
                  </w:r>
                  <w:r>
                    <w:rPr>
                      <w:rFonts w:hint="eastAsia"/>
                      <w:b/>
                      <w:bCs/>
                      <w:color w:val="auto"/>
                      <w:szCs w:val="21"/>
                      <w:highlight w:val="none"/>
                    </w:rPr>
                    <w:t>规模</w:t>
                  </w:r>
                </w:p>
              </w:tc>
              <w:tc>
                <w:tcPr>
                  <w:tcW w:w="1449" w:type="pct"/>
                  <w:vAlign w:val="center"/>
                </w:tcPr>
                <w:p w14:paraId="3CE45A13">
                  <w:pPr>
                    <w:spacing w:line="276" w:lineRule="auto"/>
                    <w:contextualSpacing/>
                    <w:jc w:val="center"/>
                    <w:rPr>
                      <w:rFonts w:hint="default"/>
                      <w:b/>
                      <w:bCs/>
                      <w:color w:val="auto"/>
                      <w:szCs w:val="21"/>
                      <w:highlight w:val="none"/>
                      <w:lang w:val="en-US" w:eastAsia="zh-CN"/>
                    </w:rPr>
                  </w:pPr>
                  <w:r>
                    <w:rPr>
                      <w:rFonts w:hint="eastAsia"/>
                      <w:b/>
                      <w:bCs/>
                      <w:color w:val="auto"/>
                      <w:szCs w:val="21"/>
                      <w:highlight w:val="none"/>
                      <w:lang w:val="en-US" w:eastAsia="zh-CN"/>
                    </w:rPr>
                    <w:t>改扩建工程内容及规模</w:t>
                  </w:r>
                </w:p>
              </w:tc>
              <w:tc>
                <w:tcPr>
                  <w:tcW w:w="787" w:type="pct"/>
                  <w:vAlign w:val="center"/>
                </w:tcPr>
                <w:p w14:paraId="673F4945">
                  <w:pPr>
                    <w:spacing w:line="276" w:lineRule="auto"/>
                    <w:contextualSpacing/>
                    <w:jc w:val="center"/>
                    <w:rPr>
                      <w:rFonts w:hint="default"/>
                      <w:b/>
                      <w:bCs/>
                      <w:color w:val="auto"/>
                      <w:szCs w:val="21"/>
                      <w:highlight w:val="none"/>
                      <w:lang w:val="en-US" w:eastAsia="zh-CN"/>
                    </w:rPr>
                  </w:pPr>
                  <w:r>
                    <w:rPr>
                      <w:rFonts w:hint="eastAsia"/>
                      <w:b/>
                      <w:bCs/>
                      <w:color w:val="auto"/>
                      <w:szCs w:val="21"/>
                      <w:highlight w:val="none"/>
                      <w:lang w:val="en-US" w:eastAsia="zh-CN"/>
                    </w:rPr>
                    <w:t>与现有工程依托关系</w:t>
                  </w:r>
                </w:p>
              </w:tc>
              <w:tc>
                <w:tcPr>
                  <w:tcW w:w="536" w:type="pct"/>
                  <w:vAlign w:val="center"/>
                </w:tcPr>
                <w:p w14:paraId="6194E570">
                  <w:pPr>
                    <w:spacing w:line="276" w:lineRule="auto"/>
                    <w:contextualSpacing/>
                    <w:jc w:val="center"/>
                    <w:rPr>
                      <w:rFonts w:hint="default"/>
                      <w:b/>
                      <w:bCs/>
                      <w:color w:val="auto"/>
                      <w:szCs w:val="21"/>
                      <w:highlight w:val="none"/>
                      <w:lang w:val="en-US" w:eastAsia="zh-CN"/>
                    </w:rPr>
                  </w:pPr>
                  <w:r>
                    <w:rPr>
                      <w:rFonts w:hint="eastAsia"/>
                      <w:b/>
                      <w:bCs/>
                      <w:color w:val="auto"/>
                      <w:szCs w:val="21"/>
                      <w:highlight w:val="none"/>
                      <w:lang w:val="en-US" w:eastAsia="zh-CN"/>
                    </w:rPr>
                    <w:t>备注</w:t>
                  </w:r>
                </w:p>
              </w:tc>
            </w:tr>
            <w:tr w14:paraId="6F26A0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Align w:val="center"/>
                </w:tcPr>
                <w:p w14:paraId="7BE3009B">
                  <w:pPr>
                    <w:spacing w:line="276" w:lineRule="auto"/>
                    <w:contextualSpacing/>
                    <w:jc w:val="center"/>
                    <w:rPr>
                      <w:bCs/>
                      <w:color w:val="auto"/>
                      <w:szCs w:val="21"/>
                      <w:highlight w:val="none"/>
                    </w:rPr>
                  </w:pPr>
                  <w:r>
                    <w:rPr>
                      <w:bCs/>
                      <w:color w:val="auto"/>
                      <w:szCs w:val="21"/>
                      <w:highlight w:val="none"/>
                    </w:rPr>
                    <w:t>主体</w:t>
                  </w:r>
                </w:p>
                <w:p w14:paraId="06E87519">
                  <w:pPr>
                    <w:spacing w:line="276" w:lineRule="auto"/>
                    <w:contextualSpacing/>
                    <w:jc w:val="center"/>
                    <w:rPr>
                      <w:bCs/>
                      <w:color w:val="auto"/>
                      <w:szCs w:val="21"/>
                      <w:highlight w:val="none"/>
                    </w:rPr>
                  </w:pPr>
                  <w:r>
                    <w:rPr>
                      <w:bCs/>
                      <w:color w:val="auto"/>
                      <w:szCs w:val="21"/>
                      <w:highlight w:val="none"/>
                    </w:rPr>
                    <w:t>工程</w:t>
                  </w:r>
                </w:p>
              </w:tc>
              <w:tc>
                <w:tcPr>
                  <w:tcW w:w="493" w:type="pct"/>
                  <w:vAlign w:val="center"/>
                </w:tcPr>
                <w:p w14:paraId="5A4553FD">
                  <w:pPr>
                    <w:spacing w:line="276" w:lineRule="auto"/>
                    <w:contextualSpacing/>
                    <w:jc w:val="center"/>
                    <w:rPr>
                      <w:bCs/>
                      <w:color w:val="auto"/>
                      <w:szCs w:val="21"/>
                      <w:highlight w:val="none"/>
                    </w:rPr>
                  </w:pPr>
                  <w:r>
                    <w:rPr>
                      <w:bCs/>
                      <w:color w:val="auto"/>
                      <w:szCs w:val="21"/>
                      <w:highlight w:val="none"/>
                    </w:rPr>
                    <w:t>充装间</w:t>
                  </w:r>
                </w:p>
              </w:tc>
              <w:tc>
                <w:tcPr>
                  <w:tcW w:w="1390" w:type="pct"/>
                  <w:gridSpan w:val="2"/>
                  <w:vAlign w:val="center"/>
                </w:tcPr>
                <w:p w14:paraId="26DE93A2">
                  <w:pPr>
                    <w:spacing w:line="276" w:lineRule="auto"/>
                    <w:contextualSpacing/>
                    <w:jc w:val="center"/>
                    <w:rPr>
                      <w:bCs/>
                      <w:color w:val="auto"/>
                      <w:szCs w:val="21"/>
                      <w:highlight w:val="none"/>
                    </w:rPr>
                  </w:pPr>
                  <w:r>
                    <w:rPr>
                      <w:bCs/>
                      <w:color w:val="auto"/>
                      <w:szCs w:val="21"/>
                      <w:highlight w:val="none"/>
                    </w:rPr>
                    <w:t>位于厂区中部，占地面积为</w:t>
                  </w:r>
                  <w:r>
                    <w:rPr>
                      <w:rFonts w:hint="eastAsia"/>
                      <w:bCs/>
                      <w:color w:val="auto"/>
                      <w:szCs w:val="21"/>
                      <w:highlight w:val="none"/>
                    </w:rPr>
                    <w:t>216m</w:t>
                  </w:r>
                  <w:r>
                    <w:rPr>
                      <w:rFonts w:hint="eastAsia"/>
                      <w:bCs/>
                      <w:color w:val="auto"/>
                      <w:szCs w:val="21"/>
                      <w:highlight w:val="none"/>
                      <w:vertAlign w:val="superscript"/>
                    </w:rPr>
                    <w:t>2</w:t>
                  </w:r>
                  <w:r>
                    <w:rPr>
                      <w:rFonts w:hint="eastAsia"/>
                      <w:bCs/>
                      <w:color w:val="auto"/>
                      <w:szCs w:val="21"/>
                      <w:highlight w:val="none"/>
                      <w:vertAlign w:val="baseline"/>
                      <w:lang w:eastAsia="zh-CN"/>
                    </w:rPr>
                    <w:t>，</w:t>
                  </w:r>
                  <w:r>
                    <w:rPr>
                      <w:bCs/>
                      <w:color w:val="auto"/>
                      <w:szCs w:val="21"/>
                      <w:highlight w:val="none"/>
                    </w:rPr>
                    <w:t>设置</w:t>
                  </w:r>
                  <w:r>
                    <w:rPr>
                      <w:rFonts w:hint="eastAsia"/>
                      <w:bCs/>
                      <w:color w:val="auto"/>
                      <w:szCs w:val="21"/>
                      <w:highlight w:val="none"/>
                    </w:rPr>
                    <w:t>1处</w:t>
                  </w:r>
                  <w:r>
                    <w:rPr>
                      <w:bCs/>
                      <w:color w:val="auto"/>
                      <w:szCs w:val="21"/>
                      <w:highlight w:val="none"/>
                    </w:rPr>
                    <w:t>充装间</w:t>
                  </w:r>
                  <w:r>
                    <w:rPr>
                      <w:rFonts w:hint="eastAsia"/>
                      <w:bCs/>
                      <w:color w:val="auto"/>
                      <w:szCs w:val="21"/>
                      <w:highlight w:val="none"/>
                    </w:rPr>
                    <w:t>，主要用于乙烯充装及暂存，布设</w:t>
                  </w:r>
                  <w:r>
                    <w:rPr>
                      <w:rFonts w:hint="eastAsia"/>
                      <w:bCs/>
                      <w:color w:val="auto"/>
                      <w:szCs w:val="21"/>
                      <w:highlight w:val="none"/>
                      <w:lang w:val="en-US" w:eastAsia="zh-CN"/>
                    </w:rPr>
                    <w:t>2条乙烯充装线（2组乙烯充装汇流排，含4套</w:t>
                  </w:r>
                  <w:r>
                    <w:rPr>
                      <w:rFonts w:hint="eastAsia"/>
                      <w:bCs/>
                      <w:color w:val="auto"/>
                      <w:szCs w:val="21"/>
                      <w:highlight w:val="none"/>
                    </w:rPr>
                    <w:t>汇流排</w:t>
                  </w:r>
                  <w:r>
                    <w:rPr>
                      <w:rFonts w:hint="eastAsia"/>
                      <w:bCs/>
                      <w:color w:val="auto"/>
                      <w:szCs w:val="21"/>
                      <w:highlight w:val="none"/>
                      <w:lang w:val="en-US" w:eastAsia="zh-CN"/>
                    </w:rPr>
                    <w:t>）</w:t>
                  </w:r>
                  <w:r>
                    <w:rPr>
                      <w:rFonts w:hint="eastAsia"/>
                      <w:bCs/>
                      <w:color w:val="auto"/>
                      <w:szCs w:val="21"/>
                      <w:highlight w:val="none"/>
                      <w:lang w:eastAsia="zh-CN"/>
                    </w:rPr>
                    <w:t>，</w:t>
                  </w:r>
                  <w:r>
                    <w:rPr>
                      <w:bCs/>
                      <w:color w:val="auto"/>
                      <w:szCs w:val="21"/>
                      <w:highlight w:val="none"/>
                    </w:rPr>
                    <w:t>年充装</w:t>
                  </w:r>
                  <w:r>
                    <w:rPr>
                      <w:rFonts w:hint="eastAsia"/>
                      <w:bCs/>
                      <w:color w:val="auto"/>
                      <w:szCs w:val="21"/>
                      <w:highlight w:val="none"/>
                    </w:rPr>
                    <w:t>40万瓶乙烯</w:t>
                  </w:r>
                  <w:r>
                    <w:rPr>
                      <w:rFonts w:hint="eastAsia"/>
                      <w:bCs/>
                      <w:color w:val="auto"/>
                      <w:szCs w:val="21"/>
                      <w:highlight w:val="none"/>
                      <w:lang w:eastAsia="zh-CN"/>
                    </w:rPr>
                    <w:t>。</w:t>
                  </w:r>
                </w:p>
              </w:tc>
              <w:tc>
                <w:tcPr>
                  <w:tcW w:w="1449" w:type="pct"/>
                  <w:vAlign w:val="center"/>
                </w:tcPr>
                <w:p w14:paraId="73813387">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本次改建项目依托乙烯充装间（含检测区、乙烯充装线），保留现有充装间内东侧1条乙烯充装线，拆除1条乙烯充装线，利用建筑面积约12m</w:t>
                  </w:r>
                  <w:r>
                    <w:rPr>
                      <w:rFonts w:hint="eastAsia"/>
                      <w:bCs/>
                      <w:color w:val="auto"/>
                      <w:szCs w:val="21"/>
                      <w:highlight w:val="none"/>
                      <w:vertAlign w:val="superscript"/>
                      <w:lang w:val="en-US" w:eastAsia="zh-CN"/>
                    </w:rPr>
                    <w:t>2</w:t>
                  </w:r>
                  <w:r>
                    <w:rPr>
                      <w:rFonts w:hint="eastAsia"/>
                      <w:bCs/>
                      <w:color w:val="auto"/>
                      <w:szCs w:val="21"/>
                      <w:highlight w:val="none"/>
                      <w:vertAlign w:val="baseline"/>
                      <w:lang w:val="en-US" w:eastAsia="zh-CN"/>
                    </w:rPr>
                    <w:t>的</w:t>
                  </w:r>
                  <w:r>
                    <w:rPr>
                      <w:rFonts w:hint="eastAsia"/>
                      <w:bCs/>
                      <w:color w:val="auto"/>
                      <w:szCs w:val="21"/>
                      <w:highlight w:val="none"/>
                      <w:lang w:val="en-US" w:eastAsia="zh-CN"/>
                    </w:rPr>
                    <w:t>拆除</w:t>
                  </w:r>
                  <w:r>
                    <w:rPr>
                      <w:rFonts w:hint="eastAsia"/>
                      <w:bCs/>
                      <w:color w:val="auto"/>
                      <w:szCs w:val="21"/>
                      <w:highlight w:val="none"/>
                      <w:vertAlign w:val="baseline"/>
                      <w:lang w:val="en-US" w:eastAsia="zh-CN"/>
                    </w:rPr>
                    <w:t>空置区域</w:t>
                  </w:r>
                  <w:r>
                    <w:rPr>
                      <w:rFonts w:hint="eastAsia"/>
                      <w:bCs/>
                      <w:color w:val="auto"/>
                      <w:szCs w:val="21"/>
                      <w:highlight w:val="none"/>
                      <w:lang w:val="en-US" w:eastAsia="zh-CN"/>
                    </w:rPr>
                    <w:t>布设1条丙烷充装线（1组丙烷充装汇流排）、1条丁烷充装线（1组丙烷充装汇流排），建成后全厂年充装20万瓶乙烯、5万瓶丙烷、4万瓶丁烷。</w:t>
                  </w:r>
                </w:p>
              </w:tc>
              <w:tc>
                <w:tcPr>
                  <w:tcW w:w="787" w:type="pct"/>
                  <w:vAlign w:val="center"/>
                </w:tcPr>
                <w:p w14:paraId="194525EB">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依托现有乙烯充装间拆除空置区域改造为丙烷及乙烷充装线，充装间内其他装置及设施均保留。</w:t>
                  </w:r>
                </w:p>
              </w:tc>
              <w:tc>
                <w:tcPr>
                  <w:tcW w:w="536" w:type="pct"/>
                  <w:vAlign w:val="center"/>
                </w:tcPr>
                <w:p w14:paraId="2E3D8EA2">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依托现有改造，并新建设施</w:t>
                  </w:r>
                </w:p>
              </w:tc>
            </w:tr>
            <w:tr w14:paraId="40C38C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restart"/>
                  <w:vAlign w:val="center"/>
                </w:tcPr>
                <w:p w14:paraId="55CB2DF4">
                  <w:pPr>
                    <w:spacing w:line="276" w:lineRule="auto"/>
                    <w:contextualSpacing/>
                    <w:jc w:val="center"/>
                    <w:rPr>
                      <w:bCs/>
                      <w:color w:val="auto"/>
                      <w:szCs w:val="21"/>
                      <w:highlight w:val="none"/>
                    </w:rPr>
                  </w:pPr>
                  <w:r>
                    <w:rPr>
                      <w:bCs/>
                      <w:color w:val="auto"/>
                      <w:szCs w:val="21"/>
                      <w:highlight w:val="none"/>
                    </w:rPr>
                    <w:t>储运</w:t>
                  </w:r>
                </w:p>
                <w:p w14:paraId="02111CD0">
                  <w:pPr>
                    <w:spacing w:line="276" w:lineRule="auto"/>
                    <w:contextualSpacing/>
                    <w:jc w:val="center"/>
                    <w:rPr>
                      <w:bCs/>
                      <w:color w:val="auto"/>
                      <w:szCs w:val="21"/>
                      <w:highlight w:val="none"/>
                    </w:rPr>
                  </w:pPr>
                  <w:r>
                    <w:rPr>
                      <w:bCs/>
                      <w:color w:val="auto"/>
                      <w:szCs w:val="21"/>
                      <w:highlight w:val="none"/>
                    </w:rPr>
                    <w:t>工程</w:t>
                  </w:r>
                </w:p>
              </w:tc>
              <w:tc>
                <w:tcPr>
                  <w:tcW w:w="493" w:type="pct"/>
                  <w:vAlign w:val="center"/>
                </w:tcPr>
                <w:p w14:paraId="3E15C822">
                  <w:pPr>
                    <w:spacing w:line="276" w:lineRule="auto"/>
                    <w:contextualSpacing/>
                    <w:jc w:val="center"/>
                    <w:rPr>
                      <w:bCs/>
                      <w:color w:val="auto"/>
                      <w:szCs w:val="21"/>
                      <w:highlight w:val="none"/>
                    </w:rPr>
                  </w:pPr>
                  <w:r>
                    <w:rPr>
                      <w:bCs/>
                      <w:color w:val="auto"/>
                      <w:szCs w:val="21"/>
                      <w:highlight w:val="none"/>
                    </w:rPr>
                    <w:t>储罐区</w:t>
                  </w:r>
                </w:p>
              </w:tc>
              <w:tc>
                <w:tcPr>
                  <w:tcW w:w="1390" w:type="pct"/>
                  <w:gridSpan w:val="2"/>
                  <w:vAlign w:val="center"/>
                </w:tcPr>
                <w:p w14:paraId="6598AE6B">
                  <w:pPr>
                    <w:spacing w:line="276" w:lineRule="auto"/>
                    <w:contextualSpacing/>
                    <w:jc w:val="center"/>
                    <w:rPr>
                      <w:rFonts w:hint="eastAsia" w:eastAsia="宋体"/>
                      <w:bCs/>
                      <w:color w:val="auto"/>
                      <w:szCs w:val="21"/>
                      <w:highlight w:val="none"/>
                      <w:vertAlign w:val="baseline"/>
                      <w:lang w:eastAsia="zh-CN"/>
                    </w:rPr>
                  </w:pPr>
                  <w:r>
                    <w:rPr>
                      <w:bCs/>
                      <w:color w:val="auto"/>
                      <w:szCs w:val="21"/>
                      <w:highlight w:val="none"/>
                    </w:rPr>
                    <w:t>位于厂区东南部，占地面积为</w:t>
                  </w:r>
                  <w:r>
                    <w:rPr>
                      <w:rFonts w:hint="eastAsia"/>
                      <w:bCs/>
                      <w:color w:val="auto"/>
                      <w:szCs w:val="21"/>
                      <w:highlight w:val="none"/>
                    </w:rPr>
                    <w:t>216.58m</w:t>
                  </w:r>
                  <w:r>
                    <w:rPr>
                      <w:rFonts w:hint="eastAsia"/>
                      <w:bCs/>
                      <w:color w:val="auto"/>
                      <w:szCs w:val="21"/>
                      <w:highlight w:val="none"/>
                      <w:vertAlign w:val="superscript"/>
                    </w:rPr>
                    <w:t>2</w:t>
                  </w:r>
                  <w:r>
                    <w:rPr>
                      <w:rFonts w:hint="eastAsia"/>
                      <w:bCs/>
                      <w:color w:val="auto"/>
                      <w:szCs w:val="21"/>
                      <w:highlight w:val="none"/>
                    </w:rPr>
                    <w:t>，</w:t>
                  </w:r>
                  <w:r>
                    <w:rPr>
                      <w:bCs/>
                      <w:color w:val="auto"/>
                      <w:szCs w:val="21"/>
                      <w:highlight w:val="none"/>
                    </w:rPr>
                    <w:t>主要布设</w:t>
                  </w:r>
                  <w:r>
                    <w:rPr>
                      <w:rFonts w:hint="eastAsia"/>
                      <w:bCs/>
                      <w:color w:val="auto"/>
                      <w:szCs w:val="21"/>
                      <w:highlight w:val="none"/>
                    </w:rPr>
                    <w:t>2座容积为30m</w:t>
                  </w:r>
                  <w:r>
                    <w:rPr>
                      <w:rFonts w:hint="eastAsia"/>
                      <w:bCs/>
                      <w:color w:val="auto"/>
                      <w:szCs w:val="21"/>
                      <w:highlight w:val="none"/>
                      <w:vertAlign w:val="superscript"/>
                    </w:rPr>
                    <w:t>3</w:t>
                  </w:r>
                  <w:r>
                    <w:rPr>
                      <w:rFonts w:hint="eastAsia"/>
                      <w:bCs/>
                      <w:color w:val="auto"/>
                      <w:szCs w:val="21"/>
                      <w:highlight w:val="none"/>
                    </w:rPr>
                    <w:t>的低温储罐，罐底连接低温乙烯卸车鹤管及低温乙烯泵管，罐顶连接罐车气相管及低温乙烯泵气相管，建设低温储罐乙烯转输系统</w:t>
                  </w:r>
                  <w:r>
                    <w:rPr>
                      <w:rFonts w:hint="eastAsia"/>
                      <w:bCs/>
                      <w:color w:val="auto"/>
                      <w:szCs w:val="21"/>
                      <w:highlight w:val="none"/>
                      <w:lang w:eastAsia="zh-CN"/>
                    </w:rPr>
                    <w:t>；</w:t>
                  </w:r>
                  <w:r>
                    <w:rPr>
                      <w:rFonts w:hint="eastAsia"/>
                      <w:bCs/>
                      <w:color w:val="auto"/>
                      <w:szCs w:val="21"/>
                      <w:highlight w:val="none"/>
                    </w:rPr>
                    <w:t>2座储罐总容积60m</w:t>
                  </w:r>
                  <w:r>
                    <w:rPr>
                      <w:rFonts w:hint="eastAsia"/>
                      <w:bCs/>
                      <w:color w:val="auto"/>
                      <w:szCs w:val="21"/>
                      <w:highlight w:val="none"/>
                      <w:vertAlign w:val="superscript"/>
                    </w:rPr>
                    <w:t>3</w:t>
                  </w:r>
                  <w:r>
                    <w:rPr>
                      <w:rFonts w:hint="eastAsia"/>
                      <w:bCs/>
                      <w:color w:val="auto"/>
                      <w:szCs w:val="21"/>
                      <w:highlight w:val="none"/>
                      <w:vertAlign w:val="baseline"/>
                      <w:lang w:eastAsia="zh-CN"/>
                    </w:rPr>
                    <w:t>。</w:t>
                  </w:r>
                </w:p>
              </w:tc>
              <w:tc>
                <w:tcPr>
                  <w:tcW w:w="1449" w:type="pct"/>
                  <w:vAlign w:val="center"/>
                </w:tcPr>
                <w:p w14:paraId="0E8A2793">
                  <w:pPr>
                    <w:spacing w:line="276" w:lineRule="auto"/>
                    <w:contextualSpacing/>
                    <w:jc w:val="center"/>
                    <w:rPr>
                      <w:rFonts w:hint="default" w:eastAsia="宋体"/>
                      <w:bCs/>
                      <w:color w:val="auto"/>
                      <w:szCs w:val="21"/>
                      <w:highlight w:val="none"/>
                      <w:vertAlign w:val="baseline"/>
                      <w:lang w:val="en-US" w:eastAsia="zh-CN"/>
                    </w:rPr>
                  </w:pPr>
                  <w:r>
                    <w:rPr>
                      <w:rFonts w:hint="eastAsia"/>
                      <w:bCs/>
                      <w:color w:val="auto"/>
                      <w:szCs w:val="21"/>
                      <w:highlight w:val="none"/>
                      <w:lang w:val="en-US" w:eastAsia="zh-CN"/>
                    </w:rPr>
                    <w:t>本次改建项目保留现有1台30m</w:t>
                  </w:r>
                  <w:r>
                    <w:rPr>
                      <w:rFonts w:hint="eastAsia"/>
                      <w:bCs/>
                      <w:color w:val="auto"/>
                      <w:szCs w:val="21"/>
                      <w:highlight w:val="none"/>
                      <w:vertAlign w:val="superscript"/>
                      <w:lang w:val="en-US" w:eastAsia="zh-CN"/>
                    </w:rPr>
                    <w:t>3</w:t>
                  </w:r>
                  <w:r>
                    <w:rPr>
                      <w:rFonts w:hint="eastAsia"/>
                      <w:bCs/>
                      <w:color w:val="auto"/>
                      <w:szCs w:val="21"/>
                      <w:highlight w:val="none"/>
                      <w:lang w:val="en-US" w:eastAsia="zh-CN"/>
                    </w:rPr>
                    <w:t>低温乙烯储罐，永久停用1台30m</w:t>
                  </w:r>
                  <w:r>
                    <w:rPr>
                      <w:rFonts w:hint="eastAsia"/>
                      <w:bCs/>
                      <w:color w:val="auto"/>
                      <w:szCs w:val="21"/>
                      <w:highlight w:val="none"/>
                      <w:vertAlign w:val="superscript"/>
                      <w:lang w:val="en-US" w:eastAsia="zh-CN"/>
                    </w:rPr>
                    <w:t>3</w:t>
                  </w:r>
                  <w:r>
                    <w:rPr>
                      <w:rFonts w:hint="eastAsia"/>
                      <w:bCs/>
                      <w:color w:val="auto"/>
                      <w:szCs w:val="21"/>
                      <w:highlight w:val="none"/>
                      <w:lang w:val="en-US" w:eastAsia="zh-CN"/>
                    </w:rPr>
                    <w:t>低温乙烯储罐（不拆除、不使用），并依托现有低温储罐区西侧占地面积约176m</w:t>
                  </w:r>
                  <w:r>
                    <w:rPr>
                      <w:rFonts w:hint="eastAsia"/>
                      <w:bCs/>
                      <w:color w:val="auto"/>
                      <w:szCs w:val="21"/>
                      <w:highlight w:val="none"/>
                      <w:vertAlign w:val="superscript"/>
                      <w:lang w:val="en-US" w:eastAsia="zh-CN"/>
                    </w:rPr>
                    <w:t>2</w:t>
                  </w:r>
                  <w:r>
                    <w:rPr>
                      <w:rFonts w:hint="eastAsia"/>
                      <w:bCs/>
                      <w:color w:val="auto"/>
                      <w:szCs w:val="21"/>
                      <w:highlight w:val="none"/>
                      <w:lang w:val="en-US" w:eastAsia="zh-CN"/>
                    </w:rPr>
                    <w:t>区域，</w:t>
                  </w:r>
                  <w:r>
                    <w:rPr>
                      <w:rFonts w:hint="eastAsia"/>
                      <w:color w:val="auto"/>
                      <w:highlight w:val="none"/>
                      <w:lang w:val="en-US" w:eastAsia="zh-CN"/>
                    </w:rPr>
                    <w:t>新增3台容积均为31.5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的立式压力储罐，由北向南分别为</w:t>
                  </w:r>
                  <w:r>
                    <w:rPr>
                      <w:rFonts w:hint="eastAsia"/>
                      <w:color w:val="auto"/>
                      <w:highlight w:val="none"/>
                      <w:lang w:val="en-US" w:eastAsia="zh-CN"/>
                    </w:rPr>
                    <w:t>丙烷压力储罐、</w:t>
                  </w:r>
                  <w:r>
                    <w:rPr>
                      <w:rFonts w:hint="eastAsia"/>
                      <w:color w:val="auto"/>
                      <w:highlight w:val="none"/>
                      <w:vertAlign w:val="baseline"/>
                      <w:lang w:val="en-US" w:eastAsia="zh-CN"/>
                    </w:rPr>
                    <w:t>丁烷压力储罐以及事故罐（用于丙烷、丁烷事故倒罐使用），其中丙烷、丁烷压力储罐罐底连接配套的卸车鹤管，罐顶连接压缩机增压泵气相管，配套建设丙烷、丁烷传输系统。改造后，低温储罐区总占地面积由216.58m</w:t>
                  </w:r>
                  <w:r>
                    <w:rPr>
                      <w:rFonts w:hint="eastAsia"/>
                      <w:color w:val="auto"/>
                      <w:highlight w:val="none"/>
                      <w:vertAlign w:val="superscript"/>
                      <w:lang w:val="en-US" w:eastAsia="zh-CN"/>
                    </w:rPr>
                    <w:t>2</w:t>
                  </w:r>
                  <w:r>
                    <w:rPr>
                      <w:rFonts w:hint="eastAsia"/>
                      <w:color w:val="auto"/>
                      <w:highlight w:val="none"/>
                      <w:vertAlign w:val="baseline"/>
                      <w:lang w:val="en-US" w:eastAsia="zh-CN"/>
                    </w:rPr>
                    <w:t>调整为323.2m</w:t>
                  </w:r>
                  <w:r>
                    <w:rPr>
                      <w:rFonts w:hint="eastAsia"/>
                      <w:color w:val="auto"/>
                      <w:highlight w:val="none"/>
                      <w:vertAlign w:val="superscript"/>
                      <w:lang w:val="en-US" w:eastAsia="zh-CN"/>
                    </w:rPr>
                    <w:t>2</w:t>
                  </w:r>
                  <w:r>
                    <w:rPr>
                      <w:rFonts w:hint="eastAsia"/>
                      <w:color w:val="auto"/>
                      <w:highlight w:val="none"/>
                      <w:vertAlign w:val="baseline"/>
                      <w:lang w:val="en-US" w:eastAsia="zh-CN"/>
                    </w:rPr>
                    <w:t>，4台储罐总容积为124.5m</w:t>
                  </w:r>
                  <w:r>
                    <w:rPr>
                      <w:rFonts w:hint="eastAsia"/>
                      <w:color w:val="auto"/>
                      <w:highlight w:val="none"/>
                      <w:vertAlign w:val="superscript"/>
                      <w:lang w:val="en-US" w:eastAsia="zh-CN"/>
                    </w:rPr>
                    <w:t>3</w:t>
                  </w:r>
                  <w:r>
                    <w:rPr>
                      <w:rFonts w:hint="eastAsia"/>
                      <w:color w:val="auto"/>
                      <w:highlight w:val="none"/>
                      <w:vertAlign w:val="baseline"/>
                      <w:lang w:val="en-US" w:eastAsia="zh-CN"/>
                    </w:rPr>
                    <w:t>。</w:t>
                  </w:r>
                </w:p>
              </w:tc>
              <w:tc>
                <w:tcPr>
                  <w:tcW w:w="787" w:type="pct"/>
                  <w:vAlign w:val="center"/>
                </w:tcPr>
                <w:p w14:paraId="1D3F31CE">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依托现有储罐区西侧空置区域新建3台压力储罐，停用1台低温乙烯储罐，并对低温储罐区进行改造</w:t>
                  </w:r>
                </w:p>
              </w:tc>
              <w:tc>
                <w:tcPr>
                  <w:tcW w:w="536" w:type="pct"/>
                  <w:vAlign w:val="center"/>
                </w:tcPr>
                <w:p w14:paraId="6FAA66F7">
                  <w:pPr>
                    <w:spacing w:line="276" w:lineRule="auto"/>
                    <w:contextualSpacing/>
                    <w:jc w:val="center"/>
                    <w:rPr>
                      <w:rFonts w:hint="eastAsia"/>
                      <w:bCs/>
                      <w:color w:val="auto"/>
                      <w:szCs w:val="21"/>
                      <w:highlight w:val="none"/>
                    </w:rPr>
                  </w:pPr>
                  <w:r>
                    <w:rPr>
                      <w:rFonts w:hint="eastAsia"/>
                      <w:bCs/>
                      <w:color w:val="auto"/>
                      <w:szCs w:val="21"/>
                      <w:highlight w:val="none"/>
                      <w:lang w:val="en-US" w:eastAsia="zh-CN"/>
                    </w:rPr>
                    <w:t>依托现有改造，新建设施</w:t>
                  </w:r>
                </w:p>
              </w:tc>
            </w:tr>
            <w:tr w14:paraId="233035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43" w:type="pct"/>
                  <w:vMerge w:val="continue"/>
                  <w:vAlign w:val="center"/>
                </w:tcPr>
                <w:p w14:paraId="5E7DE107">
                  <w:pPr>
                    <w:spacing w:line="276" w:lineRule="auto"/>
                    <w:contextualSpacing/>
                    <w:jc w:val="center"/>
                    <w:rPr>
                      <w:bCs/>
                      <w:color w:val="auto"/>
                      <w:szCs w:val="21"/>
                      <w:highlight w:val="none"/>
                    </w:rPr>
                  </w:pPr>
                </w:p>
              </w:tc>
              <w:tc>
                <w:tcPr>
                  <w:tcW w:w="493" w:type="pct"/>
                  <w:vAlign w:val="center"/>
                </w:tcPr>
                <w:p w14:paraId="6B81A940">
                  <w:pPr>
                    <w:spacing w:line="276" w:lineRule="auto"/>
                    <w:contextualSpacing/>
                    <w:jc w:val="center"/>
                    <w:rPr>
                      <w:rFonts w:hint="eastAsia" w:eastAsia="宋体"/>
                      <w:bCs/>
                      <w:color w:val="auto"/>
                      <w:szCs w:val="21"/>
                      <w:highlight w:val="none"/>
                      <w:lang w:eastAsia="zh-CN"/>
                    </w:rPr>
                  </w:pPr>
                  <w:r>
                    <w:rPr>
                      <w:bCs/>
                      <w:color w:val="auto"/>
                      <w:szCs w:val="21"/>
                      <w:highlight w:val="none"/>
                    </w:rPr>
                    <w:t>甲类仓库</w:t>
                  </w:r>
                  <w:r>
                    <w:rPr>
                      <w:rFonts w:hint="eastAsia"/>
                      <w:bCs/>
                      <w:color w:val="auto"/>
                      <w:szCs w:val="21"/>
                      <w:highlight w:val="none"/>
                      <w:lang w:eastAsia="zh-CN"/>
                    </w:rPr>
                    <w:t>（</w:t>
                  </w:r>
                  <w:r>
                    <w:rPr>
                      <w:rFonts w:hint="eastAsia"/>
                      <w:bCs/>
                      <w:color w:val="auto"/>
                      <w:szCs w:val="21"/>
                      <w:highlight w:val="none"/>
                      <w:lang w:val="en-US" w:eastAsia="zh-CN"/>
                    </w:rPr>
                    <w:t>1#仓库</w:t>
                  </w:r>
                  <w:r>
                    <w:rPr>
                      <w:rFonts w:hint="eastAsia"/>
                      <w:bCs/>
                      <w:color w:val="auto"/>
                      <w:szCs w:val="21"/>
                      <w:highlight w:val="none"/>
                      <w:lang w:eastAsia="zh-CN"/>
                    </w:rPr>
                    <w:t>）</w:t>
                  </w:r>
                </w:p>
              </w:tc>
              <w:tc>
                <w:tcPr>
                  <w:tcW w:w="1390" w:type="pct"/>
                  <w:gridSpan w:val="2"/>
                  <w:vAlign w:val="center"/>
                </w:tcPr>
                <w:p w14:paraId="6619F4C9">
                  <w:pPr>
                    <w:spacing w:line="276" w:lineRule="auto"/>
                    <w:contextualSpacing/>
                    <w:jc w:val="center"/>
                    <w:rPr>
                      <w:bCs/>
                      <w:color w:val="auto"/>
                      <w:szCs w:val="21"/>
                      <w:highlight w:val="none"/>
                    </w:rPr>
                  </w:pPr>
                  <w:r>
                    <w:rPr>
                      <w:bCs/>
                      <w:color w:val="auto"/>
                      <w:szCs w:val="21"/>
                      <w:highlight w:val="none"/>
                    </w:rPr>
                    <w:t>位于厂区西北部，占地面积为</w:t>
                  </w:r>
                  <w:r>
                    <w:rPr>
                      <w:rFonts w:hint="eastAsia"/>
                      <w:bCs/>
                      <w:color w:val="auto"/>
                      <w:szCs w:val="21"/>
                      <w:highlight w:val="none"/>
                      <w:lang w:val="en-US" w:eastAsia="zh-CN"/>
                    </w:rPr>
                    <w:t>40.6</w:t>
                  </w:r>
                  <w:r>
                    <w:rPr>
                      <w:rFonts w:hint="eastAsia"/>
                      <w:bCs/>
                      <w:color w:val="auto"/>
                      <w:szCs w:val="21"/>
                      <w:highlight w:val="none"/>
                    </w:rPr>
                    <w:t>m</w:t>
                  </w:r>
                  <w:r>
                    <w:rPr>
                      <w:rFonts w:hint="eastAsia"/>
                      <w:bCs/>
                      <w:color w:val="auto"/>
                      <w:szCs w:val="21"/>
                      <w:highlight w:val="none"/>
                      <w:vertAlign w:val="superscript"/>
                    </w:rPr>
                    <w:t>2</w:t>
                  </w:r>
                  <w:r>
                    <w:rPr>
                      <w:rFonts w:hint="eastAsia"/>
                      <w:bCs/>
                      <w:color w:val="auto"/>
                      <w:szCs w:val="21"/>
                      <w:highlight w:val="none"/>
                      <w:vertAlign w:val="baseline"/>
                      <w:lang w:eastAsia="zh-CN"/>
                    </w:rPr>
                    <w:t>，</w:t>
                  </w:r>
                  <w:r>
                    <w:rPr>
                      <w:bCs/>
                      <w:color w:val="auto"/>
                      <w:szCs w:val="21"/>
                      <w:highlight w:val="none"/>
                    </w:rPr>
                    <w:t>主要用于储存充装后的乙烯</w:t>
                  </w:r>
                  <w:r>
                    <w:rPr>
                      <w:rFonts w:hint="eastAsia"/>
                      <w:bCs/>
                      <w:color w:val="auto"/>
                      <w:szCs w:val="21"/>
                      <w:highlight w:val="none"/>
                      <w:lang w:eastAsia="zh-CN"/>
                    </w:rPr>
                    <w:t>（</w:t>
                  </w:r>
                  <w:r>
                    <w:rPr>
                      <w:rFonts w:hint="eastAsia"/>
                      <w:bCs/>
                      <w:color w:val="auto"/>
                      <w:szCs w:val="21"/>
                      <w:highlight w:val="none"/>
                      <w:lang w:val="en-US" w:eastAsia="zh-CN"/>
                    </w:rPr>
                    <w:t>散瓶和集装格瓶</w:t>
                  </w:r>
                  <w:r>
                    <w:rPr>
                      <w:rFonts w:hint="eastAsia"/>
                      <w:bCs/>
                      <w:color w:val="auto"/>
                      <w:szCs w:val="21"/>
                      <w:highlight w:val="none"/>
                      <w:lang w:eastAsia="zh-CN"/>
                    </w:rPr>
                    <w:t>）。</w:t>
                  </w:r>
                </w:p>
              </w:tc>
              <w:tc>
                <w:tcPr>
                  <w:tcW w:w="1449" w:type="pct"/>
                  <w:vAlign w:val="center"/>
                </w:tcPr>
                <w:p w14:paraId="7F676B04">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w:t>
                  </w:r>
                </w:p>
              </w:tc>
              <w:tc>
                <w:tcPr>
                  <w:tcW w:w="787" w:type="pct"/>
                  <w:vAlign w:val="center"/>
                </w:tcPr>
                <w:p w14:paraId="1251D3B9">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依托现有1#仓库储存充装后乙烯</w:t>
                  </w:r>
                </w:p>
              </w:tc>
              <w:tc>
                <w:tcPr>
                  <w:tcW w:w="536" w:type="pct"/>
                  <w:vAlign w:val="center"/>
                </w:tcPr>
                <w:p w14:paraId="1469311B">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w:t>
                  </w:r>
                </w:p>
              </w:tc>
            </w:tr>
            <w:tr w14:paraId="6E1FD6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60523F89">
                  <w:pPr>
                    <w:spacing w:line="276" w:lineRule="auto"/>
                    <w:contextualSpacing/>
                    <w:jc w:val="center"/>
                    <w:rPr>
                      <w:bCs/>
                      <w:color w:val="auto"/>
                      <w:szCs w:val="21"/>
                      <w:highlight w:val="none"/>
                    </w:rPr>
                  </w:pPr>
                </w:p>
              </w:tc>
              <w:tc>
                <w:tcPr>
                  <w:tcW w:w="493" w:type="pct"/>
                  <w:vAlign w:val="center"/>
                </w:tcPr>
                <w:p w14:paraId="733A6C25">
                  <w:pPr>
                    <w:spacing w:line="276" w:lineRule="auto"/>
                    <w:contextualSpacing/>
                    <w:jc w:val="center"/>
                    <w:rPr>
                      <w:bCs/>
                      <w:color w:val="auto"/>
                      <w:szCs w:val="21"/>
                      <w:highlight w:val="none"/>
                    </w:rPr>
                  </w:pPr>
                  <w:r>
                    <w:rPr>
                      <w:bCs/>
                      <w:color w:val="auto"/>
                      <w:szCs w:val="21"/>
                      <w:highlight w:val="none"/>
                    </w:rPr>
                    <w:t>备件库（丁类）</w:t>
                  </w:r>
                </w:p>
              </w:tc>
              <w:tc>
                <w:tcPr>
                  <w:tcW w:w="1390" w:type="pct"/>
                  <w:gridSpan w:val="2"/>
                  <w:vAlign w:val="center"/>
                </w:tcPr>
                <w:p w14:paraId="6610B4DF">
                  <w:pPr>
                    <w:spacing w:line="276" w:lineRule="auto"/>
                    <w:contextualSpacing/>
                    <w:jc w:val="center"/>
                    <w:rPr>
                      <w:rFonts w:hint="eastAsia" w:eastAsia="宋体"/>
                      <w:bCs/>
                      <w:color w:val="auto"/>
                      <w:szCs w:val="21"/>
                      <w:highlight w:val="none"/>
                      <w:lang w:eastAsia="zh-CN"/>
                    </w:rPr>
                  </w:pPr>
                  <w:r>
                    <w:rPr>
                      <w:bCs/>
                      <w:color w:val="auto"/>
                      <w:szCs w:val="21"/>
                      <w:highlight w:val="none"/>
                    </w:rPr>
                    <w:t>位于厂区西北部，占地面积为</w:t>
                  </w:r>
                  <w:r>
                    <w:rPr>
                      <w:rFonts w:hint="eastAsia"/>
                      <w:bCs/>
                      <w:color w:val="auto"/>
                      <w:szCs w:val="21"/>
                      <w:highlight w:val="none"/>
                      <w:lang w:val="en-US" w:eastAsia="zh-CN"/>
                    </w:rPr>
                    <w:t>189</w:t>
                  </w:r>
                  <w:r>
                    <w:rPr>
                      <w:rFonts w:hint="eastAsia"/>
                      <w:bCs/>
                      <w:color w:val="auto"/>
                      <w:szCs w:val="21"/>
                      <w:highlight w:val="none"/>
                    </w:rPr>
                    <w:t>m</w:t>
                  </w:r>
                  <w:r>
                    <w:rPr>
                      <w:rFonts w:hint="eastAsia"/>
                      <w:bCs/>
                      <w:color w:val="auto"/>
                      <w:szCs w:val="21"/>
                      <w:highlight w:val="none"/>
                      <w:vertAlign w:val="superscript"/>
                    </w:rPr>
                    <w:t>2</w:t>
                  </w:r>
                  <w:r>
                    <w:rPr>
                      <w:rFonts w:hint="eastAsia"/>
                      <w:bCs/>
                      <w:color w:val="auto"/>
                      <w:szCs w:val="21"/>
                      <w:highlight w:val="none"/>
                      <w:vertAlign w:val="baseline"/>
                      <w:lang w:eastAsia="zh-CN"/>
                    </w:rPr>
                    <w:t>，</w:t>
                  </w:r>
                  <w:r>
                    <w:rPr>
                      <w:bCs/>
                      <w:color w:val="auto"/>
                      <w:szCs w:val="21"/>
                      <w:highlight w:val="none"/>
                    </w:rPr>
                    <w:t>主要用于存放新钢瓶</w:t>
                  </w:r>
                  <w:r>
                    <w:rPr>
                      <w:rFonts w:hint="eastAsia"/>
                      <w:bCs/>
                      <w:color w:val="auto"/>
                      <w:szCs w:val="21"/>
                      <w:highlight w:val="none"/>
                      <w:lang w:eastAsia="zh-CN"/>
                    </w:rPr>
                    <w:t>。</w:t>
                  </w:r>
                </w:p>
              </w:tc>
              <w:tc>
                <w:tcPr>
                  <w:tcW w:w="1449" w:type="pct"/>
                  <w:vAlign w:val="center"/>
                </w:tcPr>
                <w:p w14:paraId="5F4831F7">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本次改建项目新增丙烷、丁烷新钢瓶依托现有备件库剩余区域存放。</w:t>
                  </w:r>
                </w:p>
              </w:tc>
              <w:tc>
                <w:tcPr>
                  <w:tcW w:w="787" w:type="pct"/>
                  <w:vAlign w:val="center"/>
                </w:tcPr>
                <w:p w14:paraId="7CF494A6">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依托现有</w:t>
                  </w:r>
                </w:p>
              </w:tc>
              <w:tc>
                <w:tcPr>
                  <w:tcW w:w="536" w:type="pct"/>
                  <w:vAlign w:val="center"/>
                </w:tcPr>
                <w:p w14:paraId="58822380">
                  <w:pPr>
                    <w:spacing w:line="276" w:lineRule="auto"/>
                    <w:contextualSpacing/>
                    <w:jc w:val="center"/>
                    <w:rPr>
                      <w:rFonts w:hint="eastAsia" w:eastAsia="宋体"/>
                      <w:bCs/>
                      <w:color w:val="auto"/>
                      <w:szCs w:val="21"/>
                      <w:highlight w:val="none"/>
                      <w:lang w:val="en-US" w:eastAsia="zh-CN"/>
                    </w:rPr>
                  </w:pPr>
                  <w:r>
                    <w:rPr>
                      <w:rFonts w:hint="eastAsia"/>
                      <w:bCs/>
                      <w:color w:val="auto"/>
                      <w:szCs w:val="21"/>
                      <w:highlight w:val="none"/>
                      <w:lang w:val="en-US" w:eastAsia="zh-CN"/>
                    </w:rPr>
                    <w:t>依托现有</w:t>
                  </w:r>
                </w:p>
              </w:tc>
            </w:tr>
            <w:tr w14:paraId="2193E4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6901DA6E">
                  <w:pPr>
                    <w:spacing w:line="276" w:lineRule="auto"/>
                    <w:contextualSpacing/>
                    <w:jc w:val="center"/>
                    <w:rPr>
                      <w:bCs/>
                      <w:color w:val="auto"/>
                      <w:szCs w:val="21"/>
                      <w:highlight w:val="none"/>
                    </w:rPr>
                  </w:pPr>
                </w:p>
              </w:tc>
              <w:tc>
                <w:tcPr>
                  <w:tcW w:w="493" w:type="pct"/>
                  <w:vAlign w:val="center"/>
                </w:tcPr>
                <w:p w14:paraId="7C09727D">
                  <w:pPr>
                    <w:spacing w:line="276" w:lineRule="auto"/>
                    <w:contextualSpacing/>
                    <w:jc w:val="center"/>
                    <w:rPr>
                      <w:rFonts w:hint="eastAsia" w:eastAsia="宋体"/>
                      <w:bCs/>
                      <w:color w:val="auto"/>
                      <w:szCs w:val="21"/>
                      <w:highlight w:val="none"/>
                      <w:lang w:val="en-US" w:eastAsia="zh-CN"/>
                    </w:rPr>
                  </w:pPr>
                  <w:r>
                    <w:rPr>
                      <w:rFonts w:hint="eastAsia"/>
                      <w:bCs/>
                      <w:color w:val="auto"/>
                      <w:szCs w:val="21"/>
                      <w:highlight w:val="none"/>
                      <w:lang w:val="en-US" w:eastAsia="zh-CN"/>
                    </w:rPr>
                    <w:t>库棚（甲类）</w:t>
                  </w:r>
                </w:p>
              </w:tc>
              <w:tc>
                <w:tcPr>
                  <w:tcW w:w="1390" w:type="pct"/>
                  <w:gridSpan w:val="2"/>
                  <w:vAlign w:val="center"/>
                </w:tcPr>
                <w:p w14:paraId="4ADDB519">
                  <w:pPr>
                    <w:spacing w:line="276" w:lineRule="auto"/>
                    <w:contextualSpacing/>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449" w:type="pct"/>
                  <w:vAlign w:val="center"/>
                </w:tcPr>
                <w:p w14:paraId="53234D66">
                  <w:pPr>
                    <w:spacing w:line="276" w:lineRule="auto"/>
                    <w:contextualSpacing/>
                    <w:jc w:val="center"/>
                    <w:rPr>
                      <w:rFonts w:hint="eastAsia"/>
                      <w:bCs/>
                      <w:color w:val="auto"/>
                      <w:szCs w:val="21"/>
                      <w:highlight w:val="none"/>
                      <w:lang w:val="en-US" w:eastAsia="zh-CN"/>
                    </w:rPr>
                  </w:pPr>
                  <w:r>
                    <w:rPr>
                      <w:rFonts w:hint="eastAsia"/>
                      <w:color w:val="auto"/>
                      <w:highlight w:val="none"/>
                      <w:vertAlign w:val="baseline"/>
                      <w:lang w:val="en-US" w:eastAsia="zh-CN"/>
                    </w:rPr>
                    <w:t>利用现有1#仓库北侧空置区域，新建1台占地面积约50.4m</w:t>
                  </w:r>
                  <w:r>
                    <w:rPr>
                      <w:rFonts w:hint="eastAsia"/>
                      <w:color w:val="auto"/>
                      <w:highlight w:val="none"/>
                      <w:vertAlign w:val="superscript"/>
                      <w:lang w:val="en-US" w:eastAsia="zh-CN"/>
                    </w:rPr>
                    <w:t>2</w:t>
                  </w:r>
                  <w:r>
                    <w:rPr>
                      <w:rFonts w:hint="eastAsia"/>
                      <w:color w:val="auto"/>
                      <w:highlight w:val="none"/>
                      <w:vertAlign w:val="baseline"/>
                      <w:lang w:val="en-US" w:eastAsia="zh-CN"/>
                    </w:rPr>
                    <w:t>的库棚（甲类），内部</w:t>
                  </w:r>
                  <w:r>
                    <w:rPr>
                      <w:rFonts w:hint="eastAsia"/>
                      <w:bCs/>
                      <w:color w:val="auto"/>
                      <w:szCs w:val="21"/>
                      <w:highlight w:val="none"/>
                      <w:lang w:val="en-US" w:eastAsia="zh-CN"/>
                    </w:rPr>
                    <w:t>设置可燃气体报警器</w:t>
                  </w:r>
                  <w:r>
                    <w:rPr>
                      <w:rFonts w:hint="eastAsia"/>
                      <w:color w:val="auto"/>
                      <w:highlight w:val="none"/>
                      <w:vertAlign w:val="baseline"/>
                      <w:lang w:val="en-US" w:eastAsia="zh-CN"/>
                    </w:rPr>
                    <w:t>，主要用于丙烷、丁烷钢瓶储存。丙烷及丁烷气体最大储存量均为200瓶（40L钢瓶），丙烷最大储存量为3.92t、丁烷最大储存量为4.56t。</w:t>
                  </w:r>
                </w:p>
              </w:tc>
              <w:tc>
                <w:tcPr>
                  <w:tcW w:w="787" w:type="pct"/>
                  <w:vAlign w:val="center"/>
                </w:tcPr>
                <w:p w14:paraId="6B423FAF">
                  <w:pPr>
                    <w:spacing w:line="276" w:lineRule="auto"/>
                    <w:contextualSpacing/>
                    <w:jc w:val="center"/>
                    <w:rPr>
                      <w:rFonts w:hint="default"/>
                      <w:bCs/>
                      <w:color w:val="auto"/>
                      <w:szCs w:val="21"/>
                      <w:highlight w:val="none"/>
                      <w:lang w:val="en-US" w:eastAsia="zh-CN"/>
                    </w:rPr>
                  </w:pPr>
                  <w:r>
                    <w:rPr>
                      <w:rFonts w:hint="eastAsia"/>
                      <w:bCs/>
                      <w:color w:val="auto"/>
                      <w:szCs w:val="21"/>
                      <w:highlight w:val="none"/>
                      <w:lang w:val="en-US" w:eastAsia="zh-CN"/>
                    </w:rPr>
                    <w:t>/</w:t>
                  </w:r>
                </w:p>
              </w:tc>
              <w:tc>
                <w:tcPr>
                  <w:tcW w:w="536" w:type="pct"/>
                  <w:vAlign w:val="center"/>
                </w:tcPr>
                <w:p w14:paraId="0C1502D5">
                  <w:pPr>
                    <w:spacing w:line="276" w:lineRule="auto"/>
                    <w:contextualSpacing/>
                    <w:jc w:val="center"/>
                    <w:rPr>
                      <w:rFonts w:hint="default"/>
                      <w:bCs/>
                      <w:color w:val="auto"/>
                      <w:szCs w:val="21"/>
                      <w:highlight w:val="none"/>
                      <w:lang w:val="en-US" w:eastAsia="zh-CN"/>
                    </w:rPr>
                  </w:pPr>
                  <w:r>
                    <w:rPr>
                      <w:rFonts w:hint="eastAsia"/>
                      <w:bCs/>
                      <w:color w:val="auto"/>
                      <w:szCs w:val="21"/>
                      <w:highlight w:val="none"/>
                      <w:lang w:val="en-US" w:eastAsia="zh-CN"/>
                    </w:rPr>
                    <w:t>新建</w:t>
                  </w:r>
                </w:p>
              </w:tc>
            </w:tr>
            <w:tr w14:paraId="7F260D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Align w:val="center"/>
                </w:tcPr>
                <w:p w14:paraId="75F5789C">
                  <w:pPr>
                    <w:spacing w:line="276" w:lineRule="auto"/>
                    <w:contextualSpacing/>
                    <w:jc w:val="center"/>
                    <w:rPr>
                      <w:bCs/>
                      <w:color w:val="auto"/>
                      <w:szCs w:val="21"/>
                      <w:highlight w:val="none"/>
                    </w:rPr>
                  </w:pPr>
                  <w:r>
                    <w:rPr>
                      <w:bCs/>
                      <w:color w:val="auto"/>
                      <w:szCs w:val="21"/>
                      <w:highlight w:val="none"/>
                    </w:rPr>
                    <w:t>辅助工程</w:t>
                  </w:r>
                </w:p>
              </w:tc>
              <w:tc>
                <w:tcPr>
                  <w:tcW w:w="493" w:type="pct"/>
                  <w:vAlign w:val="center"/>
                </w:tcPr>
                <w:p w14:paraId="1F76D24F">
                  <w:pPr>
                    <w:spacing w:line="276" w:lineRule="auto"/>
                    <w:contextualSpacing/>
                    <w:jc w:val="center"/>
                    <w:rPr>
                      <w:rFonts w:hint="eastAsia" w:eastAsia="宋体"/>
                      <w:bCs/>
                      <w:color w:val="auto"/>
                      <w:szCs w:val="21"/>
                      <w:highlight w:val="none"/>
                      <w:lang w:eastAsia="zh-CN"/>
                    </w:rPr>
                  </w:pPr>
                  <w:r>
                    <w:rPr>
                      <w:rFonts w:hint="eastAsia"/>
                      <w:bCs/>
                      <w:color w:val="auto"/>
                      <w:szCs w:val="21"/>
                      <w:highlight w:val="none"/>
                      <w:lang w:val="en-US" w:eastAsia="zh-CN"/>
                    </w:rPr>
                    <w:t>控制室</w:t>
                  </w:r>
                </w:p>
              </w:tc>
              <w:tc>
                <w:tcPr>
                  <w:tcW w:w="1390" w:type="pct"/>
                  <w:gridSpan w:val="2"/>
                  <w:vAlign w:val="center"/>
                </w:tcPr>
                <w:p w14:paraId="13E80500">
                  <w:pPr>
                    <w:spacing w:line="276" w:lineRule="auto"/>
                    <w:contextualSpacing/>
                    <w:jc w:val="center"/>
                    <w:rPr>
                      <w:bCs/>
                      <w:color w:val="auto"/>
                      <w:szCs w:val="21"/>
                      <w:highlight w:val="none"/>
                    </w:rPr>
                  </w:pPr>
                  <w:r>
                    <w:rPr>
                      <w:rFonts w:hint="eastAsia"/>
                      <w:bCs/>
                      <w:color w:val="auto"/>
                      <w:szCs w:val="21"/>
                      <w:highlight w:val="none"/>
                    </w:rPr>
                    <w:t>位于厂区西南部，占地面积为198m</w:t>
                  </w:r>
                  <w:r>
                    <w:rPr>
                      <w:rFonts w:hint="eastAsia"/>
                      <w:bCs/>
                      <w:color w:val="auto"/>
                      <w:szCs w:val="21"/>
                      <w:highlight w:val="none"/>
                      <w:vertAlign w:val="superscript"/>
                    </w:rPr>
                    <w:t>2</w:t>
                  </w:r>
                  <w:r>
                    <w:rPr>
                      <w:rFonts w:hint="eastAsia"/>
                      <w:bCs/>
                      <w:color w:val="auto"/>
                      <w:szCs w:val="21"/>
                      <w:highlight w:val="none"/>
                    </w:rPr>
                    <w:t>，主要用于员工办公、远程系统控制等。</w:t>
                  </w:r>
                </w:p>
              </w:tc>
              <w:tc>
                <w:tcPr>
                  <w:tcW w:w="1449" w:type="pct"/>
                  <w:vAlign w:val="center"/>
                </w:tcPr>
                <w:p w14:paraId="658D3D78">
                  <w:pPr>
                    <w:spacing w:line="276" w:lineRule="auto"/>
                    <w:contextualSpacing/>
                    <w:jc w:val="center"/>
                    <w:rPr>
                      <w:rFonts w:hint="default" w:eastAsia="宋体"/>
                      <w:bCs/>
                      <w:color w:val="auto"/>
                      <w:szCs w:val="21"/>
                      <w:highlight w:val="none"/>
                      <w:lang w:val="en-US" w:eastAsia="zh-CN"/>
                    </w:rPr>
                  </w:pPr>
                  <w:r>
                    <w:rPr>
                      <w:rFonts w:hint="eastAsia"/>
                      <w:bCs/>
                      <w:color w:val="auto"/>
                      <w:szCs w:val="21"/>
                      <w:highlight w:val="none"/>
                      <w:lang w:val="en-US" w:eastAsia="zh-CN"/>
                    </w:rPr>
                    <w:t>/</w:t>
                  </w:r>
                </w:p>
              </w:tc>
              <w:tc>
                <w:tcPr>
                  <w:tcW w:w="787" w:type="pct"/>
                  <w:vAlign w:val="center"/>
                </w:tcPr>
                <w:p w14:paraId="46A94E8A">
                  <w:pPr>
                    <w:spacing w:line="276" w:lineRule="auto"/>
                    <w:contextualSpacing/>
                    <w:jc w:val="center"/>
                    <w:rPr>
                      <w:rFonts w:hint="eastAsia" w:eastAsia="宋体"/>
                      <w:bCs/>
                      <w:color w:val="auto"/>
                      <w:szCs w:val="21"/>
                      <w:highlight w:val="none"/>
                      <w:lang w:val="en-US" w:eastAsia="zh-CN"/>
                    </w:rPr>
                  </w:pPr>
                  <w:r>
                    <w:rPr>
                      <w:rFonts w:hint="eastAsia"/>
                      <w:bCs/>
                      <w:color w:val="auto"/>
                      <w:szCs w:val="21"/>
                      <w:highlight w:val="none"/>
                      <w:lang w:val="en-US" w:eastAsia="zh-CN"/>
                    </w:rPr>
                    <w:t>依托现有</w:t>
                  </w:r>
                </w:p>
              </w:tc>
              <w:tc>
                <w:tcPr>
                  <w:tcW w:w="536" w:type="pct"/>
                  <w:vAlign w:val="center"/>
                </w:tcPr>
                <w:p w14:paraId="023A892A">
                  <w:pPr>
                    <w:spacing w:line="276" w:lineRule="auto"/>
                    <w:contextualSpacing/>
                    <w:jc w:val="center"/>
                    <w:rPr>
                      <w:rFonts w:hint="eastAsia" w:eastAsia="宋体"/>
                      <w:bCs/>
                      <w:color w:val="auto"/>
                      <w:szCs w:val="21"/>
                      <w:highlight w:val="none"/>
                      <w:lang w:val="en-US" w:eastAsia="zh-CN"/>
                    </w:rPr>
                  </w:pPr>
                  <w:r>
                    <w:rPr>
                      <w:rFonts w:hint="eastAsia"/>
                      <w:bCs/>
                      <w:color w:val="auto"/>
                      <w:szCs w:val="21"/>
                      <w:highlight w:val="none"/>
                      <w:lang w:val="en-US" w:eastAsia="zh-CN"/>
                    </w:rPr>
                    <w:t>依托现有</w:t>
                  </w:r>
                </w:p>
              </w:tc>
            </w:tr>
            <w:tr w14:paraId="0CAC88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45" w:hRule="atLeast"/>
              </w:trPr>
              <w:tc>
                <w:tcPr>
                  <w:tcW w:w="343" w:type="pct"/>
                  <w:vMerge w:val="restart"/>
                  <w:vAlign w:val="center"/>
                </w:tcPr>
                <w:p w14:paraId="6CAC30F9">
                  <w:pPr>
                    <w:spacing w:line="276" w:lineRule="auto"/>
                    <w:contextualSpacing/>
                    <w:jc w:val="center"/>
                    <w:rPr>
                      <w:color w:val="auto"/>
                      <w:szCs w:val="21"/>
                      <w:highlight w:val="none"/>
                    </w:rPr>
                  </w:pPr>
                  <w:r>
                    <w:rPr>
                      <w:color w:val="auto"/>
                      <w:szCs w:val="21"/>
                      <w:highlight w:val="none"/>
                    </w:rPr>
                    <w:t>公用</w:t>
                  </w:r>
                </w:p>
                <w:p w14:paraId="24955FC7">
                  <w:pPr>
                    <w:spacing w:line="276" w:lineRule="auto"/>
                    <w:contextualSpacing/>
                    <w:jc w:val="center"/>
                    <w:rPr>
                      <w:color w:val="auto"/>
                      <w:szCs w:val="21"/>
                      <w:highlight w:val="none"/>
                    </w:rPr>
                  </w:pPr>
                  <w:r>
                    <w:rPr>
                      <w:color w:val="auto"/>
                      <w:szCs w:val="21"/>
                      <w:highlight w:val="none"/>
                    </w:rPr>
                    <w:t>工程</w:t>
                  </w:r>
                </w:p>
              </w:tc>
              <w:tc>
                <w:tcPr>
                  <w:tcW w:w="493" w:type="pct"/>
                  <w:vAlign w:val="center"/>
                </w:tcPr>
                <w:p w14:paraId="65AD6B2F">
                  <w:pPr>
                    <w:spacing w:line="276" w:lineRule="auto"/>
                    <w:contextualSpacing/>
                    <w:jc w:val="center"/>
                    <w:rPr>
                      <w:color w:val="auto"/>
                      <w:szCs w:val="21"/>
                      <w:highlight w:val="none"/>
                    </w:rPr>
                  </w:pPr>
                  <w:r>
                    <w:rPr>
                      <w:color w:val="auto"/>
                      <w:szCs w:val="21"/>
                      <w:highlight w:val="none"/>
                    </w:rPr>
                    <w:t>供水</w:t>
                  </w:r>
                </w:p>
              </w:tc>
              <w:tc>
                <w:tcPr>
                  <w:tcW w:w="1390" w:type="pct"/>
                  <w:gridSpan w:val="2"/>
                  <w:vAlign w:val="center"/>
                </w:tcPr>
                <w:p w14:paraId="221810C5">
                  <w:pPr>
                    <w:spacing w:line="276" w:lineRule="auto"/>
                    <w:contextualSpacing/>
                    <w:jc w:val="center"/>
                    <w:rPr>
                      <w:rFonts w:hAnsi="宋体"/>
                      <w:color w:val="auto"/>
                      <w:szCs w:val="21"/>
                      <w:highlight w:val="none"/>
                    </w:rPr>
                  </w:pPr>
                  <w:r>
                    <w:rPr>
                      <w:rFonts w:hint="eastAsia"/>
                      <w:color w:val="auto"/>
                      <w:szCs w:val="21"/>
                      <w:highlight w:val="none"/>
                    </w:rPr>
                    <w:t>生活用水</w:t>
                  </w:r>
                  <w:r>
                    <w:rPr>
                      <w:rFonts w:hint="eastAsia"/>
                      <w:color w:val="auto"/>
                      <w:szCs w:val="21"/>
                      <w:highlight w:val="none"/>
                      <w:lang w:val="en-US" w:eastAsia="zh-CN"/>
                    </w:rPr>
                    <w:t>及绿化用水均</w:t>
                  </w:r>
                  <w:r>
                    <w:rPr>
                      <w:rFonts w:hint="eastAsia"/>
                      <w:color w:val="auto"/>
                      <w:szCs w:val="21"/>
                      <w:highlight w:val="none"/>
                    </w:rPr>
                    <w:t>由市政给水管网供给</w:t>
                  </w:r>
                  <w:r>
                    <w:rPr>
                      <w:rFonts w:hint="eastAsia"/>
                      <w:color w:val="auto"/>
                      <w:szCs w:val="21"/>
                      <w:highlight w:val="none"/>
                      <w:lang w:eastAsia="zh-CN"/>
                    </w:rPr>
                    <w:t>，</w:t>
                  </w:r>
                  <w:r>
                    <w:rPr>
                      <w:rFonts w:hint="eastAsia" w:hAnsi="宋体"/>
                      <w:color w:val="auto"/>
                      <w:szCs w:val="21"/>
                      <w:highlight w:val="none"/>
                    </w:rPr>
                    <w:t>供水量</w:t>
                  </w:r>
                  <w:r>
                    <w:rPr>
                      <w:rFonts w:hint="eastAsia" w:hAnsi="宋体"/>
                      <w:color w:val="auto"/>
                      <w:szCs w:val="21"/>
                      <w:highlight w:val="none"/>
                      <w:lang w:val="en-US" w:eastAsia="zh-CN"/>
                    </w:rPr>
                    <w:t>4.3</w:t>
                  </w:r>
                  <w:r>
                    <w:rPr>
                      <w:rFonts w:hAnsi="宋体"/>
                      <w:color w:val="auto"/>
                      <w:szCs w:val="21"/>
                      <w:highlight w:val="none"/>
                    </w:rPr>
                    <w:t>m</w:t>
                  </w:r>
                  <w:r>
                    <w:rPr>
                      <w:rFonts w:hAnsi="宋体"/>
                      <w:color w:val="auto"/>
                      <w:szCs w:val="21"/>
                      <w:highlight w:val="none"/>
                      <w:vertAlign w:val="superscript"/>
                    </w:rPr>
                    <w:t>3</w:t>
                  </w:r>
                  <w:r>
                    <w:rPr>
                      <w:rFonts w:hAnsi="宋体"/>
                      <w:color w:val="auto"/>
                      <w:szCs w:val="21"/>
                      <w:highlight w:val="none"/>
                    </w:rPr>
                    <w:t>/d</w:t>
                  </w:r>
                  <w:r>
                    <w:rPr>
                      <w:rFonts w:hint="eastAsia" w:hAnsi="宋体"/>
                      <w:color w:val="auto"/>
                      <w:szCs w:val="21"/>
                      <w:highlight w:val="none"/>
                    </w:rPr>
                    <w:t>，</w:t>
                  </w:r>
                  <w:r>
                    <w:rPr>
                      <w:rFonts w:hint="eastAsia" w:hAnsi="宋体"/>
                      <w:color w:val="auto"/>
                      <w:szCs w:val="21"/>
                      <w:highlight w:val="none"/>
                      <w:lang w:val="en-US" w:eastAsia="zh-CN"/>
                    </w:rPr>
                    <w:t>129</w:t>
                  </w:r>
                  <w:r>
                    <w:rPr>
                      <w:rFonts w:hint="eastAsia" w:hAnsi="宋体"/>
                      <w:color w:val="auto"/>
                      <w:szCs w:val="21"/>
                      <w:highlight w:val="none"/>
                    </w:rPr>
                    <w:t>0</w:t>
                  </w:r>
                  <w:r>
                    <w:rPr>
                      <w:rFonts w:hAnsi="宋体"/>
                      <w:color w:val="auto"/>
                      <w:szCs w:val="21"/>
                      <w:highlight w:val="none"/>
                    </w:rPr>
                    <w:t>m</w:t>
                  </w:r>
                  <w:r>
                    <w:rPr>
                      <w:rFonts w:hAnsi="宋体"/>
                      <w:color w:val="auto"/>
                      <w:szCs w:val="21"/>
                      <w:highlight w:val="none"/>
                      <w:vertAlign w:val="superscript"/>
                    </w:rPr>
                    <w:t>3</w:t>
                  </w:r>
                  <w:r>
                    <w:rPr>
                      <w:rFonts w:hAnsi="宋体"/>
                      <w:color w:val="auto"/>
                      <w:szCs w:val="21"/>
                      <w:highlight w:val="none"/>
                    </w:rPr>
                    <w:t>/</w:t>
                  </w:r>
                  <w:r>
                    <w:rPr>
                      <w:rFonts w:hint="eastAsia" w:hAnsi="宋体"/>
                      <w:color w:val="auto"/>
                      <w:szCs w:val="21"/>
                      <w:highlight w:val="none"/>
                    </w:rPr>
                    <w:t>a</w:t>
                  </w:r>
                </w:p>
              </w:tc>
              <w:tc>
                <w:tcPr>
                  <w:tcW w:w="1449" w:type="pct"/>
                  <w:vAlign w:val="center"/>
                </w:tcPr>
                <w:p w14:paraId="5398BED9">
                  <w:pPr>
                    <w:spacing w:line="276" w:lineRule="auto"/>
                    <w:contextualSpacing/>
                    <w:jc w:val="center"/>
                    <w:rPr>
                      <w:rFonts w:hint="default" w:hAnsi="宋体" w:eastAsia="宋体"/>
                      <w:color w:val="auto"/>
                      <w:szCs w:val="21"/>
                      <w:highlight w:val="none"/>
                      <w:lang w:val="en-US" w:eastAsia="zh-CN"/>
                    </w:rPr>
                  </w:pPr>
                  <w:r>
                    <w:rPr>
                      <w:rFonts w:hint="eastAsia" w:hAnsi="宋体"/>
                      <w:color w:val="auto"/>
                      <w:szCs w:val="21"/>
                      <w:highlight w:val="none"/>
                      <w:lang w:val="en-US" w:eastAsia="zh-CN"/>
                    </w:rPr>
                    <w:t>本次改建项目不新增生产用水及生活用水，现有生活用水及绿化用水由市政给水管网供给。</w:t>
                  </w:r>
                </w:p>
              </w:tc>
              <w:tc>
                <w:tcPr>
                  <w:tcW w:w="787" w:type="pct"/>
                  <w:vAlign w:val="center"/>
                </w:tcPr>
                <w:p w14:paraId="1DB57BE6">
                  <w:pPr>
                    <w:spacing w:line="276" w:lineRule="auto"/>
                    <w:contextualSpacing/>
                    <w:jc w:val="center"/>
                    <w:rPr>
                      <w:rFonts w:hint="eastAsia" w:hAnsi="宋体" w:eastAsia="宋体"/>
                      <w:color w:val="auto"/>
                      <w:szCs w:val="21"/>
                      <w:highlight w:val="none"/>
                      <w:lang w:val="en-US" w:eastAsia="zh-CN"/>
                    </w:rPr>
                  </w:pPr>
                  <w:r>
                    <w:rPr>
                      <w:rFonts w:hint="eastAsia" w:hAnsi="宋体"/>
                      <w:color w:val="auto"/>
                      <w:szCs w:val="21"/>
                      <w:highlight w:val="none"/>
                      <w:lang w:val="en-US" w:eastAsia="zh-CN"/>
                    </w:rPr>
                    <w:t>/</w:t>
                  </w:r>
                </w:p>
              </w:tc>
              <w:tc>
                <w:tcPr>
                  <w:tcW w:w="536" w:type="pct"/>
                  <w:vAlign w:val="center"/>
                </w:tcPr>
                <w:p w14:paraId="34D01876">
                  <w:pPr>
                    <w:spacing w:line="276" w:lineRule="auto"/>
                    <w:contextualSpacing/>
                    <w:jc w:val="center"/>
                    <w:rPr>
                      <w:rFonts w:hint="eastAsia" w:hAnsi="宋体" w:eastAsia="宋体"/>
                      <w:color w:val="auto"/>
                      <w:szCs w:val="21"/>
                      <w:highlight w:val="none"/>
                      <w:lang w:val="en-US" w:eastAsia="zh-CN"/>
                    </w:rPr>
                  </w:pPr>
                  <w:r>
                    <w:rPr>
                      <w:rFonts w:hint="eastAsia" w:hAnsi="宋体"/>
                      <w:color w:val="auto"/>
                      <w:szCs w:val="21"/>
                      <w:highlight w:val="none"/>
                      <w:lang w:val="en-US" w:eastAsia="zh-CN"/>
                    </w:rPr>
                    <w:t>/</w:t>
                  </w:r>
                </w:p>
              </w:tc>
            </w:tr>
            <w:tr w14:paraId="1138A3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6FCD6DF4">
                  <w:pPr>
                    <w:spacing w:line="276" w:lineRule="auto"/>
                    <w:contextualSpacing/>
                    <w:jc w:val="center"/>
                    <w:rPr>
                      <w:color w:val="auto"/>
                      <w:szCs w:val="21"/>
                      <w:highlight w:val="none"/>
                    </w:rPr>
                  </w:pPr>
                </w:p>
              </w:tc>
              <w:tc>
                <w:tcPr>
                  <w:tcW w:w="493" w:type="pct"/>
                  <w:vAlign w:val="center"/>
                </w:tcPr>
                <w:p w14:paraId="21342441">
                  <w:pPr>
                    <w:spacing w:line="276" w:lineRule="auto"/>
                    <w:contextualSpacing/>
                    <w:jc w:val="center"/>
                    <w:rPr>
                      <w:color w:val="auto"/>
                      <w:szCs w:val="21"/>
                      <w:highlight w:val="none"/>
                    </w:rPr>
                  </w:pPr>
                  <w:r>
                    <w:rPr>
                      <w:color w:val="auto"/>
                      <w:szCs w:val="21"/>
                      <w:highlight w:val="none"/>
                    </w:rPr>
                    <w:t>供电</w:t>
                  </w:r>
                </w:p>
              </w:tc>
              <w:tc>
                <w:tcPr>
                  <w:tcW w:w="1390" w:type="pct"/>
                  <w:gridSpan w:val="2"/>
                  <w:vAlign w:val="center"/>
                </w:tcPr>
                <w:p w14:paraId="57CAD2FC">
                  <w:pPr>
                    <w:spacing w:line="276" w:lineRule="auto"/>
                    <w:contextualSpacing/>
                    <w:jc w:val="center"/>
                    <w:rPr>
                      <w:rFonts w:hint="eastAsia" w:eastAsia="宋体"/>
                      <w:color w:val="auto"/>
                      <w:szCs w:val="21"/>
                      <w:highlight w:val="none"/>
                      <w:lang w:eastAsia="zh-CN"/>
                    </w:rPr>
                  </w:pPr>
                  <w:r>
                    <w:rPr>
                      <w:color w:val="auto"/>
                      <w:szCs w:val="21"/>
                      <w:highlight w:val="none"/>
                    </w:rPr>
                    <w:t>由</w:t>
                  </w:r>
                  <w:r>
                    <w:rPr>
                      <w:rFonts w:hint="eastAsia"/>
                      <w:color w:val="auto"/>
                      <w:szCs w:val="21"/>
                      <w:highlight w:val="none"/>
                    </w:rPr>
                    <w:t>市政电网供电</w:t>
                  </w:r>
                </w:p>
              </w:tc>
              <w:tc>
                <w:tcPr>
                  <w:tcW w:w="1449" w:type="pct"/>
                  <w:vAlign w:val="center"/>
                </w:tcPr>
                <w:p w14:paraId="64B2A2C5">
                  <w:pPr>
                    <w:spacing w:line="276" w:lineRule="auto"/>
                    <w:contextualSpacing/>
                    <w:jc w:val="center"/>
                    <w:rPr>
                      <w:rFonts w:hint="default" w:hAnsi="宋体" w:eastAsia="宋体"/>
                      <w:color w:val="auto"/>
                      <w:szCs w:val="21"/>
                      <w:highlight w:val="none"/>
                      <w:lang w:val="en-US" w:eastAsia="zh-CN"/>
                    </w:rPr>
                  </w:pPr>
                  <w:r>
                    <w:rPr>
                      <w:rFonts w:hint="eastAsia" w:hAnsi="宋体"/>
                      <w:color w:val="auto"/>
                      <w:szCs w:val="21"/>
                      <w:highlight w:val="none"/>
                      <w:lang w:val="en-US" w:eastAsia="zh-CN"/>
                    </w:rPr>
                    <w:t>本次改建项目依托现有配电房2台250kVA变压器，新增用电9.8万kWh/年，均由市政电网供电。</w:t>
                  </w:r>
                </w:p>
              </w:tc>
              <w:tc>
                <w:tcPr>
                  <w:tcW w:w="787" w:type="pct"/>
                  <w:vAlign w:val="center"/>
                </w:tcPr>
                <w:p w14:paraId="4184D306">
                  <w:pPr>
                    <w:spacing w:line="276" w:lineRule="auto"/>
                    <w:contextualSpacing/>
                    <w:jc w:val="center"/>
                    <w:rPr>
                      <w:rFonts w:hint="eastAsia" w:hAnsi="宋体" w:eastAsia="宋体"/>
                      <w:color w:val="auto"/>
                      <w:szCs w:val="21"/>
                      <w:highlight w:val="none"/>
                      <w:lang w:val="en-US" w:eastAsia="zh-CN"/>
                    </w:rPr>
                  </w:pPr>
                  <w:r>
                    <w:rPr>
                      <w:rFonts w:hint="eastAsia" w:hAnsi="宋体"/>
                      <w:color w:val="auto"/>
                      <w:szCs w:val="21"/>
                      <w:highlight w:val="none"/>
                      <w:lang w:val="en-US" w:eastAsia="zh-CN"/>
                    </w:rPr>
                    <w:t>依托现有</w:t>
                  </w:r>
                </w:p>
              </w:tc>
              <w:tc>
                <w:tcPr>
                  <w:tcW w:w="536" w:type="pct"/>
                  <w:vAlign w:val="center"/>
                </w:tcPr>
                <w:p w14:paraId="11082950">
                  <w:pPr>
                    <w:spacing w:line="276" w:lineRule="auto"/>
                    <w:contextualSpacing/>
                    <w:jc w:val="center"/>
                    <w:rPr>
                      <w:rFonts w:hint="eastAsia" w:hAnsi="宋体" w:eastAsia="宋体"/>
                      <w:color w:val="auto"/>
                      <w:szCs w:val="21"/>
                      <w:highlight w:val="none"/>
                      <w:lang w:val="en-US" w:eastAsia="zh-CN"/>
                    </w:rPr>
                  </w:pPr>
                  <w:r>
                    <w:rPr>
                      <w:rFonts w:hint="eastAsia" w:hAnsi="宋体"/>
                      <w:color w:val="auto"/>
                      <w:szCs w:val="21"/>
                      <w:highlight w:val="none"/>
                      <w:lang w:val="en-US" w:eastAsia="zh-CN"/>
                    </w:rPr>
                    <w:t>/</w:t>
                  </w:r>
                </w:p>
              </w:tc>
            </w:tr>
            <w:tr w14:paraId="6B93D8B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283F0EA2">
                  <w:pPr>
                    <w:spacing w:line="276" w:lineRule="auto"/>
                    <w:contextualSpacing/>
                    <w:jc w:val="center"/>
                    <w:rPr>
                      <w:color w:val="auto"/>
                      <w:szCs w:val="21"/>
                      <w:highlight w:val="none"/>
                    </w:rPr>
                  </w:pPr>
                </w:p>
              </w:tc>
              <w:tc>
                <w:tcPr>
                  <w:tcW w:w="493" w:type="pct"/>
                  <w:vAlign w:val="center"/>
                </w:tcPr>
                <w:p w14:paraId="0D689DA8">
                  <w:pPr>
                    <w:spacing w:line="276" w:lineRule="auto"/>
                    <w:contextualSpacing/>
                    <w:jc w:val="center"/>
                    <w:rPr>
                      <w:color w:val="auto"/>
                      <w:szCs w:val="21"/>
                      <w:highlight w:val="none"/>
                    </w:rPr>
                  </w:pPr>
                  <w:r>
                    <w:rPr>
                      <w:color w:val="auto"/>
                      <w:szCs w:val="21"/>
                      <w:highlight w:val="none"/>
                    </w:rPr>
                    <w:t>排水</w:t>
                  </w:r>
                </w:p>
              </w:tc>
              <w:tc>
                <w:tcPr>
                  <w:tcW w:w="1390" w:type="pct"/>
                  <w:gridSpan w:val="2"/>
                  <w:vAlign w:val="center"/>
                </w:tcPr>
                <w:p w14:paraId="3A46F5A6">
                  <w:pPr>
                    <w:spacing w:line="276" w:lineRule="auto"/>
                    <w:contextualSpacing/>
                    <w:jc w:val="center"/>
                    <w:rPr>
                      <w:color w:val="auto"/>
                      <w:szCs w:val="21"/>
                      <w:highlight w:val="none"/>
                    </w:rPr>
                  </w:pPr>
                  <w:r>
                    <w:rPr>
                      <w:rFonts w:hint="eastAsia"/>
                      <w:color w:val="auto"/>
                      <w:szCs w:val="21"/>
                      <w:highlight w:val="none"/>
                    </w:rPr>
                    <w:t>采用雨污分流，雨水由雨水管网收集经雨水总排口汇入园区雨水管网；实际生产时无生产废水产生，仅排放生活污水，生活污水经厂区化粪池预处理后排入园区污水管网，接管至淮南经济技术开发区污水处理厂处理。</w:t>
                  </w:r>
                </w:p>
              </w:tc>
              <w:tc>
                <w:tcPr>
                  <w:tcW w:w="1449" w:type="pct"/>
                  <w:vAlign w:val="center"/>
                </w:tcPr>
                <w:p w14:paraId="24122C2F">
                  <w:pPr>
                    <w:spacing w:line="276" w:lineRule="auto"/>
                    <w:contextualSpacing/>
                    <w:jc w:val="center"/>
                    <w:rPr>
                      <w:rFonts w:hint="default" w:eastAsia="宋体"/>
                      <w:color w:val="auto"/>
                      <w:szCs w:val="21"/>
                      <w:highlight w:val="none"/>
                      <w:lang w:val="en-US" w:eastAsia="zh-CN"/>
                    </w:rPr>
                  </w:pPr>
                  <w:r>
                    <w:rPr>
                      <w:rFonts w:hint="eastAsia"/>
                      <w:color w:val="auto"/>
                      <w:szCs w:val="21"/>
                      <w:highlight w:val="none"/>
                      <w:lang w:val="en-US" w:eastAsia="zh-CN"/>
                    </w:rPr>
                    <w:t>本次改建项目不新增生产废水及生活污水，现有生活污水经</w:t>
                  </w:r>
                  <w:r>
                    <w:rPr>
                      <w:rFonts w:hint="eastAsia"/>
                      <w:color w:val="auto"/>
                      <w:szCs w:val="21"/>
                      <w:highlight w:val="none"/>
                    </w:rPr>
                    <w:t>厂区化粪池预处理后排入园区污水管网，接管至淮南经济技术开发区污水处理厂处理。</w:t>
                  </w:r>
                </w:p>
              </w:tc>
              <w:tc>
                <w:tcPr>
                  <w:tcW w:w="787" w:type="pct"/>
                  <w:vAlign w:val="center"/>
                </w:tcPr>
                <w:p w14:paraId="420D7E3B">
                  <w:pPr>
                    <w:spacing w:line="276" w:lineRule="auto"/>
                    <w:contextualSpacing/>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536" w:type="pct"/>
                  <w:vAlign w:val="center"/>
                </w:tcPr>
                <w:p w14:paraId="397ADA24">
                  <w:pPr>
                    <w:spacing w:line="276" w:lineRule="auto"/>
                    <w:contextualSpacing/>
                    <w:jc w:val="center"/>
                    <w:rPr>
                      <w:rFonts w:hint="eastAsia" w:eastAsia="宋体"/>
                      <w:color w:val="auto"/>
                      <w:szCs w:val="21"/>
                      <w:highlight w:val="none"/>
                      <w:lang w:val="en-US" w:eastAsia="zh-CN"/>
                    </w:rPr>
                  </w:pPr>
                  <w:r>
                    <w:rPr>
                      <w:rFonts w:hint="eastAsia"/>
                      <w:color w:val="auto"/>
                      <w:szCs w:val="21"/>
                      <w:highlight w:val="none"/>
                      <w:lang w:val="en-US" w:eastAsia="zh-CN"/>
                    </w:rPr>
                    <w:t>/</w:t>
                  </w:r>
                </w:p>
              </w:tc>
            </w:tr>
            <w:tr w14:paraId="1DA42D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restart"/>
                  <w:vAlign w:val="center"/>
                </w:tcPr>
                <w:p w14:paraId="1DDB582B">
                  <w:pPr>
                    <w:spacing w:line="276" w:lineRule="auto"/>
                    <w:contextualSpacing/>
                    <w:jc w:val="center"/>
                    <w:rPr>
                      <w:color w:val="auto"/>
                      <w:szCs w:val="21"/>
                      <w:highlight w:val="none"/>
                    </w:rPr>
                  </w:pPr>
                  <w:r>
                    <w:rPr>
                      <w:color w:val="auto"/>
                      <w:szCs w:val="21"/>
                      <w:highlight w:val="none"/>
                    </w:rPr>
                    <w:t>环保</w:t>
                  </w:r>
                </w:p>
                <w:p w14:paraId="5D930CCC">
                  <w:pPr>
                    <w:spacing w:line="276" w:lineRule="auto"/>
                    <w:contextualSpacing/>
                    <w:jc w:val="center"/>
                    <w:rPr>
                      <w:color w:val="auto"/>
                      <w:szCs w:val="21"/>
                      <w:highlight w:val="none"/>
                    </w:rPr>
                  </w:pPr>
                  <w:r>
                    <w:rPr>
                      <w:color w:val="auto"/>
                      <w:szCs w:val="21"/>
                      <w:highlight w:val="none"/>
                    </w:rPr>
                    <w:t>工程</w:t>
                  </w:r>
                </w:p>
              </w:tc>
              <w:tc>
                <w:tcPr>
                  <w:tcW w:w="493" w:type="pct"/>
                  <w:vAlign w:val="center"/>
                </w:tcPr>
                <w:p w14:paraId="32598519">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废气治理</w:t>
                  </w:r>
                </w:p>
              </w:tc>
              <w:tc>
                <w:tcPr>
                  <w:tcW w:w="1390" w:type="pct"/>
                  <w:gridSpan w:val="2"/>
                  <w:vAlign w:val="center"/>
                </w:tcPr>
                <w:p w14:paraId="2B110E01">
                  <w:pPr>
                    <w:spacing w:line="276" w:lineRule="auto"/>
                    <w:jc w:val="center"/>
                    <w:rPr>
                      <w:rFonts w:hint="eastAsia" w:eastAsia="宋体"/>
                      <w:color w:val="auto"/>
                      <w:kern w:val="0"/>
                      <w:szCs w:val="21"/>
                      <w:highlight w:val="none"/>
                      <w:lang w:eastAsia="zh-CN"/>
                    </w:rPr>
                  </w:pPr>
                  <w:r>
                    <w:rPr>
                      <w:rFonts w:hint="eastAsia"/>
                      <w:color w:val="auto"/>
                      <w:kern w:val="0"/>
                      <w:szCs w:val="21"/>
                      <w:highlight w:val="none"/>
                    </w:rPr>
                    <w:t>正常充装操作无生产废气产生。乙烯卸车环节采用气相平衡管进行装卸；储罐、充装设备及管线采用设备密封</w:t>
                  </w:r>
                  <w:r>
                    <w:rPr>
                      <w:rFonts w:hint="eastAsia"/>
                      <w:color w:val="auto"/>
                      <w:kern w:val="0"/>
                      <w:szCs w:val="21"/>
                      <w:highlight w:val="none"/>
                      <w:lang w:eastAsia="zh-CN"/>
                    </w:rPr>
                    <w:t>。</w:t>
                  </w:r>
                </w:p>
              </w:tc>
              <w:tc>
                <w:tcPr>
                  <w:tcW w:w="1449" w:type="pct"/>
                  <w:vAlign w:val="center"/>
                </w:tcPr>
                <w:p w14:paraId="3079D8C6">
                  <w:pPr>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本次改建项目乙烯、丙烷、丁烷正常充装操作无生产废气产生。</w:t>
                  </w:r>
                  <w:r>
                    <w:rPr>
                      <w:rFonts w:hint="eastAsia"/>
                      <w:color w:val="auto"/>
                      <w:kern w:val="0"/>
                      <w:szCs w:val="21"/>
                      <w:highlight w:val="none"/>
                    </w:rPr>
                    <w:t>乙烯卸车环节采用气相平衡管进行装卸；</w:t>
                  </w:r>
                  <w:r>
                    <w:rPr>
                      <w:rFonts w:hint="eastAsia"/>
                      <w:color w:val="auto"/>
                      <w:kern w:val="0"/>
                      <w:szCs w:val="21"/>
                      <w:highlight w:val="none"/>
                      <w:lang w:val="en-US" w:eastAsia="zh-CN"/>
                    </w:rPr>
                    <w:t>丙烷、丁烷卸车环节采用压缩机对罐车增压，采用下进液气相平衡管进行装卸；各</w:t>
                  </w:r>
                  <w:r>
                    <w:rPr>
                      <w:rFonts w:hint="eastAsia"/>
                      <w:color w:val="auto"/>
                      <w:kern w:val="0"/>
                      <w:szCs w:val="21"/>
                      <w:highlight w:val="none"/>
                    </w:rPr>
                    <w:t>储罐、充装设备及管线</w:t>
                  </w:r>
                  <w:r>
                    <w:rPr>
                      <w:rFonts w:hint="eastAsia"/>
                      <w:color w:val="auto"/>
                      <w:kern w:val="0"/>
                      <w:szCs w:val="21"/>
                      <w:highlight w:val="none"/>
                      <w:lang w:val="en-US" w:eastAsia="zh-CN"/>
                    </w:rPr>
                    <w:t>均</w:t>
                  </w:r>
                  <w:r>
                    <w:rPr>
                      <w:rFonts w:hint="eastAsia"/>
                      <w:color w:val="auto"/>
                      <w:kern w:val="0"/>
                      <w:szCs w:val="21"/>
                      <w:highlight w:val="none"/>
                    </w:rPr>
                    <w:t>采用设备密封</w:t>
                  </w:r>
                  <w:r>
                    <w:rPr>
                      <w:rFonts w:hint="eastAsia"/>
                      <w:color w:val="auto"/>
                      <w:kern w:val="0"/>
                      <w:szCs w:val="21"/>
                      <w:highlight w:val="none"/>
                      <w:lang w:eastAsia="zh-CN"/>
                    </w:rPr>
                    <w:t>。</w:t>
                  </w:r>
                </w:p>
              </w:tc>
              <w:tc>
                <w:tcPr>
                  <w:tcW w:w="787" w:type="pct"/>
                  <w:vAlign w:val="center"/>
                </w:tcPr>
                <w:p w14:paraId="290E4112">
                  <w:pPr>
                    <w:spacing w:line="276" w:lineRule="auto"/>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w:t>
                  </w:r>
                </w:p>
              </w:tc>
              <w:tc>
                <w:tcPr>
                  <w:tcW w:w="536" w:type="pct"/>
                  <w:vAlign w:val="center"/>
                </w:tcPr>
                <w:p w14:paraId="47816661">
                  <w:pPr>
                    <w:spacing w:line="276"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依托现有，并新建设施</w:t>
                  </w:r>
                </w:p>
              </w:tc>
            </w:tr>
            <w:tr w14:paraId="2DE262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455176D8">
                  <w:pPr>
                    <w:spacing w:line="276" w:lineRule="auto"/>
                    <w:contextualSpacing/>
                    <w:jc w:val="center"/>
                    <w:rPr>
                      <w:color w:val="auto"/>
                      <w:szCs w:val="21"/>
                      <w:highlight w:val="none"/>
                    </w:rPr>
                  </w:pPr>
                </w:p>
              </w:tc>
              <w:tc>
                <w:tcPr>
                  <w:tcW w:w="493" w:type="pct"/>
                  <w:vAlign w:val="center"/>
                </w:tcPr>
                <w:p w14:paraId="40DBA927">
                  <w:pPr>
                    <w:spacing w:line="276" w:lineRule="auto"/>
                    <w:jc w:val="center"/>
                    <w:rPr>
                      <w:color w:val="auto"/>
                      <w:szCs w:val="21"/>
                      <w:highlight w:val="none"/>
                    </w:rPr>
                  </w:pPr>
                  <w:r>
                    <w:rPr>
                      <w:color w:val="auto"/>
                      <w:szCs w:val="21"/>
                      <w:highlight w:val="none"/>
                    </w:rPr>
                    <w:t>废水治理</w:t>
                  </w:r>
                </w:p>
              </w:tc>
              <w:tc>
                <w:tcPr>
                  <w:tcW w:w="1390" w:type="pct"/>
                  <w:gridSpan w:val="2"/>
                  <w:vAlign w:val="center"/>
                </w:tcPr>
                <w:p w14:paraId="383761AA">
                  <w:pPr>
                    <w:spacing w:line="276" w:lineRule="auto"/>
                    <w:jc w:val="center"/>
                    <w:rPr>
                      <w:color w:val="auto"/>
                      <w:highlight w:val="none"/>
                    </w:rPr>
                  </w:pPr>
                  <w:r>
                    <w:rPr>
                      <w:color w:val="auto"/>
                      <w:kern w:val="0"/>
                      <w:szCs w:val="21"/>
                      <w:highlight w:val="none"/>
                    </w:rPr>
                    <w:t>生活污水依托</w:t>
                  </w:r>
                  <w:r>
                    <w:rPr>
                      <w:rFonts w:hint="eastAsia"/>
                      <w:color w:val="auto"/>
                      <w:highlight w:val="none"/>
                    </w:rPr>
                    <w:t>厂区内</w:t>
                  </w:r>
                  <w:r>
                    <w:rPr>
                      <w:color w:val="auto"/>
                      <w:kern w:val="0"/>
                      <w:szCs w:val="21"/>
                      <w:highlight w:val="none"/>
                    </w:rPr>
                    <w:t>化粪池</w:t>
                  </w:r>
                  <w:r>
                    <w:rPr>
                      <w:rFonts w:hint="eastAsia"/>
                      <w:color w:val="auto"/>
                      <w:kern w:val="0"/>
                      <w:szCs w:val="21"/>
                      <w:highlight w:val="none"/>
                    </w:rPr>
                    <w:t>预处理后由厂区废水总排口排入园区污水管网，进入淮南经济技术开发区污水处理厂处理。</w:t>
                  </w:r>
                </w:p>
              </w:tc>
              <w:tc>
                <w:tcPr>
                  <w:tcW w:w="1449" w:type="pct"/>
                  <w:vAlign w:val="center"/>
                </w:tcPr>
                <w:p w14:paraId="03DAAFBB">
                  <w:pPr>
                    <w:spacing w:line="276" w:lineRule="auto"/>
                    <w:jc w:val="center"/>
                    <w:rPr>
                      <w:color w:val="auto"/>
                      <w:kern w:val="0"/>
                      <w:szCs w:val="21"/>
                      <w:highlight w:val="none"/>
                    </w:rPr>
                  </w:pPr>
                  <w:r>
                    <w:rPr>
                      <w:rFonts w:hint="eastAsia"/>
                      <w:color w:val="auto"/>
                      <w:szCs w:val="21"/>
                      <w:highlight w:val="none"/>
                      <w:lang w:val="en-US" w:eastAsia="zh-CN"/>
                    </w:rPr>
                    <w:t>本次改建项目不新增生产废水及生活污水，现有生活污水经</w:t>
                  </w:r>
                  <w:r>
                    <w:rPr>
                      <w:rFonts w:hint="eastAsia"/>
                      <w:color w:val="auto"/>
                      <w:szCs w:val="21"/>
                      <w:highlight w:val="none"/>
                    </w:rPr>
                    <w:t>厂区化粪池预处理后排入园区污水管网，接管至淮南经济技术开发区污水处理厂处理。</w:t>
                  </w:r>
                </w:p>
              </w:tc>
              <w:tc>
                <w:tcPr>
                  <w:tcW w:w="787" w:type="pct"/>
                  <w:vAlign w:val="center"/>
                </w:tcPr>
                <w:p w14:paraId="7565C333">
                  <w:pPr>
                    <w:spacing w:line="276" w:lineRule="auto"/>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w:t>
                  </w:r>
                </w:p>
              </w:tc>
              <w:tc>
                <w:tcPr>
                  <w:tcW w:w="536" w:type="pct"/>
                  <w:vAlign w:val="center"/>
                </w:tcPr>
                <w:p w14:paraId="02F206D7">
                  <w:pPr>
                    <w:spacing w:line="276" w:lineRule="auto"/>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w:t>
                  </w:r>
                </w:p>
              </w:tc>
            </w:tr>
            <w:tr w14:paraId="1FD7AA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3" w:type="pct"/>
                  <w:vMerge w:val="continue"/>
                  <w:vAlign w:val="center"/>
                </w:tcPr>
                <w:p w14:paraId="34C8B721">
                  <w:pPr>
                    <w:spacing w:line="276" w:lineRule="auto"/>
                    <w:contextualSpacing/>
                    <w:jc w:val="center"/>
                    <w:rPr>
                      <w:color w:val="auto"/>
                      <w:szCs w:val="21"/>
                      <w:highlight w:val="none"/>
                    </w:rPr>
                  </w:pPr>
                </w:p>
              </w:tc>
              <w:tc>
                <w:tcPr>
                  <w:tcW w:w="493" w:type="pct"/>
                  <w:vAlign w:val="center"/>
                </w:tcPr>
                <w:p w14:paraId="21A4541A">
                  <w:pPr>
                    <w:spacing w:line="276" w:lineRule="auto"/>
                    <w:contextualSpacing/>
                    <w:jc w:val="center"/>
                    <w:rPr>
                      <w:color w:val="auto"/>
                      <w:szCs w:val="21"/>
                      <w:highlight w:val="none"/>
                    </w:rPr>
                  </w:pPr>
                  <w:r>
                    <w:rPr>
                      <w:color w:val="auto"/>
                      <w:szCs w:val="21"/>
                      <w:highlight w:val="none"/>
                    </w:rPr>
                    <w:t>噪声治理</w:t>
                  </w:r>
                </w:p>
              </w:tc>
              <w:tc>
                <w:tcPr>
                  <w:tcW w:w="1390" w:type="pct"/>
                  <w:gridSpan w:val="2"/>
                  <w:vAlign w:val="center"/>
                </w:tcPr>
                <w:p w14:paraId="3B8E7203">
                  <w:pPr>
                    <w:spacing w:line="276" w:lineRule="auto"/>
                    <w:contextualSpacing/>
                    <w:jc w:val="center"/>
                    <w:rPr>
                      <w:rFonts w:hint="eastAsia" w:eastAsia="宋体"/>
                      <w:color w:val="auto"/>
                      <w:szCs w:val="21"/>
                      <w:highlight w:val="none"/>
                      <w:lang w:eastAsia="zh-CN"/>
                    </w:rPr>
                  </w:pPr>
                  <w:r>
                    <w:rPr>
                      <w:rFonts w:hint="eastAsia"/>
                      <w:color w:val="auto"/>
                      <w:szCs w:val="21"/>
                      <w:highlight w:val="none"/>
                    </w:rPr>
                    <w:t>选用低噪声设备，采取厂房隔声、设备减振、消声等措施</w:t>
                  </w:r>
                  <w:r>
                    <w:rPr>
                      <w:rFonts w:hint="eastAsia"/>
                      <w:color w:val="auto"/>
                      <w:szCs w:val="21"/>
                      <w:highlight w:val="none"/>
                      <w:lang w:eastAsia="zh-CN"/>
                    </w:rPr>
                    <w:t>。</w:t>
                  </w:r>
                </w:p>
              </w:tc>
              <w:tc>
                <w:tcPr>
                  <w:tcW w:w="1449" w:type="pct"/>
                  <w:vAlign w:val="center"/>
                </w:tcPr>
                <w:p w14:paraId="52B26A80">
                  <w:pPr>
                    <w:spacing w:line="276" w:lineRule="auto"/>
                    <w:contextualSpacing/>
                    <w:jc w:val="center"/>
                    <w:rPr>
                      <w:rFonts w:hint="eastAsia"/>
                      <w:color w:val="auto"/>
                      <w:szCs w:val="21"/>
                      <w:highlight w:val="none"/>
                    </w:rPr>
                  </w:pPr>
                  <w:r>
                    <w:rPr>
                      <w:rFonts w:hint="eastAsia"/>
                      <w:color w:val="auto"/>
                      <w:szCs w:val="21"/>
                      <w:highlight w:val="none"/>
                    </w:rPr>
                    <w:t>选用低噪声设备，采取厂房隔声、设备减振、消声等措施</w:t>
                  </w:r>
                  <w:r>
                    <w:rPr>
                      <w:rFonts w:hint="eastAsia"/>
                      <w:color w:val="auto"/>
                      <w:szCs w:val="21"/>
                      <w:highlight w:val="none"/>
                      <w:lang w:eastAsia="zh-CN"/>
                    </w:rPr>
                    <w:t>。</w:t>
                  </w:r>
                </w:p>
              </w:tc>
              <w:tc>
                <w:tcPr>
                  <w:tcW w:w="787" w:type="pct"/>
                  <w:vAlign w:val="center"/>
                </w:tcPr>
                <w:p w14:paraId="6F4EEB8D">
                  <w:pPr>
                    <w:spacing w:line="276" w:lineRule="auto"/>
                    <w:contextualSpacing/>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536" w:type="pct"/>
                  <w:vAlign w:val="center"/>
                </w:tcPr>
                <w:p w14:paraId="6096AE3F">
                  <w:pPr>
                    <w:spacing w:line="276" w:lineRule="auto"/>
                    <w:contextualSpacing/>
                    <w:jc w:val="center"/>
                    <w:rPr>
                      <w:rFonts w:hint="eastAsia" w:eastAsia="宋体"/>
                      <w:color w:val="auto"/>
                      <w:szCs w:val="21"/>
                      <w:highlight w:val="none"/>
                      <w:lang w:val="en-US" w:eastAsia="zh-CN"/>
                    </w:rPr>
                  </w:pPr>
                  <w:r>
                    <w:rPr>
                      <w:rFonts w:hint="eastAsia"/>
                      <w:color w:val="auto"/>
                      <w:szCs w:val="21"/>
                      <w:highlight w:val="none"/>
                      <w:lang w:val="en-US" w:eastAsia="zh-CN"/>
                    </w:rPr>
                    <w:t>新建</w:t>
                  </w:r>
                </w:p>
              </w:tc>
            </w:tr>
            <w:tr w14:paraId="5E340B7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343" w:type="pct"/>
                  <w:vMerge w:val="continue"/>
                  <w:vAlign w:val="center"/>
                </w:tcPr>
                <w:p w14:paraId="52972500">
                  <w:pPr>
                    <w:spacing w:line="276" w:lineRule="auto"/>
                    <w:contextualSpacing/>
                    <w:jc w:val="center"/>
                    <w:rPr>
                      <w:color w:val="auto"/>
                      <w:szCs w:val="21"/>
                      <w:highlight w:val="none"/>
                    </w:rPr>
                  </w:pPr>
                </w:p>
              </w:tc>
              <w:tc>
                <w:tcPr>
                  <w:tcW w:w="493" w:type="pct"/>
                  <w:vAlign w:val="center"/>
                </w:tcPr>
                <w:p w14:paraId="6BCE10B1">
                  <w:pPr>
                    <w:spacing w:line="276" w:lineRule="auto"/>
                    <w:contextualSpacing/>
                    <w:jc w:val="center"/>
                    <w:rPr>
                      <w:color w:val="auto"/>
                      <w:szCs w:val="21"/>
                      <w:highlight w:val="none"/>
                    </w:rPr>
                  </w:pPr>
                  <w:r>
                    <w:rPr>
                      <w:color w:val="auto"/>
                      <w:szCs w:val="21"/>
                      <w:highlight w:val="none"/>
                    </w:rPr>
                    <w:t>固废治理</w:t>
                  </w:r>
                </w:p>
              </w:tc>
              <w:tc>
                <w:tcPr>
                  <w:tcW w:w="1390" w:type="pct"/>
                  <w:gridSpan w:val="2"/>
                  <w:vAlign w:val="center"/>
                </w:tcPr>
                <w:p w14:paraId="00E02997">
                  <w:pPr>
                    <w:pStyle w:val="52"/>
                    <w:spacing w:line="276" w:lineRule="auto"/>
                    <w:jc w:val="center"/>
                    <w:rPr>
                      <w:rFonts w:hint="eastAsia" w:eastAsia="宋体"/>
                      <w:color w:val="auto"/>
                      <w:sz w:val="21"/>
                      <w:szCs w:val="21"/>
                      <w:highlight w:val="none"/>
                      <w:lang w:eastAsia="zh-CN"/>
                    </w:rPr>
                  </w:pPr>
                  <w:r>
                    <w:rPr>
                      <w:rFonts w:hint="eastAsia"/>
                      <w:b/>
                      <w:color w:val="auto"/>
                      <w:kern w:val="2"/>
                      <w:sz w:val="21"/>
                      <w:szCs w:val="21"/>
                      <w:highlight w:val="none"/>
                    </w:rPr>
                    <w:t>生活垃圾：</w:t>
                  </w:r>
                  <w:r>
                    <w:rPr>
                      <w:rFonts w:hint="eastAsia"/>
                      <w:color w:val="auto"/>
                      <w:kern w:val="2"/>
                      <w:sz w:val="21"/>
                      <w:szCs w:val="21"/>
                      <w:highlight w:val="none"/>
                    </w:rPr>
                    <w:t>厂区控制室内设置垃圾桶收集办公垃圾，定期由环卫部门清运</w:t>
                  </w:r>
                  <w:r>
                    <w:rPr>
                      <w:rFonts w:hint="eastAsia"/>
                      <w:color w:val="auto"/>
                      <w:kern w:val="2"/>
                      <w:sz w:val="21"/>
                      <w:szCs w:val="21"/>
                      <w:highlight w:val="none"/>
                      <w:lang w:eastAsia="zh-CN"/>
                    </w:rPr>
                    <w:t>。</w:t>
                  </w:r>
                </w:p>
              </w:tc>
              <w:tc>
                <w:tcPr>
                  <w:tcW w:w="1449" w:type="pct"/>
                  <w:vAlign w:val="center"/>
                </w:tcPr>
                <w:p w14:paraId="45733D82">
                  <w:pPr>
                    <w:pStyle w:val="52"/>
                    <w:spacing w:line="276" w:lineRule="auto"/>
                    <w:jc w:val="center"/>
                    <w:rPr>
                      <w:rFonts w:hint="default" w:eastAsia="宋体"/>
                      <w:b/>
                      <w:color w:val="auto"/>
                      <w:kern w:val="2"/>
                      <w:sz w:val="21"/>
                      <w:szCs w:val="21"/>
                      <w:highlight w:val="none"/>
                      <w:lang w:val="en-US" w:eastAsia="zh-CN"/>
                    </w:rPr>
                  </w:pPr>
                  <w:r>
                    <w:rPr>
                      <w:rFonts w:hint="eastAsia"/>
                      <w:b w:val="0"/>
                      <w:bCs/>
                      <w:color w:val="auto"/>
                      <w:kern w:val="2"/>
                      <w:sz w:val="21"/>
                      <w:szCs w:val="21"/>
                      <w:highlight w:val="none"/>
                      <w:lang w:val="en-US" w:eastAsia="zh-CN"/>
                    </w:rPr>
                    <w:t>本次改建项目不新增劳动定员，不新增生活垃圾。</w:t>
                  </w:r>
                </w:p>
              </w:tc>
              <w:tc>
                <w:tcPr>
                  <w:tcW w:w="787" w:type="pct"/>
                  <w:vAlign w:val="center"/>
                </w:tcPr>
                <w:p w14:paraId="4C73D29A">
                  <w:pPr>
                    <w:pStyle w:val="52"/>
                    <w:spacing w:line="276" w:lineRule="auto"/>
                    <w:jc w:val="center"/>
                    <w:rPr>
                      <w:rFonts w:hint="eastAsia" w:eastAsia="宋体"/>
                      <w:b w:val="0"/>
                      <w:bCs/>
                      <w:color w:val="auto"/>
                      <w:kern w:val="2"/>
                      <w:sz w:val="21"/>
                      <w:szCs w:val="21"/>
                      <w:highlight w:val="none"/>
                      <w:lang w:val="en-US" w:eastAsia="zh-CN"/>
                    </w:rPr>
                  </w:pPr>
                  <w:r>
                    <w:rPr>
                      <w:rFonts w:hint="eastAsia"/>
                      <w:b w:val="0"/>
                      <w:bCs/>
                      <w:color w:val="auto"/>
                      <w:kern w:val="2"/>
                      <w:sz w:val="21"/>
                      <w:szCs w:val="21"/>
                      <w:highlight w:val="none"/>
                      <w:lang w:val="en-US" w:eastAsia="zh-CN"/>
                    </w:rPr>
                    <w:t>/</w:t>
                  </w:r>
                </w:p>
              </w:tc>
              <w:tc>
                <w:tcPr>
                  <w:tcW w:w="536" w:type="pct"/>
                  <w:vAlign w:val="center"/>
                </w:tcPr>
                <w:p w14:paraId="775715E7">
                  <w:pPr>
                    <w:pStyle w:val="52"/>
                    <w:spacing w:line="276" w:lineRule="auto"/>
                    <w:jc w:val="center"/>
                    <w:rPr>
                      <w:rFonts w:hint="eastAsia" w:eastAsia="宋体"/>
                      <w:b w:val="0"/>
                      <w:bCs/>
                      <w:color w:val="auto"/>
                      <w:kern w:val="2"/>
                      <w:sz w:val="21"/>
                      <w:szCs w:val="21"/>
                      <w:highlight w:val="none"/>
                      <w:lang w:val="en-US" w:eastAsia="zh-CN"/>
                    </w:rPr>
                  </w:pPr>
                  <w:r>
                    <w:rPr>
                      <w:rFonts w:hint="eastAsia"/>
                      <w:b w:val="0"/>
                      <w:bCs/>
                      <w:color w:val="auto"/>
                      <w:kern w:val="2"/>
                      <w:sz w:val="21"/>
                      <w:szCs w:val="21"/>
                      <w:highlight w:val="none"/>
                      <w:lang w:val="en-US" w:eastAsia="zh-CN"/>
                    </w:rPr>
                    <w:t>/</w:t>
                  </w:r>
                </w:p>
              </w:tc>
            </w:tr>
            <w:tr w14:paraId="340C80A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343" w:type="pct"/>
                  <w:vMerge w:val="continue"/>
                  <w:vAlign w:val="center"/>
                </w:tcPr>
                <w:p w14:paraId="33D62D66">
                  <w:pPr>
                    <w:spacing w:line="276" w:lineRule="auto"/>
                    <w:contextualSpacing/>
                    <w:jc w:val="center"/>
                    <w:rPr>
                      <w:color w:val="auto"/>
                      <w:szCs w:val="21"/>
                      <w:highlight w:val="none"/>
                    </w:rPr>
                  </w:pPr>
                </w:p>
              </w:tc>
              <w:tc>
                <w:tcPr>
                  <w:tcW w:w="493" w:type="pct"/>
                  <w:vAlign w:val="center"/>
                </w:tcPr>
                <w:p w14:paraId="67599156">
                  <w:pPr>
                    <w:spacing w:line="276" w:lineRule="auto"/>
                    <w:contextualSpacing/>
                    <w:jc w:val="center"/>
                    <w:rPr>
                      <w:color w:val="auto"/>
                      <w:szCs w:val="21"/>
                      <w:highlight w:val="none"/>
                    </w:rPr>
                  </w:pPr>
                  <w:r>
                    <w:rPr>
                      <w:color w:val="auto"/>
                      <w:szCs w:val="21"/>
                      <w:highlight w:val="none"/>
                    </w:rPr>
                    <w:t>地下水</w:t>
                  </w:r>
                  <w:r>
                    <w:rPr>
                      <w:rFonts w:hint="eastAsia"/>
                      <w:color w:val="auto"/>
                      <w:szCs w:val="21"/>
                      <w:highlight w:val="none"/>
                    </w:rPr>
                    <w:t>、</w:t>
                  </w:r>
                  <w:r>
                    <w:rPr>
                      <w:color w:val="auto"/>
                      <w:szCs w:val="21"/>
                      <w:highlight w:val="none"/>
                    </w:rPr>
                    <w:t>土壤防治</w:t>
                  </w:r>
                </w:p>
              </w:tc>
              <w:tc>
                <w:tcPr>
                  <w:tcW w:w="1390" w:type="pct"/>
                  <w:gridSpan w:val="2"/>
                  <w:vAlign w:val="center"/>
                </w:tcPr>
                <w:p w14:paraId="0C50885C">
                  <w:pPr>
                    <w:pStyle w:val="52"/>
                    <w:spacing w:line="276" w:lineRule="auto"/>
                    <w:jc w:val="center"/>
                    <w:rPr>
                      <w:rFonts w:hint="eastAsia" w:eastAsia="宋体"/>
                      <w:color w:val="auto"/>
                      <w:kern w:val="2"/>
                      <w:sz w:val="21"/>
                      <w:szCs w:val="21"/>
                      <w:highlight w:val="none"/>
                      <w:lang w:eastAsia="zh-CN"/>
                    </w:rPr>
                  </w:pPr>
                  <w:r>
                    <w:rPr>
                      <w:rFonts w:hint="eastAsia"/>
                      <w:b/>
                      <w:color w:val="auto"/>
                      <w:kern w:val="2"/>
                      <w:sz w:val="21"/>
                      <w:szCs w:val="21"/>
                      <w:highlight w:val="none"/>
                    </w:rPr>
                    <w:t>分区防渗：</w:t>
                  </w:r>
                  <w:r>
                    <w:rPr>
                      <w:rFonts w:hint="eastAsia"/>
                      <w:color w:val="auto"/>
                      <w:kern w:val="2"/>
                      <w:sz w:val="21"/>
                      <w:szCs w:val="21"/>
                      <w:highlight w:val="none"/>
                    </w:rPr>
                    <w:t>低温储罐区、事故应急池区域</w:t>
                  </w:r>
                  <w:r>
                    <w:rPr>
                      <w:rFonts w:hint="eastAsia"/>
                      <w:color w:val="auto"/>
                      <w:kern w:val="2"/>
                      <w:sz w:val="21"/>
                      <w:szCs w:val="21"/>
                      <w:highlight w:val="none"/>
                      <w:lang w:val="en-US" w:eastAsia="zh-CN"/>
                    </w:rPr>
                    <w:t>已</w:t>
                  </w:r>
                  <w:r>
                    <w:rPr>
                      <w:rFonts w:hint="eastAsia"/>
                      <w:color w:val="auto"/>
                      <w:kern w:val="2"/>
                      <w:sz w:val="21"/>
                      <w:szCs w:val="21"/>
                      <w:highlight w:val="none"/>
                    </w:rPr>
                    <w:t>重点防渗，其他区域一般防渗</w:t>
                  </w:r>
                  <w:r>
                    <w:rPr>
                      <w:rFonts w:hint="eastAsia"/>
                      <w:color w:val="auto"/>
                      <w:kern w:val="2"/>
                      <w:sz w:val="21"/>
                      <w:szCs w:val="21"/>
                      <w:highlight w:val="none"/>
                      <w:lang w:eastAsia="zh-CN"/>
                    </w:rPr>
                    <w:t>。</w:t>
                  </w:r>
                </w:p>
              </w:tc>
              <w:tc>
                <w:tcPr>
                  <w:tcW w:w="1449" w:type="pct"/>
                  <w:vAlign w:val="center"/>
                </w:tcPr>
                <w:p w14:paraId="3C47936E">
                  <w:pPr>
                    <w:pStyle w:val="52"/>
                    <w:spacing w:line="276" w:lineRule="auto"/>
                    <w:jc w:val="center"/>
                    <w:rPr>
                      <w:rFonts w:hint="default" w:eastAsia="宋体"/>
                      <w:b/>
                      <w:color w:val="auto"/>
                      <w:kern w:val="2"/>
                      <w:sz w:val="21"/>
                      <w:szCs w:val="21"/>
                      <w:highlight w:val="none"/>
                      <w:lang w:val="en-US" w:eastAsia="zh-CN"/>
                    </w:rPr>
                  </w:pPr>
                  <w:r>
                    <w:rPr>
                      <w:rFonts w:hint="eastAsia"/>
                      <w:b w:val="0"/>
                      <w:bCs/>
                      <w:color w:val="auto"/>
                      <w:kern w:val="2"/>
                      <w:sz w:val="21"/>
                      <w:szCs w:val="21"/>
                      <w:highlight w:val="none"/>
                      <w:lang w:val="en-US" w:eastAsia="zh-CN"/>
                    </w:rPr>
                    <w:t>本次改建项目依托现有事故应急池进行事故废水收容，</w:t>
                  </w:r>
                  <w:r>
                    <w:rPr>
                      <w:rFonts w:hint="eastAsia"/>
                      <w:b w:val="0"/>
                      <w:bCs/>
                      <w:color w:val="auto"/>
                      <w:kern w:val="2"/>
                      <w:sz w:val="21"/>
                      <w:szCs w:val="21"/>
                      <w:highlight w:val="none"/>
                    </w:rPr>
                    <w:t>事故应急池区域</w:t>
                  </w:r>
                  <w:r>
                    <w:rPr>
                      <w:rFonts w:hint="eastAsia"/>
                      <w:b w:val="0"/>
                      <w:bCs/>
                      <w:color w:val="auto"/>
                      <w:kern w:val="2"/>
                      <w:sz w:val="21"/>
                      <w:szCs w:val="21"/>
                      <w:highlight w:val="none"/>
                      <w:lang w:val="en-US" w:eastAsia="zh-CN"/>
                    </w:rPr>
                    <w:t>均已</w:t>
                  </w:r>
                  <w:r>
                    <w:rPr>
                      <w:rFonts w:hint="eastAsia"/>
                      <w:b w:val="0"/>
                      <w:bCs/>
                      <w:color w:val="auto"/>
                      <w:kern w:val="2"/>
                      <w:sz w:val="21"/>
                      <w:szCs w:val="21"/>
                      <w:highlight w:val="none"/>
                    </w:rPr>
                    <w:t>重点防渗，其他区域</w:t>
                  </w:r>
                  <w:r>
                    <w:rPr>
                      <w:rFonts w:hint="eastAsia"/>
                      <w:b w:val="0"/>
                      <w:bCs/>
                      <w:color w:val="auto"/>
                      <w:kern w:val="2"/>
                      <w:sz w:val="21"/>
                      <w:szCs w:val="21"/>
                      <w:highlight w:val="none"/>
                      <w:lang w:val="en-US" w:eastAsia="zh-CN"/>
                    </w:rPr>
                    <w:t>均已</w:t>
                  </w:r>
                  <w:r>
                    <w:rPr>
                      <w:rFonts w:hint="eastAsia"/>
                      <w:b w:val="0"/>
                      <w:bCs/>
                      <w:color w:val="auto"/>
                      <w:kern w:val="2"/>
                      <w:sz w:val="21"/>
                      <w:szCs w:val="21"/>
                      <w:highlight w:val="none"/>
                    </w:rPr>
                    <w:t>一般防渗</w:t>
                  </w:r>
                  <w:r>
                    <w:rPr>
                      <w:rFonts w:hint="eastAsia"/>
                      <w:b w:val="0"/>
                      <w:bCs/>
                      <w:color w:val="auto"/>
                      <w:kern w:val="2"/>
                      <w:sz w:val="21"/>
                      <w:szCs w:val="21"/>
                      <w:highlight w:val="none"/>
                      <w:lang w:eastAsia="zh-CN"/>
                    </w:rPr>
                    <w:t>；</w:t>
                  </w:r>
                  <w:r>
                    <w:rPr>
                      <w:rFonts w:hint="eastAsia"/>
                      <w:b w:val="0"/>
                      <w:bCs/>
                      <w:color w:val="auto"/>
                      <w:kern w:val="2"/>
                      <w:sz w:val="21"/>
                      <w:szCs w:val="21"/>
                      <w:highlight w:val="none"/>
                      <w:lang w:val="en-US" w:eastAsia="zh-CN"/>
                    </w:rPr>
                    <w:t>改造后低温储罐区设置重点防渗区。</w:t>
                  </w:r>
                </w:p>
              </w:tc>
              <w:tc>
                <w:tcPr>
                  <w:tcW w:w="787" w:type="pct"/>
                  <w:vAlign w:val="center"/>
                </w:tcPr>
                <w:p w14:paraId="38D72D89">
                  <w:pPr>
                    <w:pStyle w:val="52"/>
                    <w:spacing w:line="276" w:lineRule="auto"/>
                    <w:jc w:val="center"/>
                    <w:rPr>
                      <w:rFonts w:hint="default" w:eastAsia="宋体"/>
                      <w:b/>
                      <w:color w:val="auto"/>
                      <w:kern w:val="2"/>
                      <w:sz w:val="21"/>
                      <w:szCs w:val="21"/>
                      <w:highlight w:val="none"/>
                      <w:lang w:val="en-US" w:eastAsia="zh-CN"/>
                    </w:rPr>
                  </w:pPr>
                  <w:r>
                    <w:rPr>
                      <w:rFonts w:hint="eastAsia"/>
                      <w:b w:val="0"/>
                      <w:bCs/>
                      <w:color w:val="auto"/>
                      <w:kern w:val="2"/>
                      <w:sz w:val="21"/>
                      <w:szCs w:val="21"/>
                      <w:highlight w:val="none"/>
                      <w:lang w:val="en-US" w:eastAsia="zh-CN"/>
                    </w:rPr>
                    <w:t>依托现有事故应急池及现有防渗措施，改造低温储罐区设置重点防渗</w:t>
                  </w:r>
                </w:p>
              </w:tc>
              <w:tc>
                <w:tcPr>
                  <w:tcW w:w="536" w:type="pct"/>
                  <w:vAlign w:val="center"/>
                </w:tcPr>
                <w:p w14:paraId="0017EF64">
                  <w:pPr>
                    <w:pStyle w:val="52"/>
                    <w:spacing w:line="276" w:lineRule="auto"/>
                    <w:jc w:val="center"/>
                    <w:rPr>
                      <w:rFonts w:hint="default" w:eastAsia="宋体"/>
                      <w:b/>
                      <w:color w:val="auto"/>
                      <w:kern w:val="2"/>
                      <w:sz w:val="21"/>
                      <w:szCs w:val="21"/>
                      <w:highlight w:val="none"/>
                      <w:lang w:val="en-US" w:eastAsia="zh-CN"/>
                    </w:rPr>
                  </w:pPr>
                  <w:r>
                    <w:rPr>
                      <w:rFonts w:hint="eastAsia"/>
                      <w:b w:val="0"/>
                      <w:bCs/>
                      <w:color w:val="auto"/>
                      <w:kern w:val="2"/>
                      <w:sz w:val="21"/>
                      <w:szCs w:val="21"/>
                      <w:highlight w:val="none"/>
                      <w:lang w:val="en-US" w:eastAsia="zh-CN"/>
                    </w:rPr>
                    <w:t>依托现有并新增重点防渗区域</w:t>
                  </w:r>
                </w:p>
              </w:tc>
            </w:tr>
            <w:tr w14:paraId="07F3E2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343" w:type="pct"/>
                  <w:vMerge w:val="continue"/>
                  <w:vAlign w:val="center"/>
                </w:tcPr>
                <w:p w14:paraId="37889DF5">
                  <w:pPr>
                    <w:spacing w:line="276" w:lineRule="auto"/>
                    <w:contextualSpacing/>
                    <w:jc w:val="center"/>
                    <w:rPr>
                      <w:color w:val="auto"/>
                      <w:szCs w:val="21"/>
                      <w:highlight w:val="none"/>
                    </w:rPr>
                  </w:pPr>
                </w:p>
              </w:tc>
              <w:tc>
                <w:tcPr>
                  <w:tcW w:w="493" w:type="pct"/>
                  <w:vMerge w:val="restart"/>
                  <w:vAlign w:val="center"/>
                </w:tcPr>
                <w:p w14:paraId="200AFF2A">
                  <w:pPr>
                    <w:spacing w:line="276" w:lineRule="auto"/>
                    <w:contextualSpacing/>
                    <w:jc w:val="center"/>
                    <w:rPr>
                      <w:rFonts w:hint="default" w:eastAsia="宋体"/>
                      <w:color w:val="auto"/>
                      <w:szCs w:val="21"/>
                      <w:highlight w:val="none"/>
                      <w:lang w:val="en-US" w:eastAsia="zh-CN"/>
                    </w:rPr>
                  </w:pPr>
                  <w:r>
                    <w:rPr>
                      <w:color w:val="auto"/>
                      <w:szCs w:val="21"/>
                      <w:highlight w:val="none"/>
                    </w:rPr>
                    <w:t>事故应急</w:t>
                  </w:r>
                  <w:r>
                    <w:rPr>
                      <w:rFonts w:hint="eastAsia"/>
                      <w:color w:val="auto"/>
                      <w:szCs w:val="21"/>
                      <w:highlight w:val="none"/>
                      <w:lang w:val="en-US" w:eastAsia="zh-CN"/>
                    </w:rPr>
                    <w:t>及环境风险防范措施</w:t>
                  </w:r>
                </w:p>
              </w:tc>
              <w:tc>
                <w:tcPr>
                  <w:tcW w:w="334" w:type="pct"/>
                  <w:vAlign w:val="center"/>
                </w:tcPr>
                <w:p w14:paraId="239420B8">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应急排空措施</w:t>
                  </w:r>
                </w:p>
              </w:tc>
              <w:tc>
                <w:tcPr>
                  <w:tcW w:w="1055" w:type="pct"/>
                  <w:vAlign w:val="center"/>
                </w:tcPr>
                <w:p w14:paraId="52B3706E">
                  <w:pPr>
                    <w:pStyle w:val="52"/>
                    <w:spacing w:line="276" w:lineRule="auto"/>
                    <w:jc w:val="center"/>
                    <w:rPr>
                      <w:rFonts w:hint="eastAsia"/>
                      <w:color w:val="auto"/>
                      <w:kern w:val="2"/>
                      <w:sz w:val="21"/>
                      <w:szCs w:val="21"/>
                      <w:highlight w:val="none"/>
                    </w:rPr>
                  </w:pPr>
                  <w:r>
                    <w:rPr>
                      <w:rFonts w:hint="eastAsia"/>
                      <w:color w:val="auto"/>
                      <w:kern w:val="2"/>
                      <w:sz w:val="21"/>
                      <w:szCs w:val="21"/>
                      <w:highlight w:val="none"/>
                    </w:rPr>
                    <w:t>充装间南侧设置1根高12.4m的应急放空管，低温储罐偶有少量超压废气及少量钢瓶置换废气经应急放空管排放，维持储罐或管道内压力。</w:t>
                  </w:r>
                </w:p>
              </w:tc>
              <w:tc>
                <w:tcPr>
                  <w:tcW w:w="1449" w:type="pct"/>
                  <w:vAlign w:val="center"/>
                </w:tcPr>
                <w:p w14:paraId="107CEB1E">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依托现有充装间南侧</w:t>
                  </w:r>
                  <w:r>
                    <w:rPr>
                      <w:rFonts w:hint="eastAsia"/>
                      <w:color w:val="auto"/>
                      <w:kern w:val="2"/>
                      <w:sz w:val="21"/>
                      <w:szCs w:val="21"/>
                      <w:highlight w:val="none"/>
                    </w:rPr>
                    <w:t>1根高12.4m的应急放空管，</w:t>
                  </w:r>
                  <w:r>
                    <w:rPr>
                      <w:rFonts w:hint="eastAsia"/>
                      <w:color w:val="auto"/>
                      <w:kern w:val="2"/>
                      <w:sz w:val="21"/>
                      <w:szCs w:val="21"/>
                      <w:highlight w:val="none"/>
                      <w:lang w:val="en-US" w:eastAsia="zh-CN"/>
                    </w:rPr>
                    <w:t>用于排放现有</w:t>
                  </w:r>
                  <w:r>
                    <w:rPr>
                      <w:rFonts w:hint="eastAsia"/>
                      <w:color w:val="auto"/>
                      <w:kern w:val="2"/>
                      <w:sz w:val="21"/>
                      <w:szCs w:val="21"/>
                      <w:highlight w:val="none"/>
                    </w:rPr>
                    <w:t>低温</w:t>
                  </w:r>
                  <w:r>
                    <w:rPr>
                      <w:rFonts w:hint="eastAsia"/>
                      <w:color w:val="auto"/>
                      <w:kern w:val="2"/>
                      <w:sz w:val="21"/>
                      <w:szCs w:val="21"/>
                      <w:highlight w:val="none"/>
                      <w:lang w:val="en-US" w:eastAsia="zh-CN"/>
                    </w:rPr>
                    <w:t>乙烯</w:t>
                  </w:r>
                  <w:r>
                    <w:rPr>
                      <w:rFonts w:hint="eastAsia"/>
                      <w:color w:val="auto"/>
                      <w:kern w:val="2"/>
                      <w:sz w:val="21"/>
                      <w:szCs w:val="21"/>
                      <w:highlight w:val="none"/>
                    </w:rPr>
                    <w:t>储罐偶有少量超压废气</w:t>
                  </w:r>
                  <w:r>
                    <w:rPr>
                      <w:rFonts w:hint="eastAsia"/>
                      <w:color w:val="auto"/>
                      <w:kern w:val="2"/>
                      <w:sz w:val="21"/>
                      <w:szCs w:val="21"/>
                      <w:highlight w:val="none"/>
                      <w:lang w:eastAsia="zh-CN"/>
                    </w:rPr>
                    <w:t>；</w:t>
                  </w:r>
                  <w:r>
                    <w:rPr>
                      <w:rFonts w:hint="eastAsia"/>
                      <w:color w:val="auto"/>
                      <w:kern w:val="2"/>
                      <w:sz w:val="21"/>
                      <w:szCs w:val="21"/>
                      <w:highlight w:val="none"/>
                      <w:lang w:val="en-US" w:eastAsia="zh-CN"/>
                    </w:rPr>
                    <w:t>充装间南侧新增丙烷及丁烷安全泄压放散管各1个，分别用于丙烷、丁烷充装管线检修环节吹扫</w:t>
                  </w:r>
                  <w:r>
                    <w:rPr>
                      <w:rFonts w:hint="eastAsia"/>
                      <w:color w:val="auto"/>
                      <w:kern w:val="2"/>
                      <w:sz w:val="21"/>
                      <w:szCs w:val="21"/>
                      <w:highlight w:val="none"/>
                    </w:rPr>
                    <w:t>置换</w:t>
                  </w:r>
                  <w:r>
                    <w:rPr>
                      <w:rFonts w:hint="eastAsia"/>
                      <w:color w:val="auto"/>
                      <w:kern w:val="2"/>
                      <w:sz w:val="21"/>
                      <w:szCs w:val="21"/>
                      <w:highlight w:val="none"/>
                      <w:lang w:val="en-US" w:eastAsia="zh-CN"/>
                    </w:rPr>
                    <w:t>出的极少量置换气体排放</w:t>
                  </w:r>
                  <w:r>
                    <w:rPr>
                      <w:rFonts w:hint="eastAsia"/>
                      <w:color w:val="auto"/>
                      <w:kern w:val="2"/>
                      <w:sz w:val="21"/>
                      <w:szCs w:val="21"/>
                      <w:highlight w:val="none"/>
                      <w:lang w:eastAsia="zh-CN"/>
                    </w:rPr>
                    <w:t>，</w:t>
                  </w:r>
                  <w:r>
                    <w:rPr>
                      <w:rFonts w:hint="eastAsia"/>
                      <w:color w:val="auto"/>
                      <w:kern w:val="2"/>
                      <w:sz w:val="21"/>
                      <w:szCs w:val="21"/>
                      <w:highlight w:val="none"/>
                      <w:lang w:val="en-US" w:eastAsia="zh-CN"/>
                    </w:rPr>
                    <w:t>以维持储罐或管道内压力。</w:t>
                  </w:r>
                </w:p>
              </w:tc>
              <w:tc>
                <w:tcPr>
                  <w:tcW w:w="787" w:type="pct"/>
                  <w:vAlign w:val="center"/>
                </w:tcPr>
                <w:p w14:paraId="539F5E12">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依托现有应急排空措施，并新增安全泄压放散管</w:t>
                  </w:r>
                </w:p>
              </w:tc>
              <w:tc>
                <w:tcPr>
                  <w:tcW w:w="536" w:type="pct"/>
                  <w:vAlign w:val="center"/>
                </w:tcPr>
                <w:p w14:paraId="6267FB90">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依托现有，新增</w:t>
                  </w:r>
                </w:p>
              </w:tc>
            </w:tr>
            <w:tr w14:paraId="67E1D6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343" w:type="pct"/>
                  <w:vMerge w:val="continue"/>
                  <w:vAlign w:val="center"/>
                </w:tcPr>
                <w:p w14:paraId="76ACCE27">
                  <w:pPr>
                    <w:spacing w:line="276" w:lineRule="auto"/>
                    <w:contextualSpacing/>
                    <w:jc w:val="center"/>
                    <w:rPr>
                      <w:color w:val="auto"/>
                      <w:szCs w:val="21"/>
                      <w:highlight w:val="none"/>
                    </w:rPr>
                  </w:pPr>
                </w:p>
              </w:tc>
              <w:tc>
                <w:tcPr>
                  <w:tcW w:w="493" w:type="pct"/>
                  <w:vMerge w:val="continue"/>
                  <w:vAlign w:val="center"/>
                </w:tcPr>
                <w:p w14:paraId="2CADFC81">
                  <w:pPr>
                    <w:spacing w:line="276" w:lineRule="auto"/>
                    <w:contextualSpacing/>
                    <w:jc w:val="center"/>
                    <w:rPr>
                      <w:color w:val="auto"/>
                      <w:szCs w:val="21"/>
                      <w:highlight w:val="none"/>
                    </w:rPr>
                  </w:pPr>
                </w:p>
              </w:tc>
              <w:tc>
                <w:tcPr>
                  <w:tcW w:w="334" w:type="pct"/>
                  <w:vAlign w:val="center"/>
                </w:tcPr>
                <w:p w14:paraId="220C2440">
                  <w:pPr>
                    <w:pStyle w:val="52"/>
                    <w:spacing w:line="276" w:lineRule="auto"/>
                    <w:jc w:val="center"/>
                    <w:rPr>
                      <w:color w:val="auto"/>
                      <w:kern w:val="2"/>
                      <w:sz w:val="21"/>
                      <w:szCs w:val="21"/>
                      <w:highlight w:val="none"/>
                    </w:rPr>
                  </w:pPr>
                  <w:r>
                    <w:rPr>
                      <w:rFonts w:hint="eastAsia"/>
                      <w:color w:val="auto"/>
                      <w:kern w:val="2"/>
                      <w:sz w:val="21"/>
                      <w:szCs w:val="21"/>
                      <w:highlight w:val="none"/>
                    </w:rPr>
                    <w:t>事故应急池</w:t>
                  </w:r>
                </w:p>
              </w:tc>
              <w:tc>
                <w:tcPr>
                  <w:tcW w:w="1055" w:type="pct"/>
                  <w:vAlign w:val="center"/>
                </w:tcPr>
                <w:p w14:paraId="1EC0F707">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rPr>
                    <w:t>设置</w:t>
                  </w:r>
                  <w:r>
                    <w:rPr>
                      <w:rFonts w:hint="eastAsia"/>
                      <w:color w:val="auto"/>
                      <w:kern w:val="2"/>
                      <w:sz w:val="21"/>
                      <w:szCs w:val="21"/>
                      <w:highlight w:val="none"/>
                      <w:lang w:eastAsia="zh-CN"/>
                    </w:rPr>
                    <w:t>1</w:t>
                  </w:r>
                  <w:r>
                    <w:rPr>
                      <w:rFonts w:hint="eastAsia"/>
                      <w:color w:val="auto"/>
                      <w:kern w:val="2"/>
                      <w:sz w:val="21"/>
                      <w:szCs w:val="21"/>
                      <w:highlight w:val="none"/>
                      <w:lang w:val="en-US" w:eastAsia="zh-CN"/>
                    </w:rPr>
                    <w:t>座</w:t>
                  </w:r>
                  <w:r>
                    <w:rPr>
                      <w:rFonts w:hint="eastAsia"/>
                      <w:color w:val="auto"/>
                      <w:kern w:val="2"/>
                      <w:sz w:val="21"/>
                      <w:szCs w:val="21"/>
                      <w:highlight w:val="none"/>
                    </w:rPr>
                    <w:t>容积为1270m</w:t>
                  </w:r>
                  <w:r>
                    <w:rPr>
                      <w:rFonts w:hint="eastAsia"/>
                      <w:color w:val="auto"/>
                      <w:kern w:val="2"/>
                      <w:sz w:val="21"/>
                      <w:szCs w:val="21"/>
                      <w:highlight w:val="none"/>
                      <w:vertAlign w:val="superscript"/>
                    </w:rPr>
                    <w:t>3</w:t>
                  </w:r>
                  <w:r>
                    <w:rPr>
                      <w:rFonts w:hint="eastAsia"/>
                      <w:color w:val="auto"/>
                      <w:kern w:val="2"/>
                      <w:sz w:val="21"/>
                      <w:szCs w:val="21"/>
                      <w:highlight w:val="none"/>
                    </w:rPr>
                    <w:t>的事故应急池，用于收集事故状态下产生的事故消防废水及污染雨水。罐区内四周设置有导流沟，充装间外设置有导流沟，事故废水可通过导流沟自流进入事故应急池。</w:t>
                  </w:r>
                  <w:r>
                    <w:rPr>
                      <w:rFonts w:hint="eastAsia"/>
                      <w:color w:val="auto"/>
                      <w:kern w:val="2"/>
                      <w:sz w:val="21"/>
                      <w:szCs w:val="21"/>
                      <w:highlight w:val="none"/>
                      <w:lang w:val="en-US" w:eastAsia="zh-CN"/>
                    </w:rPr>
                    <w:t>雨水总排口设置有雨水截流阀，可及时截流污染雨水，防止雨水溢流出厂外。</w:t>
                  </w:r>
                </w:p>
              </w:tc>
              <w:tc>
                <w:tcPr>
                  <w:tcW w:w="1449" w:type="pct"/>
                  <w:vAlign w:val="center"/>
                </w:tcPr>
                <w:p w14:paraId="0BF36F84">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依托现有厂区中部1座容积</w:t>
                  </w:r>
                  <w:r>
                    <w:rPr>
                      <w:rFonts w:hint="eastAsia"/>
                      <w:color w:val="auto"/>
                      <w:kern w:val="2"/>
                      <w:sz w:val="21"/>
                      <w:szCs w:val="21"/>
                      <w:highlight w:val="none"/>
                    </w:rPr>
                    <w:t>1270m</w:t>
                  </w:r>
                  <w:r>
                    <w:rPr>
                      <w:rFonts w:hint="eastAsia"/>
                      <w:color w:val="auto"/>
                      <w:kern w:val="2"/>
                      <w:sz w:val="21"/>
                      <w:szCs w:val="21"/>
                      <w:highlight w:val="none"/>
                      <w:vertAlign w:val="superscript"/>
                    </w:rPr>
                    <w:t>3</w:t>
                  </w:r>
                  <w:r>
                    <w:rPr>
                      <w:rFonts w:hint="eastAsia"/>
                      <w:color w:val="auto"/>
                      <w:kern w:val="2"/>
                      <w:sz w:val="21"/>
                      <w:szCs w:val="21"/>
                      <w:highlight w:val="none"/>
                    </w:rPr>
                    <w:t>的事故应急池</w:t>
                  </w:r>
                  <w:r>
                    <w:rPr>
                      <w:rFonts w:hint="eastAsia"/>
                      <w:color w:val="auto"/>
                      <w:kern w:val="2"/>
                      <w:sz w:val="21"/>
                      <w:szCs w:val="21"/>
                      <w:highlight w:val="none"/>
                      <w:lang w:eastAsia="zh-CN"/>
                    </w:rPr>
                    <w:t>，</w:t>
                  </w:r>
                  <w:r>
                    <w:rPr>
                      <w:rFonts w:hint="eastAsia"/>
                      <w:color w:val="auto"/>
                      <w:kern w:val="2"/>
                      <w:sz w:val="21"/>
                      <w:szCs w:val="21"/>
                      <w:highlight w:val="none"/>
                    </w:rPr>
                    <w:t>用于收集事故状态下产生的事故消防废水及污染雨水</w:t>
                  </w:r>
                  <w:r>
                    <w:rPr>
                      <w:rFonts w:hint="eastAsia"/>
                      <w:color w:val="auto"/>
                      <w:kern w:val="2"/>
                      <w:sz w:val="21"/>
                      <w:szCs w:val="21"/>
                      <w:highlight w:val="none"/>
                      <w:lang w:eastAsia="zh-CN"/>
                    </w:rPr>
                    <w:t>；</w:t>
                  </w:r>
                  <w:r>
                    <w:rPr>
                      <w:rFonts w:hint="eastAsia"/>
                      <w:color w:val="auto"/>
                      <w:kern w:val="2"/>
                      <w:sz w:val="21"/>
                      <w:szCs w:val="21"/>
                      <w:highlight w:val="none"/>
                      <w:lang w:val="en-US" w:eastAsia="zh-CN"/>
                    </w:rPr>
                    <w:t>依托罐区内及充装间外已设置导流沟进行事故废水导流；按要求定期组织应急演练，并修编突发环境事件应急预案。</w:t>
                  </w:r>
                </w:p>
              </w:tc>
              <w:tc>
                <w:tcPr>
                  <w:tcW w:w="787" w:type="pct"/>
                  <w:vMerge w:val="restart"/>
                  <w:vAlign w:val="center"/>
                </w:tcPr>
                <w:p w14:paraId="4286B864">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依托现有事故应急措施及风险防范措施</w:t>
                  </w:r>
                </w:p>
              </w:tc>
              <w:tc>
                <w:tcPr>
                  <w:tcW w:w="536" w:type="pct"/>
                  <w:vMerge w:val="restart"/>
                  <w:vAlign w:val="center"/>
                </w:tcPr>
                <w:p w14:paraId="7B38E7D6">
                  <w:pPr>
                    <w:pStyle w:val="52"/>
                    <w:spacing w:line="276" w:lineRule="auto"/>
                    <w:jc w:val="center"/>
                    <w:rPr>
                      <w:rFonts w:hint="eastAsia" w:eastAsia="宋体"/>
                      <w:color w:val="auto"/>
                      <w:kern w:val="2"/>
                      <w:sz w:val="21"/>
                      <w:szCs w:val="21"/>
                      <w:highlight w:val="none"/>
                      <w:lang w:val="en-US" w:eastAsia="zh-CN"/>
                    </w:rPr>
                  </w:pPr>
                  <w:r>
                    <w:rPr>
                      <w:rFonts w:hint="eastAsia"/>
                      <w:color w:val="auto"/>
                      <w:kern w:val="2"/>
                      <w:sz w:val="21"/>
                      <w:szCs w:val="21"/>
                      <w:highlight w:val="none"/>
                      <w:lang w:val="en-US" w:eastAsia="zh-CN"/>
                    </w:rPr>
                    <w:t>/</w:t>
                  </w:r>
                </w:p>
              </w:tc>
            </w:tr>
            <w:tr w14:paraId="1429644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343" w:type="pct"/>
                  <w:vMerge w:val="continue"/>
                  <w:vAlign w:val="center"/>
                </w:tcPr>
                <w:p w14:paraId="0029C0D7">
                  <w:pPr>
                    <w:spacing w:line="276" w:lineRule="auto"/>
                    <w:contextualSpacing/>
                    <w:jc w:val="center"/>
                    <w:rPr>
                      <w:color w:val="auto"/>
                      <w:szCs w:val="21"/>
                      <w:highlight w:val="none"/>
                    </w:rPr>
                  </w:pPr>
                </w:p>
              </w:tc>
              <w:tc>
                <w:tcPr>
                  <w:tcW w:w="493" w:type="pct"/>
                  <w:vMerge w:val="continue"/>
                  <w:vAlign w:val="center"/>
                </w:tcPr>
                <w:p w14:paraId="48D348A5">
                  <w:pPr>
                    <w:spacing w:line="276" w:lineRule="auto"/>
                    <w:contextualSpacing/>
                    <w:jc w:val="center"/>
                    <w:rPr>
                      <w:color w:val="auto"/>
                      <w:szCs w:val="21"/>
                      <w:highlight w:val="none"/>
                    </w:rPr>
                  </w:pPr>
                </w:p>
              </w:tc>
              <w:tc>
                <w:tcPr>
                  <w:tcW w:w="334" w:type="pct"/>
                  <w:vAlign w:val="center"/>
                </w:tcPr>
                <w:p w14:paraId="3FA514B5">
                  <w:pPr>
                    <w:pStyle w:val="52"/>
                    <w:spacing w:line="276" w:lineRule="auto"/>
                    <w:jc w:val="center"/>
                    <w:rPr>
                      <w:color w:val="auto"/>
                      <w:kern w:val="2"/>
                      <w:sz w:val="21"/>
                      <w:szCs w:val="21"/>
                      <w:highlight w:val="none"/>
                    </w:rPr>
                  </w:pPr>
                  <w:r>
                    <w:rPr>
                      <w:rFonts w:hint="eastAsia"/>
                      <w:color w:val="auto"/>
                      <w:kern w:val="2"/>
                      <w:sz w:val="21"/>
                      <w:szCs w:val="21"/>
                      <w:highlight w:val="none"/>
                    </w:rPr>
                    <w:t>预警系统</w:t>
                  </w:r>
                </w:p>
              </w:tc>
              <w:tc>
                <w:tcPr>
                  <w:tcW w:w="1055" w:type="pct"/>
                  <w:vAlign w:val="center"/>
                </w:tcPr>
                <w:p w14:paraId="6295BAFE">
                  <w:pPr>
                    <w:pStyle w:val="52"/>
                    <w:spacing w:line="276" w:lineRule="auto"/>
                    <w:jc w:val="center"/>
                    <w:rPr>
                      <w:color w:val="auto"/>
                      <w:kern w:val="2"/>
                      <w:sz w:val="21"/>
                      <w:szCs w:val="21"/>
                      <w:highlight w:val="none"/>
                    </w:rPr>
                  </w:pPr>
                  <w:r>
                    <w:rPr>
                      <w:rFonts w:hint="eastAsia"/>
                      <w:color w:val="auto"/>
                      <w:kern w:val="2"/>
                      <w:sz w:val="21"/>
                      <w:szCs w:val="21"/>
                      <w:highlight w:val="none"/>
                    </w:rPr>
                    <w:t>储罐、低温乙烯泵及气化器区域、鹤管处、充装汇流排处均设置可燃气体检测器及声光报警器，并连接至中控系统，一旦发生泄漏，将自动紧急切断乙烯输送阀门。</w:t>
                  </w:r>
                </w:p>
              </w:tc>
              <w:tc>
                <w:tcPr>
                  <w:tcW w:w="1449" w:type="pct"/>
                  <w:vAlign w:val="center"/>
                </w:tcPr>
                <w:p w14:paraId="4E39E9BD">
                  <w:pPr>
                    <w:pStyle w:val="52"/>
                    <w:spacing w:line="276" w:lineRule="auto"/>
                    <w:jc w:val="center"/>
                    <w:rPr>
                      <w:rFonts w:hint="default" w:eastAsia="宋体"/>
                      <w:color w:val="auto"/>
                      <w:kern w:val="2"/>
                      <w:sz w:val="21"/>
                      <w:szCs w:val="21"/>
                      <w:highlight w:val="none"/>
                      <w:lang w:val="en-US" w:eastAsia="zh-CN"/>
                    </w:rPr>
                  </w:pPr>
                  <w:r>
                    <w:rPr>
                      <w:rFonts w:hint="eastAsia"/>
                      <w:color w:val="auto"/>
                      <w:kern w:val="2"/>
                      <w:sz w:val="21"/>
                      <w:szCs w:val="21"/>
                      <w:highlight w:val="none"/>
                      <w:lang w:val="en-US" w:eastAsia="zh-CN"/>
                    </w:rPr>
                    <w:t>依托现有厂区内已设置</w:t>
                  </w:r>
                  <w:r>
                    <w:rPr>
                      <w:rFonts w:hint="eastAsia"/>
                      <w:color w:val="auto"/>
                      <w:kern w:val="2"/>
                      <w:sz w:val="21"/>
                      <w:szCs w:val="21"/>
                      <w:highlight w:val="none"/>
                    </w:rPr>
                    <w:t>可燃气体检测器</w:t>
                  </w:r>
                  <w:r>
                    <w:rPr>
                      <w:rFonts w:hint="eastAsia"/>
                      <w:color w:val="auto"/>
                      <w:kern w:val="2"/>
                      <w:sz w:val="21"/>
                      <w:szCs w:val="21"/>
                      <w:highlight w:val="none"/>
                      <w:lang w:eastAsia="zh-CN"/>
                    </w:rPr>
                    <w:t>、</w:t>
                  </w:r>
                  <w:r>
                    <w:rPr>
                      <w:rFonts w:hint="eastAsia"/>
                      <w:color w:val="auto"/>
                      <w:kern w:val="2"/>
                      <w:sz w:val="21"/>
                      <w:szCs w:val="21"/>
                      <w:highlight w:val="none"/>
                    </w:rPr>
                    <w:t>声光报警器</w:t>
                  </w:r>
                  <w:r>
                    <w:rPr>
                      <w:rFonts w:hint="eastAsia"/>
                      <w:color w:val="auto"/>
                      <w:kern w:val="2"/>
                      <w:sz w:val="21"/>
                      <w:szCs w:val="21"/>
                      <w:highlight w:val="none"/>
                      <w:lang w:eastAsia="zh-CN"/>
                    </w:rPr>
                    <w:t>、</w:t>
                  </w:r>
                  <w:r>
                    <w:rPr>
                      <w:rFonts w:hint="eastAsia"/>
                      <w:color w:val="auto"/>
                      <w:kern w:val="2"/>
                      <w:sz w:val="21"/>
                      <w:szCs w:val="21"/>
                      <w:highlight w:val="none"/>
                      <w:lang w:val="en-US" w:eastAsia="zh-CN"/>
                    </w:rPr>
                    <w:t>中控系统（DCS）等；丙烷、丁烷储罐配套新增防火堤、围堰、导流沟以及液位压力远传监控安全系统并与中控系统联锁；新增储罐及充装线增设可燃气体检测器及报警器等。</w:t>
                  </w:r>
                </w:p>
              </w:tc>
              <w:tc>
                <w:tcPr>
                  <w:tcW w:w="787" w:type="pct"/>
                  <w:vMerge w:val="continue"/>
                  <w:vAlign w:val="center"/>
                </w:tcPr>
                <w:p w14:paraId="1FDBB9D2">
                  <w:pPr>
                    <w:pStyle w:val="52"/>
                    <w:spacing w:line="276" w:lineRule="auto"/>
                    <w:jc w:val="center"/>
                    <w:rPr>
                      <w:rFonts w:hint="eastAsia"/>
                      <w:color w:val="auto"/>
                      <w:kern w:val="2"/>
                      <w:sz w:val="21"/>
                      <w:szCs w:val="21"/>
                      <w:highlight w:val="none"/>
                    </w:rPr>
                  </w:pPr>
                </w:p>
              </w:tc>
              <w:tc>
                <w:tcPr>
                  <w:tcW w:w="536" w:type="pct"/>
                  <w:vMerge w:val="continue"/>
                  <w:vAlign w:val="center"/>
                </w:tcPr>
                <w:p w14:paraId="1BBC94DA">
                  <w:pPr>
                    <w:pStyle w:val="52"/>
                    <w:spacing w:line="276" w:lineRule="auto"/>
                    <w:jc w:val="center"/>
                    <w:rPr>
                      <w:rFonts w:hint="eastAsia"/>
                      <w:color w:val="auto"/>
                      <w:kern w:val="2"/>
                      <w:sz w:val="21"/>
                      <w:szCs w:val="21"/>
                      <w:highlight w:val="none"/>
                    </w:rPr>
                  </w:pPr>
                </w:p>
              </w:tc>
            </w:tr>
          </w:tbl>
          <w:p w14:paraId="694B88E7">
            <w:pPr>
              <w:spacing w:line="360" w:lineRule="auto"/>
              <w:ind w:firstLine="482" w:firstLineChars="200"/>
              <w:rPr>
                <w:rFonts w:hint="default" w:eastAsia="宋体"/>
                <w:b/>
                <w:color w:val="auto"/>
                <w:sz w:val="24"/>
                <w:highlight w:val="none"/>
                <w:lang w:val="en-US" w:eastAsia="zh-CN"/>
              </w:rPr>
            </w:pPr>
            <w:r>
              <w:rPr>
                <w:rFonts w:hint="eastAsia"/>
                <w:b/>
                <w:color w:val="auto"/>
                <w:sz w:val="24"/>
                <w:highlight w:val="none"/>
                <w:lang w:val="en-US" w:eastAsia="zh-CN"/>
              </w:rPr>
              <w:t>本次改建项目与现有工程依托可行性分析如下：</w:t>
            </w:r>
          </w:p>
          <w:p w14:paraId="0ABC9EC2">
            <w:pPr>
              <w:autoSpaceDE w:val="0"/>
              <w:autoSpaceDN w:val="0"/>
              <w:adjustRightInd w:val="0"/>
              <w:snapToGrid w:val="0"/>
              <w:spacing w:line="360" w:lineRule="auto"/>
              <w:jc w:val="center"/>
              <w:rPr>
                <w:rFonts w:hint="default" w:ascii="黑体" w:hAnsi="黑体" w:eastAsia="黑体"/>
                <w:bCs/>
                <w:color w:val="auto"/>
                <w:szCs w:val="21"/>
                <w:highlight w:val="none"/>
                <w:lang w:val="en-US" w:eastAsia="zh-CN"/>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2-4</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现有工程依托可行性分析</w:t>
            </w:r>
          </w:p>
          <w:tbl>
            <w:tblPr>
              <w:tblStyle w:val="3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1335"/>
              <w:gridCol w:w="2295"/>
              <w:gridCol w:w="2423"/>
              <w:gridCol w:w="892"/>
            </w:tblGrid>
            <w:tr w14:paraId="4AFAB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692" w:type="pct"/>
                  <w:tcBorders>
                    <w:tl2br w:val="nil"/>
                    <w:tr2bl w:val="nil"/>
                  </w:tcBorders>
                  <w:vAlign w:val="center"/>
                </w:tcPr>
                <w:p w14:paraId="6AA5791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color w:val="auto"/>
                      <w:sz w:val="21"/>
                      <w:szCs w:val="21"/>
                      <w:highlight w:val="none"/>
                      <w:vertAlign w:val="baseline"/>
                      <w:lang w:val="en-US" w:eastAsia="zh-CN"/>
                    </w:rPr>
                  </w:pPr>
                  <w:r>
                    <w:rPr>
                      <w:rFonts w:hint="eastAsia"/>
                      <w:b/>
                      <w:color w:val="auto"/>
                      <w:sz w:val="21"/>
                      <w:szCs w:val="21"/>
                      <w:highlight w:val="none"/>
                      <w:vertAlign w:val="baseline"/>
                      <w:lang w:val="en-US" w:eastAsia="zh-CN"/>
                    </w:rPr>
                    <w:t>工程类别</w:t>
                  </w:r>
                </w:p>
              </w:tc>
              <w:tc>
                <w:tcPr>
                  <w:tcW w:w="827" w:type="pct"/>
                  <w:tcBorders>
                    <w:tl2br w:val="nil"/>
                    <w:tr2bl w:val="nil"/>
                  </w:tcBorders>
                  <w:vAlign w:val="center"/>
                </w:tcPr>
                <w:p w14:paraId="77EC308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color w:val="auto"/>
                      <w:sz w:val="21"/>
                      <w:szCs w:val="21"/>
                      <w:highlight w:val="none"/>
                      <w:vertAlign w:val="baseline"/>
                      <w:lang w:val="en-US" w:eastAsia="zh-CN"/>
                    </w:rPr>
                  </w:pPr>
                  <w:r>
                    <w:rPr>
                      <w:rFonts w:hint="eastAsia"/>
                      <w:b/>
                      <w:color w:val="auto"/>
                      <w:sz w:val="21"/>
                      <w:szCs w:val="21"/>
                      <w:highlight w:val="none"/>
                      <w:vertAlign w:val="baseline"/>
                      <w:lang w:val="en-US" w:eastAsia="zh-CN"/>
                    </w:rPr>
                    <w:t>单项工程</w:t>
                  </w:r>
                </w:p>
              </w:tc>
              <w:tc>
                <w:tcPr>
                  <w:tcW w:w="1423" w:type="pct"/>
                  <w:tcBorders>
                    <w:tl2br w:val="nil"/>
                    <w:tr2bl w:val="nil"/>
                  </w:tcBorders>
                  <w:vAlign w:val="center"/>
                </w:tcPr>
                <w:p w14:paraId="062A3FC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color w:val="auto"/>
                      <w:sz w:val="21"/>
                      <w:szCs w:val="21"/>
                      <w:highlight w:val="none"/>
                      <w:vertAlign w:val="baseline"/>
                      <w:lang w:val="en-US" w:eastAsia="zh-CN"/>
                    </w:rPr>
                  </w:pPr>
                  <w:r>
                    <w:rPr>
                      <w:rFonts w:hint="eastAsia"/>
                      <w:b/>
                      <w:color w:val="auto"/>
                      <w:sz w:val="21"/>
                      <w:szCs w:val="21"/>
                      <w:highlight w:val="none"/>
                      <w:vertAlign w:val="baseline"/>
                      <w:lang w:val="en-US" w:eastAsia="zh-CN"/>
                    </w:rPr>
                    <w:t>依托内容</w:t>
                  </w:r>
                </w:p>
              </w:tc>
              <w:tc>
                <w:tcPr>
                  <w:tcW w:w="1502" w:type="pct"/>
                  <w:tcBorders>
                    <w:tl2br w:val="nil"/>
                    <w:tr2bl w:val="nil"/>
                  </w:tcBorders>
                  <w:vAlign w:val="center"/>
                </w:tcPr>
                <w:p w14:paraId="752E67D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color w:val="auto"/>
                      <w:sz w:val="21"/>
                      <w:szCs w:val="21"/>
                      <w:highlight w:val="none"/>
                      <w:vertAlign w:val="baseline"/>
                      <w:lang w:val="en-US" w:eastAsia="zh-CN"/>
                    </w:rPr>
                  </w:pPr>
                  <w:r>
                    <w:rPr>
                      <w:rFonts w:hint="eastAsia"/>
                      <w:b/>
                      <w:color w:val="auto"/>
                      <w:sz w:val="21"/>
                      <w:szCs w:val="21"/>
                      <w:highlight w:val="none"/>
                      <w:vertAlign w:val="baseline"/>
                      <w:lang w:val="en-US" w:eastAsia="zh-CN"/>
                    </w:rPr>
                    <w:t>可行性分析</w:t>
                  </w:r>
                </w:p>
              </w:tc>
              <w:tc>
                <w:tcPr>
                  <w:tcW w:w="553" w:type="pct"/>
                  <w:tcBorders>
                    <w:tl2br w:val="nil"/>
                    <w:tr2bl w:val="nil"/>
                  </w:tcBorders>
                  <w:vAlign w:val="center"/>
                </w:tcPr>
                <w:p w14:paraId="44B8F1A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color w:val="auto"/>
                      <w:sz w:val="21"/>
                      <w:szCs w:val="21"/>
                      <w:highlight w:val="none"/>
                      <w:vertAlign w:val="baseline"/>
                      <w:lang w:val="en-US" w:eastAsia="zh-CN"/>
                    </w:rPr>
                  </w:pPr>
                  <w:r>
                    <w:rPr>
                      <w:rFonts w:hint="eastAsia"/>
                      <w:b/>
                      <w:color w:val="auto"/>
                      <w:sz w:val="21"/>
                      <w:szCs w:val="21"/>
                      <w:highlight w:val="none"/>
                      <w:vertAlign w:val="baseline"/>
                      <w:lang w:val="en-US" w:eastAsia="zh-CN"/>
                    </w:rPr>
                    <w:t>结论</w:t>
                  </w:r>
                </w:p>
              </w:tc>
            </w:tr>
            <w:tr w14:paraId="64B8C0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vAlign w:val="center"/>
                </w:tcPr>
                <w:p w14:paraId="7BDC100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主体工程</w:t>
                  </w:r>
                </w:p>
              </w:tc>
              <w:tc>
                <w:tcPr>
                  <w:tcW w:w="827" w:type="pct"/>
                  <w:tcBorders>
                    <w:tl2br w:val="nil"/>
                    <w:tr2bl w:val="nil"/>
                  </w:tcBorders>
                  <w:vAlign w:val="center"/>
                </w:tcPr>
                <w:p w14:paraId="5A33D93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color w:val="auto"/>
                      <w:sz w:val="21"/>
                      <w:szCs w:val="21"/>
                      <w:highlight w:val="none"/>
                      <w:vertAlign w:val="baseline"/>
                    </w:rPr>
                  </w:pPr>
                  <w:r>
                    <w:rPr>
                      <w:bCs/>
                      <w:color w:val="auto"/>
                      <w:szCs w:val="21"/>
                      <w:highlight w:val="none"/>
                    </w:rPr>
                    <w:t>乙烯充装间</w:t>
                  </w:r>
                </w:p>
              </w:tc>
              <w:tc>
                <w:tcPr>
                  <w:tcW w:w="1423" w:type="pct"/>
                  <w:tcBorders>
                    <w:tl2br w:val="nil"/>
                    <w:tr2bl w:val="nil"/>
                  </w:tcBorders>
                  <w:vAlign w:val="center"/>
                </w:tcPr>
                <w:p w14:paraId="4106826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color w:val="auto"/>
                      <w:sz w:val="21"/>
                      <w:szCs w:val="21"/>
                      <w:highlight w:val="none"/>
                      <w:vertAlign w:val="baseline"/>
                    </w:rPr>
                  </w:pPr>
                  <w:r>
                    <w:rPr>
                      <w:rFonts w:hint="eastAsia"/>
                      <w:bCs/>
                      <w:color w:val="auto"/>
                      <w:szCs w:val="21"/>
                      <w:highlight w:val="none"/>
                      <w:lang w:val="en-US" w:eastAsia="zh-CN"/>
                    </w:rPr>
                    <w:t>依托乙烯充装间进行改造建设，利用建筑面积约12m</w:t>
                  </w:r>
                  <w:r>
                    <w:rPr>
                      <w:rFonts w:hint="eastAsia"/>
                      <w:bCs/>
                      <w:color w:val="auto"/>
                      <w:szCs w:val="21"/>
                      <w:highlight w:val="none"/>
                      <w:vertAlign w:val="superscript"/>
                      <w:lang w:val="en-US" w:eastAsia="zh-CN"/>
                    </w:rPr>
                    <w:t>2</w:t>
                  </w:r>
                  <w:r>
                    <w:rPr>
                      <w:rFonts w:hint="eastAsia"/>
                      <w:bCs/>
                      <w:color w:val="auto"/>
                      <w:szCs w:val="21"/>
                      <w:highlight w:val="none"/>
                      <w:vertAlign w:val="baseline"/>
                      <w:lang w:val="en-US" w:eastAsia="zh-CN"/>
                    </w:rPr>
                    <w:t>的</w:t>
                  </w:r>
                  <w:r>
                    <w:rPr>
                      <w:rFonts w:hint="eastAsia"/>
                      <w:bCs/>
                      <w:color w:val="auto"/>
                      <w:szCs w:val="21"/>
                      <w:highlight w:val="none"/>
                      <w:lang w:val="en-US" w:eastAsia="zh-CN"/>
                    </w:rPr>
                    <w:t>拆除</w:t>
                  </w:r>
                  <w:r>
                    <w:rPr>
                      <w:rFonts w:hint="eastAsia"/>
                      <w:bCs/>
                      <w:color w:val="auto"/>
                      <w:szCs w:val="21"/>
                      <w:highlight w:val="none"/>
                      <w:vertAlign w:val="baseline"/>
                      <w:lang w:val="en-US" w:eastAsia="zh-CN"/>
                    </w:rPr>
                    <w:t>空置区域</w:t>
                  </w:r>
                  <w:r>
                    <w:rPr>
                      <w:rFonts w:hint="eastAsia"/>
                      <w:bCs/>
                      <w:color w:val="auto"/>
                      <w:szCs w:val="21"/>
                      <w:highlight w:val="none"/>
                      <w:lang w:val="en-US" w:eastAsia="zh-CN"/>
                    </w:rPr>
                    <w:t>布设1条丙烷充装线（1组丙烷充装汇流排）、1条丁烷充装线（1组丙烷充装汇流排）</w:t>
                  </w:r>
                </w:p>
              </w:tc>
              <w:tc>
                <w:tcPr>
                  <w:tcW w:w="1502" w:type="pct"/>
                  <w:tcBorders>
                    <w:tl2br w:val="nil"/>
                    <w:tr2bl w:val="nil"/>
                  </w:tcBorders>
                  <w:vAlign w:val="center"/>
                </w:tcPr>
                <w:p w14:paraId="64BEAA5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乙烯充装间总占地面积约216m</w:t>
                  </w:r>
                  <w:r>
                    <w:rPr>
                      <w:rFonts w:hint="eastAsia"/>
                      <w:b w:val="0"/>
                      <w:bCs/>
                      <w:color w:val="auto"/>
                      <w:sz w:val="21"/>
                      <w:szCs w:val="21"/>
                      <w:highlight w:val="none"/>
                      <w:vertAlign w:val="superscript"/>
                      <w:lang w:val="en-US" w:eastAsia="zh-CN"/>
                    </w:rPr>
                    <w:t>2</w:t>
                  </w:r>
                  <w:r>
                    <w:rPr>
                      <w:rFonts w:hint="eastAsia"/>
                      <w:b w:val="0"/>
                      <w:bCs/>
                      <w:color w:val="auto"/>
                      <w:sz w:val="21"/>
                      <w:szCs w:val="21"/>
                      <w:highlight w:val="none"/>
                      <w:vertAlign w:val="baseline"/>
                      <w:lang w:val="en-US" w:eastAsia="zh-CN"/>
                    </w:rPr>
                    <w:t>，现有1条乙烯充装线拆除后，空置区域面积约12m</w:t>
                  </w:r>
                  <w:r>
                    <w:rPr>
                      <w:rFonts w:hint="eastAsia"/>
                      <w:b w:val="0"/>
                      <w:bCs/>
                      <w:color w:val="auto"/>
                      <w:sz w:val="21"/>
                      <w:szCs w:val="21"/>
                      <w:highlight w:val="none"/>
                      <w:vertAlign w:val="superscript"/>
                      <w:lang w:val="en-US" w:eastAsia="zh-CN"/>
                    </w:rPr>
                    <w:t>2</w:t>
                  </w:r>
                  <w:r>
                    <w:rPr>
                      <w:rFonts w:hint="eastAsia"/>
                      <w:b w:val="0"/>
                      <w:bCs/>
                      <w:color w:val="auto"/>
                      <w:sz w:val="21"/>
                      <w:szCs w:val="21"/>
                      <w:highlight w:val="none"/>
                      <w:vertAlign w:val="baseline"/>
                      <w:lang w:val="en-US" w:eastAsia="zh-CN"/>
                    </w:rPr>
                    <w:t>，满足本次新增1条丙烷充装线及1条丁烷充装线用地要求。</w:t>
                  </w:r>
                </w:p>
              </w:tc>
              <w:tc>
                <w:tcPr>
                  <w:tcW w:w="553" w:type="pct"/>
                  <w:tcBorders>
                    <w:tl2br w:val="nil"/>
                    <w:tr2bl w:val="nil"/>
                  </w:tcBorders>
                  <w:vAlign w:val="center"/>
                </w:tcPr>
                <w:p w14:paraId="694361B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2ED0E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restart"/>
                  <w:tcBorders>
                    <w:tl2br w:val="nil"/>
                    <w:tr2bl w:val="nil"/>
                  </w:tcBorders>
                  <w:vAlign w:val="center"/>
                </w:tcPr>
                <w:p w14:paraId="6B7C68F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储运工程</w:t>
                  </w:r>
                </w:p>
              </w:tc>
              <w:tc>
                <w:tcPr>
                  <w:tcW w:w="827" w:type="pct"/>
                  <w:tcBorders>
                    <w:tl2br w:val="nil"/>
                    <w:tr2bl w:val="nil"/>
                  </w:tcBorders>
                  <w:vAlign w:val="center"/>
                </w:tcPr>
                <w:p w14:paraId="33DB8D0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储罐区</w:t>
                  </w:r>
                </w:p>
              </w:tc>
              <w:tc>
                <w:tcPr>
                  <w:tcW w:w="1423" w:type="pct"/>
                  <w:tcBorders>
                    <w:tl2br w:val="nil"/>
                    <w:tr2bl w:val="nil"/>
                  </w:tcBorders>
                  <w:vAlign w:val="center"/>
                </w:tcPr>
                <w:p w14:paraId="708FA2A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b w:val="0"/>
                      <w:bCs/>
                      <w:color w:val="auto"/>
                      <w:sz w:val="21"/>
                      <w:szCs w:val="21"/>
                      <w:highlight w:val="none"/>
                      <w:vertAlign w:val="baseline"/>
                      <w:lang w:val="en-US"/>
                    </w:rPr>
                  </w:pPr>
                  <w:r>
                    <w:rPr>
                      <w:rFonts w:hint="eastAsia"/>
                      <w:bCs/>
                      <w:color w:val="auto"/>
                      <w:szCs w:val="21"/>
                      <w:highlight w:val="none"/>
                      <w:lang w:val="en-US" w:eastAsia="zh-CN"/>
                    </w:rPr>
                    <w:t>依托现有厂区低温储罐区西侧建筑面积约176m</w:t>
                  </w:r>
                  <w:r>
                    <w:rPr>
                      <w:rFonts w:hint="eastAsia"/>
                      <w:bCs/>
                      <w:color w:val="auto"/>
                      <w:szCs w:val="21"/>
                      <w:highlight w:val="none"/>
                      <w:vertAlign w:val="superscript"/>
                      <w:lang w:val="en-US" w:eastAsia="zh-CN"/>
                    </w:rPr>
                    <w:t>2</w:t>
                  </w:r>
                  <w:r>
                    <w:rPr>
                      <w:rFonts w:hint="eastAsia"/>
                      <w:bCs/>
                      <w:color w:val="auto"/>
                      <w:szCs w:val="21"/>
                      <w:highlight w:val="none"/>
                      <w:lang w:val="en-US" w:eastAsia="zh-CN"/>
                    </w:rPr>
                    <w:t>区域，</w:t>
                  </w:r>
                  <w:r>
                    <w:rPr>
                      <w:rFonts w:hint="eastAsia"/>
                      <w:color w:val="auto"/>
                      <w:highlight w:val="none"/>
                      <w:lang w:val="en-US" w:eastAsia="zh-CN"/>
                    </w:rPr>
                    <w:t>新增3台容积均为31.5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的立式压力储罐，由北向南分别为</w:t>
                  </w:r>
                  <w:r>
                    <w:rPr>
                      <w:rFonts w:hint="eastAsia"/>
                      <w:color w:val="auto"/>
                      <w:highlight w:val="none"/>
                      <w:lang w:val="en-US" w:eastAsia="zh-CN"/>
                    </w:rPr>
                    <w:t>丙烷压力储罐、</w:t>
                  </w:r>
                  <w:r>
                    <w:rPr>
                      <w:rFonts w:hint="eastAsia"/>
                      <w:color w:val="auto"/>
                      <w:highlight w:val="none"/>
                      <w:vertAlign w:val="baseline"/>
                      <w:lang w:val="en-US" w:eastAsia="zh-CN"/>
                    </w:rPr>
                    <w:t>丁烷压力储罐以及事故罐（用于丙烷、丁烷事故倒罐使用），改造现有占地面积216.58m</w:t>
                  </w:r>
                  <w:r>
                    <w:rPr>
                      <w:rFonts w:hint="eastAsia"/>
                      <w:color w:val="auto"/>
                      <w:highlight w:val="none"/>
                      <w:vertAlign w:val="superscript"/>
                      <w:lang w:val="en-US" w:eastAsia="zh-CN"/>
                    </w:rPr>
                    <w:t>2</w:t>
                  </w:r>
                  <w:r>
                    <w:rPr>
                      <w:rFonts w:hint="eastAsia"/>
                      <w:color w:val="auto"/>
                      <w:highlight w:val="none"/>
                      <w:vertAlign w:val="baseline"/>
                      <w:lang w:val="en-US" w:eastAsia="zh-CN"/>
                    </w:rPr>
                    <w:t>低温储罐区。</w:t>
                  </w:r>
                </w:p>
              </w:tc>
              <w:tc>
                <w:tcPr>
                  <w:tcW w:w="1502" w:type="pct"/>
                  <w:tcBorders>
                    <w:tl2br w:val="nil"/>
                    <w:tr2bl w:val="nil"/>
                  </w:tcBorders>
                  <w:vAlign w:val="center"/>
                </w:tcPr>
                <w:p w14:paraId="0A3AC90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现有厂区低温储罐区西侧空置区域面积较大，可满足本次新建3台立式压力储罐及罐区基础、防火堤等用地要求。</w:t>
                  </w:r>
                </w:p>
              </w:tc>
              <w:tc>
                <w:tcPr>
                  <w:tcW w:w="553" w:type="pct"/>
                  <w:tcBorders>
                    <w:tl2br w:val="nil"/>
                    <w:tr2bl w:val="nil"/>
                  </w:tcBorders>
                  <w:vAlign w:val="center"/>
                </w:tcPr>
                <w:p w14:paraId="1D9F89C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7AA812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continue"/>
                  <w:tcBorders>
                    <w:tl2br w:val="nil"/>
                    <w:tr2bl w:val="nil"/>
                  </w:tcBorders>
                  <w:vAlign w:val="center"/>
                </w:tcPr>
                <w:p w14:paraId="4A0E517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p>
              </w:tc>
              <w:tc>
                <w:tcPr>
                  <w:tcW w:w="827" w:type="pct"/>
                  <w:tcBorders>
                    <w:tl2br w:val="nil"/>
                    <w:tr2bl w:val="nil"/>
                  </w:tcBorders>
                  <w:vAlign w:val="center"/>
                </w:tcPr>
                <w:p w14:paraId="4C3CE1F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bCs/>
                      <w:color w:val="auto"/>
                      <w:szCs w:val="21"/>
                      <w:highlight w:val="none"/>
                    </w:rPr>
                    <w:t>甲类仓库</w:t>
                  </w:r>
                  <w:r>
                    <w:rPr>
                      <w:rFonts w:hint="eastAsia"/>
                      <w:bCs/>
                      <w:color w:val="auto"/>
                      <w:szCs w:val="21"/>
                      <w:highlight w:val="none"/>
                      <w:lang w:eastAsia="zh-CN"/>
                    </w:rPr>
                    <w:t>（</w:t>
                  </w:r>
                  <w:r>
                    <w:rPr>
                      <w:rFonts w:hint="eastAsia"/>
                      <w:bCs/>
                      <w:color w:val="auto"/>
                      <w:szCs w:val="21"/>
                      <w:highlight w:val="none"/>
                      <w:lang w:val="en-US" w:eastAsia="zh-CN"/>
                    </w:rPr>
                    <w:t>1#仓库</w:t>
                  </w:r>
                  <w:r>
                    <w:rPr>
                      <w:rFonts w:hint="eastAsia"/>
                      <w:bCs/>
                      <w:color w:val="auto"/>
                      <w:szCs w:val="21"/>
                      <w:highlight w:val="none"/>
                      <w:lang w:eastAsia="zh-CN"/>
                    </w:rPr>
                    <w:t>）</w:t>
                  </w:r>
                </w:p>
              </w:tc>
              <w:tc>
                <w:tcPr>
                  <w:tcW w:w="1423" w:type="pct"/>
                  <w:tcBorders>
                    <w:tl2br w:val="nil"/>
                    <w:tr2bl w:val="nil"/>
                  </w:tcBorders>
                  <w:vAlign w:val="center"/>
                </w:tcPr>
                <w:p w14:paraId="4BDCF56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rFonts w:hint="eastAsia"/>
                      <w:bCs/>
                      <w:color w:val="auto"/>
                      <w:szCs w:val="21"/>
                      <w:highlight w:val="none"/>
                      <w:lang w:val="en-US" w:eastAsia="zh-CN"/>
                    </w:rPr>
                    <w:t>依托现有1#仓库储存充装后乙烯</w:t>
                  </w:r>
                </w:p>
              </w:tc>
              <w:tc>
                <w:tcPr>
                  <w:tcW w:w="1502" w:type="pct"/>
                  <w:tcBorders>
                    <w:tl2br w:val="nil"/>
                    <w:tr2bl w:val="nil"/>
                  </w:tcBorders>
                  <w:vAlign w:val="center"/>
                </w:tcPr>
                <w:p w14:paraId="591D662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本次改建项目永久停用1台30m</w:t>
                  </w:r>
                  <w:r>
                    <w:rPr>
                      <w:rFonts w:hint="eastAsia"/>
                      <w:b w:val="0"/>
                      <w:bCs/>
                      <w:color w:val="auto"/>
                      <w:sz w:val="21"/>
                      <w:szCs w:val="21"/>
                      <w:highlight w:val="none"/>
                      <w:vertAlign w:val="superscript"/>
                      <w:lang w:val="en-US" w:eastAsia="zh-CN"/>
                    </w:rPr>
                    <w:t>3</w:t>
                  </w:r>
                  <w:r>
                    <w:rPr>
                      <w:rFonts w:hint="eastAsia"/>
                      <w:b w:val="0"/>
                      <w:bCs/>
                      <w:color w:val="auto"/>
                      <w:sz w:val="21"/>
                      <w:szCs w:val="21"/>
                      <w:highlight w:val="none"/>
                      <w:vertAlign w:val="baseline"/>
                      <w:lang w:val="en-US" w:eastAsia="zh-CN"/>
                    </w:rPr>
                    <w:t>低温乙烯储罐并拆除配套的低温卸车鹤管、汽化器、输送管线及充装汇流排，乙烯充装规模减少，甲类仓库充装后乙烯转运频次减少</w:t>
                  </w:r>
                </w:p>
              </w:tc>
              <w:tc>
                <w:tcPr>
                  <w:tcW w:w="553" w:type="pct"/>
                  <w:tcBorders>
                    <w:tl2br w:val="nil"/>
                    <w:tr2bl w:val="nil"/>
                  </w:tcBorders>
                  <w:vAlign w:val="center"/>
                </w:tcPr>
                <w:p w14:paraId="0082223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150CEC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continue"/>
                  <w:tcBorders>
                    <w:tl2br w:val="nil"/>
                    <w:tr2bl w:val="nil"/>
                  </w:tcBorders>
                  <w:vAlign w:val="center"/>
                </w:tcPr>
                <w:p w14:paraId="08AD560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p>
              </w:tc>
              <w:tc>
                <w:tcPr>
                  <w:tcW w:w="827" w:type="pct"/>
                  <w:tcBorders>
                    <w:tl2br w:val="nil"/>
                    <w:tr2bl w:val="nil"/>
                  </w:tcBorders>
                  <w:vAlign w:val="center"/>
                </w:tcPr>
                <w:p w14:paraId="04B00F8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bCs/>
                      <w:color w:val="auto"/>
                      <w:szCs w:val="21"/>
                      <w:highlight w:val="none"/>
                    </w:rPr>
                    <w:t>备件库（丁类）</w:t>
                  </w:r>
                </w:p>
              </w:tc>
              <w:tc>
                <w:tcPr>
                  <w:tcW w:w="1423" w:type="pct"/>
                  <w:tcBorders>
                    <w:tl2br w:val="nil"/>
                    <w:tr2bl w:val="nil"/>
                  </w:tcBorders>
                  <w:vAlign w:val="center"/>
                </w:tcPr>
                <w:p w14:paraId="54E2C73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b w:val="0"/>
                      <w:bCs/>
                      <w:color w:val="auto"/>
                      <w:sz w:val="21"/>
                      <w:szCs w:val="21"/>
                      <w:highlight w:val="none"/>
                      <w:vertAlign w:val="baseline"/>
                      <w:lang w:val="en-US"/>
                    </w:rPr>
                  </w:pPr>
                  <w:r>
                    <w:rPr>
                      <w:rFonts w:hint="eastAsia"/>
                      <w:bCs/>
                      <w:color w:val="auto"/>
                      <w:szCs w:val="21"/>
                      <w:highlight w:val="none"/>
                      <w:lang w:val="en-US" w:eastAsia="zh-CN"/>
                    </w:rPr>
                    <w:t>依托现有备件库剩余区域存放本次新增丙烷、丁烷新钢瓶</w:t>
                  </w:r>
                </w:p>
              </w:tc>
              <w:tc>
                <w:tcPr>
                  <w:tcW w:w="1502" w:type="pct"/>
                  <w:tcBorders>
                    <w:tl2br w:val="nil"/>
                    <w:tr2bl w:val="nil"/>
                  </w:tcBorders>
                  <w:vAlign w:val="center"/>
                </w:tcPr>
                <w:p w14:paraId="22FFA7A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备件库占地面积为189m</w:t>
                  </w:r>
                  <w:r>
                    <w:rPr>
                      <w:rFonts w:hint="eastAsia"/>
                      <w:b w:val="0"/>
                      <w:bCs/>
                      <w:color w:val="auto"/>
                      <w:sz w:val="21"/>
                      <w:szCs w:val="21"/>
                      <w:highlight w:val="none"/>
                      <w:vertAlign w:val="superscript"/>
                      <w:lang w:val="en-US" w:eastAsia="zh-CN"/>
                    </w:rPr>
                    <w:t>2</w:t>
                  </w:r>
                  <w:r>
                    <w:rPr>
                      <w:rFonts w:hint="eastAsia"/>
                      <w:b w:val="0"/>
                      <w:bCs/>
                      <w:color w:val="auto"/>
                      <w:sz w:val="21"/>
                      <w:szCs w:val="21"/>
                      <w:highlight w:val="none"/>
                      <w:vertAlign w:val="baseline"/>
                      <w:lang w:val="en-US" w:eastAsia="zh-CN"/>
                    </w:rPr>
                    <w:t>，乙烯新钢瓶存放区域面积约80m</w:t>
                  </w:r>
                  <w:r>
                    <w:rPr>
                      <w:rFonts w:hint="eastAsia"/>
                      <w:b w:val="0"/>
                      <w:bCs/>
                      <w:color w:val="auto"/>
                      <w:sz w:val="21"/>
                      <w:szCs w:val="21"/>
                      <w:highlight w:val="none"/>
                      <w:vertAlign w:val="superscript"/>
                      <w:lang w:val="en-US" w:eastAsia="zh-CN"/>
                    </w:rPr>
                    <w:t>2</w:t>
                  </w:r>
                  <w:r>
                    <w:rPr>
                      <w:rFonts w:hint="eastAsia"/>
                      <w:b w:val="0"/>
                      <w:bCs/>
                      <w:color w:val="auto"/>
                      <w:sz w:val="21"/>
                      <w:szCs w:val="21"/>
                      <w:highlight w:val="none"/>
                      <w:vertAlign w:val="baseline"/>
                      <w:lang w:val="en-US" w:eastAsia="zh-CN"/>
                    </w:rPr>
                    <w:t>，剩余占地面积约109m</w:t>
                  </w:r>
                  <w:r>
                    <w:rPr>
                      <w:rFonts w:hint="eastAsia"/>
                      <w:b w:val="0"/>
                      <w:bCs/>
                      <w:color w:val="auto"/>
                      <w:sz w:val="21"/>
                      <w:szCs w:val="21"/>
                      <w:highlight w:val="none"/>
                      <w:vertAlign w:val="superscript"/>
                      <w:lang w:val="en-US" w:eastAsia="zh-CN"/>
                    </w:rPr>
                    <w:t>2</w:t>
                  </w:r>
                  <w:r>
                    <w:rPr>
                      <w:rFonts w:hint="eastAsia"/>
                      <w:b w:val="0"/>
                      <w:bCs/>
                      <w:color w:val="auto"/>
                      <w:sz w:val="21"/>
                      <w:szCs w:val="21"/>
                      <w:highlight w:val="none"/>
                      <w:vertAlign w:val="baseline"/>
                      <w:lang w:val="en-US" w:eastAsia="zh-CN"/>
                    </w:rPr>
                    <w:t>的空置区域可满足新增丙烷、丁烷新钢瓶存放</w:t>
                  </w:r>
                </w:p>
              </w:tc>
              <w:tc>
                <w:tcPr>
                  <w:tcW w:w="553" w:type="pct"/>
                  <w:tcBorders>
                    <w:tl2br w:val="nil"/>
                    <w:tr2bl w:val="nil"/>
                  </w:tcBorders>
                  <w:vAlign w:val="center"/>
                </w:tcPr>
                <w:p w14:paraId="15DFC13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407C0D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vAlign w:val="center"/>
                </w:tcPr>
                <w:p w14:paraId="41B75E7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辅助工程</w:t>
                  </w:r>
                </w:p>
              </w:tc>
              <w:tc>
                <w:tcPr>
                  <w:tcW w:w="827" w:type="pct"/>
                  <w:tcBorders>
                    <w:tl2br w:val="nil"/>
                    <w:tr2bl w:val="nil"/>
                  </w:tcBorders>
                  <w:vAlign w:val="center"/>
                </w:tcPr>
                <w:p w14:paraId="5E753CB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控制室</w:t>
                  </w:r>
                </w:p>
              </w:tc>
              <w:tc>
                <w:tcPr>
                  <w:tcW w:w="1423" w:type="pct"/>
                  <w:tcBorders>
                    <w:tl2br w:val="nil"/>
                    <w:tr2bl w:val="nil"/>
                  </w:tcBorders>
                  <w:vAlign w:val="center"/>
                </w:tcPr>
                <w:p w14:paraId="4D94EBC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依托现有控制室用于员工办公、远程系统控制等</w:t>
                  </w:r>
                </w:p>
              </w:tc>
              <w:tc>
                <w:tcPr>
                  <w:tcW w:w="1502" w:type="pct"/>
                  <w:tcBorders>
                    <w:tl2br w:val="nil"/>
                    <w:tr2bl w:val="nil"/>
                  </w:tcBorders>
                  <w:vAlign w:val="center"/>
                </w:tcPr>
                <w:p w14:paraId="25A17FC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本次改建不新增劳动定员，不新增办公区域，现有员工依托现有控制室办公</w:t>
                  </w:r>
                </w:p>
              </w:tc>
              <w:tc>
                <w:tcPr>
                  <w:tcW w:w="553" w:type="pct"/>
                  <w:tcBorders>
                    <w:tl2br w:val="nil"/>
                    <w:tr2bl w:val="nil"/>
                  </w:tcBorders>
                  <w:vAlign w:val="center"/>
                </w:tcPr>
                <w:p w14:paraId="014F427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03EAAD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tcBorders>
                    <w:tl2br w:val="nil"/>
                    <w:tr2bl w:val="nil"/>
                  </w:tcBorders>
                  <w:vAlign w:val="center"/>
                </w:tcPr>
                <w:p w14:paraId="09F296C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公用工程</w:t>
                  </w:r>
                </w:p>
              </w:tc>
              <w:tc>
                <w:tcPr>
                  <w:tcW w:w="827" w:type="pct"/>
                  <w:tcBorders>
                    <w:tl2br w:val="nil"/>
                    <w:tr2bl w:val="nil"/>
                  </w:tcBorders>
                  <w:vAlign w:val="center"/>
                </w:tcPr>
                <w:p w14:paraId="01C54CE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供电</w:t>
                  </w:r>
                </w:p>
              </w:tc>
              <w:tc>
                <w:tcPr>
                  <w:tcW w:w="1423" w:type="pct"/>
                  <w:tcBorders>
                    <w:tl2br w:val="nil"/>
                    <w:tr2bl w:val="nil"/>
                  </w:tcBorders>
                  <w:vAlign w:val="center"/>
                </w:tcPr>
                <w:p w14:paraId="527CECB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依托厂区现有配电房</w:t>
                  </w:r>
                  <w:r>
                    <w:rPr>
                      <w:rFonts w:hint="eastAsia" w:hAnsi="宋体"/>
                      <w:color w:val="auto"/>
                      <w:szCs w:val="21"/>
                      <w:highlight w:val="none"/>
                      <w:lang w:val="en-US" w:eastAsia="zh-CN"/>
                    </w:rPr>
                    <w:t>2台250kVA变压器等设施及市政电网供电</w:t>
                  </w:r>
                </w:p>
              </w:tc>
              <w:tc>
                <w:tcPr>
                  <w:tcW w:w="1502" w:type="pct"/>
                  <w:tcBorders>
                    <w:tl2br w:val="nil"/>
                    <w:tr2bl w:val="nil"/>
                  </w:tcBorders>
                  <w:vAlign w:val="center"/>
                </w:tcPr>
                <w:p w14:paraId="0133E34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本次改建仅新增压缩机、出料泵等主要用电设备，已有的变压器满足本项目的用电需求。</w:t>
                  </w:r>
                </w:p>
              </w:tc>
              <w:tc>
                <w:tcPr>
                  <w:tcW w:w="553" w:type="pct"/>
                  <w:tcBorders>
                    <w:tl2br w:val="nil"/>
                    <w:tr2bl w:val="nil"/>
                  </w:tcBorders>
                  <w:vAlign w:val="center"/>
                </w:tcPr>
                <w:p w14:paraId="5CFBC7C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0708BB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restart"/>
                  <w:tcBorders>
                    <w:tl2br w:val="nil"/>
                    <w:tr2bl w:val="nil"/>
                  </w:tcBorders>
                  <w:vAlign w:val="center"/>
                </w:tcPr>
                <w:p w14:paraId="2711B3E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环保工程</w:t>
                  </w:r>
                </w:p>
              </w:tc>
              <w:tc>
                <w:tcPr>
                  <w:tcW w:w="827" w:type="pct"/>
                  <w:tcBorders>
                    <w:tl2br w:val="nil"/>
                    <w:tr2bl w:val="nil"/>
                  </w:tcBorders>
                  <w:vAlign w:val="center"/>
                </w:tcPr>
                <w:p w14:paraId="09E2B4D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废气治理</w:t>
                  </w:r>
                </w:p>
              </w:tc>
              <w:tc>
                <w:tcPr>
                  <w:tcW w:w="1423" w:type="pct"/>
                  <w:tcBorders>
                    <w:tl2br w:val="nil"/>
                    <w:tr2bl w:val="nil"/>
                  </w:tcBorders>
                  <w:vAlign w:val="center"/>
                </w:tcPr>
                <w:p w14:paraId="4F7CF67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color w:val="auto"/>
                      <w:kern w:val="0"/>
                      <w:szCs w:val="21"/>
                      <w:highlight w:val="none"/>
                    </w:rPr>
                    <w:t>乙烯卸车环节</w:t>
                  </w:r>
                  <w:r>
                    <w:rPr>
                      <w:rFonts w:hint="eastAsia"/>
                      <w:color w:val="auto"/>
                      <w:kern w:val="0"/>
                      <w:szCs w:val="21"/>
                      <w:highlight w:val="none"/>
                      <w:lang w:val="en-US" w:eastAsia="zh-CN"/>
                    </w:rPr>
                    <w:t>依托现有</w:t>
                  </w:r>
                  <w:r>
                    <w:rPr>
                      <w:rFonts w:hint="eastAsia"/>
                      <w:color w:val="auto"/>
                      <w:kern w:val="0"/>
                      <w:szCs w:val="21"/>
                      <w:highlight w:val="none"/>
                    </w:rPr>
                    <w:t>气相平衡管进行装卸</w:t>
                  </w:r>
                </w:p>
              </w:tc>
              <w:tc>
                <w:tcPr>
                  <w:tcW w:w="1502" w:type="pct"/>
                  <w:tcBorders>
                    <w:tl2br w:val="nil"/>
                    <w:tr2bl w:val="nil"/>
                  </w:tcBorders>
                  <w:vAlign w:val="center"/>
                </w:tcPr>
                <w:p w14:paraId="10FF42C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本次改建保留</w:t>
                  </w:r>
                  <w:r>
                    <w:rPr>
                      <w:rFonts w:hint="eastAsia"/>
                      <w:bCs/>
                      <w:color w:val="auto"/>
                      <w:szCs w:val="21"/>
                      <w:highlight w:val="none"/>
                      <w:lang w:val="en-US" w:eastAsia="zh-CN"/>
                    </w:rPr>
                    <w:t>现有1台30m</w:t>
                  </w:r>
                  <w:r>
                    <w:rPr>
                      <w:rFonts w:hint="eastAsia"/>
                      <w:bCs/>
                      <w:color w:val="auto"/>
                      <w:szCs w:val="21"/>
                      <w:highlight w:val="none"/>
                      <w:vertAlign w:val="superscript"/>
                      <w:lang w:val="en-US" w:eastAsia="zh-CN"/>
                    </w:rPr>
                    <w:t>3</w:t>
                  </w:r>
                  <w:r>
                    <w:rPr>
                      <w:rFonts w:hint="eastAsia"/>
                      <w:bCs/>
                      <w:color w:val="auto"/>
                      <w:szCs w:val="21"/>
                      <w:highlight w:val="none"/>
                      <w:lang w:val="en-US" w:eastAsia="zh-CN"/>
                    </w:rPr>
                    <w:t>低温乙烯储罐及1组乙烯充装汇流排，现有乙烯装卸依托现有设施进行，</w:t>
                  </w:r>
                  <w:r>
                    <w:rPr>
                      <w:rFonts w:hint="eastAsia"/>
                      <w:color w:val="auto"/>
                      <w:kern w:val="0"/>
                      <w:szCs w:val="21"/>
                      <w:highlight w:val="none"/>
                    </w:rPr>
                    <w:t>储罐、充装设备及管线</w:t>
                  </w:r>
                  <w:r>
                    <w:rPr>
                      <w:rFonts w:hint="eastAsia"/>
                      <w:color w:val="auto"/>
                      <w:kern w:val="0"/>
                      <w:szCs w:val="21"/>
                      <w:highlight w:val="none"/>
                      <w:lang w:val="en-US" w:eastAsia="zh-CN"/>
                    </w:rPr>
                    <w:t>均</w:t>
                  </w:r>
                  <w:r>
                    <w:rPr>
                      <w:rFonts w:hint="eastAsia"/>
                      <w:color w:val="auto"/>
                      <w:kern w:val="0"/>
                      <w:szCs w:val="21"/>
                      <w:highlight w:val="none"/>
                    </w:rPr>
                    <w:t>采用设备密封</w:t>
                  </w:r>
                  <w:r>
                    <w:rPr>
                      <w:rFonts w:hint="eastAsia"/>
                      <w:color w:val="auto"/>
                      <w:kern w:val="0"/>
                      <w:szCs w:val="21"/>
                      <w:highlight w:val="none"/>
                      <w:lang w:eastAsia="zh-CN"/>
                    </w:rPr>
                    <w:t>，</w:t>
                  </w:r>
                  <w:r>
                    <w:rPr>
                      <w:rFonts w:hint="eastAsia"/>
                      <w:color w:val="auto"/>
                      <w:kern w:val="0"/>
                      <w:szCs w:val="21"/>
                      <w:highlight w:val="none"/>
                      <w:lang w:val="en-US" w:eastAsia="zh-CN"/>
                    </w:rPr>
                    <w:t>正常工况不涉及废气产生。</w:t>
                  </w:r>
                </w:p>
              </w:tc>
              <w:tc>
                <w:tcPr>
                  <w:tcW w:w="553" w:type="pct"/>
                  <w:tcBorders>
                    <w:tl2br w:val="nil"/>
                    <w:tr2bl w:val="nil"/>
                  </w:tcBorders>
                  <w:vAlign w:val="center"/>
                </w:tcPr>
                <w:p w14:paraId="211457C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4DACF5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continue"/>
                  <w:tcBorders>
                    <w:tl2br w:val="nil"/>
                    <w:tr2bl w:val="nil"/>
                  </w:tcBorders>
                  <w:vAlign w:val="center"/>
                </w:tcPr>
                <w:p w14:paraId="674873D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p>
              </w:tc>
              <w:tc>
                <w:tcPr>
                  <w:tcW w:w="827" w:type="pct"/>
                  <w:tcBorders>
                    <w:tl2br w:val="nil"/>
                    <w:tr2bl w:val="nil"/>
                  </w:tcBorders>
                  <w:vAlign w:val="center"/>
                </w:tcPr>
                <w:p w14:paraId="2110575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分区防渗</w:t>
                  </w:r>
                </w:p>
              </w:tc>
              <w:tc>
                <w:tcPr>
                  <w:tcW w:w="1423" w:type="pct"/>
                  <w:tcBorders>
                    <w:tl2br w:val="nil"/>
                    <w:tr2bl w:val="nil"/>
                  </w:tcBorders>
                  <w:vAlign w:val="center"/>
                </w:tcPr>
                <w:p w14:paraId="5F6A46F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rFonts w:hint="eastAsia"/>
                      <w:b w:val="0"/>
                      <w:bCs/>
                      <w:color w:val="auto"/>
                      <w:kern w:val="2"/>
                      <w:sz w:val="21"/>
                      <w:szCs w:val="21"/>
                      <w:highlight w:val="none"/>
                      <w:lang w:val="en-US" w:eastAsia="zh-CN"/>
                    </w:rPr>
                    <w:t>依托现有事故应急池进行事故废水收容，</w:t>
                  </w:r>
                  <w:r>
                    <w:rPr>
                      <w:rFonts w:hint="eastAsia"/>
                      <w:b w:val="0"/>
                      <w:bCs/>
                      <w:color w:val="auto"/>
                      <w:kern w:val="2"/>
                      <w:sz w:val="21"/>
                      <w:szCs w:val="21"/>
                      <w:highlight w:val="none"/>
                    </w:rPr>
                    <w:t>事故应急池区域</w:t>
                  </w:r>
                  <w:r>
                    <w:rPr>
                      <w:rFonts w:hint="eastAsia"/>
                      <w:b w:val="0"/>
                      <w:bCs/>
                      <w:color w:val="auto"/>
                      <w:kern w:val="2"/>
                      <w:sz w:val="21"/>
                      <w:szCs w:val="21"/>
                      <w:highlight w:val="none"/>
                      <w:lang w:val="en-US" w:eastAsia="zh-CN"/>
                    </w:rPr>
                    <w:t>均已</w:t>
                  </w:r>
                  <w:r>
                    <w:rPr>
                      <w:rFonts w:hint="eastAsia"/>
                      <w:b w:val="0"/>
                      <w:bCs/>
                      <w:color w:val="auto"/>
                      <w:kern w:val="2"/>
                      <w:sz w:val="21"/>
                      <w:szCs w:val="21"/>
                      <w:highlight w:val="none"/>
                    </w:rPr>
                    <w:t>重点防渗，其他区域</w:t>
                  </w:r>
                  <w:r>
                    <w:rPr>
                      <w:rFonts w:hint="eastAsia"/>
                      <w:b w:val="0"/>
                      <w:bCs/>
                      <w:color w:val="auto"/>
                      <w:kern w:val="2"/>
                      <w:sz w:val="21"/>
                      <w:szCs w:val="21"/>
                      <w:highlight w:val="none"/>
                      <w:lang w:val="en-US" w:eastAsia="zh-CN"/>
                    </w:rPr>
                    <w:t>均已</w:t>
                  </w:r>
                  <w:r>
                    <w:rPr>
                      <w:rFonts w:hint="eastAsia"/>
                      <w:b w:val="0"/>
                      <w:bCs/>
                      <w:color w:val="auto"/>
                      <w:kern w:val="2"/>
                      <w:sz w:val="21"/>
                      <w:szCs w:val="21"/>
                      <w:highlight w:val="none"/>
                    </w:rPr>
                    <w:t>一般防渗</w:t>
                  </w:r>
                  <w:r>
                    <w:rPr>
                      <w:rFonts w:hint="eastAsia"/>
                      <w:b w:val="0"/>
                      <w:bCs/>
                      <w:color w:val="auto"/>
                      <w:kern w:val="2"/>
                      <w:sz w:val="21"/>
                      <w:szCs w:val="21"/>
                      <w:highlight w:val="none"/>
                      <w:lang w:val="en-US" w:eastAsia="zh-CN"/>
                    </w:rPr>
                    <w:t>。</w:t>
                  </w:r>
                </w:p>
              </w:tc>
              <w:tc>
                <w:tcPr>
                  <w:tcW w:w="1502" w:type="pct"/>
                  <w:tcBorders>
                    <w:tl2br w:val="nil"/>
                    <w:tr2bl w:val="nil"/>
                  </w:tcBorders>
                  <w:vAlign w:val="center"/>
                </w:tcPr>
                <w:p w14:paraId="68C4198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现有事故应急池已重点防渗，其他区域已一般防渗。</w:t>
                  </w:r>
                </w:p>
              </w:tc>
              <w:tc>
                <w:tcPr>
                  <w:tcW w:w="553" w:type="pct"/>
                  <w:tcBorders>
                    <w:tl2br w:val="nil"/>
                    <w:tr2bl w:val="nil"/>
                  </w:tcBorders>
                  <w:vAlign w:val="center"/>
                </w:tcPr>
                <w:p w14:paraId="1AF3546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r w14:paraId="662B9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vMerge w:val="continue"/>
                  <w:tcBorders>
                    <w:tl2br w:val="nil"/>
                    <w:tr2bl w:val="nil"/>
                  </w:tcBorders>
                  <w:vAlign w:val="center"/>
                </w:tcPr>
                <w:p w14:paraId="7A69243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p>
              </w:tc>
              <w:tc>
                <w:tcPr>
                  <w:tcW w:w="827" w:type="pct"/>
                  <w:tcBorders>
                    <w:tl2br w:val="nil"/>
                    <w:tr2bl w:val="nil"/>
                  </w:tcBorders>
                  <w:vAlign w:val="center"/>
                </w:tcPr>
                <w:p w14:paraId="43F8F98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color w:val="auto"/>
                      <w:szCs w:val="21"/>
                      <w:highlight w:val="none"/>
                    </w:rPr>
                    <w:t>事故应急</w:t>
                  </w:r>
                  <w:r>
                    <w:rPr>
                      <w:rFonts w:hint="eastAsia"/>
                      <w:color w:val="auto"/>
                      <w:szCs w:val="21"/>
                      <w:highlight w:val="none"/>
                      <w:lang w:val="en-US" w:eastAsia="zh-CN"/>
                    </w:rPr>
                    <w:t>及环境风险防范措施</w:t>
                  </w:r>
                </w:p>
              </w:tc>
              <w:tc>
                <w:tcPr>
                  <w:tcW w:w="1423" w:type="pct"/>
                  <w:tcBorders>
                    <w:tl2br w:val="nil"/>
                    <w:tr2bl w:val="nil"/>
                  </w:tcBorders>
                  <w:vAlign w:val="center"/>
                </w:tcPr>
                <w:p w14:paraId="738F587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b w:val="0"/>
                      <w:bCs/>
                      <w:color w:val="auto"/>
                      <w:sz w:val="21"/>
                      <w:szCs w:val="21"/>
                      <w:highlight w:val="none"/>
                      <w:vertAlign w:val="baseline"/>
                    </w:rPr>
                  </w:pPr>
                  <w:r>
                    <w:rPr>
                      <w:rFonts w:hint="eastAsia"/>
                      <w:color w:val="auto"/>
                      <w:kern w:val="2"/>
                      <w:sz w:val="21"/>
                      <w:szCs w:val="21"/>
                      <w:highlight w:val="none"/>
                      <w:lang w:val="en-US" w:eastAsia="zh-CN"/>
                    </w:rPr>
                    <w:t>依托现有厂区中部1座容积</w:t>
                  </w:r>
                  <w:r>
                    <w:rPr>
                      <w:rFonts w:hint="eastAsia"/>
                      <w:color w:val="auto"/>
                      <w:kern w:val="2"/>
                      <w:sz w:val="21"/>
                      <w:szCs w:val="21"/>
                      <w:highlight w:val="none"/>
                    </w:rPr>
                    <w:t>1270m</w:t>
                  </w:r>
                  <w:r>
                    <w:rPr>
                      <w:rFonts w:hint="eastAsia"/>
                      <w:color w:val="auto"/>
                      <w:kern w:val="2"/>
                      <w:sz w:val="21"/>
                      <w:szCs w:val="21"/>
                      <w:highlight w:val="none"/>
                      <w:vertAlign w:val="superscript"/>
                    </w:rPr>
                    <w:t>3</w:t>
                  </w:r>
                  <w:r>
                    <w:rPr>
                      <w:rFonts w:hint="eastAsia"/>
                      <w:color w:val="auto"/>
                      <w:kern w:val="2"/>
                      <w:sz w:val="21"/>
                      <w:szCs w:val="21"/>
                      <w:highlight w:val="none"/>
                    </w:rPr>
                    <w:t>的事故应急池</w:t>
                  </w:r>
                  <w:r>
                    <w:rPr>
                      <w:rFonts w:hint="eastAsia"/>
                      <w:color w:val="auto"/>
                      <w:kern w:val="2"/>
                      <w:sz w:val="21"/>
                      <w:szCs w:val="21"/>
                      <w:highlight w:val="none"/>
                      <w:lang w:eastAsia="zh-CN"/>
                    </w:rPr>
                    <w:t>，</w:t>
                  </w:r>
                  <w:r>
                    <w:rPr>
                      <w:rFonts w:hint="eastAsia"/>
                      <w:color w:val="auto"/>
                      <w:kern w:val="2"/>
                      <w:sz w:val="21"/>
                      <w:szCs w:val="21"/>
                      <w:highlight w:val="none"/>
                    </w:rPr>
                    <w:t>用于收集事故状态下产生的事故消防废水及污染雨水</w:t>
                  </w:r>
                  <w:r>
                    <w:rPr>
                      <w:rFonts w:hint="eastAsia"/>
                      <w:color w:val="auto"/>
                      <w:kern w:val="2"/>
                      <w:sz w:val="21"/>
                      <w:szCs w:val="21"/>
                      <w:highlight w:val="none"/>
                      <w:lang w:eastAsia="zh-CN"/>
                    </w:rPr>
                    <w:t>；</w:t>
                  </w:r>
                  <w:r>
                    <w:rPr>
                      <w:rFonts w:hint="eastAsia"/>
                      <w:color w:val="auto"/>
                      <w:kern w:val="2"/>
                      <w:sz w:val="21"/>
                      <w:szCs w:val="21"/>
                      <w:highlight w:val="none"/>
                      <w:lang w:val="en-US" w:eastAsia="zh-CN"/>
                    </w:rPr>
                    <w:t>依托罐区内及充装间外已设置导流沟进行事故废水导流。</w:t>
                  </w:r>
                </w:p>
              </w:tc>
              <w:tc>
                <w:tcPr>
                  <w:tcW w:w="1502" w:type="pct"/>
                  <w:tcBorders>
                    <w:tl2br w:val="nil"/>
                    <w:tr2bl w:val="nil"/>
                  </w:tcBorders>
                  <w:vAlign w:val="center"/>
                </w:tcPr>
                <w:p w14:paraId="5E8A033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现有厂区事故应急池、导流沟均已设置，本次新增丙烷、丁烷及事故储罐区域围堰及围堰内导流沟，考虑最不利情况，乙烯/丙烷/丁烷卸车鹤管管道全管径泄漏引发火灾、爆炸事故伴生/次生污染物事件，依托现有导流沟、事故应急池，即可满足单个储罐泄漏次生事故消防废水收容。</w:t>
                  </w:r>
                </w:p>
              </w:tc>
              <w:tc>
                <w:tcPr>
                  <w:tcW w:w="553" w:type="pct"/>
                  <w:tcBorders>
                    <w:tl2br w:val="nil"/>
                    <w:tr2bl w:val="nil"/>
                  </w:tcBorders>
                  <w:vAlign w:val="center"/>
                </w:tcPr>
                <w:p w14:paraId="650BB92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可行</w:t>
                  </w:r>
                </w:p>
              </w:tc>
            </w:tr>
          </w:tbl>
          <w:p w14:paraId="068F2780">
            <w:pPr>
              <w:spacing w:line="360" w:lineRule="auto"/>
              <w:ind w:firstLine="482" w:firstLineChars="200"/>
              <w:rPr>
                <w:b/>
                <w:color w:val="auto"/>
                <w:sz w:val="24"/>
                <w:highlight w:val="none"/>
              </w:rPr>
            </w:pPr>
            <w:r>
              <w:rPr>
                <w:rFonts w:hint="eastAsia"/>
                <w:b/>
                <w:color w:val="auto"/>
                <w:sz w:val="24"/>
                <w:highlight w:val="none"/>
              </w:rPr>
              <w:t>4、产品方案</w:t>
            </w:r>
          </w:p>
          <w:p w14:paraId="6DB5A443">
            <w:pPr>
              <w:pStyle w:val="52"/>
              <w:adjustRightInd/>
              <w:spacing w:line="360" w:lineRule="auto"/>
              <w:ind w:firstLine="480"/>
              <w:rPr>
                <w:rFonts w:hint="default" w:eastAsia="宋体"/>
                <w:color w:val="auto"/>
                <w:highlight w:val="none"/>
                <w:lang w:val="en-US" w:eastAsia="zh-CN"/>
              </w:rPr>
            </w:pPr>
            <w:r>
              <w:rPr>
                <w:rFonts w:hint="eastAsia"/>
                <w:color w:val="auto"/>
                <w:highlight w:val="none"/>
                <w:lang w:val="en-US" w:eastAsia="zh-CN"/>
              </w:rPr>
              <w:t>厂区现有“年产40万瓶乙烯存储充装科技项目”，已验产品规模为：年销售乙烯4000t（折合标准瓶40万瓶（40L/瓶））。</w:t>
            </w:r>
          </w:p>
          <w:p w14:paraId="77E9A380">
            <w:pPr>
              <w:pStyle w:val="52"/>
              <w:adjustRightInd/>
              <w:spacing w:line="360" w:lineRule="auto"/>
              <w:ind w:firstLine="480"/>
              <w:rPr>
                <w:color w:val="auto"/>
                <w:highlight w:val="none"/>
              </w:rPr>
            </w:pPr>
            <w:r>
              <w:rPr>
                <w:rFonts w:hint="eastAsia"/>
                <w:color w:val="auto"/>
                <w:highlight w:val="none"/>
              </w:rPr>
              <w:t>本</w:t>
            </w:r>
            <w:r>
              <w:rPr>
                <w:rFonts w:hint="eastAsia"/>
                <w:color w:val="auto"/>
                <w:highlight w:val="none"/>
                <w:lang w:val="en-US" w:eastAsia="zh-CN"/>
              </w:rPr>
              <w:t>次利用现有厂区用地进行改建，本次停用1台</w:t>
            </w:r>
            <w:r>
              <w:rPr>
                <w:rFonts w:hint="eastAsia"/>
                <w:color w:val="auto"/>
                <w:highlight w:val="none"/>
                <w:lang w:eastAsia="zh-CN"/>
              </w:rPr>
              <w:t>30m</w:t>
            </w:r>
            <w:r>
              <w:rPr>
                <w:rFonts w:hint="eastAsia"/>
                <w:color w:val="auto"/>
                <w:highlight w:val="none"/>
                <w:vertAlign w:val="superscript"/>
                <w:lang w:val="en-US" w:eastAsia="zh-CN"/>
              </w:rPr>
              <w:t>3</w:t>
            </w:r>
            <w:r>
              <w:rPr>
                <w:rFonts w:hint="eastAsia"/>
                <w:color w:val="auto"/>
                <w:highlight w:val="none"/>
                <w:vertAlign w:val="baseline"/>
                <w:lang w:val="en-US" w:eastAsia="zh-CN"/>
              </w:rPr>
              <w:t>低温乙烯储罐、配套的1台低温卸车鹤管、1套低温乙烯气化器、1组乙烯充装汇流排等装置，停用后，年销售乙烯2000t（</w:t>
            </w:r>
            <w:r>
              <w:rPr>
                <w:rFonts w:hint="eastAsia"/>
                <w:color w:val="auto"/>
                <w:highlight w:val="none"/>
                <w:lang w:val="en-US" w:eastAsia="zh-CN"/>
              </w:rPr>
              <w:t>折合标准瓶20万瓶（40L/瓶）</w:t>
            </w:r>
            <w:r>
              <w:rPr>
                <w:rFonts w:hint="eastAsia"/>
                <w:color w:val="auto"/>
                <w:highlight w:val="none"/>
                <w:vertAlign w:val="baseline"/>
                <w:lang w:val="en-US" w:eastAsia="zh-CN"/>
              </w:rPr>
              <w:t>），并</w:t>
            </w:r>
            <w:r>
              <w:rPr>
                <w:rFonts w:hint="eastAsia"/>
                <w:color w:val="auto"/>
                <w:highlight w:val="none"/>
                <w:lang w:val="en-US" w:eastAsia="zh-CN"/>
              </w:rPr>
              <w:t>新增1台31.5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丁烷立式压力储罐、</w:t>
            </w:r>
            <w:r>
              <w:rPr>
                <w:rFonts w:hint="eastAsia"/>
                <w:color w:val="auto"/>
                <w:highlight w:val="none"/>
                <w:lang w:val="en-US" w:eastAsia="zh-CN"/>
              </w:rPr>
              <w:t>1台31.5</w:t>
            </w:r>
            <w:r>
              <w:rPr>
                <w:rFonts w:hint="eastAsia"/>
                <w:color w:val="auto"/>
                <w:highlight w:val="none"/>
                <w:lang w:eastAsia="zh-CN"/>
              </w:rPr>
              <w:t>m</w:t>
            </w:r>
            <w:r>
              <w:rPr>
                <w:rFonts w:hint="eastAsia"/>
                <w:color w:val="auto"/>
                <w:highlight w:val="none"/>
                <w:vertAlign w:val="superscript"/>
                <w:lang w:val="en-US" w:eastAsia="zh-CN"/>
              </w:rPr>
              <w:t>3</w:t>
            </w:r>
            <w:r>
              <w:rPr>
                <w:rFonts w:hint="eastAsia"/>
                <w:color w:val="auto"/>
                <w:highlight w:val="none"/>
                <w:vertAlign w:val="baseline"/>
                <w:lang w:val="en-US" w:eastAsia="zh-CN"/>
              </w:rPr>
              <w:t>丙烷立式压力储罐，新增丙烷、丁烷卸车鹤管、出料泵及压缩机等装卸输送设备，并利用现有充装间新建1条丙烷充装线、1条丁烷充装线</w:t>
            </w:r>
            <w:r>
              <w:rPr>
                <w:rFonts w:hint="eastAsia"/>
                <w:color w:val="auto"/>
                <w:highlight w:val="none"/>
                <w:lang w:val="en-US" w:eastAsia="zh-CN"/>
              </w:rPr>
              <w:t>，新增</w:t>
            </w:r>
            <w:r>
              <w:rPr>
                <w:rFonts w:hint="eastAsia"/>
                <w:color w:val="auto"/>
                <w:highlight w:val="none"/>
              </w:rPr>
              <w:t>储运物质为</w:t>
            </w:r>
            <w:r>
              <w:rPr>
                <w:rFonts w:hint="eastAsia"/>
                <w:color w:val="auto"/>
                <w:highlight w:val="none"/>
                <w:lang w:val="en-US" w:eastAsia="zh-CN"/>
              </w:rPr>
              <w:t>丙烷、丁烷</w:t>
            </w:r>
            <w:r>
              <w:rPr>
                <w:rFonts w:hint="eastAsia"/>
                <w:color w:val="auto"/>
                <w:highlight w:val="none"/>
              </w:rPr>
              <w:t>，</w:t>
            </w:r>
            <w:r>
              <w:rPr>
                <w:color w:val="auto"/>
                <w:highlight w:val="none"/>
              </w:rPr>
              <w:t>罐车运载</w:t>
            </w:r>
            <w:r>
              <w:rPr>
                <w:rFonts w:hint="eastAsia"/>
                <w:color w:val="auto"/>
                <w:highlight w:val="none"/>
                <w:lang w:val="en-US" w:eastAsia="zh-CN"/>
              </w:rPr>
              <w:t>丙烷、丁烷</w:t>
            </w:r>
            <w:r>
              <w:rPr>
                <w:color w:val="auto"/>
                <w:highlight w:val="none"/>
              </w:rPr>
              <w:t>进厂后停泊于槽罐车位，采用</w:t>
            </w:r>
            <w:r>
              <w:rPr>
                <w:rFonts w:hint="eastAsia"/>
                <w:color w:val="auto"/>
                <w:highlight w:val="none"/>
                <w:lang w:val="en-US" w:eastAsia="zh-CN"/>
              </w:rPr>
              <w:t>配套</w:t>
            </w:r>
            <w:r>
              <w:rPr>
                <w:color w:val="auto"/>
                <w:highlight w:val="none"/>
              </w:rPr>
              <w:t>卸车鹤管连接罐车和储罐，</w:t>
            </w:r>
            <w:r>
              <w:rPr>
                <w:rFonts w:hint="eastAsia"/>
                <w:color w:val="auto"/>
                <w:highlight w:val="none"/>
                <w:lang w:val="en-US" w:eastAsia="zh-CN"/>
              </w:rPr>
              <w:t>并通过新增压缩机对罐车进行增压，</w:t>
            </w:r>
            <w:r>
              <w:rPr>
                <w:color w:val="auto"/>
                <w:highlight w:val="none"/>
              </w:rPr>
              <w:t>罐车内</w:t>
            </w:r>
            <w:r>
              <w:rPr>
                <w:rFonts w:hint="eastAsia"/>
                <w:color w:val="auto"/>
                <w:highlight w:val="none"/>
                <w:lang w:val="en-US" w:eastAsia="zh-CN"/>
              </w:rPr>
              <w:t>丙烷或丁烷</w:t>
            </w:r>
            <w:r>
              <w:rPr>
                <w:color w:val="auto"/>
                <w:highlight w:val="none"/>
              </w:rPr>
              <w:t>通过卸车鹤管输进储罐内；充装时，罐内</w:t>
            </w:r>
            <w:r>
              <w:rPr>
                <w:rFonts w:hint="eastAsia"/>
                <w:color w:val="auto"/>
                <w:highlight w:val="none"/>
                <w:lang w:val="en-US" w:eastAsia="zh-CN"/>
              </w:rPr>
              <w:t>丙烷、丁烷</w:t>
            </w:r>
            <w:r>
              <w:rPr>
                <w:color w:val="auto"/>
                <w:highlight w:val="none"/>
              </w:rPr>
              <w:t>通过</w:t>
            </w:r>
            <w:r>
              <w:rPr>
                <w:rFonts w:hint="eastAsia"/>
                <w:color w:val="auto"/>
                <w:highlight w:val="none"/>
                <w:lang w:val="en-US" w:eastAsia="zh-CN"/>
              </w:rPr>
              <w:t>出料</w:t>
            </w:r>
            <w:r>
              <w:rPr>
                <w:color w:val="auto"/>
                <w:highlight w:val="none"/>
              </w:rPr>
              <w:t>泵负压抽出，再通过高压管道加压液化并充装进钢瓶中，最后由运输车辆装车输出，送往园区及周边用户。</w:t>
            </w:r>
          </w:p>
          <w:p w14:paraId="4182E909">
            <w:pPr>
              <w:pStyle w:val="52"/>
              <w:adjustRightInd/>
              <w:spacing w:line="360" w:lineRule="auto"/>
              <w:ind w:firstLine="480" w:firstLineChars="200"/>
              <w:rPr>
                <w:rFonts w:hint="eastAsia"/>
                <w:color w:val="auto"/>
                <w:highlight w:val="none"/>
              </w:rPr>
            </w:pPr>
            <w:r>
              <w:rPr>
                <w:rFonts w:hint="eastAsia"/>
                <w:color w:val="auto"/>
                <w:highlight w:val="none"/>
                <w:lang w:val="en-US" w:eastAsia="zh-CN"/>
              </w:rPr>
              <w:t>具体</w:t>
            </w:r>
            <w:r>
              <w:rPr>
                <w:rFonts w:hint="eastAsia"/>
                <w:color w:val="auto"/>
                <w:highlight w:val="none"/>
              </w:rPr>
              <w:t>产品方案见表</w:t>
            </w:r>
            <w:r>
              <w:rPr>
                <w:rFonts w:hint="eastAsia"/>
                <w:color w:val="auto"/>
                <w:highlight w:val="none"/>
                <w:lang w:val="en-US" w:eastAsia="zh-CN"/>
              </w:rPr>
              <w:t>2-5</w:t>
            </w:r>
            <w:r>
              <w:rPr>
                <w:rFonts w:hint="eastAsia"/>
                <w:color w:val="auto"/>
                <w:highlight w:val="none"/>
              </w:rPr>
              <w:t>。</w:t>
            </w:r>
          </w:p>
          <w:p w14:paraId="3AA7C2FB">
            <w:pPr>
              <w:pStyle w:val="52"/>
              <w:adjustRightInd/>
              <w:spacing w:line="360" w:lineRule="auto"/>
              <w:ind w:firstLine="480" w:firstLineChars="200"/>
              <w:rPr>
                <w:rFonts w:hint="eastAsia"/>
                <w:color w:val="auto"/>
                <w:highlight w:val="none"/>
              </w:rPr>
            </w:pPr>
          </w:p>
          <w:p w14:paraId="20278701">
            <w:pPr>
              <w:pStyle w:val="52"/>
              <w:adjustRightInd/>
              <w:spacing w:line="360" w:lineRule="auto"/>
              <w:ind w:firstLine="480" w:firstLineChars="200"/>
              <w:rPr>
                <w:rFonts w:hint="eastAsia"/>
                <w:color w:val="auto"/>
                <w:highlight w:val="none"/>
              </w:rPr>
            </w:pPr>
          </w:p>
          <w:p w14:paraId="63CF8F15">
            <w:pPr>
              <w:pStyle w:val="52"/>
              <w:adjustRightInd/>
              <w:spacing w:line="360" w:lineRule="auto"/>
              <w:ind w:firstLine="480" w:firstLineChars="200"/>
              <w:rPr>
                <w:rFonts w:hint="eastAsia"/>
                <w:color w:val="auto"/>
                <w:highlight w:val="none"/>
              </w:rPr>
            </w:pPr>
          </w:p>
          <w:p w14:paraId="530C16E3">
            <w:pPr>
              <w:pStyle w:val="52"/>
              <w:adjustRightInd/>
              <w:spacing w:line="360" w:lineRule="auto"/>
              <w:ind w:firstLine="480" w:firstLineChars="200"/>
              <w:rPr>
                <w:rFonts w:hint="eastAsia"/>
                <w:color w:val="auto"/>
                <w:highlight w:val="none"/>
              </w:rPr>
            </w:pPr>
          </w:p>
          <w:p w14:paraId="0C8D6E4D">
            <w:pPr>
              <w:autoSpaceDE w:val="0"/>
              <w:autoSpaceDN w:val="0"/>
              <w:adjustRightInd w:val="0"/>
              <w:snapToGrid w:val="0"/>
              <w:spacing w:line="360" w:lineRule="auto"/>
              <w:jc w:val="center"/>
              <w:rPr>
                <w:rFonts w:ascii="黑体" w:hAnsi="黑体"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2-5</w:t>
            </w:r>
            <w:r>
              <w:rPr>
                <w:rFonts w:hint="eastAsia" w:hAnsi="黑体" w:eastAsia="黑体"/>
                <w:color w:val="auto"/>
                <w:sz w:val="24"/>
                <w:szCs w:val="24"/>
                <w:highlight w:val="none"/>
              </w:rPr>
              <w:t xml:space="preserve"> </w:t>
            </w:r>
            <w:r>
              <w:rPr>
                <w:rFonts w:hint="eastAsia" w:hAnsi="黑体" w:eastAsia="黑体"/>
                <w:color w:val="auto"/>
                <w:sz w:val="24"/>
                <w:szCs w:val="24"/>
                <w:highlight w:val="none"/>
                <w:lang w:val="en-US" w:eastAsia="zh-CN"/>
              </w:rPr>
              <w:t>项目建成后全厂</w:t>
            </w:r>
            <w:r>
              <w:rPr>
                <w:rFonts w:hint="eastAsia" w:hAnsi="黑体" w:eastAsia="黑体"/>
                <w:color w:val="auto"/>
                <w:sz w:val="24"/>
                <w:szCs w:val="24"/>
                <w:highlight w:val="none"/>
              </w:rPr>
              <w:t>产品方案一览表</w:t>
            </w:r>
          </w:p>
          <w:tbl>
            <w:tblPr>
              <w:tblStyle w:val="36"/>
              <w:tblW w:w="4995"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22"/>
              <w:gridCol w:w="422"/>
              <w:gridCol w:w="840"/>
              <w:gridCol w:w="422"/>
              <w:gridCol w:w="606"/>
              <w:gridCol w:w="629"/>
              <w:gridCol w:w="693"/>
              <w:gridCol w:w="422"/>
              <w:gridCol w:w="606"/>
              <w:gridCol w:w="629"/>
              <w:gridCol w:w="693"/>
              <w:gridCol w:w="490"/>
              <w:gridCol w:w="758"/>
              <w:gridCol w:w="423"/>
            </w:tblGrid>
            <w:tr w14:paraId="37506BF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Merge w:val="restart"/>
                  <w:vAlign w:val="center"/>
                </w:tcPr>
                <w:p w14:paraId="268A6492">
                  <w:pPr>
                    <w:pStyle w:val="108"/>
                    <w:spacing w:line="276" w:lineRule="auto"/>
                    <w:rPr>
                      <w:b/>
                      <w:bCs/>
                      <w:color w:val="auto"/>
                      <w:szCs w:val="24"/>
                      <w:highlight w:val="none"/>
                    </w:rPr>
                  </w:pPr>
                  <w:r>
                    <w:rPr>
                      <w:b/>
                      <w:bCs/>
                      <w:color w:val="auto"/>
                      <w:szCs w:val="24"/>
                      <w:highlight w:val="none"/>
                    </w:rPr>
                    <w:t>序号</w:t>
                  </w:r>
                </w:p>
              </w:tc>
              <w:tc>
                <w:tcPr>
                  <w:tcW w:w="262" w:type="pct"/>
                  <w:vMerge w:val="restart"/>
                  <w:vAlign w:val="center"/>
                </w:tcPr>
                <w:p w14:paraId="3C30B462">
                  <w:pPr>
                    <w:pStyle w:val="108"/>
                    <w:spacing w:line="276" w:lineRule="auto"/>
                    <w:rPr>
                      <w:b/>
                      <w:bCs/>
                      <w:color w:val="auto"/>
                      <w:szCs w:val="24"/>
                      <w:highlight w:val="none"/>
                    </w:rPr>
                  </w:pPr>
                  <w:r>
                    <w:rPr>
                      <w:rFonts w:hint="eastAsia"/>
                      <w:b/>
                      <w:bCs/>
                      <w:color w:val="auto"/>
                      <w:szCs w:val="24"/>
                      <w:highlight w:val="none"/>
                    </w:rPr>
                    <w:t>产品名称</w:t>
                  </w:r>
                </w:p>
              </w:tc>
              <w:tc>
                <w:tcPr>
                  <w:tcW w:w="521" w:type="pct"/>
                  <w:vMerge w:val="restart"/>
                  <w:vAlign w:val="center"/>
                </w:tcPr>
                <w:p w14:paraId="1CF7A9EB">
                  <w:pPr>
                    <w:pStyle w:val="108"/>
                    <w:spacing w:line="276" w:lineRule="auto"/>
                    <w:rPr>
                      <w:b/>
                      <w:bCs/>
                      <w:color w:val="auto"/>
                      <w:szCs w:val="24"/>
                      <w:highlight w:val="none"/>
                    </w:rPr>
                  </w:pPr>
                  <w:r>
                    <w:rPr>
                      <w:rFonts w:hint="eastAsia"/>
                      <w:b/>
                      <w:bCs/>
                      <w:color w:val="auto"/>
                      <w:szCs w:val="24"/>
                      <w:highlight w:val="none"/>
                    </w:rPr>
                    <w:t>规格</w:t>
                  </w:r>
                </w:p>
              </w:tc>
              <w:tc>
                <w:tcPr>
                  <w:tcW w:w="1458" w:type="pct"/>
                  <w:gridSpan w:val="4"/>
                  <w:vAlign w:val="center"/>
                </w:tcPr>
                <w:p w14:paraId="4E6F7BF0">
                  <w:pPr>
                    <w:pStyle w:val="108"/>
                    <w:spacing w:line="276" w:lineRule="auto"/>
                    <w:rPr>
                      <w:rFonts w:hint="eastAsia"/>
                      <w:b/>
                      <w:bCs/>
                      <w:color w:val="auto"/>
                      <w:szCs w:val="24"/>
                      <w:highlight w:val="none"/>
                    </w:rPr>
                  </w:pPr>
                  <w:r>
                    <w:rPr>
                      <w:rFonts w:hint="eastAsia"/>
                      <w:b/>
                      <w:bCs/>
                      <w:color w:val="auto"/>
                      <w:szCs w:val="24"/>
                      <w:highlight w:val="none"/>
                      <w:lang w:val="en-US" w:eastAsia="zh-CN"/>
                    </w:rPr>
                    <w:t>改建前</w:t>
                  </w:r>
                </w:p>
              </w:tc>
              <w:tc>
                <w:tcPr>
                  <w:tcW w:w="1458" w:type="pct"/>
                  <w:gridSpan w:val="4"/>
                  <w:vAlign w:val="center"/>
                </w:tcPr>
                <w:p w14:paraId="08553199">
                  <w:pPr>
                    <w:pStyle w:val="108"/>
                    <w:spacing w:line="276" w:lineRule="auto"/>
                    <w:rPr>
                      <w:rFonts w:hint="default" w:eastAsia="宋体"/>
                      <w:b/>
                      <w:bCs/>
                      <w:color w:val="auto"/>
                      <w:szCs w:val="24"/>
                      <w:highlight w:val="none"/>
                      <w:lang w:val="en-US" w:eastAsia="zh-CN"/>
                    </w:rPr>
                  </w:pPr>
                  <w:r>
                    <w:rPr>
                      <w:rFonts w:hint="eastAsia"/>
                      <w:b/>
                      <w:bCs/>
                      <w:color w:val="auto"/>
                      <w:szCs w:val="24"/>
                      <w:highlight w:val="none"/>
                      <w:lang w:val="en-US" w:eastAsia="zh-CN"/>
                    </w:rPr>
                    <w:t>改建后</w:t>
                  </w:r>
                </w:p>
              </w:tc>
              <w:tc>
                <w:tcPr>
                  <w:tcW w:w="774" w:type="pct"/>
                  <w:gridSpan w:val="2"/>
                  <w:vAlign w:val="center"/>
                </w:tcPr>
                <w:p w14:paraId="4AB20345">
                  <w:pPr>
                    <w:pStyle w:val="108"/>
                    <w:spacing w:line="276" w:lineRule="auto"/>
                    <w:rPr>
                      <w:rFonts w:hint="eastAsia"/>
                      <w:b/>
                      <w:bCs/>
                      <w:color w:val="auto"/>
                      <w:szCs w:val="24"/>
                      <w:highlight w:val="none"/>
                    </w:rPr>
                  </w:pPr>
                  <w:r>
                    <w:rPr>
                      <w:rFonts w:hint="eastAsia"/>
                      <w:b/>
                      <w:bCs/>
                      <w:color w:val="auto"/>
                      <w:szCs w:val="24"/>
                      <w:highlight w:val="none"/>
                      <w:lang w:val="en-US" w:eastAsia="zh-CN"/>
                    </w:rPr>
                    <w:t>增减量</w:t>
                  </w:r>
                </w:p>
              </w:tc>
              <w:tc>
                <w:tcPr>
                  <w:tcW w:w="262" w:type="pct"/>
                  <w:vMerge w:val="restart"/>
                  <w:vAlign w:val="center"/>
                </w:tcPr>
                <w:p w14:paraId="4C8BCCAD">
                  <w:pPr>
                    <w:pStyle w:val="108"/>
                    <w:spacing w:line="276" w:lineRule="auto"/>
                    <w:rPr>
                      <w:rFonts w:hint="eastAsia" w:eastAsia="宋体"/>
                      <w:b/>
                      <w:bCs/>
                      <w:color w:val="auto"/>
                      <w:szCs w:val="24"/>
                      <w:highlight w:val="none"/>
                      <w:lang w:val="en-US" w:eastAsia="zh-CN"/>
                    </w:rPr>
                  </w:pPr>
                  <w:r>
                    <w:rPr>
                      <w:rFonts w:hint="eastAsia"/>
                      <w:b/>
                      <w:bCs/>
                      <w:color w:val="auto"/>
                      <w:szCs w:val="24"/>
                      <w:highlight w:val="none"/>
                      <w:lang w:val="en-US" w:eastAsia="zh-CN"/>
                    </w:rPr>
                    <w:t>备注</w:t>
                  </w:r>
                </w:p>
              </w:tc>
            </w:tr>
            <w:tr w14:paraId="06DA37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Merge w:val="continue"/>
                  <w:vAlign w:val="center"/>
                </w:tcPr>
                <w:p w14:paraId="693AAF9A">
                  <w:pPr>
                    <w:pStyle w:val="108"/>
                    <w:spacing w:line="276" w:lineRule="auto"/>
                    <w:rPr>
                      <w:b/>
                      <w:bCs/>
                      <w:color w:val="auto"/>
                      <w:szCs w:val="24"/>
                      <w:highlight w:val="none"/>
                    </w:rPr>
                  </w:pPr>
                </w:p>
              </w:tc>
              <w:tc>
                <w:tcPr>
                  <w:tcW w:w="262" w:type="pct"/>
                  <w:vMerge w:val="continue"/>
                  <w:vAlign w:val="center"/>
                </w:tcPr>
                <w:p w14:paraId="1B7856B2">
                  <w:pPr>
                    <w:pStyle w:val="108"/>
                    <w:spacing w:line="276" w:lineRule="auto"/>
                    <w:rPr>
                      <w:b/>
                      <w:bCs/>
                      <w:color w:val="auto"/>
                      <w:szCs w:val="24"/>
                      <w:highlight w:val="none"/>
                    </w:rPr>
                  </w:pPr>
                </w:p>
              </w:tc>
              <w:tc>
                <w:tcPr>
                  <w:tcW w:w="521" w:type="pct"/>
                  <w:vMerge w:val="continue"/>
                  <w:vAlign w:val="center"/>
                </w:tcPr>
                <w:p w14:paraId="1E170B9A">
                  <w:pPr>
                    <w:pStyle w:val="108"/>
                    <w:spacing w:line="276" w:lineRule="auto"/>
                    <w:rPr>
                      <w:b/>
                      <w:bCs/>
                      <w:color w:val="auto"/>
                      <w:szCs w:val="24"/>
                      <w:highlight w:val="none"/>
                    </w:rPr>
                  </w:pPr>
                </w:p>
              </w:tc>
              <w:tc>
                <w:tcPr>
                  <w:tcW w:w="262" w:type="pct"/>
                  <w:vAlign w:val="center"/>
                </w:tcPr>
                <w:p w14:paraId="66EB57EF">
                  <w:pPr>
                    <w:pStyle w:val="108"/>
                    <w:spacing w:line="276" w:lineRule="auto"/>
                    <w:rPr>
                      <w:b/>
                      <w:bCs/>
                      <w:color w:val="auto"/>
                      <w:szCs w:val="24"/>
                      <w:highlight w:val="none"/>
                    </w:rPr>
                  </w:pPr>
                  <w:r>
                    <w:rPr>
                      <w:rFonts w:hint="eastAsia"/>
                      <w:b/>
                      <w:bCs/>
                      <w:color w:val="auto"/>
                      <w:szCs w:val="24"/>
                      <w:highlight w:val="none"/>
                    </w:rPr>
                    <w:t>折标准瓶数量</w:t>
                  </w:r>
                </w:p>
              </w:tc>
              <w:tc>
                <w:tcPr>
                  <w:tcW w:w="376" w:type="pct"/>
                  <w:vAlign w:val="center"/>
                </w:tcPr>
                <w:p w14:paraId="698316F2">
                  <w:pPr>
                    <w:pStyle w:val="108"/>
                    <w:spacing w:line="276" w:lineRule="auto"/>
                    <w:rPr>
                      <w:b/>
                      <w:bCs/>
                      <w:color w:val="auto"/>
                      <w:szCs w:val="24"/>
                      <w:highlight w:val="none"/>
                    </w:rPr>
                  </w:pPr>
                  <w:r>
                    <w:rPr>
                      <w:rFonts w:hint="eastAsia"/>
                      <w:b/>
                      <w:bCs/>
                      <w:color w:val="auto"/>
                      <w:szCs w:val="24"/>
                      <w:highlight w:val="none"/>
                    </w:rPr>
                    <w:t>折标准瓶规格</w:t>
                  </w:r>
                </w:p>
              </w:tc>
              <w:tc>
                <w:tcPr>
                  <w:tcW w:w="390" w:type="pct"/>
                  <w:vAlign w:val="center"/>
                </w:tcPr>
                <w:p w14:paraId="5FD00DFB">
                  <w:pPr>
                    <w:pStyle w:val="108"/>
                    <w:spacing w:line="276" w:lineRule="auto"/>
                    <w:rPr>
                      <w:b/>
                      <w:bCs/>
                      <w:color w:val="auto"/>
                      <w:szCs w:val="24"/>
                      <w:highlight w:val="none"/>
                    </w:rPr>
                  </w:pPr>
                  <w:r>
                    <w:rPr>
                      <w:rFonts w:hint="eastAsia"/>
                      <w:b/>
                      <w:bCs/>
                      <w:color w:val="auto"/>
                      <w:szCs w:val="24"/>
                      <w:highlight w:val="none"/>
                    </w:rPr>
                    <w:t>单瓶重量</w:t>
                  </w:r>
                </w:p>
              </w:tc>
              <w:tc>
                <w:tcPr>
                  <w:tcW w:w="428" w:type="pct"/>
                  <w:vAlign w:val="center"/>
                </w:tcPr>
                <w:p w14:paraId="4A5A3B36">
                  <w:pPr>
                    <w:pStyle w:val="108"/>
                    <w:spacing w:line="276" w:lineRule="auto"/>
                    <w:rPr>
                      <w:b/>
                      <w:bCs/>
                      <w:color w:val="auto"/>
                      <w:szCs w:val="24"/>
                      <w:highlight w:val="none"/>
                    </w:rPr>
                  </w:pPr>
                  <w:r>
                    <w:rPr>
                      <w:rFonts w:hint="eastAsia"/>
                      <w:b/>
                      <w:bCs/>
                      <w:color w:val="auto"/>
                      <w:szCs w:val="24"/>
                      <w:highlight w:val="none"/>
                    </w:rPr>
                    <w:t>总重量</w:t>
                  </w:r>
                </w:p>
              </w:tc>
              <w:tc>
                <w:tcPr>
                  <w:tcW w:w="262" w:type="pct"/>
                  <w:vAlign w:val="center"/>
                </w:tcPr>
                <w:p w14:paraId="787AFC8B">
                  <w:pPr>
                    <w:pStyle w:val="108"/>
                    <w:spacing w:line="276" w:lineRule="auto"/>
                    <w:rPr>
                      <w:rFonts w:hint="eastAsia"/>
                      <w:b/>
                      <w:bCs/>
                      <w:color w:val="auto"/>
                      <w:szCs w:val="24"/>
                      <w:highlight w:val="none"/>
                    </w:rPr>
                  </w:pPr>
                  <w:r>
                    <w:rPr>
                      <w:rFonts w:hint="eastAsia"/>
                      <w:b/>
                      <w:bCs/>
                      <w:color w:val="auto"/>
                      <w:szCs w:val="24"/>
                      <w:highlight w:val="none"/>
                    </w:rPr>
                    <w:t>折标准瓶数量</w:t>
                  </w:r>
                </w:p>
              </w:tc>
              <w:tc>
                <w:tcPr>
                  <w:tcW w:w="376" w:type="pct"/>
                  <w:vAlign w:val="center"/>
                </w:tcPr>
                <w:p w14:paraId="5DF199DB">
                  <w:pPr>
                    <w:pStyle w:val="108"/>
                    <w:spacing w:line="276" w:lineRule="auto"/>
                    <w:rPr>
                      <w:rFonts w:hint="eastAsia"/>
                      <w:b/>
                      <w:bCs/>
                      <w:color w:val="auto"/>
                      <w:szCs w:val="24"/>
                      <w:highlight w:val="none"/>
                    </w:rPr>
                  </w:pPr>
                  <w:r>
                    <w:rPr>
                      <w:rFonts w:hint="eastAsia"/>
                      <w:b/>
                      <w:bCs/>
                      <w:color w:val="auto"/>
                      <w:szCs w:val="24"/>
                      <w:highlight w:val="none"/>
                    </w:rPr>
                    <w:t>折标准瓶规格</w:t>
                  </w:r>
                </w:p>
              </w:tc>
              <w:tc>
                <w:tcPr>
                  <w:tcW w:w="390" w:type="pct"/>
                  <w:vAlign w:val="center"/>
                </w:tcPr>
                <w:p w14:paraId="3C3C6BB4">
                  <w:pPr>
                    <w:pStyle w:val="108"/>
                    <w:spacing w:line="276" w:lineRule="auto"/>
                    <w:rPr>
                      <w:rFonts w:hint="eastAsia"/>
                      <w:b/>
                      <w:bCs/>
                      <w:color w:val="auto"/>
                      <w:szCs w:val="24"/>
                      <w:highlight w:val="none"/>
                    </w:rPr>
                  </w:pPr>
                  <w:r>
                    <w:rPr>
                      <w:rFonts w:hint="eastAsia"/>
                      <w:b/>
                      <w:bCs/>
                      <w:color w:val="auto"/>
                      <w:szCs w:val="24"/>
                      <w:highlight w:val="none"/>
                    </w:rPr>
                    <w:t>单瓶重量</w:t>
                  </w:r>
                </w:p>
              </w:tc>
              <w:tc>
                <w:tcPr>
                  <w:tcW w:w="428" w:type="pct"/>
                  <w:vAlign w:val="center"/>
                </w:tcPr>
                <w:p w14:paraId="56AAAD99">
                  <w:pPr>
                    <w:pStyle w:val="108"/>
                    <w:spacing w:line="276" w:lineRule="auto"/>
                    <w:rPr>
                      <w:rFonts w:hint="eastAsia"/>
                      <w:b/>
                      <w:bCs/>
                      <w:color w:val="auto"/>
                      <w:szCs w:val="24"/>
                      <w:highlight w:val="none"/>
                    </w:rPr>
                  </w:pPr>
                  <w:r>
                    <w:rPr>
                      <w:rFonts w:hint="eastAsia"/>
                      <w:b/>
                      <w:bCs/>
                      <w:color w:val="auto"/>
                      <w:szCs w:val="24"/>
                      <w:highlight w:val="none"/>
                    </w:rPr>
                    <w:t>总重量</w:t>
                  </w:r>
                </w:p>
              </w:tc>
              <w:tc>
                <w:tcPr>
                  <w:tcW w:w="304" w:type="pct"/>
                  <w:vAlign w:val="center"/>
                </w:tcPr>
                <w:p w14:paraId="707F8808">
                  <w:pPr>
                    <w:pStyle w:val="108"/>
                    <w:spacing w:line="276" w:lineRule="auto"/>
                    <w:rPr>
                      <w:rFonts w:hint="eastAsia"/>
                      <w:b/>
                      <w:bCs/>
                      <w:color w:val="auto"/>
                      <w:szCs w:val="24"/>
                      <w:highlight w:val="none"/>
                    </w:rPr>
                  </w:pPr>
                  <w:r>
                    <w:rPr>
                      <w:rFonts w:hint="eastAsia"/>
                      <w:b/>
                      <w:bCs/>
                      <w:color w:val="auto"/>
                      <w:szCs w:val="24"/>
                      <w:highlight w:val="none"/>
                    </w:rPr>
                    <w:t>折标准瓶数量</w:t>
                  </w:r>
                </w:p>
              </w:tc>
              <w:tc>
                <w:tcPr>
                  <w:tcW w:w="469" w:type="pct"/>
                  <w:vAlign w:val="center"/>
                </w:tcPr>
                <w:p w14:paraId="0857403E">
                  <w:pPr>
                    <w:pStyle w:val="108"/>
                    <w:spacing w:line="276" w:lineRule="auto"/>
                    <w:rPr>
                      <w:rFonts w:hint="eastAsia"/>
                      <w:b/>
                      <w:bCs/>
                      <w:color w:val="auto"/>
                      <w:szCs w:val="24"/>
                      <w:highlight w:val="none"/>
                    </w:rPr>
                  </w:pPr>
                  <w:r>
                    <w:rPr>
                      <w:rFonts w:hint="eastAsia"/>
                      <w:b/>
                      <w:bCs/>
                      <w:color w:val="auto"/>
                      <w:szCs w:val="24"/>
                      <w:highlight w:val="none"/>
                    </w:rPr>
                    <w:t>总重量</w:t>
                  </w:r>
                </w:p>
              </w:tc>
              <w:tc>
                <w:tcPr>
                  <w:tcW w:w="262" w:type="pct"/>
                  <w:vMerge w:val="continue"/>
                  <w:vAlign w:val="center"/>
                </w:tcPr>
                <w:p w14:paraId="03E32F1C">
                  <w:pPr>
                    <w:pStyle w:val="108"/>
                    <w:spacing w:line="276" w:lineRule="auto"/>
                    <w:rPr>
                      <w:rFonts w:hint="eastAsia"/>
                      <w:b/>
                      <w:bCs/>
                      <w:color w:val="auto"/>
                      <w:szCs w:val="24"/>
                      <w:highlight w:val="none"/>
                    </w:rPr>
                  </w:pPr>
                </w:p>
              </w:tc>
            </w:tr>
            <w:tr w14:paraId="7765BA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Merge w:val="restart"/>
                  <w:vAlign w:val="center"/>
                </w:tcPr>
                <w:p w14:paraId="0C79EDE4">
                  <w:pPr>
                    <w:pStyle w:val="108"/>
                    <w:spacing w:line="276" w:lineRule="auto"/>
                    <w:rPr>
                      <w:bCs/>
                      <w:color w:val="auto"/>
                      <w:szCs w:val="24"/>
                      <w:highlight w:val="none"/>
                    </w:rPr>
                  </w:pPr>
                  <w:r>
                    <w:rPr>
                      <w:rFonts w:hint="eastAsia"/>
                      <w:bCs/>
                      <w:color w:val="auto"/>
                      <w:szCs w:val="24"/>
                      <w:highlight w:val="none"/>
                    </w:rPr>
                    <w:t>1</w:t>
                  </w:r>
                </w:p>
              </w:tc>
              <w:tc>
                <w:tcPr>
                  <w:tcW w:w="262" w:type="pct"/>
                  <w:vMerge w:val="restart"/>
                  <w:vAlign w:val="center"/>
                </w:tcPr>
                <w:p w14:paraId="3E94CF7A">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乙烯</w:t>
                  </w:r>
                </w:p>
              </w:tc>
              <w:tc>
                <w:tcPr>
                  <w:tcW w:w="521" w:type="pct"/>
                  <w:vAlign w:val="center"/>
                </w:tcPr>
                <w:p w14:paraId="2B929E1A">
                  <w:pPr>
                    <w:pStyle w:val="108"/>
                    <w:spacing w:line="276" w:lineRule="auto"/>
                    <w:rPr>
                      <w:bCs/>
                      <w:color w:val="auto"/>
                      <w:szCs w:val="24"/>
                      <w:highlight w:val="none"/>
                    </w:rPr>
                  </w:pPr>
                  <w:r>
                    <w:rPr>
                      <w:rFonts w:hint="eastAsia"/>
                      <w:bCs/>
                      <w:color w:val="auto"/>
                      <w:szCs w:val="24"/>
                      <w:highlight w:val="none"/>
                    </w:rPr>
                    <w:t>单瓶：1L、1</w:t>
                  </w:r>
                  <w:r>
                    <w:rPr>
                      <w:bCs/>
                      <w:color w:val="auto"/>
                      <w:szCs w:val="24"/>
                      <w:highlight w:val="none"/>
                    </w:rPr>
                    <w:t>.5</w:t>
                  </w:r>
                  <w:r>
                    <w:rPr>
                      <w:rFonts w:hint="eastAsia"/>
                      <w:bCs/>
                      <w:color w:val="auto"/>
                      <w:szCs w:val="24"/>
                      <w:highlight w:val="none"/>
                    </w:rPr>
                    <w:t>L、2L、4L、6L、8L、4</w:t>
                  </w:r>
                  <w:r>
                    <w:rPr>
                      <w:bCs/>
                      <w:color w:val="auto"/>
                      <w:szCs w:val="24"/>
                      <w:highlight w:val="none"/>
                    </w:rPr>
                    <w:t>0L</w:t>
                  </w:r>
                  <w:r>
                    <w:rPr>
                      <w:rFonts w:hint="eastAsia"/>
                      <w:bCs/>
                      <w:color w:val="auto"/>
                      <w:szCs w:val="24"/>
                      <w:highlight w:val="none"/>
                    </w:rPr>
                    <w:t>、5</w:t>
                  </w:r>
                  <w:r>
                    <w:rPr>
                      <w:bCs/>
                      <w:color w:val="auto"/>
                      <w:szCs w:val="24"/>
                      <w:highlight w:val="none"/>
                    </w:rPr>
                    <w:t>0L</w:t>
                  </w:r>
                </w:p>
              </w:tc>
              <w:tc>
                <w:tcPr>
                  <w:tcW w:w="262" w:type="pct"/>
                  <w:vAlign w:val="center"/>
                </w:tcPr>
                <w:p w14:paraId="776F6122">
                  <w:pPr>
                    <w:pStyle w:val="108"/>
                    <w:spacing w:line="276" w:lineRule="auto"/>
                    <w:rPr>
                      <w:bCs/>
                      <w:color w:val="auto"/>
                      <w:szCs w:val="24"/>
                      <w:highlight w:val="none"/>
                    </w:rPr>
                  </w:pPr>
                  <w:r>
                    <w:rPr>
                      <w:rFonts w:hint="eastAsia"/>
                      <w:bCs/>
                      <w:color w:val="auto"/>
                      <w:szCs w:val="24"/>
                      <w:highlight w:val="none"/>
                    </w:rPr>
                    <w:t>10万瓶</w:t>
                  </w:r>
                </w:p>
              </w:tc>
              <w:tc>
                <w:tcPr>
                  <w:tcW w:w="376" w:type="pct"/>
                  <w:vAlign w:val="center"/>
                </w:tcPr>
                <w:p w14:paraId="3666BB7F">
                  <w:pPr>
                    <w:pStyle w:val="108"/>
                    <w:spacing w:line="276" w:lineRule="auto"/>
                    <w:rPr>
                      <w:bCs/>
                      <w:color w:val="auto"/>
                      <w:szCs w:val="24"/>
                      <w:highlight w:val="none"/>
                    </w:rPr>
                  </w:pPr>
                  <w:r>
                    <w:rPr>
                      <w:rFonts w:hint="eastAsia"/>
                      <w:bCs/>
                      <w:color w:val="auto"/>
                      <w:szCs w:val="24"/>
                      <w:highlight w:val="none"/>
                    </w:rPr>
                    <w:t>40L/瓶</w:t>
                  </w:r>
                </w:p>
              </w:tc>
              <w:tc>
                <w:tcPr>
                  <w:tcW w:w="390" w:type="pct"/>
                  <w:vAlign w:val="center"/>
                </w:tcPr>
                <w:p w14:paraId="57D58765">
                  <w:pPr>
                    <w:pStyle w:val="108"/>
                    <w:spacing w:line="276" w:lineRule="auto"/>
                    <w:rPr>
                      <w:bCs/>
                      <w:color w:val="auto"/>
                      <w:szCs w:val="24"/>
                      <w:highlight w:val="none"/>
                    </w:rPr>
                  </w:pPr>
                  <w:r>
                    <w:rPr>
                      <w:rFonts w:hint="eastAsia"/>
                      <w:bCs/>
                      <w:color w:val="auto"/>
                      <w:szCs w:val="24"/>
                      <w:highlight w:val="none"/>
                    </w:rPr>
                    <w:t>10kg</w:t>
                  </w:r>
                </w:p>
              </w:tc>
              <w:tc>
                <w:tcPr>
                  <w:tcW w:w="428" w:type="pct"/>
                  <w:vAlign w:val="center"/>
                </w:tcPr>
                <w:p w14:paraId="0AB3579E">
                  <w:pPr>
                    <w:pStyle w:val="108"/>
                    <w:spacing w:line="276" w:lineRule="auto"/>
                    <w:rPr>
                      <w:bCs/>
                      <w:color w:val="auto"/>
                      <w:szCs w:val="24"/>
                      <w:highlight w:val="none"/>
                    </w:rPr>
                  </w:pPr>
                  <w:r>
                    <w:rPr>
                      <w:rFonts w:hint="eastAsia"/>
                      <w:bCs/>
                      <w:color w:val="auto"/>
                      <w:szCs w:val="24"/>
                      <w:highlight w:val="none"/>
                    </w:rPr>
                    <w:t>1000t</w:t>
                  </w:r>
                </w:p>
              </w:tc>
              <w:tc>
                <w:tcPr>
                  <w:tcW w:w="262" w:type="pct"/>
                  <w:vAlign w:val="center"/>
                </w:tcPr>
                <w:p w14:paraId="0E790ACC">
                  <w:pPr>
                    <w:pStyle w:val="108"/>
                    <w:spacing w:line="276" w:lineRule="auto"/>
                    <w:rPr>
                      <w:rFonts w:hint="eastAsia"/>
                      <w:bCs/>
                      <w:color w:val="auto"/>
                      <w:szCs w:val="24"/>
                      <w:highlight w:val="none"/>
                    </w:rPr>
                  </w:pPr>
                  <w:r>
                    <w:rPr>
                      <w:rFonts w:hint="eastAsia"/>
                      <w:bCs/>
                      <w:color w:val="auto"/>
                      <w:szCs w:val="24"/>
                      <w:highlight w:val="none"/>
                      <w:lang w:val="en-US" w:eastAsia="zh-CN"/>
                    </w:rPr>
                    <w:t>5</w:t>
                  </w:r>
                  <w:r>
                    <w:rPr>
                      <w:rFonts w:hint="eastAsia"/>
                      <w:bCs/>
                      <w:color w:val="auto"/>
                      <w:szCs w:val="24"/>
                      <w:highlight w:val="none"/>
                    </w:rPr>
                    <w:t>万瓶</w:t>
                  </w:r>
                </w:p>
              </w:tc>
              <w:tc>
                <w:tcPr>
                  <w:tcW w:w="376" w:type="pct"/>
                  <w:vAlign w:val="center"/>
                </w:tcPr>
                <w:p w14:paraId="67B1167F">
                  <w:pPr>
                    <w:pStyle w:val="108"/>
                    <w:spacing w:line="276" w:lineRule="auto"/>
                    <w:rPr>
                      <w:rFonts w:hint="eastAsia"/>
                      <w:bCs/>
                      <w:color w:val="auto"/>
                      <w:szCs w:val="24"/>
                      <w:highlight w:val="none"/>
                    </w:rPr>
                  </w:pPr>
                  <w:r>
                    <w:rPr>
                      <w:rFonts w:hint="eastAsia"/>
                      <w:bCs/>
                      <w:color w:val="auto"/>
                      <w:szCs w:val="24"/>
                      <w:highlight w:val="none"/>
                    </w:rPr>
                    <w:t>40L/瓶</w:t>
                  </w:r>
                </w:p>
              </w:tc>
              <w:tc>
                <w:tcPr>
                  <w:tcW w:w="390" w:type="pct"/>
                  <w:vAlign w:val="center"/>
                </w:tcPr>
                <w:p w14:paraId="576BD226">
                  <w:pPr>
                    <w:pStyle w:val="108"/>
                    <w:spacing w:line="276" w:lineRule="auto"/>
                    <w:rPr>
                      <w:rFonts w:hint="eastAsia"/>
                      <w:bCs/>
                      <w:color w:val="auto"/>
                      <w:szCs w:val="24"/>
                      <w:highlight w:val="none"/>
                    </w:rPr>
                  </w:pPr>
                  <w:r>
                    <w:rPr>
                      <w:rFonts w:hint="eastAsia"/>
                      <w:bCs/>
                      <w:color w:val="auto"/>
                      <w:szCs w:val="24"/>
                      <w:highlight w:val="none"/>
                    </w:rPr>
                    <w:t>10kg</w:t>
                  </w:r>
                </w:p>
              </w:tc>
              <w:tc>
                <w:tcPr>
                  <w:tcW w:w="428" w:type="pct"/>
                  <w:vAlign w:val="center"/>
                </w:tcPr>
                <w:p w14:paraId="7C244DEB">
                  <w:pPr>
                    <w:pStyle w:val="108"/>
                    <w:spacing w:line="276" w:lineRule="auto"/>
                    <w:rPr>
                      <w:rFonts w:hint="eastAsia"/>
                      <w:bCs/>
                      <w:color w:val="auto"/>
                      <w:szCs w:val="24"/>
                      <w:highlight w:val="none"/>
                    </w:rPr>
                  </w:pPr>
                  <w:r>
                    <w:rPr>
                      <w:rFonts w:hint="eastAsia"/>
                      <w:bCs/>
                      <w:color w:val="auto"/>
                      <w:szCs w:val="24"/>
                      <w:highlight w:val="none"/>
                      <w:lang w:val="en-US" w:eastAsia="zh-CN"/>
                    </w:rPr>
                    <w:t>5</w:t>
                  </w:r>
                  <w:r>
                    <w:rPr>
                      <w:rFonts w:hint="eastAsia"/>
                      <w:bCs/>
                      <w:color w:val="auto"/>
                      <w:szCs w:val="24"/>
                      <w:highlight w:val="none"/>
                    </w:rPr>
                    <w:t>00t</w:t>
                  </w:r>
                </w:p>
              </w:tc>
              <w:tc>
                <w:tcPr>
                  <w:tcW w:w="304" w:type="pct"/>
                  <w:vAlign w:val="center"/>
                </w:tcPr>
                <w:p w14:paraId="7220F961">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-5万瓶</w:t>
                  </w:r>
                </w:p>
              </w:tc>
              <w:tc>
                <w:tcPr>
                  <w:tcW w:w="469" w:type="pct"/>
                  <w:vAlign w:val="center"/>
                </w:tcPr>
                <w:p w14:paraId="0E238F82">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-500t</w:t>
                  </w:r>
                </w:p>
              </w:tc>
              <w:tc>
                <w:tcPr>
                  <w:tcW w:w="262" w:type="pct"/>
                  <w:vAlign w:val="center"/>
                </w:tcPr>
                <w:p w14:paraId="4014538B">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r>
            <w:tr w14:paraId="41EBE62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Merge w:val="continue"/>
                  <w:vAlign w:val="center"/>
                </w:tcPr>
                <w:p w14:paraId="4A3280C7">
                  <w:pPr>
                    <w:pStyle w:val="108"/>
                    <w:spacing w:line="276" w:lineRule="auto"/>
                    <w:rPr>
                      <w:bCs/>
                      <w:color w:val="auto"/>
                      <w:szCs w:val="24"/>
                      <w:highlight w:val="none"/>
                    </w:rPr>
                  </w:pPr>
                </w:p>
              </w:tc>
              <w:tc>
                <w:tcPr>
                  <w:tcW w:w="262" w:type="pct"/>
                  <w:vMerge w:val="continue"/>
                  <w:vAlign w:val="center"/>
                </w:tcPr>
                <w:p w14:paraId="5FA21E27">
                  <w:pPr>
                    <w:pStyle w:val="108"/>
                    <w:spacing w:line="276" w:lineRule="auto"/>
                    <w:rPr>
                      <w:bCs/>
                      <w:color w:val="auto"/>
                      <w:szCs w:val="24"/>
                      <w:highlight w:val="none"/>
                    </w:rPr>
                  </w:pPr>
                </w:p>
              </w:tc>
              <w:tc>
                <w:tcPr>
                  <w:tcW w:w="521" w:type="pct"/>
                  <w:vAlign w:val="center"/>
                </w:tcPr>
                <w:p w14:paraId="2D6FD04F">
                  <w:pPr>
                    <w:pStyle w:val="108"/>
                    <w:spacing w:line="276" w:lineRule="auto"/>
                    <w:rPr>
                      <w:bCs/>
                      <w:color w:val="auto"/>
                      <w:szCs w:val="24"/>
                      <w:highlight w:val="none"/>
                    </w:rPr>
                  </w:pPr>
                  <w:r>
                    <w:rPr>
                      <w:rFonts w:hint="eastAsia"/>
                      <w:bCs/>
                      <w:color w:val="auto"/>
                      <w:szCs w:val="24"/>
                      <w:highlight w:val="none"/>
                    </w:rPr>
                    <w:t>单瓶：40L，20瓶组成</w:t>
                  </w:r>
                </w:p>
              </w:tc>
              <w:tc>
                <w:tcPr>
                  <w:tcW w:w="262" w:type="pct"/>
                  <w:vAlign w:val="center"/>
                </w:tcPr>
                <w:p w14:paraId="06AC1A54">
                  <w:pPr>
                    <w:pStyle w:val="108"/>
                    <w:spacing w:line="276" w:lineRule="auto"/>
                    <w:rPr>
                      <w:bCs/>
                      <w:color w:val="auto"/>
                      <w:szCs w:val="24"/>
                      <w:highlight w:val="none"/>
                    </w:rPr>
                  </w:pPr>
                  <w:r>
                    <w:rPr>
                      <w:rFonts w:hint="eastAsia"/>
                      <w:bCs/>
                      <w:color w:val="auto"/>
                      <w:szCs w:val="24"/>
                      <w:highlight w:val="none"/>
                    </w:rPr>
                    <w:t>30万瓶</w:t>
                  </w:r>
                </w:p>
              </w:tc>
              <w:tc>
                <w:tcPr>
                  <w:tcW w:w="376" w:type="pct"/>
                  <w:vAlign w:val="center"/>
                </w:tcPr>
                <w:p w14:paraId="2F59D694">
                  <w:pPr>
                    <w:pStyle w:val="108"/>
                    <w:spacing w:line="276" w:lineRule="auto"/>
                    <w:rPr>
                      <w:bCs/>
                      <w:color w:val="auto"/>
                      <w:szCs w:val="24"/>
                      <w:highlight w:val="none"/>
                    </w:rPr>
                  </w:pPr>
                  <w:r>
                    <w:rPr>
                      <w:rFonts w:hint="eastAsia"/>
                      <w:bCs/>
                      <w:color w:val="auto"/>
                      <w:szCs w:val="24"/>
                      <w:highlight w:val="none"/>
                    </w:rPr>
                    <w:t>40L/瓶</w:t>
                  </w:r>
                </w:p>
              </w:tc>
              <w:tc>
                <w:tcPr>
                  <w:tcW w:w="390" w:type="pct"/>
                  <w:vAlign w:val="center"/>
                </w:tcPr>
                <w:p w14:paraId="10FEE0F5">
                  <w:pPr>
                    <w:pStyle w:val="108"/>
                    <w:spacing w:line="276" w:lineRule="auto"/>
                    <w:rPr>
                      <w:bCs/>
                      <w:color w:val="auto"/>
                      <w:szCs w:val="24"/>
                      <w:highlight w:val="none"/>
                    </w:rPr>
                  </w:pPr>
                  <w:r>
                    <w:rPr>
                      <w:rFonts w:hint="eastAsia"/>
                      <w:bCs/>
                      <w:color w:val="auto"/>
                      <w:szCs w:val="24"/>
                      <w:highlight w:val="none"/>
                    </w:rPr>
                    <w:t>10kg</w:t>
                  </w:r>
                </w:p>
              </w:tc>
              <w:tc>
                <w:tcPr>
                  <w:tcW w:w="428" w:type="pct"/>
                  <w:vAlign w:val="center"/>
                </w:tcPr>
                <w:p w14:paraId="4FC27615">
                  <w:pPr>
                    <w:pStyle w:val="108"/>
                    <w:spacing w:line="276" w:lineRule="auto"/>
                    <w:rPr>
                      <w:bCs/>
                      <w:color w:val="auto"/>
                      <w:szCs w:val="24"/>
                      <w:highlight w:val="none"/>
                    </w:rPr>
                  </w:pPr>
                  <w:r>
                    <w:rPr>
                      <w:rFonts w:hint="eastAsia"/>
                      <w:bCs/>
                      <w:color w:val="auto"/>
                      <w:szCs w:val="24"/>
                      <w:highlight w:val="none"/>
                    </w:rPr>
                    <w:t>3000t</w:t>
                  </w:r>
                </w:p>
              </w:tc>
              <w:tc>
                <w:tcPr>
                  <w:tcW w:w="262" w:type="pct"/>
                  <w:vAlign w:val="center"/>
                </w:tcPr>
                <w:p w14:paraId="3810A461">
                  <w:pPr>
                    <w:pStyle w:val="108"/>
                    <w:spacing w:line="276" w:lineRule="auto"/>
                    <w:rPr>
                      <w:rFonts w:hint="eastAsia"/>
                      <w:bCs/>
                      <w:color w:val="auto"/>
                      <w:szCs w:val="24"/>
                      <w:highlight w:val="none"/>
                    </w:rPr>
                  </w:pPr>
                  <w:r>
                    <w:rPr>
                      <w:rFonts w:hint="eastAsia"/>
                      <w:bCs/>
                      <w:color w:val="auto"/>
                      <w:szCs w:val="24"/>
                      <w:highlight w:val="none"/>
                      <w:lang w:val="en-US" w:eastAsia="zh-CN"/>
                    </w:rPr>
                    <w:t>15</w:t>
                  </w:r>
                  <w:r>
                    <w:rPr>
                      <w:rFonts w:hint="eastAsia"/>
                      <w:bCs/>
                      <w:color w:val="auto"/>
                      <w:szCs w:val="24"/>
                      <w:highlight w:val="none"/>
                    </w:rPr>
                    <w:t>万瓶</w:t>
                  </w:r>
                </w:p>
              </w:tc>
              <w:tc>
                <w:tcPr>
                  <w:tcW w:w="376" w:type="pct"/>
                  <w:vAlign w:val="center"/>
                </w:tcPr>
                <w:p w14:paraId="1BEC46B3">
                  <w:pPr>
                    <w:pStyle w:val="108"/>
                    <w:spacing w:line="276" w:lineRule="auto"/>
                    <w:rPr>
                      <w:rFonts w:hint="eastAsia"/>
                      <w:bCs/>
                      <w:color w:val="auto"/>
                      <w:szCs w:val="24"/>
                      <w:highlight w:val="none"/>
                    </w:rPr>
                  </w:pPr>
                  <w:r>
                    <w:rPr>
                      <w:rFonts w:hint="eastAsia"/>
                      <w:bCs/>
                      <w:color w:val="auto"/>
                      <w:szCs w:val="24"/>
                      <w:highlight w:val="none"/>
                    </w:rPr>
                    <w:t>40L/瓶</w:t>
                  </w:r>
                </w:p>
              </w:tc>
              <w:tc>
                <w:tcPr>
                  <w:tcW w:w="390" w:type="pct"/>
                  <w:vAlign w:val="center"/>
                </w:tcPr>
                <w:p w14:paraId="3E5FD98B">
                  <w:pPr>
                    <w:pStyle w:val="108"/>
                    <w:spacing w:line="276" w:lineRule="auto"/>
                    <w:rPr>
                      <w:rFonts w:hint="eastAsia"/>
                      <w:bCs/>
                      <w:color w:val="auto"/>
                      <w:szCs w:val="24"/>
                      <w:highlight w:val="none"/>
                    </w:rPr>
                  </w:pPr>
                  <w:r>
                    <w:rPr>
                      <w:rFonts w:hint="eastAsia"/>
                      <w:bCs/>
                      <w:color w:val="auto"/>
                      <w:szCs w:val="24"/>
                      <w:highlight w:val="none"/>
                    </w:rPr>
                    <w:t>10kg</w:t>
                  </w:r>
                </w:p>
              </w:tc>
              <w:tc>
                <w:tcPr>
                  <w:tcW w:w="428" w:type="pct"/>
                  <w:vAlign w:val="center"/>
                </w:tcPr>
                <w:p w14:paraId="6D1B0A89">
                  <w:pPr>
                    <w:pStyle w:val="108"/>
                    <w:spacing w:line="276" w:lineRule="auto"/>
                    <w:rPr>
                      <w:rFonts w:hint="eastAsia"/>
                      <w:bCs/>
                      <w:color w:val="auto"/>
                      <w:szCs w:val="24"/>
                      <w:highlight w:val="none"/>
                    </w:rPr>
                  </w:pPr>
                  <w:r>
                    <w:rPr>
                      <w:rFonts w:hint="eastAsia"/>
                      <w:bCs/>
                      <w:color w:val="auto"/>
                      <w:szCs w:val="24"/>
                      <w:highlight w:val="none"/>
                      <w:lang w:val="en-US" w:eastAsia="zh-CN"/>
                    </w:rPr>
                    <w:t>15</w:t>
                  </w:r>
                  <w:r>
                    <w:rPr>
                      <w:rFonts w:hint="eastAsia"/>
                      <w:bCs/>
                      <w:color w:val="auto"/>
                      <w:szCs w:val="24"/>
                      <w:highlight w:val="none"/>
                    </w:rPr>
                    <w:t>00t</w:t>
                  </w:r>
                </w:p>
              </w:tc>
              <w:tc>
                <w:tcPr>
                  <w:tcW w:w="304" w:type="pct"/>
                  <w:vAlign w:val="center"/>
                </w:tcPr>
                <w:p w14:paraId="01ED81F3">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-15万瓶</w:t>
                  </w:r>
                </w:p>
              </w:tc>
              <w:tc>
                <w:tcPr>
                  <w:tcW w:w="469" w:type="pct"/>
                  <w:vAlign w:val="center"/>
                </w:tcPr>
                <w:p w14:paraId="6993A376">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-1500t</w:t>
                  </w:r>
                </w:p>
              </w:tc>
              <w:tc>
                <w:tcPr>
                  <w:tcW w:w="262" w:type="pct"/>
                  <w:vAlign w:val="center"/>
                </w:tcPr>
                <w:p w14:paraId="5258F2ED">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r>
            <w:tr w14:paraId="1AFC0C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Align w:val="center"/>
                </w:tcPr>
                <w:p w14:paraId="5216E5FF">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2</w:t>
                  </w:r>
                </w:p>
              </w:tc>
              <w:tc>
                <w:tcPr>
                  <w:tcW w:w="262" w:type="pct"/>
                  <w:vAlign w:val="center"/>
                </w:tcPr>
                <w:p w14:paraId="49FB0E39">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丙烷</w:t>
                  </w:r>
                </w:p>
              </w:tc>
              <w:tc>
                <w:tcPr>
                  <w:tcW w:w="521" w:type="pct"/>
                  <w:vAlign w:val="center"/>
                </w:tcPr>
                <w:p w14:paraId="0EFBC721">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单瓶</w:t>
                  </w:r>
                  <w:r>
                    <w:rPr>
                      <w:rFonts w:hint="eastAsia" w:eastAsia="宋体"/>
                      <w:bCs/>
                      <w:color w:val="auto"/>
                      <w:szCs w:val="24"/>
                      <w:highlight w:val="none"/>
                      <w:lang w:val="en-US" w:eastAsia="zh-CN"/>
                    </w:rPr>
                    <w:t>40L/70L/118L/400L/800L</w:t>
                  </w:r>
                </w:p>
              </w:tc>
              <w:tc>
                <w:tcPr>
                  <w:tcW w:w="262" w:type="pct"/>
                  <w:vAlign w:val="center"/>
                </w:tcPr>
                <w:p w14:paraId="520E5210">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0</w:t>
                  </w:r>
                </w:p>
              </w:tc>
              <w:tc>
                <w:tcPr>
                  <w:tcW w:w="376" w:type="pct"/>
                  <w:vAlign w:val="center"/>
                </w:tcPr>
                <w:p w14:paraId="4CDEFBB6">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w:t>
                  </w:r>
                </w:p>
              </w:tc>
              <w:tc>
                <w:tcPr>
                  <w:tcW w:w="535" w:type="dxa"/>
                  <w:vAlign w:val="center"/>
                </w:tcPr>
                <w:p w14:paraId="535CF11D">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c>
                <w:tcPr>
                  <w:tcW w:w="428" w:type="pct"/>
                  <w:vAlign w:val="center"/>
                </w:tcPr>
                <w:p w14:paraId="2D3D36D5">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0</w:t>
                  </w:r>
                </w:p>
              </w:tc>
              <w:tc>
                <w:tcPr>
                  <w:tcW w:w="377" w:type="dxa"/>
                  <w:vAlign w:val="center"/>
                </w:tcPr>
                <w:p w14:paraId="515105E2">
                  <w:pPr>
                    <w:pStyle w:val="108"/>
                    <w:spacing w:line="276" w:lineRule="auto"/>
                    <w:rPr>
                      <w:rFonts w:hint="eastAsia"/>
                      <w:bCs/>
                      <w:color w:val="auto"/>
                      <w:szCs w:val="24"/>
                      <w:highlight w:val="none"/>
                    </w:rPr>
                  </w:pPr>
                  <w:r>
                    <w:rPr>
                      <w:rFonts w:hint="eastAsia"/>
                      <w:bCs/>
                      <w:color w:val="auto"/>
                      <w:szCs w:val="24"/>
                      <w:highlight w:val="none"/>
                      <w:lang w:val="en-US" w:eastAsia="zh-CN"/>
                    </w:rPr>
                    <w:t>5万瓶</w:t>
                  </w:r>
                </w:p>
              </w:tc>
              <w:tc>
                <w:tcPr>
                  <w:tcW w:w="519" w:type="dxa"/>
                  <w:vAlign w:val="center"/>
                </w:tcPr>
                <w:p w14:paraId="08122D79">
                  <w:pPr>
                    <w:pStyle w:val="108"/>
                    <w:spacing w:line="276" w:lineRule="auto"/>
                    <w:rPr>
                      <w:rFonts w:hint="eastAsia"/>
                      <w:bCs/>
                      <w:color w:val="auto"/>
                      <w:szCs w:val="24"/>
                      <w:highlight w:val="none"/>
                    </w:rPr>
                  </w:pPr>
                  <w:r>
                    <w:rPr>
                      <w:rFonts w:hint="eastAsia"/>
                      <w:bCs/>
                      <w:color w:val="auto"/>
                      <w:szCs w:val="24"/>
                      <w:highlight w:val="none"/>
                      <w:lang w:val="en-US" w:eastAsia="zh-CN"/>
                    </w:rPr>
                    <w:t>50L</w:t>
                  </w:r>
                </w:p>
              </w:tc>
              <w:tc>
                <w:tcPr>
                  <w:tcW w:w="536" w:type="dxa"/>
                  <w:vAlign w:val="center"/>
                </w:tcPr>
                <w:p w14:paraId="179F514C">
                  <w:pPr>
                    <w:pStyle w:val="108"/>
                    <w:spacing w:line="276" w:lineRule="auto"/>
                    <w:rPr>
                      <w:rFonts w:hint="eastAsia"/>
                      <w:bCs/>
                      <w:color w:val="auto"/>
                      <w:szCs w:val="24"/>
                      <w:highlight w:val="none"/>
                    </w:rPr>
                  </w:pPr>
                  <w:r>
                    <w:rPr>
                      <w:rFonts w:hint="eastAsia"/>
                      <w:bCs/>
                      <w:color w:val="auto"/>
                      <w:szCs w:val="24"/>
                      <w:highlight w:val="none"/>
                      <w:lang w:val="en-US" w:eastAsia="zh-CN"/>
                    </w:rPr>
                    <w:t>20kg/瓶</w:t>
                  </w:r>
                </w:p>
              </w:tc>
              <w:tc>
                <w:tcPr>
                  <w:tcW w:w="581" w:type="dxa"/>
                  <w:vAlign w:val="center"/>
                </w:tcPr>
                <w:p w14:paraId="0FE0F6C2">
                  <w:pPr>
                    <w:pStyle w:val="108"/>
                    <w:spacing w:line="276" w:lineRule="auto"/>
                    <w:rPr>
                      <w:rFonts w:hint="eastAsia"/>
                      <w:bCs/>
                      <w:color w:val="auto"/>
                      <w:szCs w:val="24"/>
                      <w:highlight w:val="none"/>
                    </w:rPr>
                  </w:pPr>
                  <w:r>
                    <w:rPr>
                      <w:rFonts w:hint="eastAsia"/>
                      <w:bCs/>
                      <w:color w:val="auto"/>
                      <w:szCs w:val="24"/>
                      <w:highlight w:val="none"/>
                      <w:lang w:val="en-US" w:eastAsia="zh-CN"/>
                    </w:rPr>
                    <w:t>1000t</w:t>
                  </w:r>
                </w:p>
              </w:tc>
              <w:tc>
                <w:tcPr>
                  <w:tcW w:w="304" w:type="pct"/>
                  <w:vAlign w:val="center"/>
                </w:tcPr>
                <w:p w14:paraId="28ACD0E0">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+5万瓶</w:t>
                  </w:r>
                </w:p>
              </w:tc>
              <w:tc>
                <w:tcPr>
                  <w:tcW w:w="635" w:type="dxa"/>
                  <w:vAlign w:val="center"/>
                </w:tcPr>
                <w:p w14:paraId="5FD4F172">
                  <w:pPr>
                    <w:pStyle w:val="108"/>
                    <w:spacing w:line="276" w:lineRule="auto"/>
                    <w:rPr>
                      <w:rFonts w:hint="eastAsia"/>
                      <w:bCs/>
                      <w:color w:val="auto"/>
                      <w:szCs w:val="24"/>
                      <w:highlight w:val="none"/>
                    </w:rPr>
                  </w:pPr>
                  <w:r>
                    <w:rPr>
                      <w:rFonts w:hint="eastAsia"/>
                      <w:bCs/>
                      <w:color w:val="auto"/>
                      <w:szCs w:val="24"/>
                      <w:highlight w:val="none"/>
                      <w:lang w:val="en-US" w:eastAsia="zh-CN"/>
                    </w:rPr>
                    <w:t>+1000t</w:t>
                  </w:r>
                </w:p>
              </w:tc>
              <w:tc>
                <w:tcPr>
                  <w:tcW w:w="262" w:type="pct"/>
                  <w:vAlign w:val="center"/>
                </w:tcPr>
                <w:p w14:paraId="60272382">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r>
            <w:tr w14:paraId="543C18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86" w:hRule="atLeast"/>
                <w:jc w:val="center"/>
              </w:trPr>
              <w:tc>
                <w:tcPr>
                  <w:tcW w:w="262" w:type="pct"/>
                  <w:vAlign w:val="center"/>
                </w:tcPr>
                <w:p w14:paraId="2C7C2C92">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3</w:t>
                  </w:r>
                </w:p>
              </w:tc>
              <w:tc>
                <w:tcPr>
                  <w:tcW w:w="262" w:type="pct"/>
                  <w:vAlign w:val="center"/>
                </w:tcPr>
                <w:p w14:paraId="33230D8A">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丁烷</w:t>
                  </w:r>
                </w:p>
              </w:tc>
              <w:tc>
                <w:tcPr>
                  <w:tcW w:w="521" w:type="pct"/>
                  <w:vAlign w:val="center"/>
                </w:tcPr>
                <w:p w14:paraId="79290525">
                  <w:pPr>
                    <w:pStyle w:val="108"/>
                    <w:spacing w:line="276" w:lineRule="auto"/>
                    <w:rPr>
                      <w:rFonts w:hint="eastAsia"/>
                      <w:bCs/>
                      <w:color w:val="auto"/>
                      <w:szCs w:val="24"/>
                      <w:highlight w:val="none"/>
                    </w:rPr>
                  </w:pPr>
                  <w:r>
                    <w:rPr>
                      <w:rFonts w:hint="eastAsia"/>
                      <w:bCs/>
                      <w:color w:val="auto"/>
                      <w:szCs w:val="24"/>
                      <w:highlight w:val="none"/>
                      <w:lang w:val="en-US" w:eastAsia="zh-CN"/>
                    </w:rPr>
                    <w:t>单瓶</w:t>
                  </w:r>
                  <w:r>
                    <w:rPr>
                      <w:rFonts w:hint="eastAsia" w:eastAsia="宋体"/>
                      <w:bCs/>
                      <w:color w:val="auto"/>
                      <w:szCs w:val="24"/>
                      <w:highlight w:val="none"/>
                      <w:lang w:val="en-US" w:eastAsia="zh-CN"/>
                    </w:rPr>
                    <w:t>40L/70L/118L/400L/800L</w:t>
                  </w:r>
                </w:p>
              </w:tc>
              <w:tc>
                <w:tcPr>
                  <w:tcW w:w="262" w:type="pct"/>
                  <w:vAlign w:val="center"/>
                </w:tcPr>
                <w:p w14:paraId="38337DF0">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0</w:t>
                  </w:r>
                </w:p>
              </w:tc>
              <w:tc>
                <w:tcPr>
                  <w:tcW w:w="376" w:type="pct"/>
                  <w:vAlign w:val="center"/>
                </w:tcPr>
                <w:p w14:paraId="2506CD56">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w:t>
                  </w:r>
                </w:p>
              </w:tc>
              <w:tc>
                <w:tcPr>
                  <w:tcW w:w="535" w:type="dxa"/>
                  <w:vAlign w:val="center"/>
                </w:tcPr>
                <w:p w14:paraId="59F92983">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c>
                <w:tcPr>
                  <w:tcW w:w="428" w:type="pct"/>
                  <w:vAlign w:val="center"/>
                </w:tcPr>
                <w:p w14:paraId="22542FC4">
                  <w:pPr>
                    <w:pStyle w:val="108"/>
                    <w:spacing w:line="276" w:lineRule="auto"/>
                    <w:rPr>
                      <w:rFonts w:hint="default" w:eastAsia="宋体"/>
                      <w:bCs/>
                      <w:color w:val="auto"/>
                      <w:szCs w:val="24"/>
                      <w:highlight w:val="none"/>
                      <w:lang w:val="en-US" w:eastAsia="zh-CN"/>
                    </w:rPr>
                  </w:pPr>
                  <w:r>
                    <w:rPr>
                      <w:rFonts w:hint="eastAsia"/>
                      <w:bCs/>
                      <w:color w:val="auto"/>
                      <w:szCs w:val="24"/>
                      <w:highlight w:val="none"/>
                      <w:lang w:val="en-US" w:eastAsia="zh-CN"/>
                    </w:rPr>
                    <w:t>0</w:t>
                  </w:r>
                </w:p>
              </w:tc>
              <w:tc>
                <w:tcPr>
                  <w:tcW w:w="377" w:type="dxa"/>
                  <w:vAlign w:val="center"/>
                </w:tcPr>
                <w:p w14:paraId="39007919">
                  <w:pPr>
                    <w:pStyle w:val="108"/>
                    <w:spacing w:line="276" w:lineRule="auto"/>
                    <w:rPr>
                      <w:rFonts w:hint="eastAsia"/>
                      <w:bCs/>
                      <w:color w:val="auto"/>
                      <w:szCs w:val="24"/>
                      <w:highlight w:val="none"/>
                    </w:rPr>
                  </w:pPr>
                  <w:r>
                    <w:rPr>
                      <w:rFonts w:hint="eastAsia"/>
                      <w:bCs/>
                      <w:color w:val="auto"/>
                      <w:szCs w:val="24"/>
                      <w:highlight w:val="none"/>
                      <w:lang w:val="en-US" w:eastAsia="zh-CN"/>
                    </w:rPr>
                    <w:t>4万瓶</w:t>
                  </w:r>
                </w:p>
              </w:tc>
              <w:tc>
                <w:tcPr>
                  <w:tcW w:w="519" w:type="dxa"/>
                  <w:vAlign w:val="center"/>
                </w:tcPr>
                <w:p w14:paraId="1A20A9DC">
                  <w:pPr>
                    <w:pStyle w:val="108"/>
                    <w:spacing w:line="276" w:lineRule="auto"/>
                    <w:rPr>
                      <w:rFonts w:hint="eastAsia"/>
                      <w:bCs/>
                      <w:color w:val="auto"/>
                      <w:szCs w:val="24"/>
                      <w:highlight w:val="none"/>
                    </w:rPr>
                  </w:pPr>
                  <w:r>
                    <w:rPr>
                      <w:rFonts w:hint="eastAsia"/>
                      <w:bCs/>
                      <w:color w:val="auto"/>
                      <w:szCs w:val="24"/>
                      <w:highlight w:val="none"/>
                      <w:lang w:val="en-US" w:eastAsia="zh-CN"/>
                    </w:rPr>
                    <w:t>50L</w:t>
                  </w:r>
                </w:p>
              </w:tc>
              <w:tc>
                <w:tcPr>
                  <w:tcW w:w="536" w:type="dxa"/>
                  <w:vAlign w:val="center"/>
                </w:tcPr>
                <w:p w14:paraId="55F347E5">
                  <w:pPr>
                    <w:pStyle w:val="108"/>
                    <w:spacing w:line="276" w:lineRule="auto"/>
                    <w:rPr>
                      <w:rFonts w:hint="eastAsia"/>
                      <w:bCs/>
                      <w:color w:val="auto"/>
                      <w:szCs w:val="24"/>
                      <w:highlight w:val="none"/>
                    </w:rPr>
                  </w:pPr>
                  <w:r>
                    <w:rPr>
                      <w:rFonts w:hint="eastAsia"/>
                      <w:bCs/>
                      <w:color w:val="auto"/>
                      <w:szCs w:val="24"/>
                      <w:highlight w:val="none"/>
                      <w:lang w:val="en-US" w:eastAsia="zh-CN"/>
                    </w:rPr>
                    <w:t>20kg/瓶</w:t>
                  </w:r>
                </w:p>
              </w:tc>
              <w:tc>
                <w:tcPr>
                  <w:tcW w:w="581" w:type="dxa"/>
                  <w:vAlign w:val="center"/>
                </w:tcPr>
                <w:p w14:paraId="2DC20FAE">
                  <w:pPr>
                    <w:pStyle w:val="108"/>
                    <w:spacing w:line="276" w:lineRule="auto"/>
                    <w:rPr>
                      <w:rFonts w:hint="eastAsia"/>
                      <w:bCs/>
                      <w:color w:val="auto"/>
                      <w:szCs w:val="24"/>
                      <w:highlight w:val="none"/>
                    </w:rPr>
                  </w:pPr>
                  <w:r>
                    <w:rPr>
                      <w:rFonts w:hint="eastAsia"/>
                      <w:bCs/>
                      <w:color w:val="auto"/>
                      <w:szCs w:val="24"/>
                      <w:highlight w:val="none"/>
                      <w:lang w:val="en-US" w:eastAsia="zh-CN"/>
                    </w:rPr>
                    <w:t>800t</w:t>
                  </w:r>
                </w:p>
              </w:tc>
              <w:tc>
                <w:tcPr>
                  <w:tcW w:w="304" w:type="pct"/>
                  <w:vAlign w:val="center"/>
                </w:tcPr>
                <w:p w14:paraId="10166E0C">
                  <w:pPr>
                    <w:pStyle w:val="108"/>
                    <w:spacing w:line="276" w:lineRule="auto"/>
                    <w:rPr>
                      <w:rFonts w:hint="eastAsia"/>
                      <w:bCs/>
                      <w:color w:val="auto"/>
                      <w:szCs w:val="24"/>
                      <w:highlight w:val="none"/>
                    </w:rPr>
                  </w:pPr>
                  <w:r>
                    <w:rPr>
                      <w:rFonts w:hint="eastAsia"/>
                      <w:bCs/>
                      <w:color w:val="auto"/>
                      <w:szCs w:val="24"/>
                      <w:highlight w:val="none"/>
                      <w:lang w:val="en-US" w:eastAsia="zh-CN"/>
                    </w:rPr>
                    <w:t>+4万瓶</w:t>
                  </w:r>
                </w:p>
              </w:tc>
              <w:tc>
                <w:tcPr>
                  <w:tcW w:w="635" w:type="dxa"/>
                  <w:vAlign w:val="center"/>
                </w:tcPr>
                <w:p w14:paraId="50CBBA01">
                  <w:pPr>
                    <w:pStyle w:val="108"/>
                    <w:spacing w:line="276" w:lineRule="auto"/>
                    <w:rPr>
                      <w:rFonts w:hint="eastAsia"/>
                      <w:bCs/>
                      <w:color w:val="auto"/>
                      <w:szCs w:val="24"/>
                      <w:highlight w:val="none"/>
                    </w:rPr>
                  </w:pPr>
                  <w:r>
                    <w:rPr>
                      <w:rFonts w:hint="eastAsia"/>
                      <w:bCs/>
                      <w:color w:val="auto"/>
                      <w:szCs w:val="24"/>
                      <w:highlight w:val="none"/>
                      <w:lang w:val="en-US" w:eastAsia="zh-CN"/>
                    </w:rPr>
                    <w:t>+800t</w:t>
                  </w:r>
                </w:p>
              </w:tc>
              <w:tc>
                <w:tcPr>
                  <w:tcW w:w="262" w:type="pct"/>
                  <w:vAlign w:val="center"/>
                </w:tcPr>
                <w:p w14:paraId="0BC1C51D">
                  <w:pPr>
                    <w:pStyle w:val="108"/>
                    <w:spacing w:line="276" w:lineRule="auto"/>
                    <w:rPr>
                      <w:rFonts w:hint="eastAsia" w:eastAsia="宋体"/>
                      <w:bCs/>
                      <w:color w:val="auto"/>
                      <w:szCs w:val="24"/>
                      <w:highlight w:val="none"/>
                      <w:lang w:val="en-US" w:eastAsia="zh-CN"/>
                    </w:rPr>
                  </w:pPr>
                  <w:r>
                    <w:rPr>
                      <w:rFonts w:hint="eastAsia"/>
                      <w:bCs/>
                      <w:color w:val="auto"/>
                      <w:szCs w:val="24"/>
                      <w:highlight w:val="none"/>
                      <w:lang w:val="en-US" w:eastAsia="zh-CN"/>
                    </w:rPr>
                    <w:t>/</w:t>
                  </w:r>
                </w:p>
              </w:tc>
            </w:tr>
          </w:tbl>
          <w:p w14:paraId="56DB9A45">
            <w:pPr>
              <w:spacing w:line="360" w:lineRule="auto"/>
              <w:ind w:firstLine="482" w:firstLineChars="200"/>
              <w:rPr>
                <w:rFonts w:hint="eastAsia" w:eastAsia="宋体"/>
                <w:b/>
                <w:color w:val="auto"/>
                <w:sz w:val="24"/>
                <w:highlight w:val="none"/>
                <w:lang w:val="en-US" w:eastAsia="zh-CN"/>
              </w:rPr>
            </w:pPr>
            <w:r>
              <w:rPr>
                <w:rFonts w:hint="eastAsia"/>
                <w:b/>
                <w:color w:val="auto"/>
                <w:sz w:val="24"/>
                <w:highlight w:val="none"/>
              </w:rPr>
              <w:t>5</w:t>
            </w:r>
            <w:r>
              <w:rPr>
                <w:b/>
                <w:color w:val="auto"/>
                <w:sz w:val="24"/>
                <w:highlight w:val="none"/>
              </w:rPr>
              <w:t>、</w:t>
            </w:r>
            <w:r>
              <w:rPr>
                <w:rFonts w:hint="eastAsia"/>
                <w:b/>
                <w:color w:val="auto"/>
                <w:sz w:val="24"/>
                <w:highlight w:val="none"/>
              </w:rPr>
              <w:t>主要生产设备</w:t>
            </w:r>
          </w:p>
          <w:p w14:paraId="1159DF8E">
            <w:pPr>
              <w:autoSpaceDE w:val="0"/>
              <w:autoSpaceDN w:val="0"/>
              <w:adjustRightInd w:val="0"/>
              <w:snapToGrid w:val="0"/>
              <w:spacing w:line="360" w:lineRule="auto"/>
              <w:jc w:val="left"/>
              <w:rPr>
                <w:rFonts w:hAnsi="黑体" w:eastAsia="黑体"/>
                <w:color w:val="auto"/>
                <w:sz w:val="24"/>
                <w:szCs w:val="24"/>
                <w:highlight w:val="none"/>
              </w:rPr>
            </w:pPr>
          </w:p>
          <w:p w14:paraId="25D682F4">
            <w:pPr>
              <w:autoSpaceDE w:val="0"/>
              <w:autoSpaceDN w:val="0"/>
              <w:adjustRightInd w:val="0"/>
              <w:snapToGrid w:val="0"/>
              <w:spacing w:line="360" w:lineRule="auto"/>
              <w:jc w:val="left"/>
              <w:rPr>
                <w:rFonts w:hAnsi="黑体" w:eastAsia="黑体"/>
                <w:color w:val="auto"/>
                <w:sz w:val="24"/>
                <w:szCs w:val="24"/>
                <w:highlight w:val="none"/>
              </w:rPr>
            </w:pPr>
          </w:p>
          <w:p w14:paraId="38985D02">
            <w:pPr>
              <w:autoSpaceDE w:val="0"/>
              <w:autoSpaceDN w:val="0"/>
              <w:adjustRightInd w:val="0"/>
              <w:snapToGrid w:val="0"/>
              <w:spacing w:line="360" w:lineRule="auto"/>
              <w:jc w:val="left"/>
              <w:rPr>
                <w:rFonts w:hAnsi="黑体" w:eastAsia="黑体"/>
                <w:color w:val="auto"/>
                <w:sz w:val="24"/>
                <w:szCs w:val="24"/>
                <w:highlight w:val="none"/>
              </w:rPr>
            </w:pPr>
          </w:p>
          <w:p w14:paraId="1DE749FE">
            <w:pPr>
              <w:autoSpaceDE w:val="0"/>
              <w:autoSpaceDN w:val="0"/>
              <w:adjustRightInd w:val="0"/>
              <w:snapToGrid w:val="0"/>
              <w:spacing w:line="360" w:lineRule="auto"/>
              <w:jc w:val="left"/>
              <w:rPr>
                <w:rFonts w:hAnsi="黑体" w:eastAsia="黑体"/>
                <w:color w:val="auto"/>
                <w:sz w:val="24"/>
                <w:szCs w:val="24"/>
                <w:highlight w:val="none"/>
              </w:rPr>
            </w:pPr>
          </w:p>
          <w:p w14:paraId="51074EA4">
            <w:pPr>
              <w:autoSpaceDE w:val="0"/>
              <w:autoSpaceDN w:val="0"/>
              <w:adjustRightInd w:val="0"/>
              <w:snapToGrid w:val="0"/>
              <w:spacing w:line="360" w:lineRule="auto"/>
              <w:jc w:val="center"/>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2-6</w:t>
            </w:r>
            <w:r>
              <w:rPr>
                <w:rFonts w:hAnsi="黑体" w:eastAsia="黑体"/>
                <w:color w:val="auto"/>
                <w:sz w:val="24"/>
                <w:szCs w:val="24"/>
                <w:highlight w:val="none"/>
              </w:rPr>
              <w:t xml:space="preserve"> 项目</w:t>
            </w:r>
            <w:r>
              <w:rPr>
                <w:rFonts w:hint="eastAsia" w:hAnsi="黑体" w:eastAsia="黑体"/>
                <w:color w:val="auto"/>
                <w:sz w:val="24"/>
                <w:szCs w:val="24"/>
                <w:highlight w:val="none"/>
                <w:lang w:val="en-US" w:eastAsia="zh-CN"/>
              </w:rPr>
              <w:t>建成后全厂</w:t>
            </w:r>
            <w:r>
              <w:rPr>
                <w:rFonts w:hAnsi="黑体" w:eastAsia="黑体"/>
                <w:color w:val="auto"/>
                <w:sz w:val="24"/>
                <w:szCs w:val="24"/>
                <w:highlight w:val="none"/>
              </w:rPr>
              <w:t>主要设备一览表</w:t>
            </w:r>
          </w:p>
          <w:tbl>
            <w:tblPr>
              <w:tblStyle w:val="36"/>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42"/>
              <w:gridCol w:w="794"/>
              <w:gridCol w:w="763"/>
              <w:gridCol w:w="1091"/>
              <w:gridCol w:w="1131"/>
              <w:gridCol w:w="943"/>
              <w:gridCol w:w="867"/>
              <w:gridCol w:w="866"/>
              <w:gridCol w:w="1062"/>
            </w:tblGrid>
            <w:tr w14:paraId="170E9B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Merge w:val="restart"/>
                  <w:vAlign w:val="center"/>
                </w:tcPr>
                <w:p w14:paraId="49C1969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r>
                    <w:rPr>
                      <w:rFonts w:hAnsi="宋体"/>
                      <w:b/>
                      <w:bCs/>
                      <w:color w:val="auto"/>
                      <w:szCs w:val="21"/>
                      <w:highlight w:val="none"/>
                    </w:rPr>
                    <w:t>序号</w:t>
                  </w:r>
                </w:p>
              </w:tc>
              <w:tc>
                <w:tcPr>
                  <w:tcW w:w="492" w:type="pct"/>
                  <w:vMerge w:val="restart"/>
                  <w:vAlign w:val="center"/>
                </w:tcPr>
                <w:p w14:paraId="1A74E3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r>
                    <w:rPr>
                      <w:rFonts w:hAnsi="宋体"/>
                      <w:b/>
                      <w:bCs/>
                      <w:color w:val="auto"/>
                      <w:szCs w:val="21"/>
                      <w:highlight w:val="none"/>
                    </w:rPr>
                    <w:t>设备</w:t>
                  </w:r>
                </w:p>
                <w:p w14:paraId="612C666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r>
                    <w:rPr>
                      <w:rFonts w:hAnsi="宋体"/>
                      <w:b/>
                      <w:bCs/>
                      <w:color w:val="auto"/>
                      <w:szCs w:val="21"/>
                      <w:highlight w:val="none"/>
                    </w:rPr>
                    <w:t>名称</w:t>
                  </w:r>
                </w:p>
              </w:tc>
              <w:tc>
                <w:tcPr>
                  <w:tcW w:w="473" w:type="pct"/>
                  <w:vMerge w:val="restart"/>
                  <w:vAlign w:val="center"/>
                </w:tcPr>
                <w:p w14:paraId="3CB9C3E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
                      <w:bCs/>
                      <w:color w:val="auto"/>
                      <w:szCs w:val="21"/>
                      <w:highlight w:val="none"/>
                      <w:lang w:val="en-US" w:eastAsia="zh-CN"/>
                    </w:rPr>
                  </w:pPr>
                  <w:r>
                    <w:rPr>
                      <w:rFonts w:hint="eastAsia" w:hAnsi="宋体"/>
                      <w:b/>
                      <w:bCs/>
                      <w:color w:val="auto"/>
                      <w:szCs w:val="21"/>
                      <w:highlight w:val="none"/>
                      <w:lang w:val="en-US" w:eastAsia="zh-CN"/>
                    </w:rPr>
                    <w:t>生产</w:t>
                  </w:r>
                </w:p>
                <w:p w14:paraId="150673F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
                      <w:bCs/>
                      <w:color w:val="auto"/>
                      <w:szCs w:val="21"/>
                      <w:highlight w:val="none"/>
                      <w:lang w:val="en-US" w:eastAsia="zh-CN"/>
                    </w:rPr>
                  </w:pPr>
                  <w:r>
                    <w:rPr>
                      <w:rFonts w:hint="eastAsia" w:hAnsi="宋体"/>
                      <w:b/>
                      <w:bCs/>
                      <w:color w:val="auto"/>
                      <w:szCs w:val="21"/>
                      <w:highlight w:val="none"/>
                      <w:lang w:val="en-US" w:eastAsia="zh-CN"/>
                    </w:rPr>
                    <w:t>单元</w:t>
                  </w:r>
                </w:p>
              </w:tc>
              <w:tc>
                <w:tcPr>
                  <w:tcW w:w="676" w:type="pct"/>
                  <w:vMerge w:val="restart"/>
                  <w:vAlign w:val="center"/>
                </w:tcPr>
                <w:p w14:paraId="45B1836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r>
                    <w:rPr>
                      <w:rFonts w:hAnsi="宋体"/>
                      <w:b/>
                      <w:bCs/>
                      <w:color w:val="auto"/>
                      <w:szCs w:val="21"/>
                      <w:highlight w:val="none"/>
                    </w:rPr>
                    <w:t>规格</w:t>
                  </w:r>
                </w:p>
                <w:p w14:paraId="583A20F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r>
                    <w:rPr>
                      <w:rFonts w:hint="eastAsia" w:hAnsi="宋体"/>
                      <w:b/>
                      <w:bCs/>
                      <w:color w:val="auto"/>
                      <w:szCs w:val="21"/>
                      <w:highlight w:val="none"/>
                    </w:rPr>
                    <w:t>型号</w:t>
                  </w:r>
                </w:p>
              </w:tc>
              <w:tc>
                <w:tcPr>
                  <w:tcW w:w="701" w:type="pct"/>
                  <w:vMerge w:val="restart"/>
                  <w:shd w:val="clear" w:color="auto" w:fill="auto"/>
                  <w:vAlign w:val="center"/>
                </w:tcPr>
                <w:p w14:paraId="2715C29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
                      <w:bCs/>
                      <w:color w:val="auto"/>
                      <w:szCs w:val="21"/>
                      <w:highlight w:val="none"/>
                      <w:lang w:val="en-US" w:eastAsia="zh-CN"/>
                    </w:rPr>
                  </w:pPr>
                  <w:r>
                    <w:rPr>
                      <w:rFonts w:hint="eastAsia" w:hAnsi="宋体"/>
                      <w:b/>
                      <w:bCs/>
                      <w:color w:val="auto"/>
                      <w:szCs w:val="21"/>
                      <w:highlight w:val="none"/>
                      <w:lang w:val="en-US" w:eastAsia="zh-CN"/>
                    </w:rPr>
                    <w:t>设备</w:t>
                  </w:r>
                </w:p>
                <w:p w14:paraId="721D4CB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
                      <w:bCs/>
                      <w:color w:val="auto"/>
                      <w:szCs w:val="21"/>
                      <w:highlight w:val="none"/>
                      <w:lang w:val="en-US" w:eastAsia="zh-CN"/>
                    </w:rPr>
                  </w:pPr>
                  <w:r>
                    <w:rPr>
                      <w:rFonts w:hint="eastAsia" w:hAnsi="宋体"/>
                      <w:b/>
                      <w:bCs/>
                      <w:color w:val="auto"/>
                      <w:szCs w:val="21"/>
                      <w:highlight w:val="none"/>
                      <w:lang w:val="en-US" w:eastAsia="zh-CN"/>
                    </w:rPr>
                    <w:t>参数</w:t>
                  </w:r>
                </w:p>
              </w:tc>
              <w:tc>
                <w:tcPr>
                  <w:tcW w:w="585" w:type="pct"/>
                  <w:shd w:val="clear" w:color="auto" w:fill="auto"/>
                  <w:vAlign w:val="center"/>
                </w:tcPr>
                <w:p w14:paraId="480D3E9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宋体" w:eastAsia="宋体" w:cs="Times New Roman"/>
                      <w:b/>
                      <w:bCs/>
                      <w:color w:val="auto"/>
                      <w:kern w:val="2"/>
                      <w:sz w:val="21"/>
                      <w:szCs w:val="21"/>
                      <w:highlight w:val="none"/>
                      <w:lang w:val="en-US" w:eastAsia="zh-CN" w:bidi="ar-SA"/>
                    </w:rPr>
                  </w:pPr>
                  <w:r>
                    <w:rPr>
                      <w:rFonts w:hint="eastAsia" w:hAnsi="宋体"/>
                      <w:b/>
                      <w:bCs/>
                      <w:color w:val="auto"/>
                      <w:szCs w:val="21"/>
                      <w:highlight w:val="none"/>
                      <w:lang w:val="en-US" w:eastAsia="zh-CN"/>
                    </w:rPr>
                    <w:t>改建前</w:t>
                  </w:r>
                </w:p>
              </w:tc>
              <w:tc>
                <w:tcPr>
                  <w:tcW w:w="537" w:type="pct"/>
                  <w:vAlign w:val="center"/>
                </w:tcPr>
                <w:p w14:paraId="6432DD5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
                      <w:bCs/>
                      <w:color w:val="auto"/>
                      <w:szCs w:val="21"/>
                      <w:highlight w:val="none"/>
                      <w:lang w:val="en-US" w:eastAsia="zh-CN"/>
                    </w:rPr>
                  </w:pPr>
                  <w:r>
                    <w:rPr>
                      <w:rFonts w:hint="eastAsia" w:hAnsi="宋体"/>
                      <w:b/>
                      <w:bCs/>
                      <w:color w:val="auto"/>
                      <w:szCs w:val="21"/>
                      <w:highlight w:val="none"/>
                      <w:lang w:val="en-US" w:eastAsia="zh-CN"/>
                    </w:rPr>
                    <w:t>改建后</w:t>
                  </w:r>
                </w:p>
              </w:tc>
              <w:tc>
                <w:tcPr>
                  <w:tcW w:w="537" w:type="pct"/>
                  <w:vAlign w:val="center"/>
                </w:tcPr>
                <w:p w14:paraId="31BB5CE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
                      <w:bCs/>
                      <w:color w:val="auto"/>
                      <w:szCs w:val="21"/>
                      <w:highlight w:val="none"/>
                      <w:lang w:val="en-US" w:eastAsia="zh-CN"/>
                    </w:rPr>
                  </w:pPr>
                  <w:r>
                    <w:rPr>
                      <w:rFonts w:hint="eastAsia" w:hAnsi="宋体"/>
                      <w:b/>
                      <w:bCs/>
                      <w:color w:val="auto"/>
                      <w:szCs w:val="21"/>
                      <w:highlight w:val="none"/>
                      <w:lang w:val="en-US" w:eastAsia="zh-CN"/>
                    </w:rPr>
                    <w:t>增减量</w:t>
                  </w:r>
                </w:p>
              </w:tc>
              <w:tc>
                <w:tcPr>
                  <w:tcW w:w="658" w:type="pct"/>
                  <w:vMerge w:val="restart"/>
                  <w:vAlign w:val="center"/>
                </w:tcPr>
                <w:p w14:paraId="710DFB8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r>
                    <w:rPr>
                      <w:rFonts w:hAnsi="宋体"/>
                      <w:b/>
                      <w:bCs/>
                      <w:color w:val="auto"/>
                      <w:szCs w:val="21"/>
                      <w:highlight w:val="none"/>
                    </w:rPr>
                    <w:t>备注</w:t>
                  </w:r>
                </w:p>
              </w:tc>
            </w:tr>
            <w:tr w14:paraId="7032E4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Merge w:val="continue"/>
                  <w:vAlign w:val="center"/>
                </w:tcPr>
                <w:p w14:paraId="17651E5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p>
              </w:tc>
              <w:tc>
                <w:tcPr>
                  <w:tcW w:w="492" w:type="pct"/>
                  <w:vMerge w:val="continue"/>
                  <w:vAlign w:val="center"/>
                </w:tcPr>
                <w:p w14:paraId="6B12E41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p>
              </w:tc>
              <w:tc>
                <w:tcPr>
                  <w:tcW w:w="473" w:type="pct"/>
                  <w:vMerge w:val="continue"/>
                  <w:vAlign w:val="center"/>
                </w:tcPr>
                <w:p w14:paraId="5CBB711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p>
              </w:tc>
              <w:tc>
                <w:tcPr>
                  <w:tcW w:w="676" w:type="pct"/>
                  <w:vMerge w:val="continue"/>
                  <w:vAlign w:val="center"/>
                </w:tcPr>
                <w:p w14:paraId="4E7D19E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p>
              </w:tc>
              <w:tc>
                <w:tcPr>
                  <w:tcW w:w="701" w:type="pct"/>
                  <w:vMerge w:val="continue"/>
                  <w:shd w:val="clear" w:color="auto" w:fill="auto"/>
                  <w:vAlign w:val="center"/>
                </w:tcPr>
                <w:p w14:paraId="40FC22E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p>
              </w:tc>
              <w:tc>
                <w:tcPr>
                  <w:tcW w:w="585" w:type="pct"/>
                  <w:shd w:val="clear" w:color="auto" w:fill="auto"/>
                  <w:vAlign w:val="center"/>
                </w:tcPr>
                <w:p w14:paraId="748C2C6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s="Times New Roman"/>
                      <w:b/>
                      <w:bCs/>
                      <w:color w:val="auto"/>
                      <w:kern w:val="2"/>
                      <w:sz w:val="21"/>
                      <w:szCs w:val="21"/>
                      <w:highlight w:val="none"/>
                      <w:lang w:val="en-US" w:eastAsia="zh-CN" w:bidi="ar-SA"/>
                    </w:rPr>
                  </w:pPr>
                  <w:r>
                    <w:rPr>
                      <w:rFonts w:hAnsi="宋体"/>
                      <w:b/>
                      <w:bCs/>
                      <w:color w:val="auto"/>
                      <w:szCs w:val="21"/>
                      <w:highlight w:val="none"/>
                    </w:rPr>
                    <w:t>数量</w:t>
                  </w:r>
                  <w:r>
                    <w:rPr>
                      <w:rFonts w:hint="eastAsia" w:hAnsi="宋体"/>
                      <w:b/>
                      <w:bCs/>
                      <w:color w:val="auto"/>
                      <w:szCs w:val="21"/>
                      <w:highlight w:val="none"/>
                      <w:lang w:eastAsia="zh-CN"/>
                    </w:rPr>
                    <w:t>（</w:t>
                  </w:r>
                  <w:r>
                    <w:rPr>
                      <w:rFonts w:hint="eastAsia" w:hAnsi="宋体"/>
                      <w:b/>
                      <w:bCs/>
                      <w:color w:val="auto"/>
                      <w:szCs w:val="21"/>
                      <w:highlight w:val="none"/>
                      <w:lang w:val="en-US" w:eastAsia="zh-CN"/>
                    </w:rPr>
                    <w:t>座/台/套/组</w:t>
                  </w:r>
                  <w:r>
                    <w:rPr>
                      <w:rFonts w:hint="eastAsia" w:hAnsi="宋体"/>
                      <w:b/>
                      <w:bCs/>
                      <w:color w:val="auto"/>
                      <w:szCs w:val="21"/>
                      <w:highlight w:val="none"/>
                      <w:lang w:eastAsia="zh-CN"/>
                    </w:rPr>
                    <w:t>）</w:t>
                  </w:r>
                </w:p>
              </w:tc>
              <w:tc>
                <w:tcPr>
                  <w:tcW w:w="537" w:type="pct"/>
                  <w:vAlign w:val="center"/>
                </w:tcPr>
                <w:p w14:paraId="4E3538E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r>
                    <w:rPr>
                      <w:rFonts w:hAnsi="宋体"/>
                      <w:b/>
                      <w:bCs/>
                      <w:color w:val="auto"/>
                      <w:szCs w:val="21"/>
                      <w:highlight w:val="none"/>
                    </w:rPr>
                    <w:t>数量</w:t>
                  </w:r>
                  <w:r>
                    <w:rPr>
                      <w:rFonts w:hint="eastAsia" w:hAnsi="宋体"/>
                      <w:b/>
                      <w:bCs/>
                      <w:color w:val="auto"/>
                      <w:szCs w:val="21"/>
                      <w:highlight w:val="none"/>
                      <w:lang w:eastAsia="zh-CN"/>
                    </w:rPr>
                    <w:t>（</w:t>
                  </w:r>
                  <w:r>
                    <w:rPr>
                      <w:rFonts w:hint="eastAsia" w:hAnsi="宋体"/>
                      <w:b/>
                      <w:bCs/>
                      <w:color w:val="auto"/>
                      <w:szCs w:val="21"/>
                      <w:highlight w:val="none"/>
                      <w:lang w:val="en-US" w:eastAsia="zh-CN"/>
                    </w:rPr>
                    <w:t>座/台/套/组</w:t>
                  </w:r>
                  <w:r>
                    <w:rPr>
                      <w:rFonts w:hint="eastAsia" w:hAnsi="宋体"/>
                      <w:b/>
                      <w:bCs/>
                      <w:color w:val="auto"/>
                      <w:szCs w:val="21"/>
                      <w:highlight w:val="none"/>
                      <w:lang w:eastAsia="zh-CN"/>
                    </w:rPr>
                    <w:t>）</w:t>
                  </w:r>
                </w:p>
              </w:tc>
              <w:tc>
                <w:tcPr>
                  <w:tcW w:w="537" w:type="pct"/>
                  <w:vAlign w:val="center"/>
                </w:tcPr>
                <w:p w14:paraId="14961D3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b/>
                      <w:bCs/>
                      <w:color w:val="auto"/>
                      <w:szCs w:val="21"/>
                      <w:highlight w:val="none"/>
                    </w:rPr>
                  </w:pPr>
                  <w:r>
                    <w:rPr>
                      <w:rFonts w:hAnsi="宋体"/>
                      <w:b/>
                      <w:bCs/>
                      <w:color w:val="auto"/>
                      <w:szCs w:val="21"/>
                      <w:highlight w:val="none"/>
                    </w:rPr>
                    <w:t>数量</w:t>
                  </w:r>
                  <w:r>
                    <w:rPr>
                      <w:rFonts w:hint="eastAsia" w:hAnsi="宋体"/>
                      <w:b/>
                      <w:bCs/>
                      <w:color w:val="auto"/>
                      <w:szCs w:val="21"/>
                      <w:highlight w:val="none"/>
                      <w:lang w:eastAsia="zh-CN"/>
                    </w:rPr>
                    <w:t>（</w:t>
                  </w:r>
                  <w:r>
                    <w:rPr>
                      <w:rFonts w:hint="eastAsia" w:hAnsi="宋体"/>
                      <w:b/>
                      <w:bCs/>
                      <w:color w:val="auto"/>
                      <w:szCs w:val="21"/>
                      <w:highlight w:val="none"/>
                      <w:lang w:val="en-US" w:eastAsia="zh-CN"/>
                    </w:rPr>
                    <w:t>座/台/套/组</w:t>
                  </w:r>
                  <w:r>
                    <w:rPr>
                      <w:rFonts w:hint="eastAsia" w:hAnsi="宋体"/>
                      <w:b/>
                      <w:bCs/>
                      <w:color w:val="auto"/>
                      <w:szCs w:val="21"/>
                      <w:highlight w:val="none"/>
                      <w:lang w:eastAsia="zh-CN"/>
                    </w:rPr>
                    <w:t>）</w:t>
                  </w:r>
                </w:p>
              </w:tc>
              <w:tc>
                <w:tcPr>
                  <w:tcW w:w="658" w:type="pct"/>
                  <w:vMerge w:val="continue"/>
                  <w:vAlign w:val="center"/>
                </w:tcPr>
                <w:p w14:paraId="71069E8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
                      <w:bCs/>
                      <w:color w:val="auto"/>
                      <w:szCs w:val="21"/>
                      <w:highlight w:val="none"/>
                    </w:rPr>
                  </w:pPr>
                </w:p>
              </w:tc>
            </w:tr>
            <w:tr w14:paraId="7BBA9A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237375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Cs/>
                      <w:color w:val="auto"/>
                      <w:szCs w:val="21"/>
                      <w:highlight w:val="none"/>
                    </w:rPr>
                  </w:pPr>
                  <w:r>
                    <w:rPr>
                      <w:rFonts w:hint="eastAsia" w:hAnsi="宋体"/>
                      <w:bCs/>
                      <w:color w:val="auto"/>
                      <w:szCs w:val="21"/>
                      <w:highlight w:val="none"/>
                    </w:rPr>
                    <w:t>1</w:t>
                  </w:r>
                </w:p>
              </w:tc>
              <w:tc>
                <w:tcPr>
                  <w:tcW w:w="492" w:type="pct"/>
                  <w:vAlign w:val="center"/>
                </w:tcPr>
                <w:p w14:paraId="008AFB6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低温</w:t>
                  </w:r>
                  <w:r>
                    <w:rPr>
                      <w:rFonts w:hint="eastAsia"/>
                      <w:color w:val="auto"/>
                      <w:szCs w:val="21"/>
                      <w:highlight w:val="none"/>
                      <w:lang w:val="en-US" w:eastAsia="zh-CN"/>
                    </w:rPr>
                    <w:t>乙烯</w:t>
                  </w:r>
                  <w:r>
                    <w:rPr>
                      <w:color w:val="auto"/>
                      <w:szCs w:val="21"/>
                      <w:highlight w:val="none"/>
                    </w:rPr>
                    <w:t>储罐</w:t>
                  </w:r>
                </w:p>
              </w:tc>
              <w:tc>
                <w:tcPr>
                  <w:tcW w:w="473" w:type="pct"/>
                  <w:vAlign w:val="center"/>
                </w:tcPr>
                <w:p w14:paraId="2F01132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储罐区</w:t>
                  </w:r>
                </w:p>
              </w:tc>
              <w:tc>
                <w:tcPr>
                  <w:tcW w:w="676" w:type="pct"/>
                  <w:vAlign w:val="center"/>
                </w:tcPr>
                <w:p w14:paraId="6D64DC8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30m</w:t>
                  </w:r>
                  <w:r>
                    <w:rPr>
                      <w:rFonts w:hint="eastAsia"/>
                      <w:color w:val="auto"/>
                      <w:szCs w:val="21"/>
                      <w:highlight w:val="none"/>
                      <w:vertAlign w:val="superscript"/>
                    </w:rPr>
                    <w:t>3</w:t>
                  </w:r>
                  <w:r>
                    <w:rPr>
                      <w:rFonts w:hint="eastAsia"/>
                      <w:color w:val="auto"/>
                      <w:szCs w:val="21"/>
                      <w:highlight w:val="none"/>
                    </w:rPr>
                    <w:t>，304/Q245R</w:t>
                  </w:r>
                </w:p>
              </w:tc>
              <w:tc>
                <w:tcPr>
                  <w:tcW w:w="701" w:type="pct"/>
                  <w:shd w:val="clear" w:color="auto" w:fill="auto"/>
                  <w:vAlign w:val="center"/>
                </w:tcPr>
                <w:p w14:paraId="1AE278E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rPr>
                  </w:pPr>
                  <w:r>
                    <w:rPr>
                      <w:rFonts w:hint="eastAsia" w:hAnsi="宋体"/>
                      <w:bCs/>
                      <w:color w:val="auto"/>
                      <w:szCs w:val="21"/>
                      <w:highlight w:val="none"/>
                      <w:lang w:val="en-US" w:eastAsia="zh-CN"/>
                    </w:rPr>
                    <w:t>储存介质为乙烯，</w:t>
                  </w:r>
                  <w:r>
                    <w:rPr>
                      <w:rFonts w:hAnsi="宋体"/>
                      <w:bCs/>
                      <w:color w:val="auto"/>
                      <w:szCs w:val="21"/>
                      <w:highlight w:val="none"/>
                    </w:rPr>
                    <w:t>双层罐，设计</w:t>
                  </w:r>
                  <w:r>
                    <w:rPr>
                      <w:rFonts w:hint="eastAsia" w:hAnsi="宋体"/>
                      <w:bCs/>
                      <w:color w:val="auto"/>
                      <w:szCs w:val="21"/>
                      <w:highlight w:val="none"/>
                      <w:lang w:val="en-US" w:eastAsia="zh-CN"/>
                    </w:rPr>
                    <w:t>参数</w:t>
                  </w:r>
                  <w:r>
                    <w:rPr>
                      <w:rFonts w:hAnsi="宋体"/>
                      <w:bCs/>
                      <w:color w:val="auto"/>
                      <w:szCs w:val="21"/>
                      <w:highlight w:val="none"/>
                    </w:rPr>
                    <w:t>：</w:t>
                  </w:r>
                  <w:r>
                    <w:rPr>
                      <w:rFonts w:hint="eastAsia" w:hAnsi="宋体"/>
                      <w:bCs/>
                      <w:color w:val="auto"/>
                      <w:szCs w:val="21"/>
                      <w:highlight w:val="none"/>
                      <w:lang w:val="en-US" w:eastAsia="zh-CN"/>
                    </w:rPr>
                    <w:t>-196</w:t>
                  </w:r>
                  <w:r>
                    <w:rPr>
                      <w:rFonts w:hint="default" w:ascii="Times New Roman" w:hAnsi="Times New Roman" w:cs="Times New Roman"/>
                      <w:bCs/>
                      <w:color w:val="auto"/>
                      <w:szCs w:val="21"/>
                      <w:highlight w:val="none"/>
                      <w:lang w:val="en-US" w:eastAsia="zh-CN"/>
                    </w:rPr>
                    <w:t>℃</w:t>
                  </w:r>
                  <w:r>
                    <w:rPr>
                      <w:rFonts w:hint="eastAsia" w:hAnsi="宋体"/>
                      <w:bCs/>
                      <w:color w:val="auto"/>
                      <w:szCs w:val="21"/>
                      <w:highlight w:val="none"/>
                      <w:lang w:val="en-US" w:eastAsia="zh-CN"/>
                    </w:rPr>
                    <w:t>、</w:t>
                  </w:r>
                  <w:r>
                    <w:rPr>
                      <w:rFonts w:hint="eastAsia" w:hAnsi="宋体"/>
                      <w:bCs/>
                      <w:color w:val="auto"/>
                      <w:szCs w:val="21"/>
                      <w:highlight w:val="none"/>
                    </w:rPr>
                    <w:t>0.8MPa，工作</w:t>
                  </w:r>
                  <w:r>
                    <w:rPr>
                      <w:rFonts w:hint="eastAsia" w:hAnsi="宋体"/>
                      <w:bCs/>
                      <w:color w:val="auto"/>
                      <w:szCs w:val="21"/>
                      <w:highlight w:val="none"/>
                      <w:lang w:val="en-US" w:eastAsia="zh-CN"/>
                    </w:rPr>
                    <w:t>参数</w:t>
                  </w:r>
                  <w:r>
                    <w:rPr>
                      <w:rFonts w:hint="eastAsia" w:hAnsi="宋体"/>
                      <w:bCs/>
                      <w:color w:val="auto"/>
                      <w:szCs w:val="21"/>
                      <w:highlight w:val="none"/>
                    </w:rPr>
                    <w:t>：</w:t>
                  </w:r>
                  <w:r>
                    <w:rPr>
                      <w:rFonts w:hint="default" w:ascii="Times New Roman" w:hAnsi="Times New Roman" w:cs="Times New Roman"/>
                      <w:bCs/>
                      <w:color w:val="auto"/>
                      <w:szCs w:val="21"/>
                      <w:highlight w:val="none"/>
                      <w:lang w:val="en-US" w:eastAsia="zh-CN"/>
                    </w:rPr>
                    <w:t>-160℃</w:t>
                  </w:r>
                  <w:r>
                    <w:rPr>
                      <w:rFonts w:hint="eastAsia" w:cs="Times New Roman"/>
                      <w:bCs/>
                      <w:color w:val="auto"/>
                      <w:szCs w:val="21"/>
                      <w:highlight w:val="none"/>
                      <w:lang w:val="en-US" w:eastAsia="zh-CN"/>
                    </w:rPr>
                    <w:t>、</w:t>
                  </w:r>
                  <w:r>
                    <w:rPr>
                      <w:rFonts w:hint="eastAsia" w:hAnsi="宋体"/>
                      <w:bCs/>
                      <w:color w:val="auto"/>
                      <w:szCs w:val="21"/>
                      <w:highlight w:val="none"/>
                    </w:rPr>
                    <w:t>0.2~0.6MPa</w:t>
                  </w:r>
                </w:p>
              </w:tc>
              <w:tc>
                <w:tcPr>
                  <w:tcW w:w="585" w:type="pct"/>
                  <w:shd w:val="clear" w:color="auto" w:fill="auto"/>
                  <w:vAlign w:val="center"/>
                </w:tcPr>
                <w:p w14:paraId="5955FB0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537" w:type="pct"/>
                  <w:vAlign w:val="center"/>
                </w:tcPr>
                <w:p w14:paraId="59BB31A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6235C65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4760F2F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改建后停用1台</w:t>
                  </w:r>
                </w:p>
              </w:tc>
            </w:tr>
            <w:tr w14:paraId="549E57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312F442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2</w:t>
                  </w:r>
                </w:p>
              </w:tc>
              <w:tc>
                <w:tcPr>
                  <w:tcW w:w="492" w:type="pct"/>
                  <w:vAlign w:val="center"/>
                </w:tcPr>
                <w:p w14:paraId="1A96484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丙烷压力储罐</w:t>
                  </w:r>
                </w:p>
              </w:tc>
              <w:tc>
                <w:tcPr>
                  <w:tcW w:w="473" w:type="pct"/>
                  <w:shd w:val="clear" w:color="auto" w:fill="auto"/>
                  <w:vAlign w:val="center"/>
                </w:tcPr>
                <w:p w14:paraId="5217229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rPr>
                  </w:pPr>
                  <w:r>
                    <w:rPr>
                      <w:rFonts w:hint="eastAsia"/>
                      <w:color w:val="auto"/>
                      <w:szCs w:val="21"/>
                      <w:highlight w:val="none"/>
                      <w:lang w:val="en-US" w:eastAsia="zh-CN"/>
                    </w:rPr>
                    <w:t>储罐区</w:t>
                  </w:r>
                </w:p>
              </w:tc>
              <w:tc>
                <w:tcPr>
                  <w:tcW w:w="676" w:type="pct"/>
                  <w:vAlign w:val="center"/>
                </w:tcPr>
                <w:p w14:paraId="3C66F36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c>
                <w:tcPr>
                  <w:tcW w:w="701" w:type="pct"/>
                  <w:shd w:val="clear" w:color="auto" w:fill="auto"/>
                  <w:vAlign w:val="center"/>
                </w:tcPr>
                <w:p w14:paraId="47E353A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color w:val="auto"/>
                      <w:kern w:val="0"/>
                      <w:szCs w:val="21"/>
                      <w:highlight w:val="none"/>
                    </w:rPr>
                  </w:pPr>
                  <w:r>
                    <w:rPr>
                      <w:rFonts w:hint="eastAsia" w:hAnsi="宋体"/>
                      <w:bCs/>
                      <w:color w:val="auto"/>
                      <w:szCs w:val="21"/>
                      <w:highlight w:val="none"/>
                      <w:lang w:val="en-US" w:eastAsia="zh-CN"/>
                    </w:rPr>
                    <w:t>储存介质为丙烷，单</w:t>
                  </w:r>
                  <w:r>
                    <w:rPr>
                      <w:rFonts w:hAnsi="宋体"/>
                      <w:bCs/>
                      <w:color w:val="auto"/>
                      <w:szCs w:val="21"/>
                      <w:highlight w:val="none"/>
                    </w:rPr>
                    <w:t>层罐，设计</w:t>
                  </w:r>
                  <w:r>
                    <w:rPr>
                      <w:rFonts w:hint="eastAsia" w:hAnsi="宋体"/>
                      <w:bCs/>
                      <w:color w:val="auto"/>
                      <w:szCs w:val="21"/>
                      <w:highlight w:val="none"/>
                      <w:lang w:val="en-US" w:eastAsia="zh-CN"/>
                    </w:rPr>
                    <w:t>参数</w:t>
                  </w:r>
                  <w:r>
                    <w:rPr>
                      <w:rFonts w:hAnsi="宋体"/>
                      <w:bCs/>
                      <w:color w:val="auto"/>
                      <w:szCs w:val="21"/>
                      <w:highlight w:val="none"/>
                    </w:rPr>
                    <w:t>：</w:t>
                  </w:r>
                  <w:r>
                    <w:rPr>
                      <w:rFonts w:hint="eastAsia" w:hAnsi="宋体"/>
                      <w:bCs/>
                      <w:color w:val="auto"/>
                      <w:szCs w:val="21"/>
                      <w:highlight w:val="none"/>
                      <w:lang w:val="en-US" w:eastAsia="zh-CN"/>
                    </w:rPr>
                    <w:t>-20~50</w:t>
                  </w:r>
                  <w:r>
                    <w:rPr>
                      <w:rFonts w:hint="default" w:ascii="Times New Roman" w:hAnsi="Times New Roman" w:cs="Times New Roman"/>
                      <w:bCs/>
                      <w:color w:val="auto"/>
                      <w:szCs w:val="21"/>
                      <w:highlight w:val="none"/>
                      <w:lang w:val="en-US" w:eastAsia="zh-CN"/>
                    </w:rPr>
                    <w:t>℃</w:t>
                  </w:r>
                  <w:r>
                    <w:rPr>
                      <w:rFonts w:hint="eastAsia" w:hAnsi="宋体"/>
                      <w:bCs/>
                      <w:color w:val="auto"/>
                      <w:szCs w:val="21"/>
                      <w:highlight w:val="none"/>
                      <w:lang w:val="en-US" w:eastAsia="zh-CN"/>
                    </w:rPr>
                    <w:t>、1.77</w:t>
                  </w:r>
                  <w:r>
                    <w:rPr>
                      <w:rFonts w:hint="eastAsia" w:hAnsi="宋体"/>
                      <w:bCs/>
                      <w:color w:val="auto"/>
                      <w:szCs w:val="21"/>
                      <w:highlight w:val="none"/>
                    </w:rPr>
                    <w:t>MPa，工作</w:t>
                  </w:r>
                  <w:r>
                    <w:rPr>
                      <w:rFonts w:hint="eastAsia" w:hAnsi="宋体"/>
                      <w:bCs/>
                      <w:color w:val="auto"/>
                      <w:szCs w:val="21"/>
                      <w:highlight w:val="none"/>
                      <w:lang w:val="en-US" w:eastAsia="zh-CN"/>
                    </w:rPr>
                    <w:t>参数</w:t>
                  </w:r>
                  <w:r>
                    <w:rPr>
                      <w:rFonts w:hint="eastAsia" w:hAnsi="宋体"/>
                      <w:bCs/>
                      <w:color w:val="auto"/>
                      <w:szCs w:val="21"/>
                      <w:highlight w:val="none"/>
                    </w:rPr>
                    <w:t>：</w:t>
                  </w:r>
                  <w:r>
                    <w:rPr>
                      <w:rFonts w:hint="eastAsia" w:hAnsi="宋体"/>
                      <w:bCs/>
                      <w:color w:val="auto"/>
                      <w:szCs w:val="21"/>
                      <w:highlight w:val="none"/>
                      <w:lang w:val="en-US" w:eastAsia="zh-CN"/>
                    </w:rPr>
                    <w:t>-19~5</w:t>
                  </w:r>
                  <w:r>
                    <w:rPr>
                      <w:rFonts w:hint="default" w:ascii="Times New Roman" w:hAnsi="Times New Roman" w:cs="Times New Roman"/>
                      <w:bCs/>
                      <w:color w:val="auto"/>
                      <w:szCs w:val="21"/>
                      <w:highlight w:val="none"/>
                      <w:lang w:val="en-US" w:eastAsia="zh-CN"/>
                    </w:rPr>
                    <w:t>0℃</w:t>
                  </w:r>
                  <w:r>
                    <w:rPr>
                      <w:rFonts w:hint="eastAsia" w:hAnsi="宋体"/>
                      <w:bCs/>
                      <w:color w:val="auto"/>
                      <w:szCs w:val="21"/>
                      <w:highlight w:val="none"/>
                      <w:lang w:val="en-US" w:eastAsia="zh-CN"/>
                    </w:rPr>
                    <w:t>、1.61</w:t>
                  </w:r>
                  <w:r>
                    <w:rPr>
                      <w:rFonts w:hint="eastAsia" w:hAnsi="宋体"/>
                      <w:bCs/>
                      <w:color w:val="auto"/>
                      <w:szCs w:val="21"/>
                      <w:highlight w:val="none"/>
                    </w:rPr>
                    <w:t>MPa</w:t>
                  </w:r>
                </w:p>
              </w:tc>
              <w:tc>
                <w:tcPr>
                  <w:tcW w:w="585" w:type="pct"/>
                  <w:shd w:val="clear" w:color="auto" w:fill="auto"/>
                  <w:vAlign w:val="center"/>
                </w:tcPr>
                <w:p w14:paraId="5BCCA5E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079E401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23E4B07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1D9CFE1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05C6A3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502806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3</w:t>
                  </w:r>
                </w:p>
              </w:tc>
              <w:tc>
                <w:tcPr>
                  <w:tcW w:w="492" w:type="pct"/>
                  <w:vAlign w:val="center"/>
                </w:tcPr>
                <w:p w14:paraId="139FE4C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丁烷压力储罐</w:t>
                  </w:r>
                </w:p>
              </w:tc>
              <w:tc>
                <w:tcPr>
                  <w:tcW w:w="473" w:type="pct"/>
                  <w:shd w:val="clear" w:color="auto" w:fill="auto"/>
                  <w:vAlign w:val="center"/>
                </w:tcPr>
                <w:p w14:paraId="51F20D6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rPr>
                  </w:pPr>
                  <w:r>
                    <w:rPr>
                      <w:rFonts w:hint="eastAsia"/>
                      <w:color w:val="auto"/>
                      <w:szCs w:val="21"/>
                      <w:highlight w:val="none"/>
                      <w:lang w:val="en-US" w:eastAsia="zh-CN"/>
                    </w:rPr>
                    <w:t>储罐区</w:t>
                  </w:r>
                </w:p>
              </w:tc>
              <w:tc>
                <w:tcPr>
                  <w:tcW w:w="676" w:type="pct"/>
                  <w:vAlign w:val="center"/>
                </w:tcPr>
                <w:p w14:paraId="5568F70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c>
                <w:tcPr>
                  <w:tcW w:w="701" w:type="pct"/>
                  <w:shd w:val="clear" w:color="auto" w:fill="auto"/>
                  <w:vAlign w:val="center"/>
                </w:tcPr>
                <w:p w14:paraId="0462344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color w:val="auto"/>
                      <w:kern w:val="0"/>
                      <w:szCs w:val="21"/>
                      <w:highlight w:val="none"/>
                    </w:rPr>
                  </w:pPr>
                  <w:r>
                    <w:rPr>
                      <w:rFonts w:hint="eastAsia" w:hAnsi="宋体"/>
                      <w:bCs/>
                      <w:color w:val="auto"/>
                      <w:szCs w:val="21"/>
                      <w:highlight w:val="none"/>
                      <w:lang w:val="en-US" w:eastAsia="zh-CN"/>
                    </w:rPr>
                    <w:t>储存介质为丁烷，单</w:t>
                  </w:r>
                  <w:r>
                    <w:rPr>
                      <w:rFonts w:hAnsi="宋体"/>
                      <w:bCs/>
                      <w:color w:val="auto"/>
                      <w:szCs w:val="21"/>
                      <w:highlight w:val="none"/>
                    </w:rPr>
                    <w:t>层罐，设计</w:t>
                  </w:r>
                  <w:r>
                    <w:rPr>
                      <w:rFonts w:hint="eastAsia" w:hAnsi="宋体"/>
                      <w:bCs/>
                      <w:color w:val="auto"/>
                      <w:szCs w:val="21"/>
                      <w:highlight w:val="none"/>
                      <w:lang w:val="en-US" w:eastAsia="zh-CN"/>
                    </w:rPr>
                    <w:t>参数</w:t>
                  </w:r>
                  <w:r>
                    <w:rPr>
                      <w:rFonts w:hAnsi="宋体"/>
                      <w:bCs/>
                      <w:color w:val="auto"/>
                      <w:szCs w:val="21"/>
                      <w:highlight w:val="none"/>
                    </w:rPr>
                    <w:t>：</w:t>
                  </w:r>
                  <w:r>
                    <w:rPr>
                      <w:rFonts w:hint="default" w:ascii="Times New Roman" w:hAnsi="Times New Roman" w:cs="Times New Roman"/>
                      <w:bCs/>
                      <w:color w:val="auto"/>
                      <w:szCs w:val="21"/>
                      <w:highlight w:val="none"/>
                      <w:lang w:val="en-US" w:eastAsia="zh-CN"/>
                    </w:rPr>
                    <w:t>-20~50℃、0.9</w:t>
                  </w:r>
                  <w:r>
                    <w:rPr>
                      <w:rFonts w:hint="default" w:ascii="Times New Roman" w:hAnsi="Times New Roman" w:cs="Times New Roman"/>
                      <w:bCs/>
                      <w:color w:val="auto"/>
                      <w:szCs w:val="21"/>
                      <w:highlight w:val="none"/>
                    </w:rPr>
                    <w:t>MPa，工作</w:t>
                  </w:r>
                  <w:r>
                    <w:rPr>
                      <w:rFonts w:hint="default" w:ascii="Times New Roman" w:hAnsi="Times New Roman" w:cs="Times New Roman"/>
                      <w:bCs/>
                      <w:color w:val="auto"/>
                      <w:szCs w:val="21"/>
                      <w:highlight w:val="none"/>
                      <w:lang w:val="en-US" w:eastAsia="zh-CN"/>
                    </w:rPr>
                    <w:t>参数</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-19~50℃、0.78</w:t>
                  </w:r>
                  <w:r>
                    <w:rPr>
                      <w:rFonts w:hint="default" w:ascii="Times New Roman" w:hAnsi="Times New Roman" w:cs="Times New Roman"/>
                      <w:bCs/>
                      <w:color w:val="auto"/>
                      <w:szCs w:val="21"/>
                      <w:highlight w:val="none"/>
                    </w:rPr>
                    <w:t>MPa</w:t>
                  </w:r>
                </w:p>
              </w:tc>
              <w:tc>
                <w:tcPr>
                  <w:tcW w:w="585" w:type="pct"/>
                  <w:shd w:val="clear" w:color="auto" w:fill="auto"/>
                  <w:vAlign w:val="center"/>
                </w:tcPr>
                <w:p w14:paraId="20A15C4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2BF3445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1B614A2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62ED4C3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0441EF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63200EE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4</w:t>
                  </w:r>
                </w:p>
              </w:tc>
              <w:tc>
                <w:tcPr>
                  <w:tcW w:w="492" w:type="pct"/>
                  <w:vAlign w:val="center"/>
                </w:tcPr>
                <w:p w14:paraId="4990970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事故罐</w:t>
                  </w:r>
                </w:p>
              </w:tc>
              <w:tc>
                <w:tcPr>
                  <w:tcW w:w="473" w:type="pct"/>
                  <w:shd w:val="clear" w:color="auto" w:fill="auto"/>
                  <w:vAlign w:val="center"/>
                </w:tcPr>
                <w:p w14:paraId="6FF6EAD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储罐区</w:t>
                  </w:r>
                </w:p>
              </w:tc>
              <w:tc>
                <w:tcPr>
                  <w:tcW w:w="676" w:type="pct"/>
                  <w:vAlign w:val="center"/>
                </w:tcPr>
                <w:p w14:paraId="52F2160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c>
                <w:tcPr>
                  <w:tcW w:w="701" w:type="pct"/>
                  <w:shd w:val="clear" w:color="auto" w:fill="auto"/>
                  <w:vAlign w:val="center"/>
                </w:tcPr>
                <w:p w14:paraId="1B8D611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color w:val="auto"/>
                      <w:kern w:val="0"/>
                      <w:szCs w:val="21"/>
                      <w:highlight w:val="none"/>
                    </w:rPr>
                  </w:pPr>
                  <w:r>
                    <w:rPr>
                      <w:rFonts w:hint="eastAsia" w:hAnsi="宋体"/>
                      <w:bCs/>
                      <w:color w:val="auto"/>
                      <w:szCs w:val="21"/>
                      <w:highlight w:val="none"/>
                      <w:lang w:val="en-US" w:eastAsia="zh-CN"/>
                    </w:rPr>
                    <w:t>倒罐介质为丙烷/丁烷，</w:t>
                  </w:r>
                  <w:r>
                    <w:rPr>
                      <w:rFonts w:hint="eastAsia" w:cs="Times New Roman"/>
                      <w:bCs/>
                      <w:color w:val="auto"/>
                      <w:szCs w:val="21"/>
                      <w:highlight w:val="none"/>
                      <w:lang w:val="en-US" w:eastAsia="zh-CN"/>
                    </w:rPr>
                    <w:t>单</w:t>
                  </w:r>
                  <w:r>
                    <w:rPr>
                      <w:rFonts w:hint="default" w:ascii="Times New Roman" w:hAnsi="Times New Roman" w:cs="Times New Roman"/>
                      <w:bCs/>
                      <w:color w:val="auto"/>
                      <w:szCs w:val="21"/>
                      <w:highlight w:val="none"/>
                    </w:rPr>
                    <w:t>层罐，设计</w:t>
                  </w:r>
                  <w:r>
                    <w:rPr>
                      <w:rFonts w:hint="default" w:ascii="Times New Roman" w:hAnsi="Times New Roman" w:cs="Times New Roman"/>
                      <w:bCs/>
                      <w:color w:val="auto"/>
                      <w:szCs w:val="21"/>
                      <w:highlight w:val="none"/>
                      <w:lang w:val="en-US" w:eastAsia="zh-CN"/>
                    </w:rPr>
                    <w:t>参数</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-20~50℃、1.77</w:t>
                  </w:r>
                  <w:r>
                    <w:rPr>
                      <w:rFonts w:hint="default" w:ascii="Times New Roman" w:hAnsi="Times New Roman" w:cs="Times New Roman"/>
                      <w:bCs/>
                      <w:color w:val="auto"/>
                      <w:szCs w:val="21"/>
                      <w:highlight w:val="none"/>
                    </w:rPr>
                    <w:t>MPa，工作</w:t>
                  </w:r>
                  <w:r>
                    <w:rPr>
                      <w:rFonts w:hint="default" w:ascii="Times New Roman" w:hAnsi="Times New Roman" w:cs="Times New Roman"/>
                      <w:bCs/>
                      <w:color w:val="auto"/>
                      <w:szCs w:val="21"/>
                      <w:highlight w:val="none"/>
                      <w:lang w:val="en-US" w:eastAsia="zh-CN"/>
                    </w:rPr>
                    <w:t>参数</w:t>
                  </w:r>
                  <w:r>
                    <w:rPr>
                      <w:rFonts w:hint="default" w:ascii="Times New Roman" w:hAnsi="Times New Roman" w:cs="Times New Roman"/>
                      <w:bCs/>
                      <w:color w:val="auto"/>
                      <w:szCs w:val="21"/>
                      <w:highlight w:val="none"/>
                    </w:rPr>
                    <w:t>：</w:t>
                  </w:r>
                  <w:r>
                    <w:rPr>
                      <w:rFonts w:hint="default" w:ascii="Times New Roman" w:hAnsi="Times New Roman" w:cs="Times New Roman"/>
                      <w:bCs/>
                      <w:color w:val="auto"/>
                      <w:szCs w:val="21"/>
                      <w:highlight w:val="none"/>
                      <w:lang w:val="en-US" w:eastAsia="zh-CN"/>
                    </w:rPr>
                    <w:t>-19~50℃、1.61</w:t>
                  </w:r>
                  <w:r>
                    <w:rPr>
                      <w:rFonts w:hint="default" w:ascii="Times New Roman" w:hAnsi="Times New Roman" w:cs="Times New Roman"/>
                      <w:bCs/>
                      <w:color w:val="auto"/>
                      <w:szCs w:val="21"/>
                      <w:highlight w:val="none"/>
                    </w:rPr>
                    <w:t>MPa</w:t>
                  </w:r>
                </w:p>
              </w:tc>
              <w:tc>
                <w:tcPr>
                  <w:tcW w:w="585" w:type="pct"/>
                  <w:shd w:val="clear" w:color="auto" w:fill="auto"/>
                  <w:vAlign w:val="center"/>
                </w:tcPr>
                <w:p w14:paraId="4856A35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4D69527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40DB61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673D45F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新增，丙烷/丁烷事故倒罐使用，正常状态下空置</w:t>
                  </w:r>
                </w:p>
              </w:tc>
            </w:tr>
            <w:tr w14:paraId="0B4B22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55F122E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eastAsia="zh-CN"/>
                    </w:rPr>
                  </w:pPr>
                  <w:r>
                    <w:rPr>
                      <w:rFonts w:hint="eastAsia" w:hAnsi="宋体"/>
                      <w:bCs/>
                      <w:color w:val="auto"/>
                      <w:szCs w:val="21"/>
                      <w:highlight w:val="none"/>
                      <w:lang w:val="en-US" w:eastAsia="zh-CN"/>
                    </w:rPr>
                    <w:t>5</w:t>
                  </w:r>
                </w:p>
              </w:tc>
              <w:tc>
                <w:tcPr>
                  <w:tcW w:w="492" w:type="pct"/>
                  <w:vAlign w:val="center"/>
                </w:tcPr>
                <w:p w14:paraId="43DAC08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低温乙烯卸车鹤管</w:t>
                  </w:r>
                </w:p>
              </w:tc>
              <w:tc>
                <w:tcPr>
                  <w:tcW w:w="473" w:type="pct"/>
                  <w:shd w:val="clear" w:color="auto" w:fill="auto"/>
                  <w:vAlign w:val="center"/>
                </w:tcPr>
                <w:p w14:paraId="00B491B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宋体" w:eastAsia="宋体" w:cs="Times New Roman"/>
                      <w:bCs/>
                      <w:color w:val="auto"/>
                      <w:kern w:val="2"/>
                      <w:sz w:val="21"/>
                      <w:szCs w:val="21"/>
                      <w:highlight w:val="none"/>
                      <w:lang w:val="en-US" w:eastAsia="zh-CN" w:bidi="ar-SA"/>
                    </w:rPr>
                  </w:pPr>
                  <w:r>
                    <w:rPr>
                      <w:rFonts w:hint="eastAsia" w:hAnsi="宋体"/>
                      <w:bCs/>
                      <w:color w:val="auto"/>
                      <w:szCs w:val="21"/>
                      <w:highlight w:val="none"/>
                    </w:rPr>
                    <w:t>/</w:t>
                  </w:r>
                </w:p>
              </w:tc>
              <w:tc>
                <w:tcPr>
                  <w:tcW w:w="676" w:type="pct"/>
                  <w:vAlign w:val="center"/>
                </w:tcPr>
                <w:p w14:paraId="70C9C8F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液相管道接口：DN50；气相管道接口：DN50</w:t>
                  </w:r>
                </w:p>
              </w:tc>
              <w:tc>
                <w:tcPr>
                  <w:tcW w:w="701" w:type="pct"/>
                  <w:shd w:val="clear" w:color="auto" w:fill="auto"/>
                  <w:vAlign w:val="center"/>
                </w:tcPr>
                <w:p w14:paraId="0870862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ascii="Times New Roman" w:hAnsi="Times New Roman"/>
                      <w:color w:val="auto"/>
                      <w:kern w:val="0"/>
                      <w:szCs w:val="21"/>
                      <w:highlight w:val="none"/>
                    </w:rPr>
                    <w:t>工作温度：-</w:t>
                  </w:r>
                  <w:r>
                    <w:rPr>
                      <w:rFonts w:ascii="Times New Roman" w:hAnsi="Times New Roman"/>
                      <w:color w:val="auto"/>
                      <w:kern w:val="0"/>
                      <w:szCs w:val="21"/>
                      <w:highlight w:val="none"/>
                    </w:rPr>
                    <w:t>104℃，工作压力：</w:t>
                  </w:r>
                  <w:r>
                    <w:rPr>
                      <w:rFonts w:hint="eastAsia" w:ascii="Times New Roman" w:hAnsi="Times New Roman"/>
                      <w:color w:val="auto"/>
                      <w:kern w:val="0"/>
                      <w:szCs w:val="21"/>
                      <w:highlight w:val="none"/>
                    </w:rPr>
                    <w:t>2.5MPa</w:t>
                  </w:r>
                </w:p>
              </w:tc>
              <w:tc>
                <w:tcPr>
                  <w:tcW w:w="585" w:type="pct"/>
                  <w:shd w:val="clear" w:color="auto" w:fill="auto"/>
                  <w:vAlign w:val="center"/>
                </w:tcPr>
                <w:p w14:paraId="633A29A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537" w:type="pct"/>
                  <w:vAlign w:val="center"/>
                </w:tcPr>
                <w:p w14:paraId="0928C80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72C8365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065D378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Cs/>
                      <w:color w:val="auto"/>
                      <w:szCs w:val="21"/>
                      <w:highlight w:val="none"/>
                    </w:rPr>
                  </w:pPr>
                  <w:r>
                    <w:rPr>
                      <w:rFonts w:hint="eastAsia" w:hAnsi="宋体"/>
                      <w:bCs/>
                      <w:color w:val="auto"/>
                      <w:szCs w:val="21"/>
                      <w:highlight w:val="none"/>
                      <w:lang w:val="en-US" w:eastAsia="zh-CN"/>
                    </w:rPr>
                    <w:t>现有1组低温乙烯卸车鹤管（2套），改建后保留1套，拆除1套</w:t>
                  </w:r>
                </w:p>
              </w:tc>
            </w:tr>
            <w:tr w14:paraId="2CB6FE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7EBE029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6</w:t>
                  </w:r>
                </w:p>
              </w:tc>
              <w:tc>
                <w:tcPr>
                  <w:tcW w:w="492" w:type="pct"/>
                  <w:vAlign w:val="center"/>
                </w:tcPr>
                <w:p w14:paraId="75AB2A8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丙烷卸车鹤管</w:t>
                  </w:r>
                </w:p>
              </w:tc>
              <w:tc>
                <w:tcPr>
                  <w:tcW w:w="473" w:type="pct"/>
                  <w:shd w:val="clear" w:color="auto" w:fill="auto"/>
                  <w:vAlign w:val="center"/>
                </w:tcPr>
                <w:p w14:paraId="2BE1FB2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5E19F4D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rPr>
                    <w:t>液相管道接口：DN50；气相管道接口：DN</w:t>
                  </w:r>
                  <w:r>
                    <w:rPr>
                      <w:rFonts w:hint="eastAsia"/>
                      <w:color w:val="auto"/>
                      <w:szCs w:val="21"/>
                      <w:highlight w:val="none"/>
                      <w:lang w:val="en-US" w:eastAsia="zh-CN"/>
                    </w:rPr>
                    <w:t>25</w:t>
                  </w:r>
                </w:p>
              </w:tc>
              <w:tc>
                <w:tcPr>
                  <w:tcW w:w="701" w:type="pct"/>
                  <w:shd w:val="clear" w:color="auto" w:fill="auto"/>
                  <w:vAlign w:val="center"/>
                </w:tcPr>
                <w:p w14:paraId="44EA399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794A1AD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0ADFAFF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4B757E3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22A3368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306537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1855291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7</w:t>
                  </w:r>
                </w:p>
              </w:tc>
              <w:tc>
                <w:tcPr>
                  <w:tcW w:w="492" w:type="pct"/>
                  <w:vAlign w:val="center"/>
                </w:tcPr>
                <w:p w14:paraId="3AA1C4A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丙烷压缩机</w:t>
                  </w:r>
                </w:p>
              </w:tc>
              <w:tc>
                <w:tcPr>
                  <w:tcW w:w="473" w:type="pct"/>
                  <w:shd w:val="clear" w:color="auto" w:fill="auto"/>
                  <w:vAlign w:val="center"/>
                </w:tcPr>
                <w:p w14:paraId="3E52A7E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2C7411C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color w:val="auto"/>
                      <w:szCs w:val="21"/>
                      <w:highlight w:val="none"/>
                    </w:rPr>
                    <w:t>液相管道接口：DN</w:t>
                  </w:r>
                  <w:r>
                    <w:rPr>
                      <w:rFonts w:hint="eastAsia"/>
                      <w:color w:val="auto"/>
                      <w:szCs w:val="21"/>
                      <w:highlight w:val="none"/>
                      <w:lang w:val="en-US" w:eastAsia="zh-CN"/>
                    </w:rPr>
                    <w:t>40</w:t>
                  </w:r>
                  <w:r>
                    <w:rPr>
                      <w:rFonts w:hint="eastAsia"/>
                      <w:color w:val="auto"/>
                      <w:szCs w:val="21"/>
                      <w:highlight w:val="none"/>
                    </w:rPr>
                    <w:t>；气相管道接口：DN</w:t>
                  </w:r>
                  <w:r>
                    <w:rPr>
                      <w:rFonts w:hint="eastAsia"/>
                      <w:color w:val="auto"/>
                      <w:szCs w:val="21"/>
                      <w:highlight w:val="none"/>
                      <w:lang w:val="en-US" w:eastAsia="zh-CN"/>
                    </w:rPr>
                    <w:t>4</w:t>
                  </w:r>
                  <w:r>
                    <w:rPr>
                      <w:rFonts w:hint="eastAsia"/>
                      <w:color w:val="auto"/>
                      <w:szCs w:val="21"/>
                      <w:highlight w:val="none"/>
                    </w:rPr>
                    <w:t>0</w:t>
                  </w:r>
                </w:p>
              </w:tc>
              <w:tc>
                <w:tcPr>
                  <w:tcW w:w="701" w:type="pct"/>
                  <w:shd w:val="clear" w:color="auto" w:fill="auto"/>
                  <w:vAlign w:val="center"/>
                </w:tcPr>
                <w:p w14:paraId="4183F19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34760B6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6521BC4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34E90BD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4DB03D3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lang w:val="en-US" w:eastAsia="zh-CN"/>
                    </w:rPr>
                  </w:pPr>
                  <w:r>
                    <w:rPr>
                      <w:rFonts w:hint="eastAsia" w:hAnsi="宋体"/>
                      <w:bCs/>
                      <w:color w:val="auto"/>
                      <w:szCs w:val="21"/>
                      <w:highlight w:val="none"/>
                      <w:lang w:val="en-US" w:eastAsia="zh-CN"/>
                    </w:rPr>
                    <w:t>新增</w:t>
                  </w:r>
                </w:p>
              </w:tc>
            </w:tr>
            <w:tr w14:paraId="0A438F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5D25913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8</w:t>
                  </w:r>
                </w:p>
              </w:tc>
              <w:tc>
                <w:tcPr>
                  <w:tcW w:w="492" w:type="pct"/>
                  <w:vAlign w:val="center"/>
                </w:tcPr>
                <w:p w14:paraId="04C015D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丁烷卸车鹤管</w:t>
                  </w:r>
                </w:p>
              </w:tc>
              <w:tc>
                <w:tcPr>
                  <w:tcW w:w="473" w:type="pct"/>
                  <w:shd w:val="clear" w:color="auto" w:fill="auto"/>
                  <w:vAlign w:val="center"/>
                </w:tcPr>
                <w:p w14:paraId="41851F9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151D024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rPr>
                    <w:t>液相管道接口：DN50；气相管道接口：DN</w:t>
                  </w:r>
                  <w:r>
                    <w:rPr>
                      <w:rFonts w:hint="eastAsia"/>
                      <w:color w:val="auto"/>
                      <w:szCs w:val="21"/>
                      <w:highlight w:val="none"/>
                      <w:lang w:val="en-US" w:eastAsia="zh-CN"/>
                    </w:rPr>
                    <w:t>25</w:t>
                  </w:r>
                </w:p>
              </w:tc>
              <w:tc>
                <w:tcPr>
                  <w:tcW w:w="701" w:type="pct"/>
                  <w:shd w:val="clear" w:color="auto" w:fill="auto"/>
                  <w:vAlign w:val="center"/>
                </w:tcPr>
                <w:p w14:paraId="20F6895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0F611D1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45C016A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502E6A6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7BDCE4B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22E297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3BD1272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9</w:t>
                  </w:r>
                </w:p>
              </w:tc>
              <w:tc>
                <w:tcPr>
                  <w:tcW w:w="492" w:type="pct"/>
                  <w:vAlign w:val="center"/>
                </w:tcPr>
                <w:p w14:paraId="3AB6FEA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丁烷压缩机</w:t>
                  </w:r>
                </w:p>
              </w:tc>
              <w:tc>
                <w:tcPr>
                  <w:tcW w:w="473" w:type="pct"/>
                  <w:shd w:val="clear" w:color="auto" w:fill="auto"/>
                  <w:vAlign w:val="center"/>
                </w:tcPr>
                <w:p w14:paraId="0C0D0F4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eastAsia="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7193F63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rPr>
                    <w:t>液相管道接口：DN</w:t>
                  </w:r>
                  <w:r>
                    <w:rPr>
                      <w:rFonts w:hint="eastAsia"/>
                      <w:color w:val="auto"/>
                      <w:szCs w:val="21"/>
                      <w:highlight w:val="none"/>
                      <w:lang w:val="en-US" w:eastAsia="zh-CN"/>
                    </w:rPr>
                    <w:t>40</w:t>
                  </w:r>
                  <w:r>
                    <w:rPr>
                      <w:rFonts w:hint="eastAsia"/>
                      <w:color w:val="auto"/>
                      <w:szCs w:val="21"/>
                      <w:highlight w:val="none"/>
                    </w:rPr>
                    <w:t>；气相管道接口：DN</w:t>
                  </w:r>
                  <w:r>
                    <w:rPr>
                      <w:rFonts w:hint="eastAsia"/>
                      <w:color w:val="auto"/>
                      <w:szCs w:val="21"/>
                      <w:highlight w:val="none"/>
                      <w:lang w:val="en-US" w:eastAsia="zh-CN"/>
                    </w:rPr>
                    <w:t>40</w:t>
                  </w:r>
                </w:p>
              </w:tc>
              <w:tc>
                <w:tcPr>
                  <w:tcW w:w="701" w:type="pct"/>
                  <w:shd w:val="clear" w:color="auto" w:fill="auto"/>
                  <w:vAlign w:val="center"/>
                </w:tcPr>
                <w:p w14:paraId="1759ECF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679C7C0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6AB7D3B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78E5E78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04DDF9B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lang w:val="en-US" w:eastAsia="zh-CN"/>
                    </w:rPr>
                  </w:pPr>
                  <w:r>
                    <w:rPr>
                      <w:rFonts w:hint="eastAsia" w:hAnsi="宋体"/>
                      <w:bCs/>
                      <w:color w:val="auto"/>
                      <w:szCs w:val="21"/>
                      <w:highlight w:val="none"/>
                      <w:lang w:val="en-US" w:eastAsia="zh-CN"/>
                    </w:rPr>
                    <w:t>新增</w:t>
                  </w:r>
                </w:p>
              </w:tc>
            </w:tr>
            <w:tr w14:paraId="4D7303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6102ED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10</w:t>
                  </w:r>
                </w:p>
              </w:tc>
              <w:tc>
                <w:tcPr>
                  <w:tcW w:w="492" w:type="pct"/>
                  <w:vAlign w:val="center"/>
                </w:tcPr>
                <w:p w14:paraId="15E7E1A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低温液体泵</w:t>
                  </w:r>
                </w:p>
              </w:tc>
              <w:tc>
                <w:tcPr>
                  <w:tcW w:w="473" w:type="pct"/>
                  <w:shd w:val="clear" w:color="auto" w:fill="auto"/>
                  <w:vAlign w:val="center"/>
                </w:tcPr>
                <w:p w14:paraId="6FC70CB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宋体" w:eastAsia="宋体" w:cs="Times New Roman"/>
                      <w:bCs/>
                      <w:color w:val="auto"/>
                      <w:kern w:val="2"/>
                      <w:sz w:val="21"/>
                      <w:szCs w:val="21"/>
                      <w:highlight w:val="none"/>
                      <w:lang w:val="en-US" w:eastAsia="zh-CN" w:bidi="ar-SA"/>
                    </w:rPr>
                  </w:pPr>
                  <w:r>
                    <w:rPr>
                      <w:rFonts w:hint="eastAsia" w:hAnsi="宋体"/>
                      <w:bCs/>
                      <w:color w:val="auto"/>
                      <w:szCs w:val="21"/>
                      <w:highlight w:val="none"/>
                    </w:rPr>
                    <w:t>气化区</w:t>
                  </w:r>
                </w:p>
              </w:tc>
              <w:tc>
                <w:tcPr>
                  <w:tcW w:w="676" w:type="pct"/>
                  <w:vAlign w:val="center"/>
                </w:tcPr>
                <w:p w14:paraId="70351E3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w:t>
                  </w:r>
                </w:p>
              </w:tc>
              <w:tc>
                <w:tcPr>
                  <w:tcW w:w="701" w:type="pct"/>
                  <w:shd w:val="clear" w:color="auto" w:fill="auto"/>
                  <w:vAlign w:val="center"/>
                </w:tcPr>
                <w:p w14:paraId="35D8564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ascii="Times New Roman" w:hAnsi="Times New Roman"/>
                      <w:color w:val="auto"/>
                      <w:kern w:val="0"/>
                      <w:szCs w:val="21"/>
                      <w:highlight w:val="none"/>
                    </w:rPr>
                    <w:t>工作温度：-</w:t>
                  </w:r>
                  <w:r>
                    <w:rPr>
                      <w:rFonts w:ascii="Times New Roman" w:hAnsi="Times New Roman"/>
                      <w:color w:val="auto"/>
                      <w:kern w:val="0"/>
                      <w:szCs w:val="21"/>
                      <w:highlight w:val="none"/>
                    </w:rPr>
                    <w:t>104℃，进口压力：</w:t>
                  </w:r>
                  <w:r>
                    <w:rPr>
                      <w:rFonts w:hint="eastAsia" w:ascii="Times New Roman" w:hAnsi="Times New Roman"/>
                      <w:color w:val="auto"/>
                      <w:kern w:val="0"/>
                      <w:szCs w:val="21"/>
                      <w:highlight w:val="none"/>
                    </w:rPr>
                    <w:t>0.2~0.6MPa，出口压力：15MPa</w:t>
                  </w:r>
                </w:p>
              </w:tc>
              <w:tc>
                <w:tcPr>
                  <w:tcW w:w="585" w:type="pct"/>
                  <w:shd w:val="clear" w:color="auto" w:fill="auto"/>
                  <w:vAlign w:val="center"/>
                </w:tcPr>
                <w:p w14:paraId="0267B28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537" w:type="pct"/>
                  <w:vAlign w:val="center"/>
                </w:tcPr>
                <w:p w14:paraId="7B56290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181468A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7803A4B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Cs/>
                      <w:color w:val="auto"/>
                      <w:szCs w:val="21"/>
                      <w:highlight w:val="none"/>
                    </w:rPr>
                  </w:pPr>
                  <w:r>
                    <w:rPr>
                      <w:rFonts w:hint="eastAsia" w:hAnsi="宋体"/>
                      <w:bCs/>
                      <w:color w:val="auto"/>
                      <w:szCs w:val="21"/>
                      <w:highlight w:val="none"/>
                      <w:lang w:val="en-US" w:eastAsia="zh-CN"/>
                    </w:rPr>
                    <w:t>改建后拆除1组</w:t>
                  </w:r>
                </w:p>
              </w:tc>
            </w:tr>
            <w:tr w14:paraId="23CDB3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169E8F8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11</w:t>
                  </w:r>
                </w:p>
              </w:tc>
              <w:tc>
                <w:tcPr>
                  <w:tcW w:w="492" w:type="pct"/>
                  <w:vAlign w:val="center"/>
                </w:tcPr>
                <w:p w14:paraId="626A39B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低温乙烯气化器</w:t>
                  </w:r>
                </w:p>
              </w:tc>
              <w:tc>
                <w:tcPr>
                  <w:tcW w:w="473" w:type="pct"/>
                  <w:shd w:val="clear" w:color="auto" w:fill="auto"/>
                  <w:vAlign w:val="center"/>
                </w:tcPr>
                <w:p w14:paraId="012D512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宋体" w:eastAsia="宋体" w:cs="Times New Roman"/>
                      <w:bCs/>
                      <w:color w:val="auto"/>
                      <w:kern w:val="2"/>
                      <w:sz w:val="21"/>
                      <w:szCs w:val="21"/>
                      <w:highlight w:val="none"/>
                      <w:lang w:val="en-US" w:eastAsia="zh-CN" w:bidi="ar-SA"/>
                    </w:rPr>
                  </w:pPr>
                  <w:r>
                    <w:rPr>
                      <w:rFonts w:hint="eastAsia" w:hAnsi="宋体"/>
                      <w:bCs/>
                      <w:color w:val="auto"/>
                      <w:szCs w:val="21"/>
                      <w:highlight w:val="none"/>
                    </w:rPr>
                    <w:t>气化区</w:t>
                  </w:r>
                </w:p>
              </w:tc>
              <w:tc>
                <w:tcPr>
                  <w:tcW w:w="676" w:type="pct"/>
                  <w:vAlign w:val="center"/>
                </w:tcPr>
                <w:p w14:paraId="01068CC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w:t>
                  </w:r>
                </w:p>
              </w:tc>
              <w:tc>
                <w:tcPr>
                  <w:tcW w:w="701" w:type="pct"/>
                  <w:shd w:val="clear" w:color="auto" w:fill="auto"/>
                  <w:vAlign w:val="center"/>
                </w:tcPr>
                <w:p w14:paraId="4BE80C0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ascii="Times New Roman" w:hAnsi="Times New Roman"/>
                      <w:color w:val="auto"/>
                      <w:kern w:val="0"/>
                      <w:szCs w:val="21"/>
                      <w:highlight w:val="none"/>
                    </w:rPr>
                    <w:t>工作压力≤15MPa</w:t>
                  </w:r>
                </w:p>
              </w:tc>
              <w:tc>
                <w:tcPr>
                  <w:tcW w:w="585" w:type="pct"/>
                  <w:shd w:val="clear" w:color="auto" w:fill="auto"/>
                  <w:vAlign w:val="center"/>
                </w:tcPr>
                <w:p w14:paraId="5EA8CC8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2</w:t>
                  </w:r>
                </w:p>
              </w:tc>
              <w:tc>
                <w:tcPr>
                  <w:tcW w:w="537" w:type="pct"/>
                  <w:vAlign w:val="center"/>
                </w:tcPr>
                <w:p w14:paraId="0635EBC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359E15D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461ECF2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rPr>
                  </w:pPr>
                  <w:r>
                    <w:rPr>
                      <w:rFonts w:hint="eastAsia" w:hAnsi="宋体"/>
                      <w:bCs/>
                      <w:color w:val="auto"/>
                      <w:szCs w:val="21"/>
                      <w:highlight w:val="none"/>
                      <w:lang w:val="en-US" w:eastAsia="zh-CN"/>
                    </w:rPr>
                    <w:t>改建后拆除1台</w:t>
                  </w:r>
                </w:p>
              </w:tc>
            </w:tr>
            <w:tr w14:paraId="2C35A7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3F43739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12</w:t>
                  </w:r>
                </w:p>
              </w:tc>
              <w:tc>
                <w:tcPr>
                  <w:tcW w:w="492" w:type="pct"/>
                  <w:vAlign w:val="center"/>
                </w:tcPr>
                <w:p w14:paraId="47C33EE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丙烷出料泵</w:t>
                  </w:r>
                </w:p>
              </w:tc>
              <w:tc>
                <w:tcPr>
                  <w:tcW w:w="473" w:type="pct"/>
                  <w:shd w:val="clear" w:color="auto" w:fill="auto"/>
                  <w:vAlign w:val="center"/>
                </w:tcPr>
                <w:p w14:paraId="0CE94C7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5867101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DN40</w:t>
                  </w:r>
                </w:p>
              </w:tc>
              <w:tc>
                <w:tcPr>
                  <w:tcW w:w="701" w:type="pct"/>
                  <w:shd w:val="clear" w:color="auto" w:fill="auto"/>
                  <w:vAlign w:val="center"/>
                </w:tcPr>
                <w:p w14:paraId="57ADAD5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51AD098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22610F9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46F2360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2019F75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50DFC4D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58FEBC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13</w:t>
                  </w:r>
                </w:p>
              </w:tc>
              <w:tc>
                <w:tcPr>
                  <w:tcW w:w="492" w:type="pct"/>
                  <w:vAlign w:val="center"/>
                </w:tcPr>
                <w:p w14:paraId="377A286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丁烷出料泵</w:t>
                  </w:r>
                </w:p>
              </w:tc>
              <w:tc>
                <w:tcPr>
                  <w:tcW w:w="473" w:type="pct"/>
                  <w:shd w:val="clear" w:color="auto" w:fill="auto"/>
                  <w:vAlign w:val="center"/>
                </w:tcPr>
                <w:p w14:paraId="3026139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w:t>
                  </w:r>
                </w:p>
              </w:tc>
              <w:tc>
                <w:tcPr>
                  <w:tcW w:w="676" w:type="pct"/>
                  <w:vAlign w:val="center"/>
                </w:tcPr>
                <w:p w14:paraId="07AF2E0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color w:val="auto"/>
                      <w:szCs w:val="21"/>
                      <w:highlight w:val="none"/>
                      <w:lang w:val="en-US" w:eastAsia="zh-CN"/>
                    </w:rPr>
                    <w:t>DN40</w:t>
                  </w:r>
                </w:p>
              </w:tc>
              <w:tc>
                <w:tcPr>
                  <w:tcW w:w="701" w:type="pct"/>
                  <w:shd w:val="clear" w:color="auto" w:fill="auto"/>
                  <w:vAlign w:val="center"/>
                </w:tcPr>
                <w:p w14:paraId="519C5D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olor w:val="auto"/>
                      <w:kern w:val="0"/>
                      <w:szCs w:val="21"/>
                      <w:highlight w:val="none"/>
                      <w:lang w:val="en-US" w:eastAsia="zh-CN"/>
                    </w:rPr>
                  </w:pPr>
                  <w:r>
                    <w:rPr>
                      <w:rFonts w:hint="eastAsia"/>
                      <w:color w:val="auto"/>
                      <w:kern w:val="0"/>
                      <w:szCs w:val="21"/>
                      <w:highlight w:val="none"/>
                      <w:lang w:val="en-US" w:eastAsia="zh-CN"/>
                    </w:rPr>
                    <w:t>/</w:t>
                  </w:r>
                </w:p>
              </w:tc>
              <w:tc>
                <w:tcPr>
                  <w:tcW w:w="585" w:type="pct"/>
                  <w:shd w:val="clear" w:color="auto" w:fill="auto"/>
                  <w:vAlign w:val="center"/>
                </w:tcPr>
                <w:p w14:paraId="0B8EC9C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0</w:t>
                  </w:r>
                </w:p>
              </w:tc>
              <w:tc>
                <w:tcPr>
                  <w:tcW w:w="537" w:type="pct"/>
                  <w:vAlign w:val="center"/>
                </w:tcPr>
                <w:p w14:paraId="14DC597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56370A1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457ACD7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7E6CAA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1447773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14</w:t>
                  </w:r>
                </w:p>
              </w:tc>
              <w:tc>
                <w:tcPr>
                  <w:tcW w:w="492" w:type="pct"/>
                  <w:vAlign w:val="center"/>
                </w:tcPr>
                <w:p w14:paraId="60817F0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乙烯充装汇流排</w:t>
                  </w:r>
                </w:p>
              </w:tc>
              <w:tc>
                <w:tcPr>
                  <w:tcW w:w="473" w:type="pct"/>
                  <w:shd w:val="clear" w:color="auto" w:fill="auto"/>
                  <w:vAlign w:val="center"/>
                </w:tcPr>
                <w:p w14:paraId="3B97A5A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ascii="Times New Roman" w:hAnsi="宋体" w:eastAsia="宋体" w:cs="Times New Roman"/>
                      <w:bCs/>
                      <w:color w:val="auto"/>
                      <w:kern w:val="2"/>
                      <w:sz w:val="21"/>
                      <w:szCs w:val="21"/>
                      <w:highlight w:val="none"/>
                      <w:lang w:val="en-US" w:eastAsia="zh-CN" w:bidi="ar-SA"/>
                    </w:rPr>
                  </w:pPr>
                  <w:r>
                    <w:rPr>
                      <w:rFonts w:hAnsi="宋体"/>
                      <w:bCs/>
                      <w:color w:val="auto"/>
                      <w:szCs w:val="21"/>
                      <w:highlight w:val="none"/>
                    </w:rPr>
                    <w:t>充装间</w:t>
                  </w:r>
                </w:p>
              </w:tc>
              <w:tc>
                <w:tcPr>
                  <w:tcW w:w="676" w:type="pct"/>
                  <w:vAlign w:val="center"/>
                </w:tcPr>
                <w:p w14:paraId="1A75211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GC/3</w:t>
                  </w:r>
                </w:p>
              </w:tc>
              <w:tc>
                <w:tcPr>
                  <w:tcW w:w="701" w:type="pct"/>
                  <w:shd w:val="clear" w:color="auto" w:fill="auto"/>
                  <w:vAlign w:val="center"/>
                </w:tcPr>
                <w:p w14:paraId="2E5D7E3C">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ascii="Times New Roman" w:hAnsi="Times New Roman"/>
                      <w:color w:val="auto"/>
                      <w:kern w:val="0"/>
                      <w:szCs w:val="21"/>
                      <w:highlight w:val="none"/>
                    </w:rPr>
                    <w:t>工作压力≤15MPa</w:t>
                  </w:r>
                </w:p>
              </w:tc>
              <w:tc>
                <w:tcPr>
                  <w:tcW w:w="585" w:type="pct"/>
                  <w:shd w:val="clear" w:color="auto" w:fill="auto"/>
                  <w:vAlign w:val="center"/>
                </w:tcPr>
                <w:p w14:paraId="7B52DD5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37" w:type="pct"/>
                  <w:vAlign w:val="center"/>
                </w:tcPr>
                <w:p w14:paraId="4BC6D0E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1801DF6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Merge w:val="restart"/>
                  <w:vAlign w:val="center"/>
                </w:tcPr>
                <w:p w14:paraId="58C5070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rPr>
                  </w:pPr>
                  <w:r>
                    <w:rPr>
                      <w:rFonts w:hint="eastAsia" w:hAnsi="宋体"/>
                      <w:bCs/>
                      <w:color w:val="auto"/>
                      <w:szCs w:val="21"/>
                      <w:highlight w:val="none"/>
                      <w:lang w:val="en-US" w:eastAsia="zh-CN"/>
                    </w:rPr>
                    <w:t>现有2组乙烯充装汇流排（4套），改建后保留1组（2套），拆除1组（2套）</w:t>
                  </w:r>
                </w:p>
              </w:tc>
            </w:tr>
            <w:tr w14:paraId="4E144A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7ECBCE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15</w:t>
                  </w:r>
                </w:p>
              </w:tc>
              <w:tc>
                <w:tcPr>
                  <w:tcW w:w="492" w:type="pct"/>
                  <w:vAlign w:val="center"/>
                </w:tcPr>
                <w:p w14:paraId="03A7DB0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乙烯充装汇流排</w:t>
                  </w:r>
                </w:p>
              </w:tc>
              <w:tc>
                <w:tcPr>
                  <w:tcW w:w="473" w:type="pct"/>
                  <w:vAlign w:val="center"/>
                </w:tcPr>
                <w:p w14:paraId="6EF9475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充装间</w:t>
                  </w:r>
                </w:p>
              </w:tc>
              <w:tc>
                <w:tcPr>
                  <w:tcW w:w="676" w:type="pct"/>
                  <w:vAlign w:val="center"/>
                </w:tcPr>
                <w:p w14:paraId="22323DE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GC/12</w:t>
                  </w:r>
                </w:p>
              </w:tc>
              <w:tc>
                <w:tcPr>
                  <w:tcW w:w="701" w:type="pct"/>
                  <w:shd w:val="clear" w:color="auto" w:fill="auto"/>
                  <w:vAlign w:val="center"/>
                </w:tcPr>
                <w:p w14:paraId="01591FB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rPr>
                  </w:pPr>
                  <w:r>
                    <w:rPr>
                      <w:rFonts w:hint="eastAsia" w:ascii="Times New Roman" w:hAnsi="Times New Roman"/>
                      <w:color w:val="auto"/>
                      <w:kern w:val="0"/>
                      <w:szCs w:val="21"/>
                      <w:highlight w:val="none"/>
                    </w:rPr>
                    <w:t>工作压力≤15MPa</w:t>
                  </w:r>
                </w:p>
              </w:tc>
              <w:tc>
                <w:tcPr>
                  <w:tcW w:w="585" w:type="pct"/>
                  <w:shd w:val="clear" w:color="auto" w:fill="auto"/>
                  <w:vAlign w:val="center"/>
                </w:tcPr>
                <w:p w14:paraId="09AF779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537" w:type="pct"/>
                  <w:vAlign w:val="center"/>
                </w:tcPr>
                <w:p w14:paraId="7DE7E8D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4DBB01C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w:t>
                  </w:r>
                </w:p>
              </w:tc>
              <w:tc>
                <w:tcPr>
                  <w:tcW w:w="658" w:type="pct"/>
                  <w:vMerge w:val="continue"/>
                  <w:vAlign w:val="center"/>
                </w:tcPr>
                <w:p w14:paraId="53E9393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Ansi="宋体"/>
                      <w:bCs/>
                      <w:color w:val="auto"/>
                      <w:szCs w:val="21"/>
                      <w:highlight w:val="none"/>
                    </w:rPr>
                  </w:pPr>
                </w:p>
              </w:tc>
            </w:tr>
            <w:tr w14:paraId="0A8BD18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7837CCA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16</w:t>
                  </w:r>
                </w:p>
              </w:tc>
              <w:tc>
                <w:tcPr>
                  <w:tcW w:w="492" w:type="pct"/>
                  <w:vAlign w:val="center"/>
                </w:tcPr>
                <w:p w14:paraId="182D6C1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丙烷充装汇流排</w:t>
                  </w:r>
                </w:p>
              </w:tc>
              <w:tc>
                <w:tcPr>
                  <w:tcW w:w="473" w:type="pct"/>
                  <w:vAlign w:val="center"/>
                </w:tcPr>
                <w:p w14:paraId="04B7230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充装间</w:t>
                  </w:r>
                </w:p>
              </w:tc>
              <w:tc>
                <w:tcPr>
                  <w:tcW w:w="676" w:type="pct"/>
                  <w:vAlign w:val="center"/>
                </w:tcPr>
                <w:p w14:paraId="5296C33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GC/3</w:t>
                  </w:r>
                </w:p>
              </w:tc>
              <w:tc>
                <w:tcPr>
                  <w:tcW w:w="701" w:type="pct"/>
                  <w:shd w:val="clear" w:color="auto" w:fill="auto"/>
                  <w:vAlign w:val="center"/>
                </w:tcPr>
                <w:p w14:paraId="62228F2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工作状态常温、1.2MPa~1.6MPa</w:t>
                  </w:r>
                </w:p>
              </w:tc>
              <w:tc>
                <w:tcPr>
                  <w:tcW w:w="585" w:type="pct"/>
                  <w:shd w:val="clear" w:color="auto" w:fill="auto"/>
                  <w:vAlign w:val="center"/>
                </w:tcPr>
                <w:p w14:paraId="19693A5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537" w:type="pct"/>
                  <w:vAlign w:val="center"/>
                </w:tcPr>
                <w:p w14:paraId="6AA9667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3313105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1464E67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6AA531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62FA157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17</w:t>
                  </w:r>
                </w:p>
              </w:tc>
              <w:tc>
                <w:tcPr>
                  <w:tcW w:w="492" w:type="pct"/>
                  <w:vAlign w:val="center"/>
                </w:tcPr>
                <w:p w14:paraId="211D6E1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丁烷充装汇流排</w:t>
                  </w:r>
                </w:p>
              </w:tc>
              <w:tc>
                <w:tcPr>
                  <w:tcW w:w="473" w:type="pct"/>
                  <w:vAlign w:val="center"/>
                </w:tcPr>
                <w:p w14:paraId="4BEF940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充装间</w:t>
                  </w:r>
                </w:p>
              </w:tc>
              <w:tc>
                <w:tcPr>
                  <w:tcW w:w="676" w:type="pct"/>
                  <w:vAlign w:val="center"/>
                </w:tcPr>
                <w:p w14:paraId="6EF5DAC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color w:val="auto"/>
                      <w:szCs w:val="21"/>
                      <w:highlight w:val="none"/>
                      <w:lang w:val="en-US" w:eastAsia="zh-CN"/>
                    </w:rPr>
                  </w:pPr>
                  <w:r>
                    <w:rPr>
                      <w:rFonts w:hint="eastAsia"/>
                      <w:color w:val="auto"/>
                      <w:szCs w:val="21"/>
                      <w:highlight w:val="none"/>
                      <w:lang w:val="en-US" w:eastAsia="zh-CN"/>
                    </w:rPr>
                    <w:t>GC/12</w:t>
                  </w:r>
                </w:p>
              </w:tc>
              <w:tc>
                <w:tcPr>
                  <w:tcW w:w="701" w:type="pct"/>
                  <w:shd w:val="clear" w:color="auto" w:fill="auto"/>
                  <w:vAlign w:val="center"/>
                </w:tcPr>
                <w:p w14:paraId="23A65C7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工作状态常温、1.2MPa~1.6MPa</w:t>
                  </w:r>
                </w:p>
              </w:tc>
              <w:tc>
                <w:tcPr>
                  <w:tcW w:w="585" w:type="pct"/>
                  <w:shd w:val="clear" w:color="auto" w:fill="auto"/>
                  <w:vAlign w:val="center"/>
                </w:tcPr>
                <w:p w14:paraId="369B6BB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537" w:type="pct"/>
                  <w:vAlign w:val="center"/>
                </w:tcPr>
                <w:p w14:paraId="1EF8E03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color w:val="auto"/>
                      <w:szCs w:val="21"/>
                      <w:highlight w:val="none"/>
                      <w:lang w:val="en-US" w:eastAsia="zh-CN"/>
                    </w:rPr>
                  </w:pPr>
                  <w:r>
                    <w:rPr>
                      <w:rFonts w:hint="eastAsia"/>
                      <w:color w:val="auto"/>
                      <w:szCs w:val="21"/>
                      <w:highlight w:val="none"/>
                      <w:lang w:val="en-US" w:eastAsia="zh-CN"/>
                    </w:rPr>
                    <w:t>1</w:t>
                  </w:r>
                </w:p>
              </w:tc>
              <w:tc>
                <w:tcPr>
                  <w:tcW w:w="537" w:type="pct"/>
                  <w:vAlign w:val="center"/>
                </w:tcPr>
                <w:p w14:paraId="4CD409FE">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hAnsi="宋体"/>
                      <w:bCs/>
                      <w:color w:val="auto"/>
                      <w:szCs w:val="21"/>
                      <w:highlight w:val="none"/>
                      <w:lang w:val="en-US" w:eastAsia="zh-CN"/>
                    </w:rPr>
                  </w:pPr>
                  <w:r>
                    <w:rPr>
                      <w:rFonts w:hint="eastAsia" w:hAnsi="宋体"/>
                      <w:bCs/>
                      <w:color w:val="auto"/>
                      <w:szCs w:val="21"/>
                      <w:highlight w:val="none"/>
                      <w:lang w:val="en-US" w:eastAsia="zh-CN"/>
                    </w:rPr>
                    <w:t>+1</w:t>
                  </w:r>
                </w:p>
              </w:tc>
              <w:tc>
                <w:tcPr>
                  <w:tcW w:w="658" w:type="pct"/>
                  <w:vAlign w:val="center"/>
                </w:tcPr>
                <w:p w14:paraId="43EC460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eastAsia="zh-CN"/>
                    </w:rPr>
                  </w:pPr>
                  <w:r>
                    <w:rPr>
                      <w:rFonts w:hint="eastAsia" w:hAnsi="宋体"/>
                      <w:bCs/>
                      <w:color w:val="auto"/>
                      <w:szCs w:val="21"/>
                      <w:highlight w:val="none"/>
                      <w:lang w:val="en-US" w:eastAsia="zh-CN"/>
                    </w:rPr>
                    <w:t>新增</w:t>
                  </w:r>
                </w:p>
              </w:tc>
            </w:tr>
            <w:tr w14:paraId="163B40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803568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18</w:t>
                  </w:r>
                </w:p>
              </w:tc>
              <w:tc>
                <w:tcPr>
                  <w:tcW w:w="492" w:type="pct"/>
                  <w:vAlign w:val="center"/>
                </w:tcPr>
                <w:p w14:paraId="6BB8A9E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真空泵</w:t>
                  </w:r>
                </w:p>
              </w:tc>
              <w:tc>
                <w:tcPr>
                  <w:tcW w:w="473" w:type="pct"/>
                  <w:vAlign w:val="center"/>
                </w:tcPr>
                <w:p w14:paraId="0EB25A4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充装间</w:t>
                  </w:r>
                </w:p>
              </w:tc>
              <w:tc>
                <w:tcPr>
                  <w:tcW w:w="676" w:type="pct"/>
                  <w:vAlign w:val="center"/>
                </w:tcPr>
                <w:p w14:paraId="19FA44F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701" w:type="pct"/>
                  <w:shd w:val="clear" w:color="auto" w:fill="auto"/>
                  <w:vAlign w:val="center"/>
                </w:tcPr>
                <w:p w14:paraId="24DB1B3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585" w:type="pct"/>
                  <w:shd w:val="clear" w:color="auto" w:fill="auto"/>
                  <w:vAlign w:val="center"/>
                </w:tcPr>
                <w:p w14:paraId="32A7796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w:t>
                  </w:r>
                </w:p>
              </w:tc>
              <w:tc>
                <w:tcPr>
                  <w:tcW w:w="537" w:type="pct"/>
                  <w:vAlign w:val="center"/>
                </w:tcPr>
                <w:p w14:paraId="78DA934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2</w:t>
                  </w:r>
                </w:p>
              </w:tc>
              <w:tc>
                <w:tcPr>
                  <w:tcW w:w="537" w:type="pct"/>
                  <w:vAlign w:val="center"/>
                </w:tcPr>
                <w:p w14:paraId="71BA57C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0</w:t>
                  </w:r>
                </w:p>
              </w:tc>
              <w:tc>
                <w:tcPr>
                  <w:tcW w:w="658" w:type="pct"/>
                  <w:vAlign w:val="center"/>
                </w:tcPr>
                <w:p w14:paraId="2850901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新钢瓶来厂后氮气吹扫置换工序配套</w:t>
                  </w:r>
                </w:p>
              </w:tc>
            </w:tr>
            <w:tr w14:paraId="4F2801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7A0FDDE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19</w:t>
                  </w:r>
                </w:p>
              </w:tc>
              <w:tc>
                <w:tcPr>
                  <w:tcW w:w="492" w:type="pct"/>
                  <w:vAlign w:val="center"/>
                </w:tcPr>
                <w:p w14:paraId="72E07C1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充装电子秤</w:t>
                  </w:r>
                </w:p>
              </w:tc>
              <w:tc>
                <w:tcPr>
                  <w:tcW w:w="473" w:type="pct"/>
                  <w:vAlign w:val="center"/>
                </w:tcPr>
                <w:p w14:paraId="452D67D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lang w:val="en-US" w:eastAsia="zh-CN"/>
                    </w:rPr>
                    <w:t>充装间</w:t>
                  </w:r>
                </w:p>
              </w:tc>
              <w:tc>
                <w:tcPr>
                  <w:tcW w:w="676" w:type="pct"/>
                  <w:vAlign w:val="center"/>
                </w:tcPr>
                <w:p w14:paraId="05E8E6D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10~150kg</w:t>
                  </w:r>
                </w:p>
              </w:tc>
              <w:tc>
                <w:tcPr>
                  <w:tcW w:w="701" w:type="pct"/>
                  <w:shd w:val="clear" w:color="auto" w:fill="auto"/>
                  <w:vAlign w:val="center"/>
                </w:tcPr>
                <w:p w14:paraId="3D8F312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585" w:type="pct"/>
                  <w:shd w:val="clear" w:color="auto" w:fill="auto"/>
                  <w:vAlign w:val="center"/>
                </w:tcPr>
                <w:p w14:paraId="4B10671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28</w:t>
                  </w:r>
                </w:p>
              </w:tc>
              <w:tc>
                <w:tcPr>
                  <w:tcW w:w="537" w:type="pct"/>
                  <w:vAlign w:val="center"/>
                </w:tcPr>
                <w:p w14:paraId="6E62A69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28</w:t>
                  </w:r>
                </w:p>
              </w:tc>
              <w:tc>
                <w:tcPr>
                  <w:tcW w:w="537" w:type="pct"/>
                  <w:vAlign w:val="center"/>
                </w:tcPr>
                <w:p w14:paraId="22369FF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0</w:t>
                  </w:r>
                </w:p>
              </w:tc>
              <w:tc>
                <w:tcPr>
                  <w:tcW w:w="658" w:type="pct"/>
                  <w:vAlign w:val="center"/>
                </w:tcPr>
                <w:p w14:paraId="0EA8E3A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rPr>
                  </w:pPr>
                  <w:r>
                    <w:rPr>
                      <w:rFonts w:hint="eastAsia" w:hAnsi="宋体"/>
                      <w:bCs/>
                      <w:color w:val="auto"/>
                      <w:szCs w:val="21"/>
                      <w:highlight w:val="none"/>
                      <w:lang w:val="en-US" w:eastAsia="zh-CN"/>
                    </w:rPr>
                    <w:t>乙烯充装线配套设备，8台改造为丙烷、丁烷称重使用</w:t>
                  </w:r>
                </w:p>
              </w:tc>
            </w:tr>
            <w:tr w14:paraId="78FD1B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336" w:type="pct"/>
                  <w:vAlign w:val="center"/>
                </w:tcPr>
                <w:p w14:paraId="2085136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20</w:t>
                  </w:r>
                </w:p>
              </w:tc>
              <w:tc>
                <w:tcPr>
                  <w:tcW w:w="492" w:type="pct"/>
                  <w:vAlign w:val="center"/>
                </w:tcPr>
                <w:p w14:paraId="7CAE332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充装电子秤</w:t>
                  </w:r>
                </w:p>
              </w:tc>
              <w:tc>
                <w:tcPr>
                  <w:tcW w:w="473" w:type="pct"/>
                  <w:vAlign w:val="center"/>
                </w:tcPr>
                <w:p w14:paraId="5D80C88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lang w:val="en-US" w:eastAsia="zh-CN"/>
                    </w:rPr>
                    <w:t>充装间</w:t>
                  </w:r>
                </w:p>
              </w:tc>
              <w:tc>
                <w:tcPr>
                  <w:tcW w:w="676" w:type="pct"/>
                  <w:vAlign w:val="center"/>
                </w:tcPr>
                <w:p w14:paraId="37E18BE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10~3000kg</w:t>
                  </w:r>
                </w:p>
              </w:tc>
              <w:tc>
                <w:tcPr>
                  <w:tcW w:w="701" w:type="pct"/>
                  <w:shd w:val="clear" w:color="auto" w:fill="auto"/>
                  <w:vAlign w:val="center"/>
                </w:tcPr>
                <w:p w14:paraId="3DF8178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w:t>
                  </w:r>
                </w:p>
              </w:tc>
              <w:tc>
                <w:tcPr>
                  <w:tcW w:w="585" w:type="pct"/>
                  <w:shd w:val="clear" w:color="auto" w:fill="auto"/>
                  <w:vAlign w:val="center"/>
                </w:tcPr>
                <w:p w14:paraId="62B524E4">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w:t>
                  </w:r>
                </w:p>
              </w:tc>
              <w:tc>
                <w:tcPr>
                  <w:tcW w:w="537" w:type="pct"/>
                  <w:vAlign w:val="center"/>
                </w:tcPr>
                <w:p w14:paraId="57F0705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6</w:t>
                  </w:r>
                </w:p>
              </w:tc>
              <w:tc>
                <w:tcPr>
                  <w:tcW w:w="537" w:type="pct"/>
                  <w:vAlign w:val="center"/>
                </w:tcPr>
                <w:p w14:paraId="4CFED62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0</w:t>
                  </w:r>
                </w:p>
              </w:tc>
              <w:tc>
                <w:tcPr>
                  <w:tcW w:w="658" w:type="pct"/>
                  <w:vAlign w:val="center"/>
                </w:tcPr>
                <w:p w14:paraId="2FA69B9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rFonts w:hint="default" w:hAnsi="宋体"/>
                      <w:bCs/>
                      <w:color w:val="auto"/>
                      <w:szCs w:val="21"/>
                      <w:highlight w:val="none"/>
                      <w:lang w:val="en-US"/>
                    </w:rPr>
                  </w:pPr>
                  <w:r>
                    <w:rPr>
                      <w:rFonts w:hint="eastAsia" w:hAnsi="宋体"/>
                      <w:bCs/>
                      <w:color w:val="auto"/>
                      <w:szCs w:val="21"/>
                      <w:highlight w:val="none"/>
                      <w:lang w:val="en-US" w:eastAsia="zh-CN"/>
                    </w:rPr>
                    <w:t>乙烯充装线配套设备，2台改造为丙烷、丁烷称重使用</w:t>
                  </w:r>
                </w:p>
              </w:tc>
            </w:tr>
          </w:tbl>
          <w:p w14:paraId="213D84A0">
            <w:pPr>
              <w:spacing w:line="360" w:lineRule="auto"/>
              <w:ind w:firstLine="482" w:firstLineChars="200"/>
              <w:rPr>
                <w:rFonts w:hint="eastAsia"/>
                <w:b/>
                <w:color w:val="auto"/>
                <w:sz w:val="24"/>
                <w:highlight w:val="none"/>
              </w:rPr>
            </w:pPr>
          </w:p>
          <w:p w14:paraId="4D92B32C">
            <w:pPr>
              <w:spacing w:line="360" w:lineRule="auto"/>
              <w:ind w:firstLine="482" w:firstLineChars="200"/>
              <w:rPr>
                <w:rFonts w:hint="eastAsia"/>
                <w:b/>
                <w:color w:val="auto"/>
                <w:sz w:val="24"/>
                <w:highlight w:val="none"/>
              </w:rPr>
            </w:pPr>
          </w:p>
          <w:p w14:paraId="0ACBB7D6">
            <w:pPr>
              <w:spacing w:line="360" w:lineRule="auto"/>
              <w:ind w:firstLine="482" w:firstLineChars="200"/>
              <w:rPr>
                <w:rFonts w:hint="eastAsia"/>
                <w:b/>
                <w:color w:val="auto"/>
                <w:sz w:val="24"/>
                <w:highlight w:val="none"/>
              </w:rPr>
            </w:pPr>
          </w:p>
          <w:p w14:paraId="6FA20753">
            <w:pPr>
              <w:spacing w:line="360" w:lineRule="auto"/>
              <w:ind w:firstLine="482" w:firstLineChars="200"/>
              <w:rPr>
                <w:rFonts w:hint="eastAsia"/>
                <w:b/>
                <w:color w:val="auto"/>
                <w:sz w:val="24"/>
                <w:highlight w:val="none"/>
              </w:rPr>
            </w:pPr>
          </w:p>
          <w:p w14:paraId="4590F6E2">
            <w:pPr>
              <w:spacing w:line="360" w:lineRule="auto"/>
              <w:ind w:firstLine="482" w:firstLineChars="200"/>
              <w:rPr>
                <w:rFonts w:hint="eastAsia"/>
                <w:b/>
                <w:color w:val="auto"/>
                <w:sz w:val="24"/>
                <w:highlight w:val="none"/>
              </w:rPr>
            </w:pPr>
          </w:p>
          <w:p w14:paraId="43BAA878">
            <w:pPr>
              <w:spacing w:line="360" w:lineRule="auto"/>
              <w:ind w:firstLine="482" w:firstLineChars="200"/>
              <w:rPr>
                <w:rFonts w:hint="eastAsia"/>
                <w:b/>
                <w:color w:val="auto"/>
                <w:sz w:val="24"/>
                <w:highlight w:val="none"/>
              </w:rPr>
            </w:pPr>
          </w:p>
          <w:p w14:paraId="644AAF3A">
            <w:pPr>
              <w:spacing w:line="360" w:lineRule="auto"/>
              <w:ind w:firstLine="482" w:firstLineChars="200"/>
              <w:rPr>
                <w:rFonts w:hint="eastAsia"/>
                <w:b/>
                <w:color w:val="auto"/>
                <w:sz w:val="24"/>
                <w:highlight w:val="none"/>
              </w:rPr>
            </w:pPr>
          </w:p>
          <w:p w14:paraId="74E0EA0E">
            <w:pPr>
              <w:spacing w:line="360" w:lineRule="auto"/>
              <w:ind w:firstLine="482" w:firstLineChars="200"/>
              <w:rPr>
                <w:rFonts w:hint="eastAsia"/>
                <w:b/>
                <w:color w:val="auto"/>
                <w:sz w:val="24"/>
                <w:highlight w:val="none"/>
              </w:rPr>
            </w:pPr>
          </w:p>
          <w:p w14:paraId="76A60FB2">
            <w:pPr>
              <w:spacing w:line="360" w:lineRule="auto"/>
              <w:ind w:firstLine="482" w:firstLineChars="200"/>
              <w:rPr>
                <w:rFonts w:hint="eastAsia"/>
                <w:b/>
                <w:color w:val="auto"/>
                <w:sz w:val="24"/>
                <w:highlight w:val="none"/>
              </w:rPr>
            </w:pPr>
          </w:p>
          <w:p w14:paraId="1AC30016">
            <w:pPr>
              <w:spacing w:line="360" w:lineRule="auto"/>
              <w:ind w:firstLine="482" w:firstLineChars="200"/>
              <w:rPr>
                <w:rFonts w:hint="eastAsia"/>
                <w:b/>
                <w:color w:val="auto"/>
                <w:sz w:val="24"/>
                <w:highlight w:val="none"/>
              </w:rPr>
            </w:pPr>
          </w:p>
          <w:p w14:paraId="5BD28DF1">
            <w:pPr>
              <w:spacing w:line="360" w:lineRule="auto"/>
              <w:ind w:firstLine="482" w:firstLineChars="200"/>
              <w:rPr>
                <w:rFonts w:hint="eastAsia"/>
                <w:b/>
                <w:color w:val="auto"/>
                <w:sz w:val="24"/>
                <w:highlight w:val="none"/>
              </w:rPr>
            </w:pPr>
          </w:p>
          <w:p w14:paraId="093C6916">
            <w:pPr>
              <w:spacing w:line="360" w:lineRule="auto"/>
              <w:ind w:firstLine="482" w:firstLineChars="200"/>
              <w:rPr>
                <w:rFonts w:hint="eastAsia"/>
                <w:b/>
                <w:color w:val="auto"/>
                <w:sz w:val="24"/>
                <w:highlight w:val="none"/>
              </w:rPr>
            </w:pPr>
          </w:p>
          <w:p w14:paraId="649B16D3">
            <w:pPr>
              <w:spacing w:line="360" w:lineRule="auto"/>
              <w:ind w:firstLine="482" w:firstLineChars="200"/>
              <w:rPr>
                <w:rFonts w:hint="eastAsia"/>
                <w:b/>
                <w:color w:val="auto"/>
                <w:sz w:val="24"/>
                <w:highlight w:val="none"/>
              </w:rPr>
            </w:pPr>
          </w:p>
          <w:p w14:paraId="234AB13B">
            <w:pPr>
              <w:spacing w:line="360" w:lineRule="auto"/>
              <w:ind w:firstLine="482" w:firstLineChars="200"/>
              <w:rPr>
                <w:rFonts w:hint="eastAsia"/>
                <w:b/>
                <w:color w:val="auto"/>
                <w:sz w:val="24"/>
                <w:highlight w:val="none"/>
              </w:rPr>
            </w:pPr>
          </w:p>
          <w:p w14:paraId="1E0C362D">
            <w:pPr>
              <w:spacing w:line="360" w:lineRule="auto"/>
              <w:ind w:firstLine="482" w:firstLineChars="200"/>
              <w:rPr>
                <w:rFonts w:hint="eastAsia"/>
                <w:b/>
                <w:color w:val="auto"/>
                <w:sz w:val="24"/>
                <w:highlight w:val="none"/>
              </w:rPr>
            </w:pPr>
          </w:p>
          <w:p w14:paraId="44C3DF4C">
            <w:pPr>
              <w:spacing w:line="360" w:lineRule="auto"/>
              <w:ind w:firstLine="482" w:firstLineChars="200"/>
              <w:rPr>
                <w:rFonts w:hint="eastAsia"/>
                <w:b/>
                <w:color w:val="auto"/>
                <w:sz w:val="24"/>
                <w:highlight w:val="none"/>
              </w:rPr>
            </w:pPr>
          </w:p>
          <w:p w14:paraId="113A0F05">
            <w:pPr>
              <w:spacing w:line="360" w:lineRule="auto"/>
              <w:ind w:firstLine="482" w:firstLineChars="200"/>
              <w:rPr>
                <w:b/>
                <w:color w:val="auto"/>
                <w:sz w:val="24"/>
                <w:highlight w:val="none"/>
              </w:rPr>
            </w:pPr>
            <w:r>
              <w:rPr>
                <w:rFonts w:hint="eastAsia"/>
                <w:b/>
                <w:color w:val="auto"/>
                <w:sz w:val="24"/>
                <w:highlight w:val="none"/>
              </w:rPr>
              <w:t>6</w:t>
            </w:r>
            <w:r>
              <w:rPr>
                <w:b/>
                <w:color w:val="auto"/>
                <w:sz w:val="24"/>
                <w:highlight w:val="none"/>
              </w:rPr>
              <w:t>、</w:t>
            </w:r>
            <w:r>
              <w:rPr>
                <w:rFonts w:hint="eastAsia"/>
                <w:b/>
                <w:color w:val="auto"/>
                <w:sz w:val="24"/>
                <w:highlight w:val="none"/>
              </w:rPr>
              <w:t>主要原辅材料、能源消耗及原辅材料理化性质</w:t>
            </w:r>
          </w:p>
          <w:p w14:paraId="03AB7477">
            <w:pPr>
              <w:spacing w:line="360" w:lineRule="auto"/>
              <w:ind w:firstLine="480" w:firstLineChars="200"/>
              <w:rPr>
                <w:color w:val="auto"/>
                <w:sz w:val="24"/>
                <w:highlight w:val="none"/>
              </w:rPr>
            </w:pPr>
            <w:r>
              <w:rPr>
                <w:rFonts w:hint="eastAsia"/>
                <w:color w:val="auto"/>
                <w:sz w:val="24"/>
                <w:highlight w:val="none"/>
              </w:rPr>
              <w:t>（1）主要原辅材料及能源消耗</w:t>
            </w:r>
          </w:p>
          <w:p w14:paraId="0BFF8C21">
            <w:pPr>
              <w:autoSpaceDE w:val="0"/>
              <w:autoSpaceDN w:val="0"/>
              <w:adjustRightInd w:val="0"/>
              <w:snapToGrid w:val="0"/>
              <w:spacing w:line="360" w:lineRule="auto"/>
              <w:ind w:firstLine="482" w:firstLineChars="200"/>
              <w:rPr>
                <w:rFonts w:hint="default" w:ascii="宋体" w:hAnsi="宋体" w:eastAsia="宋体"/>
                <w:b/>
                <w:color w:val="auto"/>
                <w:sz w:val="24"/>
                <w:szCs w:val="24"/>
                <w:highlight w:val="none"/>
                <w:lang w:val="en-US" w:eastAsia="zh-CN"/>
              </w:rPr>
            </w:pPr>
            <w:r>
              <w:rPr>
                <w:rFonts w:hint="eastAsia" w:ascii="宋体" w:hAnsi="宋体"/>
                <w:b/>
                <w:color w:val="auto"/>
                <w:sz w:val="24"/>
                <w:szCs w:val="24"/>
                <w:highlight w:val="none"/>
              </w:rPr>
              <w:t>①</w:t>
            </w:r>
            <w:r>
              <w:rPr>
                <w:rFonts w:hint="eastAsia" w:ascii="宋体" w:hAnsi="宋体"/>
                <w:b/>
                <w:color w:val="auto"/>
                <w:sz w:val="24"/>
                <w:szCs w:val="24"/>
                <w:highlight w:val="none"/>
                <w:lang w:val="en-US" w:eastAsia="zh-CN"/>
              </w:rPr>
              <w:t>原材料</w:t>
            </w:r>
          </w:p>
          <w:p w14:paraId="2BBAEC80">
            <w:pPr>
              <w:autoSpaceDE w:val="0"/>
              <w:autoSpaceDN w:val="0"/>
              <w:adjustRightInd w:val="0"/>
              <w:snapToGrid w:val="0"/>
              <w:spacing w:line="360" w:lineRule="auto"/>
              <w:jc w:val="center"/>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2-7</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项目</w:t>
            </w:r>
            <w:r>
              <w:rPr>
                <w:rFonts w:hAnsi="黑体" w:eastAsia="黑体"/>
                <w:color w:val="auto"/>
                <w:sz w:val="24"/>
                <w:szCs w:val="24"/>
                <w:highlight w:val="none"/>
              </w:rPr>
              <w:t>主要储运介质消耗一览表</w:t>
            </w:r>
          </w:p>
          <w:tbl>
            <w:tblPr>
              <w:tblStyle w:val="36"/>
              <w:tblW w:w="809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93"/>
              <w:gridCol w:w="573"/>
              <w:gridCol w:w="427"/>
              <w:gridCol w:w="735"/>
              <w:gridCol w:w="690"/>
              <w:gridCol w:w="600"/>
              <w:gridCol w:w="710"/>
              <w:gridCol w:w="485"/>
              <w:gridCol w:w="451"/>
              <w:gridCol w:w="649"/>
              <w:gridCol w:w="597"/>
              <w:gridCol w:w="579"/>
              <w:gridCol w:w="489"/>
              <w:gridCol w:w="718"/>
            </w:tblGrid>
            <w:tr w14:paraId="4A1301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242" w:type="pct"/>
                  <w:vMerge w:val="restart"/>
                  <w:vAlign w:val="center"/>
                </w:tcPr>
                <w:p w14:paraId="276CC674">
                  <w:pPr>
                    <w:spacing w:line="276" w:lineRule="auto"/>
                    <w:jc w:val="center"/>
                    <w:rPr>
                      <w:b/>
                      <w:color w:val="auto"/>
                      <w:szCs w:val="21"/>
                      <w:highlight w:val="none"/>
                    </w:rPr>
                  </w:pPr>
                  <w:r>
                    <w:rPr>
                      <w:rFonts w:hint="eastAsia"/>
                      <w:b/>
                      <w:color w:val="auto"/>
                      <w:szCs w:val="21"/>
                      <w:highlight w:val="none"/>
                    </w:rPr>
                    <w:t>序号</w:t>
                  </w:r>
                </w:p>
              </w:tc>
              <w:tc>
                <w:tcPr>
                  <w:tcW w:w="353" w:type="pct"/>
                  <w:vMerge w:val="restart"/>
                  <w:vAlign w:val="center"/>
                </w:tcPr>
                <w:p w14:paraId="182212CA">
                  <w:pPr>
                    <w:spacing w:line="276" w:lineRule="auto"/>
                    <w:jc w:val="center"/>
                    <w:rPr>
                      <w:b/>
                      <w:color w:val="auto"/>
                      <w:szCs w:val="21"/>
                      <w:highlight w:val="none"/>
                    </w:rPr>
                  </w:pPr>
                  <w:r>
                    <w:rPr>
                      <w:rFonts w:hint="eastAsia"/>
                      <w:b/>
                      <w:color w:val="auto"/>
                      <w:szCs w:val="21"/>
                      <w:highlight w:val="none"/>
                    </w:rPr>
                    <w:t>原材料名称</w:t>
                  </w:r>
                </w:p>
              </w:tc>
              <w:tc>
                <w:tcPr>
                  <w:tcW w:w="263" w:type="pct"/>
                  <w:vMerge w:val="restart"/>
                  <w:vAlign w:val="center"/>
                </w:tcPr>
                <w:p w14:paraId="6662474D">
                  <w:pPr>
                    <w:spacing w:line="276" w:lineRule="auto"/>
                    <w:jc w:val="center"/>
                    <w:rPr>
                      <w:b/>
                      <w:color w:val="auto"/>
                      <w:szCs w:val="21"/>
                      <w:highlight w:val="none"/>
                    </w:rPr>
                  </w:pPr>
                  <w:r>
                    <w:rPr>
                      <w:rFonts w:hint="eastAsia"/>
                      <w:b/>
                      <w:color w:val="auto"/>
                      <w:szCs w:val="21"/>
                      <w:highlight w:val="none"/>
                    </w:rPr>
                    <w:t>状态</w:t>
                  </w:r>
                </w:p>
              </w:tc>
              <w:tc>
                <w:tcPr>
                  <w:tcW w:w="453" w:type="pct"/>
                  <w:vMerge w:val="restart"/>
                  <w:vAlign w:val="center"/>
                </w:tcPr>
                <w:p w14:paraId="176DFFA6">
                  <w:pPr>
                    <w:spacing w:line="276" w:lineRule="auto"/>
                    <w:jc w:val="center"/>
                    <w:rPr>
                      <w:b/>
                      <w:color w:val="auto"/>
                      <w:szCs w:val="21"/>
                      <w:highlight w:val="none"/>
                    </w:rPr>
                  </w:pPr>
                  <w:r>
                    <w:rPr>
                      <w:rFonts w:hint="eastAsia"/>
                      <w:b/>
                      <w:color w:val="auto"/>
                      <w:szCs w:val="21"/>
                      <w:highlight w:val="none"/>
                    </w:rPr>
                    <w:t>储存状态</w:t>
                  </w:r>
                </w:p>
              </w:tc>
              <w:tc>
                <w:tcPr>
                  <w:tcW w:w="426" w:type="pct"/>
                  <w:vMerge w:val="restart"/>
                  <w:vAlign w:val="center"/>
                </w:tcPr>
                <w:p w14:paraId="1713B9F3">
                  <w:pPr>
                    <w:spacing w:line="276" w:lineRule="auto"/>
                    <w:jc w:val="center"/>
                    <w:rPr>
                      <w:b/>
                      <w:color w:val="auto"/>
                      <w:szCs w:val="21"/>
                      <w:highlight w:val="none"/>
                    </w:rPr>
                  </w:pPr>
                  <w:r>
                    <w:rPr>
                      <w:rFonts w:hint="eastAsia"/>
                      <w:b/>
                      <w:color w:val="auto"/>
                      <w:szCs w:val="21"/>
                      <w:highlight w:val="none"/>
                    </w:rPr>
                    <w:t>储存方式</w:t>
                  </w:r>
                </w:p>
              </w:tc>
              <w:tc>
                <w:tcPr>
                  <w:tcW w:w="1108" w:type="pct"/>
                  <w:gridSpan w:val="3"/>
                  <w:vAlign w:val="center"/>
                </w:tcPr>
                <w:p w14:paraId="18A154B1">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改建前</w:t>
                  </w:r>
                </w:p>
              </w:tc>
              <w:tc>
                <w:tcPr>
                  <w:tcW w:w="1048" w:type="pct"/>
                  <w:gridSpan w:val="3"/>
                  <w:vAlign w:val="center"/>
                </w:tcPr>
                <w:p w14:paraId="50E6D306">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改建后</w:t>
                  </w:r>
                </w:p>
              </w:tc>
              <w:tc>
                <w:tcPr>
                  <w:tcW w:w="357" w:type="pct"/>
                  <w:vMerge w:val="restart"/>
                  <w:vAlign w:val="center"/>
                </w:tcPr>
                <w:p w14:paraId="088CC46D">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增减量</w:t>
                  </w:r>
                </w:p>
              </w:tc>
              <w:tc>
                <w:tcPr>
                  <w:tcW w:w="302" w:type="pct"/>
                  <w:vMerge w:val="restart"/>
                  <w:vAlign w:val="center"/>
                </w:tcPr>
                <w:p w14:paraId="40635299">
                  <w:pPr>
                    <w:spacing w:line="276" w:lineRule="auto"/>
                    <w:jc w:val="center"/>
                    <w:rPr>
                      <w:b/>
                      <w:color w:val="auto"/>
                      <w:szCs w:val="21"/>
                      <w:highlight w:val="none"/>
                    </w:rPr>
                  </w:pPr>
                  <w:r>
                    <w:rPr>
                      <w:rFonts w:hint="eastAsia"/>
                      <w:b/>
                      <w:color w:val="auto"/>
                      <w:szCs w:val="21"/>
                      <w:highlight w:val="none"/>
                    </w:rPr>
                    <w:t>储存位置</w:t>
                  </w:r>
                </w:p>
              </w:tc>
              <w:tc>
                <w:tcPr>
                  <w:tcW w:w="443" w:type="pct"/>
                  <w:vMerge w:val="restart"/>
                  <w:vAlign w:val="center"/>
                </w:tcPr>
                <w:p w14:paraId="1E7C6802">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备注</w:t>
                  </w:r>
                </w:p>
              </w:tc>
            </w:tr>
            <w:tr w14:paraId="50ADF4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50" w:hRule="atLeast"/>
                <w:jc w:val="center"/>
              </w:trPr>
              <w:tc>
                <w:tcPr>
                  <w:tcW w:w="242" w:type="pct"/>
                  <w:vMerge w:val="continue"/>
                  <w:vAlign w:val="center"/>
                </w:tcPr>
                <w:p w14:paraId="46A66584">
                  <w:pPr>
                    <w:spacing w:line="276" w:lineRule="auto"/>
                    <w:jc w:val="center"/>
                    <w:rPr>
                      <w:b/>
                      <w:color w:val="auto"/>
                      <w:szCs w:val="21"/>
                      <w:highlight w:val="none"/>
                    </w:rPr>
                  </w:pPr>
                </w:p>
              </w:tc>
              <w:tc>
                <w:tcPr>
                  <w:tcW w:w="353" w:type="pct"/>
                  <w:vMerge w:val="continue"/>
                  <w:vAlign w:val="center"/>
                </w:tcPr>
                <w:p w14:paraId="1091FDE0">
                  <w:pPr>
                    <w:spacing w:line="276" w:lineRule="auto"/>
                    <w:jc w:val="center"/>
                    <w:rPr>
                      <w:b/>
                      <w:color w:val="auto"/>
                      <w:szCs w:val="21"/>
                      <w:highlight w:val="none"/>
                    </w:rPr>
                  </w:pPr>
                </w:p>
              </w:tc>
              <w:tc>
                <w:tcPr>
                  <w:tcW w:w="263" w:type="pct"/>
                  <w:vMerge w:val="continue"/>
                  <w:vAlign w:val="center"/>
                </w:tcPr>
                <w:p w14:paraId="3449ABAF">
                  <w:pPr>
                    <w:spacing w:line="276" w:lineRule="auto"/>
                    <w:jc w:val="center"/>
                    <w:rPr>
                      <w:b/>
                      <w:color w:val="auto"/>
                      <w:szCs w:val="21"/>
                      <w:highlight w:val="none"/>
                    </w:rPr>
                  </w:pPr>
                </w:p>
              </w:tc>
              <w:tc>
                <w:tcPr>
                  <w:tcW w:w="453" w:type="pct"/>
                  <w:vMerge w:val="continue"/>
                  <w:vAlign w:val="center"/>
                </w:tcPr>
                <w:p w14:paraId="611F5BCC">
                  <w:pPr>
                    <w:spacing w:line="276" w:lineRule="auto"/>
                    <w:jc w:val="center"/>
                    <w:rPr>
                      <w:b/>
                      <w:color w:val="auto"/>
                      <w:szCs w:val="21"/>
                      <w:highlight w:val="none"/>
                    </w:rPr>
                  </w:pPr>
                </w:p>
              </w:tc>
              <w:tc>
                <w:tcPr>
                  <w:tcW w:w="426" w:type="pct"/>
                  <w:vMerge w:val="continue"/>
                  <w:vAlign w:val="center"/>
                </w:tcPr>
                <w:p w14:paraId="473F14AB">
                  <w:pPr>
                    <w:spacing w:line="276" w:lineRule="auto"/>
                    <w:jc w:val="center"/>
                    <w:rPr>
                      <w:b/>
                      <w:color w:val="auto"/>
                      <w:szCs w:val="21"/>
                      <w:highlight w:val="none"/>
                    </w:rPr>
                  </w:pPr>
                </w:p>
              </w:tc>
              <w:tc>
                <w:tcPr>
                  <w:tcW w:w="370" w:type="pct"/>
                  <w:vAlign w:val="center"/>
                </w:tcPr>
                <w:p w14:paraId="63916C91">
                  <w:pPr>
                    <w:spacing w:line="276" w:lineRule="auto"/>
                    <w:jc w:val="center"/>
                    <w:rPr>
                      <w:b/>
                      <w:color w:val="auto"/>
                      <w:szCs w:val="21"/>
                      <w:highlight w:val="none"/>
                    </w:rPr>
                  </w:pPr>
                  <w:r>
                    <w:rPr>
                      <w:rFonts w:hint="eastAsia"/>
                      <w:b/>
                      <w:color w:val="auto"/>
                      <w:szCs w:val="21"/>
                      <w:highlight w:val="none"/>
                    </w:rPr>
                    <w:t>年用量</w:t>
                  </w:r>
                </w:p>
              </w:tc>
              <w:tc>
                <w:tcPr>
                  <w:tcW w:w="438" w:type="pct"/>
                  <w:vAlign w:val="center"/>
                </w:tcPr>
                <w:p w14:paraId="7AB15D83">
                  <w:pPr>
                    <w:spacing w:line="276" w:lineRule="auto"/>
                    <w:jc w:val="center"/>
                    <w:rPr>
                      <w:b/>
                      <w:color w:val="auto"/>
                      <w:szCs w:val="21"/>
                      <w:highlight w:val="none"/>
                    </w:rPr>
                  </w:pPr>
                  <w:r>
                    <w:rPr>
                      <w:rFonts w:hint="eastAsia"/>
                      <w:b/>
                      <w:color w:val="auto"/>
                      <w:szCs w:val="21"/>
                      <w:highlight w:val="none"/>
                    </w:rPr>
                    <w:t>最大储存量</w:t>
                  </w:r>
                </w:p>
              </w:tc>
              <w:tc>
                <w:tcPr>
                  <w:tcW w:w="299" w:type="pct"/>
                  <w:vAlign w:val="center"/>
                </w:tcPr>
                <w:p w14:paraId="0036B463">
                  <w:pPr>
                    <w:spacing w:line="276" w:lineRule="auto"/>
                    <w:jc w:val="center"/>
                    <w:rPr>
                      <w:b/>
                      <w:color w:val="auto"/>
                      <w:szCs w:val="21"/>
                      <w:highlight w:val="none"/>
                    </w:rPr>
                  </w:pPr>
                  <w:r>
                    <w:rPr>
                      <w:rFonts w:hint="eastAsia"/>
                      <w:b/>
                      <w:color w:val="auto"/>
                      <w:szCs w:val="21"/>
                      <w:highlight w:val="none"/>
                    </w:rPr>
                    <w:t>储存周期</w:t>
                  </w:r>
                </w:p>
              </w:tc>
              <w:tc>
                <w:tcPr>
                  <w:tcW w:w="278" w:type="pct"/>
                  <w:vAlign w:val="center"/>
                </w:tcPr>
                <w:p w14:paraId="3D8D4B42">
                  <w:pPr>
                    <w:spacing w:line="276" w:lineRule="auto"/>
                    <w:jc w:val="center"/>
                    <w:rPr>
                      <w:rFonts w:hint="eastAsia"/>
                      <w:b/>
                      <w:color w:val="auto"/>
                      <w:szCs w:val="21"/>
                      <w:highlight w:val="none"/>
                    </w:rPr>
                  </w:pPr>
                  <w:r>
                    <w:rPr>
                      <w:rFonts w:hint="eastAsia"/>
                      <w:b/>
                      <w:color w:val="auto"/>
                      <w:szCs w:val="21"/>
                      <w:highlight w:val="none"/>
                    </w:rPr>
                    <w:t>年用量</w:t>
                  </w:r>
                </w:p>
              </w:tc>
              <w:tc>
                <w:tcPr>
                  <w:tcW w:w="400" w:type="pct"/>
                  <w:vAlign w:val="center"/>
                </w:tcPr>
                <w:p w14:paraId="7B62D6BE">
                  <w:pPr>
                    <w:spacing w:line="276" w:lineRule="auto"/>
                    <w:jc w:val="center"/>
                    <w:rPr>
                      <w:rFonts w:hint="eastAsia"/>
                      <w:b/>
                      <w:color w:val="auto"/>
                      <w:szCs w:val="21"/>
                      <w:highlight w:val="none"/>
                    </w:rPr>
                  </w:pPr>
                  <w:r>
                    <w:rPr>
                      <w:rFonts w:hint="eastAsia"/>
                      <w:b/>
                      <w:color w:val="auto"/>
                      <w:szCs w:val="21"/>
                      <w:highlight w:val="none"/>
                    </w:rPr>
                    <w:t>最大储存量</w:t>
                  </w:r>
                </w:p>
              </w:tc>
              <w:tc>
                <w:tcPr>
                  <w:tcW w:w="368" w:type="pct"/>
                  <w:vAlign w:val="center"/>
                </w:tcPr>
                <w:p w14:paraId="2285F9B0">
                  <w:pPr>
                    <w:spacing w:line="276" w:lineRule="auto"/>
                    <w:jc w:val="center"/>
                    <w:rPr>
                      <w:rFonts w:hint="eastAsia"/>
                      <w:b/>
                      <w:color w:val="auto"/>
                      <w:szCs w:val="21"/>
                      <w:highlight w:val="none"/>
                    </w:rPr>
                  </w:pPr>
                  <w:r>
                    <w:rPr>
                      <w:rFonts w:hint="eastAsia"/>
                      <w:b/>
                      <w:color w:val="auto"/>
                      <w:szCs w:val="21"/>
                      <w:highlight w:val="none"/>
                    </w:rPr>
                    <w:t>储存周期</w:t>
                  </w:r>
                </w:p>
              </w:tc>
              <w:tc>
                <w:tcPr>
                  <w:tcW w:w="357" w:type="pct"/>
                  <w:vMerge w:val="continue"/>
                  <w:vAlign w:val="center"/>
                </w:tcPr>
                <w:p w14:paraId="14F8AD07">
                  <w:pPr>
                    <w:spacing w:line="276" w:lineRule="auto"/>
                    <w:jc w:val="center"/>
                    <w:rPr>
                      <w:b/>
                      <w:color w:val="auto"/>
                      <w:szCs w:val="21"/>
                      <w:highlight w:val="none"/>
                    </w:rPr>
                  </w:pPr>
                </w:p>
              </w:tc>
              <w:tc>
                <w:tcPr>
                  <w:tcW w:w="302" w:type="pct"/>
                  <w:vMerge w:val="continue"/>
                  <w:vAlign w:val="center"/>
                </w:tcPr>
                <w:p w14:paraId="0DFA90FD">
                  <w:pPr>
                    <w:spacing w:line="276" w:lineRule="auto"/>
                    <w:jc w:val="center"/>
                    <w:rPr>
                      <w:b/>
                      <w:color w:val="auto"/>
                      <w:szCs w:val="21"/>
                      <w:highlight w:val="none"/>
                    </w:rPr>
                  </w:pPr>
                </w:p>
              </w:tc>
              <w:tc>
                <w:tcPr>
                  <w:tcW w:w="443" w:type="pct"/>
                  <w:vMerge w:val="continue"/>
                  <w:vAlign w:val="center"/>
                </w:tcPr>
                <w:p w14:paraId="547B6323">
                  <w:pPr>
                    <w:spacing w:line="276" w:lineRule="auto"/>
                    <w:jc w:val="center"/>
                    <w:rPr>
                      <w:b/>
                      <w:color w:val="auto"/>
                      <w:szCs w:val="21"/>
                      <w:highlight w:val="none"/>
                    </w:rPr>
                  </w:pPr>
                </w:p>
              </w:tc>
            </w:tr>
            <w:tr w14:paraId="5B2159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332" w:hRule="atLeast"/>
                <w:jc w:val="center"/>
              </w:trPr>
              <w:tc>
                <w:tcPr>
                  <w:tcW w:w="242" w:type="pct"/>
                  <w:vAlign w:val="center"/>
                </w:tcPr>
                <w:p w14:paraId="2DD1FEE9">
                  <w:pPr>
                    <w:spacing w:line="276" w:lineRule="auto"/>
                    <w:jc w:val="center"/>
                    <w:rPr>
                      <w:color w:val="auto"/>
                      <w:szCs w:val="21"/>
                      <w:highlight w:val="none"/>
                    </w:rPr>
                  </w:pPr>
                  <w:r>
                    <w:rPr>
                      <w:rFonts w:hint="eastAsia"/>
                      <w:color w:val="auto"/>
                      <w:szCs w:val="21"/>
                      <w:highlight w:val="none"/>
                    </w:rPr>
                    <w:t>1</w:t>
                  </w:r>
                </w:p>
              </w:tc>
              <w:tc>
                <w:tcPr>
                  <w:tcW w:w="353" w:type="pct"/>
                  <w:vAlign w:val="center"/>
                </w:tcPr>
                <w:p w14:paraId="524EE172">
                  <w:pPr>
                    <w:spacing w:line="276" w:lineRule="auto"/>
                    <w:jc w:val="center"/>
                    <w:rPr>
                      <w:color w:val="auto"/>
                      <w:szCs w:val="21"/>
                      <w:highlight w:val="none"/>
                    </w:rPr>
                  </w:pPr>
                  <w:r>
                    <w:rPr>
                      <w:rFonts w:hint="eastAsia"/>
                      <w:color w:val="auto"/>
                      <w:szCs w:val="21"/>
                      <w:highlight w:val="none"/>
                    </w:rPr>
                    <w:t>乙烯</w:t>
                  </w:r>
                </w:p>
              </w:tc>
              <w:tc>
                <w:tcPr>
                  <w:tcW w:w="263" w:type="pct"/>
                  <w:vAlign w:val="center"/>
                </w:tcPr>
                <w:p w14:paraId="72D6D23D">
                  <w:pPr>
                    <w:spacing w:line="276" w:lineRule="auto"/>
                    <w:jc w:val="center"/>
                    <w:rPr>
                      <w:color w:val="auto"/>
                      <w:szCs w:val="21"/>
                      <w:highlight w:val="none"/>
                    </w:rPr>
                  </w:pPr>
                  <w:r>
                    <w:rPr>
                      <w:rFonts w:hint="eastAsia"/>
                      <w:color w:val="auto"/>
                      <w:szCs w:val="21"/>
                      <w:highlight w:val="none"/>
                    </w:rPr>
                    <w:t>液态</w:t>
                  </w:r>
                </w:p>
              </w:tc>
              <w:tc>
                <w:tcPr>
                  <w:tcW w:w="453" w:type="pct"/>
                  <w:vAlign w:val="center"/>
                </w:tcPr>
                <w:p w14:paraId="046E30F4">
                  <w:pPr>
                    <w:spacing w:line="276" w:lineRule="auto"/>
                    <w:jc w:val="center"/>
                    <w:rPr>
                      <w:color w:val="auto"/>
                      <w:szCs w:val="21"/>
                      <w:highlight w:val="none"/>
                    </w:rPr>
                  </w:pPr>
                  <w:r>
                    <w:rPr>
                      <w:rFonts w:hint="eastAsia"/>
                      <w:color w:val="auto"/>
                      <w:szCs w:val="21"/>
                      <w:highlight w:val="none"/>
                    </w:rPr>
                    <w:t>-160</w:t>
                  </w:r>
                  <w:r>
                    <w:rPr>
                      <w:color w:val="auto"/>
                      <w:szCs w:val="21"/>
                      <w:highlight w:val="none"/>
                    </w:rPr>
                    <w:t>℃</w:t>
                  </w:r>
                  <w:r>
                    <w:rPr>
                      <w:rFonts w:hint="eastAsia"/>
                      <w:color w:val="auto"/>
                      <w:szCs w:val="21"/>
                      <w:highlight w:val="none"/>
                    </w:rPr>
                    <w:t>，0.2~0.6MPa</w:t>
                  </w:r>
                </w:p>
              </w:tc>
              <w:tc>
                <w:tcPr>
                  <w:tcW w:w="426" w:type="pct"/>
                  <w:vAlign w:val="center"/>
                </w:tcPr>
                <w:p w14:paraId="27B0B13B">
                  <w:pPr>
                    <w:spacing w:line="276" w:lineRule="auto"/>
                    <w:jc w:val="center"/>
                    <w:rPr>
                      <w:color w:val="auto"/>
                      <w:szCs w:val="21"/>
                      <w:highlight w:val="none"/>
                    </w:rPr>
                  </w:pPr>
                  <w:r>
                    <w:rPr>
                      <w:rFonts w:hint="eastAsia"/>
                      <w:color w:val="auto"/>
                      <w:szCs w:val="21"/>
                      <w:highlight w:val="none"/>
                    </w:rPr>
                    <w:t>30m</w:t>
                  </w:r>
                  <w:r>
                    <w:rPr>
                      <w:rFonts w:hint="eastAsia"/>
                      <w:color w:val="auto"/>
                      <w:szCs w:val="21"/>
                      <w:highlight w:val="none"/>
                      <w:vertAlign w:val="superscript"/>
                    </w:rPr>
                    <w:t>3</w:t>
                  </w:r>
                  <w:r>
                    <w:rPr>
                      <w:rFonts w:hint="eastAsia"/>
                      <w:color w:val="auto"/>
                      <w:szCs w:val="21"/>
                      <w:highlight w:val="none"/>
                    </w:rPr>
                    <w:t>低温储罐</w:t>
                  </w:r>
                </w:p>
              </w:tc>
              <w:tc>
                <w:tcPr>
                  <w:tcW w:w="370" w:type="pct"/>
                  <w:vAlign w:val="center"/>
                </w:tcPr>
                <w:p w14:paraId="555644B1">
                  <w:pPr>
                    <w:spacing w:line="276" w:lineRule="auto"/>
                    <w:jc w:val="center"/>
                    <w:rPr>
                      <w:color w:val="auto"/>
                      <w:szCs w:val="21"/>
                      <w:highlight w:val="none"/>
                    </w:rPr>
                  </w:pPr>
                  <w:r>
                    <w:rPr>
                      <w:rFonts w:hint="eastAsia"/>
                      <w:color w:val="auto"/>
                      <w:szCs w:val="21"/>
                      <w:highlight w:val="none"/>
                    </w:rPr>
                    <w:t>4000t</w:t>
                  </w:r>
                </w:p>
              </w:tc>
              <w:tc>
                <w:tcPr>
                  <w:tcW w:w="438" w:type="pct"/>
                  <w:vAlign w:val="center"/>
                </w:tcPr>
                <w:p w14:paraId="057036FE">
                  <w:pPr>
                    <w:spacing w:line="276" w:lineRule="auto"/>
                    <w:jc w:val="center"/>
                    <w:rPr>
                      <w:color w:val="auto"/>
                      <w:szCs w:val="21"/>
                      <w:highlight w:val="none"/>
                    </w:rPr>
                  </w:pPr>
                  <w:r>
                    <w:rPr>
                      <w:rFonts w:hint="eastAsia"/>
                      <w:color w:val="auto"/>
                      <w:szCs w:val="21"/>
                      <w:highlight w:val="none"/>
                    </w:rPr>
                    <w:t>39t</w:t>
                  </w:r>
                </w:p>
              </w:tc>
              <w:tc>
                <w:tcPr>
                  <w:tcW w:w="299" w:type="pct"/>
                  <w:vAlign w:val="center"/>
                </w:tcPr>
                <w:p w14:paraId="5CCB304F">
                  <w:pPr>
                    <w:spacing w:line="276" w:lineRule="auto"/>
                    <w:jc w:val="center"/>
                    <w:rPr>
                      <w:color w:val="auto"/>
                      <w:szCs w:val="21"/>
                      <w:highlight w:val="none"/>
                    </w:rPr>
                  </w:pPr>
                  <w:r>
                    <w:rPr>
                      <w:rFonts w:hint="eastAsia"/>
                      <w:color w:val="auto"/>
                      <w:szCs w:val="21"/>
                      <w:highlight w:val="none"/>
                    </w:rPr>
                    <w:t>3d</w:t>
                  </w:r>
                </w:p>
              </w:tc>
              <w:tc>
                <w:tcPr>
                  <w:tcW w:w="278" w:type="pct"/>
                  <w:vAlign w:val="center"/>
                </w:tcPr>
                <w:p w14:paraId="4C7EA9A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2000t</w:t>
                  </w:r>
                </w:p>
              </w:tc>
              <w:tc>
                <w:tcPr>
                  <w:tcW w:w="400" w:type="pct"/>
                  <w:vAlign w:val="center"/>
                </w:tcPr>
                <w:p w14:paraId="6B2FA38C">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19.5t</w:t>
                  </w:r>
                </w:p>
              </w:tc>
              <w:tc>
                <w:tcPr>
                  <w:tcW w:w="368" w:type="pct"/>
                  <w:vAlign w:val="center"/>
                </w:tcPr>
                <w:p w14:paraId="75E15734">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2.5d</w:t>
                  </w:r>
                </w:p>
              </w:tc>
              <w:tc>
                <w:tcPr>
                  <w:tcW w:w="357" w:type="pct"/>
                  <w:vAlign w:val="center"/>
                </w:tcPr>
                <w:p w14:paraId="784A8205">
                  <w:pPr>
                    <w:spacing w:line="276" w:lineRule="auto"/>
                    <w:jc w:val="center"/>
                    <w:rPr>
                      <w:rFonts w:hint="default"/>
                      <w:color w:val="auto"/>
                      <w:szCs w:val="21"/>
                      <w:highlight w:val="none"/>
                      <w:lang w:val="en-US" w:eastAsia="zh-CN"/>
                    </w:rPr>
                  </w:pPr>
                  <w:r>
                    <w:rPr>
                      <w:rFonts w:hint="eastAsia"/>
                      <w:color w:val="auto"/>
                      <w:szCs w:val="21"/>
                      <w:highlight w:val="none"/>
                      <w:lang w:val="en-US" w:eastAsia="zh-CN"/>
                    </w:rPr>
                    <w:t>-2000t</w:t>
                  </w:r>
                </w:p>
              </w:tc>
              <w:tc>
                <w:tcPr>
                  <w:tcW w:w="302" w:type="pct"/>
                  <w:vMerge w:val="restart"/>
                  <w:vAlign w:val="center"/>
                </w:tcPr>
                <w:p w14:paraId="036DAAE6">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储罐区</w:t>
                  </w:r>
                </w:p>
              </w:tc>
              <w:tc>
                <w:tcPr>
                  <w:tcW w:w="443" w:type="pct"/>
                  <w:vAlign w:val="center"/>
                </w:tcPr>
                <w:p w14:paraId="04EBCD96">
                  <w:pPr>
                    <w:spacing w:line="276" w:lineRule="auto"/>
                    <w:jc w:val="center"/>
                    <w:rPr>
                      <w:rFonts w:hint="default"/>
                      <w:color w:val="auto"/>
                      <w:szCs w:val="21"/>
                      <w:highlight w:val="none"/>
                      <w:lang w:val="en-US" w:eastAsia="zh-CN"/>
                    </w:rPr>
                  </w:pPr>
                  <w:r>
                    <w:rPr>
                      <w:rFonts w:hint="eastAsia"/>
                      <w:color w:val="auto"/>
                      <w:szCs w:val="21"/>
                      <w:highlight w:val="none"/>
                      <w:lang w:val="en-US" w:eastAsia="zh-CN"/>
                    </w:rPr>
                    <w:t>改建后停用1台低温乙烯储罐及配套设施，乙烯储存能力削减</w:t>
                  </w:r>
                </w:p>
              </w:tc>
            </w:tr>
            <w:tr w14:paraId="5432C7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50" w:hRule="atLeast"/>
                <w:jc w:val="center"/>
              </w:trPr>
              <w:tc>
                <w:tcPr>
                  <w:tcW w:w="242" w:type="pct"/>
                  <w:vAlign w:val="center"/>
                </w:tcPr>
                <w:p w14:paraId="024FA0C9">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2</w:t>
                  </w:r>
                </w:p>
              </w:tc>
              <w:tc>
                <w:tcPr>
                  <w:tcW w:w="353" w:type="pct"/>
                  <w:vAlign w:val="center"/>
                </w:tcPr>
                <w:p w14:paraId="57EE962E">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丙烷</w:t>
                  </w:r>
                </w:p>
              </w:tc>
              <w:tc>
                <w:tcPr>
                  <w:tcW w:w="263" w:type="pct"/>
                  <w:vAlign w:val="center"/>
                </w:tcPr>
                <w:p w14:paraId="184F2C08">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液态</w:t>
                  </w:r>
                </w:p>
              </w:tc>
              <w:tc>
                <w:tcPr>
                  <w:tcW w:w="453" w:type="pct"/>
                  <w:vAlign w:val="center"/>
                </w:tcPr>
                <w:p w14:paraId="441A6B1A">
                  <w:pPr>
                    <w:spacing w:line="276" w:lineRule="auto"/>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lang w:val="en-US" w:eastAsia="zh-CN"/>
                    </w:rPr>
                    <w:t>-19~50℃、1.61</w:t>
                  </w:r>
                  <w:r>
                    <w:rPr>
                      <w:rFonts w:hint="default" w:ascii="Times New Roman" w:hAnsi="Times New Roman" w:cs="Times New Roman"/>
                      <w:bCs/>
                      <w:color w:val="auto"/>
                      <w:szCs w:val="21"/>
                      <w:highlight w:val="none"/>
                    </w:rPr>
                    <w:t>MPa</w:t>
                  </w:r>
                </w:p>
              </w:tc>
              <w:tc>
                <w:tcPr>
                  <w:tcW w:w="426" w:type="pct"/>
                  <w:vAlign w:val="center"/>
                </w:tcPr>
                <w:p w14:paraId="60235CE6">
                  <w:pPr>
                    <w:spacing w:line="276" w:lineRule="auto"/>
                    <w:jc w:val="center"/>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r>
                    <w:rPr>
                      <w:rFonts w:hint="eastAsia"/>
                      <w:color w:val="auto"/>
                      <w:szCs w:val="21"/>
                      <w:highlight w:val="none"/>
                      <w:lang w:val="en-US" w:eastAsia="zh-CN"/>
                    </w:rPr>
                    <w:t>压力</w:t>
                  </w:r>
                  <w:r>
                    <w:rPr>
                      <w:rFonts w:hint="eastAsia"/>
                      <w:color w:val="auto"/>
                      <w:szCs w:val="21"/>
                      <w:highlight w:val="none"/>
                    </w:rPr>
                    <w:t>储罐</w:t>
                  </w:r>
                </w:p>
              </w:tc>
              <w:tc>
                <w:tcPr>
                  <w:tcW w:w="370" w:type="pct"/>
                  <w:vAlign w:val="center"/>
                </w:tcPr>
                <w:p w14:paraId="7E22FD91">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438" w:type="pct"/>
                  <w:vAlign w:val="center"/>
                </w:tcPr>
                <w:p w14:paraId="628977AC">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299" w:type="pct"/>
                  <w:vAlign w:val="center"/>
                </w:tcPr>
                <w:p w14:paraId="0AEC91BD">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278" w:type="pct"/>
                  <w:vAlign w:val="center"/>
                </w:tcPr>
                <w:p w14:paraId="45BC7615">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1000t</w:t>
                  </w:r>
                </w:p>
              </w:tc>
              <w:tc>
                <w:tcPr>
                  <w:tcW w:w="400" w:type="pct"/>
                  <w:vAlign w:val="center"/>
                </w:tcPr>
                <w:p w14:paraId="6D883F74">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13.89t</w:t>
                  </w:r>
                </w:p>
              </w:tc>
              <w:tc>
                <w:tcPr>
                  <w:tcW w:w="368" w:type="pct"/>
                  <w:vAlign w:val="center"/>
                </w:tcPr>
                <w:p w14:paraId="7625E991">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4d</w:t>
                  </w:r>
                </w:p>
              </w:tc>
              <w:tc>
                <w:tcPr>
                  <w:tcW w:w="357" w:type="pct"/>
                  <w:vAlign w:val="center"/>
                </w:tcPr>
                <w:p w14:paraId="4592D77E">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+1000t</w:t>
                  </w:r>
                </w:p>
              </w:tc>
              <w:tc>
                <w:tcPr>
                  <w:tcW w:w="302" w:type="pct"/>
                  <w:vMerge w:val="continue"/>
                  <w:vAlign w:val="center"/>
                </w:tcPr>
                <w:p w14:paraId="0329D7C7">
                  <w:pPr>
                    <w:spacing w:line="276" w:lineRule="auto"/>
                    <w:jc w:val="center"/>
                    <w:rPr>
                      <w:rFonts w:hint="eastAsia" w:eastAsia="宋体"/>
                      <w:color w:val="auto"/>
                      <w:szCs w:val="21"/>
                      <w:highlight w:val="none"/>
                      <w:lang w:val="en-US" w:eastAsia="zh-CN"/>
                    </w:rPr>
                  </w:pPr>
                </w:p>
              </w:tc>
              <w:tc>
                <w:tcPr>
                  <w:tcW w:w="443" w:type="pct"/>
                  <w:vAlign w:val="center"/>
                </w:tcPr>
                <w:p w14:paraId="63B512C8">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新增</w:t>
                  </w:r>
                </w:p>
              </w:tc>
            </w:tr>
            <w:tr w14:paraId="6ABFA1B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81" w:hRule="atLeast"/>
                <w:jc w:val="center"/>
              </w:trPr>
              <w:tc>
                <w:tcPr>
                  <w:tcW w:w="242" w:type="pct"/>
                  <w:vAlign w:val="center"/>
                </w:tcPr>
                <w:p w14:paraId="2A3688EA">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353" w:type="pct"/>
                  <w:vAlign w:val="center"/>
                </w:tcPr>
                <w:p w14:paraId="55813067">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丁烷</w:t>
                  </w:r>
                </w:p>
              </w:tc>
              <w:tc>
                <w:tcPr>
                  <w:tcW w:w="263" w:type="pct"/>
                  <w:vAlign w:val="center"/>
                </w:tcPr>
                <w:p w14:paraId="3B4D4479">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液态</w:t>
                  </w:r>
                </w:p>
              </w:tc>
              <w:tc>
                <w:tcPr>
                  <w:tcW w:w="453" w:type="pct"/>
                  <w:vAlign w:val="center"/>
                </w:tcPr>
                <w:p w14:paraId="24B68F95">
                  <w:pPr>
                    <w:spacing w:line="276" w:lineRule="auto"/>
                    <w:jc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lang w:val="en-US" w:eastAsia="zh-CN"/>
                    </w:rPr>
                    <w:t>-19~50℃、0.78</w:t>
                  </w:r>
                  <w:r>
                    <w:rPr>
                      <w:rFonts w:hint="default" w:ascii="Times New Roman" w:hAnsi="Times New Roman" w:cs="Times New Roman"/>
                      <w:bCs/>
                      <w:color w:val="auto"/>
                      <w:szCs w:val="21"/>
                      <w:highlight w:val="none"/>
                    </w:rPr>
                    <w:t>MPa</w:t>
                  </w:r>
                </w:p>
              </w:tc>
              <w:tc>
                <w:tcPr>
                  <w:tcW w:w="426" w:type="pct"/>
                  <w:vAlign w:val="center"/>
                </w:tcPr>
                <w:p w14:paraId="4A9F934D">
                  <w:pPr>
                    <w:spacing w:line="276" w:lineRule="auto"/>
                    <w:jc w:val="center"/>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r>
                    <w:rPr>
                      <w:rFonts w:hint="eastAsia"/>
                      <w:color w:val="auto"/>
                      <w:szCs w:val="21"/>
                      <w:highlight w:val="none"/>
                      <w:lang w:val="en-US" w:eastAsia="zh-CN"/>
                    </w:rPr>
                    <w:t>压力</w:t>
                  </w:r>
                  <w:r>
                    <w:rPr>
                      <w:rFonts w:hint="eastAsia"/>
                      <w:color w:val="auto"/>
                      <w:szCs w:val="21"/>
                      <w:highlight w:val="none"/>
                    </w:rPr>
                    <w:t>储罐</w:t>
                  </w:r>
                </w:p>
              </w:tc>
              <w:tc>
                <w:tcPr>
                  <w:tcW w:w="370" w:type="pct"/>
                  <w:vAlign w:val="center"/>
                </w:tcPr>
                <w:p w14:paraId="5DEE1DA5">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438" w:type="pct"/>
                  <w:vAlign w:val="center"/>
                </w:tcPr>
                <w:p w14:paraId="7DF54F8D">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0</w:t>
                  </w:r>
                </w:p>
              </w:tc>
              <w:tc>
                <w:tcPr>
                  <w:tcW w:w="299" w:type="pct"/>
                  <w:vAlign w:val="center"/>
                </w:tcPr>
                <w:p w14:paraId="5D1A878F">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278" w:type="pct"/>
                  <w:vAlign w:val="center"/>
                </w:tcPr>
                <w:p w14:paraId="4B42C750">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800t</w:t>
                  </w:r>
                </w:p>
              </w:tc>
              <w:tc>
                <w:tcPr>
                  <w:tcW w:w="400" w:type="pct"/>
                  <w:vAlign w:val="center"/>
                </w:tcPr>
                <w:p w14:paraId="0101A19A">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16.16t</w:t>
                  </w:r>
                </w:p>
              </w:tc>
              <w:tc>
                <w:tcPr>
                  <w:tcW w:w="368" w:type="pct"/>
                  <w:vAlign w:val="center"/>
                </w:tcPr>
                <w:p w14:paraId="536FA435">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6d</w:t>
                  </w:r>
                </w:p>
              </w:tc>
              <w:tc>
                <w:tcPr>
                  <w:tcW w:w="357" w:type="pct"/>
                  <w:vAlign w:val="center"/>
                </w:tcPr>
                <w:p w14:paraId="47AD4FA4">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+800t</w:t>
                  </w:r>
                </w:p>
              </w:tc>
              <w:tc>
                <w:tcPr>
                  <w:tcW w:w="302" w:type="pct"/>
                  <w:vMerge w:val="continue"/>
                  <w:vAlign w:val="center"/>
                </w:tcPr>
                <w:p w14:paraId="580EFA6E">
                  <w:pPr>
                    <w:spacing w:line="276" w:lineRule="auto"/>
                    <w:jc w:val="center"/>
                    <w:rPr>
                      <w:rFonts w:hint="default" w:eastAsia="宋体"/>
                      <w:color w:val="auto"/>
                      <w:szCs w:val="21"/>
                      <w:highlight w:val="none"/>
                      <w:lang w:val="en-US" w:eastAsia="zh-CN"/>
                    </w:rPr>
                  </w:pPr>
                </w:p>
              </w:tc>
              <w:tc>
                <w:tcPr>
                  <w:tcW w:w="443" w:type="pct"/>
                  <w:vAlign w:val="center"/>
                </w:tcPr>
                <w:p w14:paraId="13E6CD7A">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新增</w:t>
                  </w:r>
                </w:p>
              </w:tc>
            </w:tr>
          </w:tbl>
          <w:p w14:paraId="7F1A3552">
            <w:pPr>
              <w:spacing w:line="360" w:lineRule="auto"/>
              <w:ind w:firstLine="482" w:firstLineChars="200"/>
              <w:rPr>
                <w:b/>
                <w:color w:val="auto"/>
                <w:sz w:val="24"/>
                <w:szCs w:val="24"/>
                <w:highlight w:val="none"/>
              </w:rPr>
            </w:pPr>
            <w:r>
              <w:rPr>
                <w:rFonts w:hint="eastAsia"/>
                <w:b/>
                <w:color w:val="auto"/>
                <w:sz w:val="24"/>
                <w:szCs w:val="24"/>
                <w:highlight w:val="none"/>
              </w:rPr>
              <w:t>②氮气</w:t>
            </w:r>
          </w:p>
          <w:p w14:paraId="60EA697E">
            <w:pPr>
              <w:spacing w:line="360" w:lineRule="auto"/>
              <w:ind w:firstLine="480" w:firstLineChars="200"/>
              <w:rPr>
                <w:rFonts w:hAnsi="黑体" w:eastAsia="黑体"/>
                <w:color w:val="auto"/>
                <w:sz w:val="24"/>
                <w:szCs w:val="24"/>
                <w:highlight w:val="none"/>
              </w:rPr>
            </w:pPr>
            <w:r>
              <w:rPr>
                <w:rFonts w:hint="eastAsia"/>
                <w:b w:val="0"/>
                <w:bCs/>
                <w:color w:val="auto"/>
                <w:sz w:val="24"/>
                <w:szCs w:val="24"/>
                <w:highlight w:val="none"/>
              </w:rPr>
              <w:t>本项目新钢瓶来厂后，采用气冷式无油真空泵抽真空，需使用氮气置换2次并再抽真空后投入充装间使用。氮气消耗如下表所示：</w:t>
            </w:r>
          </w:p>
          <w:p w14:paraId="32388566">
            <w:pPr>
              <w:autoSpaceDE w:val="0"/>
              <w:autoSpaceDN w:val="0"/>
              <w:adjustRightInd w:val="0"/>
              <w:snapToGrid w:val="0"/>
              <w:spacing w:line="360" w:lineRule="auto"/>
              <w:jc w:val="center"/>
              <w:rPr>
                <w:rFonts w:eastAsia="黑体"/>
                <w:bCs/>
                <w:color w:val="auto"/>
                <w:sz w:val="24"/>
                <w:szCs w:val="24"/>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2-8</w:t>
            </w:r>
            <w:r>
              <w:rPr>
                <w:rFonts w:hAnsi="黑体" w:eastAsia="黑体"/>
                <w:color w:val="auto"/>
                <w:sz w:val="24"/>
                <w:szCs w:val="24"/>
                <w:highlight w:val="none"/>
              </w:rPr>
              <w:t xml:space="preserve"> 氮气消耗一览表</w:t>
            </w:r>
          </w:p>
          <w:tbl>
            <w:tblPr>
              <w:tblStyle w:val="36"/>
              <w:tblW w:w="809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78"/>
              <w:gridCol w:w="718"/>
              <w:gridCol w:w="718"/>
              <w:gridCol w:w="556"/>
              <w:gridCol w:w="556"/>
              <w:gridCol w:w="537"/>
              <w:gridCol w:w="720"/>
              <w:gridCol w:w="502"/>
              <w:gridCol w:w="502"/>
              <w:gridCol w:w="502"/>
              <w:gridCol w:w="505"/>
              <w:gridCol w:w="502"/>
              <w:gridCol w:w="502"/>
              <w:gridCol w:w="449"/>
              <w:gridCol w:w="449"/>
            </w:tblGrid>
            <w:tr w14:paraId="1B29EE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233" w:type="pct"/>
                  <w:vMerge w:val="restart"/>
                  <w:vAlign w:val="center"/>
                </w:tcPr>
                <w:p w14:paraId="09C9FF6F">
                  <w:pPr>
                    <w:spacing w:line="276" w:lineRule="auto"/>
                    <w:jc w:val="center"/>
                    <w:rPr>
                      <w:b/>
                      <w:color w:val="auto"/>
                      <w:szCs w:val="21"/>
                      <w:highlight w:val="none"/>
                    </w:rPr>
                  </w:pPr>
                  <w:r>
                    <w:rPr>
                      <w:rFonts w:hint="eastAsia"/>
                      <w:b/>
                      <w:color w:val="auto"/>
                      <w:szCs w:val="21"/>
                      <w:highlight w:val="none"/>
                    </w:rPr>
                    <w:t>序号</w:t>
                  </w:r>
                </w:p>
              </w:tc>
              <w:tc>
                <w:tcPr>
                  <w:tcW w:w="443" w:type="pct"/>
                  <w:vMerge w:val="restart"/>
                  <w:vAlign w:val="center"/>
                </w:tcPr>
                <w:p w14:paraId="0C00FF5C">
                  <w:pPr>
                    <w:spacing w:line="276" w:lineRule="auto"/>
                    <w:jc w:val="center"/>
                    <w:rPr>
                      <w:b/>
                      <w:color w:val="auto"/>
                      <w:szCs w:val="21"/>
                      <w:highlight w:val="none"/>
                    </w:rPr>
                  </w:pPr>
                  <w:r>
                    <w:rPr>
                      <w:rFonts w:hint="eastAsia"/>
                      <w:b/>
                      <w:color w:val="auto"/>
                      <w:szCs w:val="21"/>
                      <w:highlight w:val="none"/>
                    </w:rPr>
                    <w:t>原材料名称</w:t>
                  </w:r>
                </w:p>
              </w:tc>
              <w:tc>
                <w:tcPr>
                  <w:tcW w:w="443" w:type="pct"/>
                  <w:vMerge w:val="restart"/>
                  <w:vAlign w:val="center"/>
                </w:tcPr>
                <w:p w14:paraId="1A6CC3AD">
                  <w:pPr>
                    <w:spacing w:line="276" w:lineRule="auto"/>
                    <w:jc w:val="center"/>
                    <w:rPr>
                      <w:b/>
                      <w:color w:val="auto"/>
                      <w:szCs w:val="21"/>
                      <w:highlight w:val="none"/>
                    </w:rPr>
                  </w:pPr>
                  <w:r>
                    <w:rPr>
                      <w:rFonts w:hint="eastAsia"/>
                      <w:b/>
                      <w:color w:val="auto"/>
                      <w:szCs w:val="21"/>
                      <w:highlight w:val="none"/>
                    </w:rPr>
                    <w:t>规格</w:t>
                  </w:r>
                </w:p>
              </w:tc>
              <w:tc>
                <w:tcPr>
                  <w:tcW w:w="1463" w:type="pct"/>
                  <w:gridSpan w:val="4"/>
                  <w:vAlign w:val="center"/>
                </w:tcPr>
                <w:p w14:paraId="4591806E">
                  <w:pPr>
                    <w:spacing w:line="276" w:lineRule="auto"/>
                    <w:jc w:val="center"/>
                    <w:rPr>
                      <w:rFonts w:hint="default" w:eastAsia="宋体"/>
                      <w:b/>
                      <w:color w:val="auto"/>
                      <w:szCs w:val="21"/>
                      <w:highlight w:val="none"/>
                      <w:lang w:val="en-US" w:eastAsia="zh-CN"/>
                    </w:rPr>
                  </w:pPr>
                  <w:r>
                    <w:rPr>
                      <w:rFonts w:hint="eastAsia"/>
                      <w:b/>
                      <w:color w:val="auto"/>
                      <w:szCs w:val="21"/>
                      <w:highlight w:val="none"/>
                      <w:lang w:val="en-US" w:eastAsia="zh-CN"/>
                    </w:rPr>
                    <w:t>改建前</w:t>
                  </w:r>
                </w:p>
              </w:tc>
              <w:tc>
                <w:tcPr>
                  <w:tcW w:w="1241" w:type="pct"/>
                  <w:gridSpan w:val="4"/>
                  <w:vAlign w:val="center"/>
                </w:tcPr>
                <w:p w14:paraId="4A654D4C">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改建后</w:t>
                  </w:r>
                </w:p>
              </w:tc>
              <w:tc>
                <w:tcPr>
                  <w:tcW w:w="310" w:type="pct"/>
                  <w:vMerge w:val="restart"/>
                  <w:vAlign w:val="center"/>
                </w:tcPr>
                <w:p w14:paraId="64987687">
                  <w:pPr>
                    <w:spacing w:line="276" w:lineRule="auto"/>
                    <w:jc w:val="center"/>
                    <w:rPr>
                      <w:rFonts w:hint="default"/>
                      <w:b/>
                      <w:color w:val="auto"/>
                      <w:szCs w:val="21"/>
                      <w:highlight w:val="none"/>
                      <w:lang w:val="en-US" w:eastAsia="zh-CN"/>
                    </w:rPr>
                  </w:pPr>
                  <w:r>
                    <w:rPr>
                      <w:rFonts w:hint="eastAsia"/>
                      <w:b/>
                      <w:color w:val="auto"/>
                      <w:szCs w:val="21"/>
                      <w:highlight w:val="none"/>
                      <w:lang w:val="en-US" w:eastAsia="zh-CN"/>
                    </w:rPr>
                    <w:t>增减量</w:t>
                  </w:r>
                </w:p>
              </w:tc>
              <w:tc>
                <w:tcPr>
                  <w:tcW w:w="310" w:type="pct"/>
                  <w:vMerge w:val="restart"/>
                  <w:vAlign w:val="center"/>
                </w:tcPr>
                <w:p w14:paraId="4C8D2095">
                  <w:pPr>
                    <w:spacing w:line="276" w:lineRule="auto"/>
                    <w:jc w:val="center"/>
                    <w:rPr>
                      <w:b/>
                      <w:color w:val="auto"/>
                      <w:szCs w:val="21"/>
                      <w:highlight w:val="none"/>
                    </w:rPr>
                  </w:pPr>
                  <w:r>
                    <w:rPr>
                      <w:rFonts w:hint="eastAsia"/>
                      <w:b/>
                      <w:color w:val="auto"/>
                      <w:szCs w:val="21"/>
                      <w:highlight w:val="none"/>
                    </w:rPr>
                    <w:t>来源</w:t>
                  </w:r>
                </w:p>
              </w:tc>
              <w:tc>
                <w:tcPr>
                  <w:tcW w:w="277" w:type="pct"/>
                  <w:vMerge w:val="restart"/>
                  <w:vAlign w:val="center"/>
                </w:tcPr>
                <w:p w14:paraId="25FC3FF6">
                  <w:pPr>
                    <w:spacing w:line="276" w:lineRule="auto"/>
                    <w:jc w:val="center"/>
                    <w:rPr>
                      <w:b/>
                      <w:color w:val="auto"/>
                      <w:szCs w:val="21"/>
                      <w:highlight w:val="none"/>
                    </w:rPr>
                  </w:pPr>
                  <w:r>
                    <w:rPr>
                      <w:rFonts w:hint="eastAsia"/>
                      <w:b/>
                      <w:color w:val="auto"/>
                      <w:szCs w:val="21"/>
                      <w:highlight w:val="none"/>
                    </w:rPr>
                    <w:t>存放位置</w:t>
                  </w:r>
                </w:p>
              </w:tc>
              <w:tc>
                <w:tcPr>
                  <w:tcW w:w="277" w:type="pct"/>
                  <w:vMerge w:val="restart"/>
                  <w:vAlign w:val="center"/>
                </w:tcPr>
                <w:p w14:paraId="5ADFC871">
                  <w:pPr>
                    <w:spacing w:line="276" w:lineRule="auto"/>
                    <w:jc w:val="center"/>
                    <w:rPr>
                      <w:rFonts w:hint="eastAsia" w:eastAsia="宋体"/>
                      <w:b/>
                      <w:color w:val="auto"/>
                      <w:szCs w:val="21"/>
                      <w:highlight w:val="none"/>
                      <w:lang w:val="en-US" w:eastAsia="zh-CN"/>
                    </w:rPr>
                  </w:pPr>
                  <w:r>
                    <w:rPr>
                      <w:rFonts w:hint="eastAsia"/>
                      <w:b/>
                      <w:color w:val="auto"/>
                      <w:szCs w:val="21"/>
                      <w:highlight w:val="none"/>
                      <w:lang w:val="en-US" w:eastAsia="zh-CN"/>
                    </w:rPr>
                    <w:t>备注</w:t>
                  </w:r>
                </w:p>
              </w:tc>
            </w:tr>
            <w:tr w14:paraId="4488AAC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1798" w:hRule="atLeast"/>
                <w:jc w:val="center"/>
              </w:trPr>
              <w:tc>
                <w:tcPr>
                  <w:tcW w:w="233" w:type="pct"/>
                  <w:vMerge w:val="continue"/>
                  <w:vAlign w:val="center"/>
                </w:tcPr>
                <w:p w14:paraId="21FC6321">
                  <w:pPr>
                    <w:spacing w:line="276" w:lineRule="auto"/>
                    <w:jc w:val="center"/>
                    <w:rPr>
                      <w:b/>
                      <w:color w:val="auto"/>
                      <w:szCs w:val="21"/>
                      <w:highlight w:val="none"/>
                    </w:rPr>
                  </w:pPr>
                </w:p>
              </w:tc>
              <w:tc>
                <w:tcPr>
                  <w:tcW w:w="443" w:type="pct"/>
                  <w:vMerge w:val="continue"/>
                  <w:vAlign w:val="center"/>
                </w:tcPr>
                <w:p w14:paraId="0C5349DD">
                  <w:pPr>
                    <w:spacing w:line="276" w:lineRule="auto"/>
                    <w:jc w:val="center"/>
                    <w:rPr>
                      <w:b/>
                      <w:color w:val="auto"/>
                      <w:szCs w:val="21"/>
                      <w:highlight w:val="none"/>
                    </w:rPr>
                  </w:pPr>
                </w:p>
              </w:tc>
              <w:tc>
                <w:tcPr>
                  <w:tcW w:w="443" w:type="pct"/>
                  <w:vMerge w:val="continue"/>
                  <w:vAlign w:val="center"/>
                </w:tcPr>
                <w:p w14:paraId="1BAFD611">
                  <w:pPr>
                    <w:spacing w:line="276" w:lineRule="auto"/>
                    <w:jc w:val="center"/>
                    <w:rPr>
                      <w:b/>
                      <w:color w:val="auto"/>
                      <w:szCs w:val="21"/>
                      <w:highlight w:val="none"/>
                    </w:rPr>
                  </w:pPr>
                </w:p>
              </w:tc>
              <w:tc>
                <w:tcPr>
                  <w:tcW w:w="343" w:type="pct"/>
                  <w:vAlign w:val="center"/>
                </w:tcPr>
                <w:p w14:paraId="3D1CD1A2">
                  <w:pPr>
                    <w:spacing w:line="276" w:lineRule="auto"/>
                    <w:jc w:val="center"/>
                    <w:rPr>
                      <w:b/>
                      <w:color w:val="auto"/>
                      <w:szCs w:val="21"/>
                      <w:highlight w:val="none"/>
                    </w:rPr>
                  </w:pPr>
                  <w:r>
                    <w:rPr>
                      <w:rFonts w:hint="eastAsia"/>
                      <w:b/>
                      <w:color w:val="auto"/>
                      <w:szCs w:val="21"/>
                      <w:highlight w:val="none"/>
                    </w:rPr>
                    <w:t>数量（瓶）</w:t>
                  </w:r>
                </w:p>
              </w:tc>
              <w:tc>
                <w:tcPr>
                  <w:tcW w:w="343" w:type="pct"/>
                  <w:vAlign w:val="center"/>
                </w:tcPr>
                <w:p w14:paraId="65FABC5A">
                  <w:pPr>
                    <w:spacing w:line="276" w:lineRule="auto"/>
                    <w:jc w:val="center"/>
                    <w:rPr>
                      <w:b/>
                      <w:color w:val="auto"/>
                      <w:szCs w:val="21"/>
                      <w:highlight w:val="none"/>
                    </w:rPr>
                  </w:pPr>
                  <w:r>
                    <w:rPr>
                      <w:rFonts w:hint="eastAsia"/>
                      <w:b/>
                      <w:color w:val="auto"/>
                      <w:szCs w:val="21"/>
                      <w:highlight w:val="none"/>
                    </w:rPr>
                    <w:t>年用量</w:t>
                  </w:r>
                </w:p>
              </w:tc>
              <w:tc>
                <w:tcPr>
                  <w:tcW w:w="331" w:type="pct"/>
                  <w:vAlign w:val="center"/>
                </w:tcPr>
                <w:p w14:paraId="38979645">
                  <w:pPr>
                    <w:spacing w:line="276" w:lineRule="auto"/>
                    <w:jc w:val="center"/>
                    <w:rPr>
                      <w:b/>
                      <w:color w:val="auto"/>
                      <w:szCs w:val="21"/>
                      <w:highlight w:val="none"/>
                    </w:rPr>
                  </w:pPr>
                  <w:r>
                    <w:rPr>
                      <w:rFonts w:hint="eastAsia"/>
                      <w:b/>
                      <w:color w:val="auto"/>
                      <w:szCs w:val="21"/>
                      <w:highlight w:val="none"/>
                    </w:rPr>
                    <w:t>最大储存量</w:t>
                  </w:r>
                </w:p>
              </w:tc>
              <w:tc>
                <w:tcPr>
                  <w:tcW w:w="444" w:type="pct"/>
                  <w:vAlign w:val="center"/>
                </w:tcPr>
                <w:p w14:paraId="0955540F">
                  <w:pPr>
                    <w:spacing w:line="276" w:lineRule="auto"/>
                    <w:jc w:val="center"/>
                    <w:rPr>
                      <w:b/>
                      <w:color w:val="auto"/>
                      <w:szCs w:val="21"/>
                      <w:highlight w:val="none"/>
                    </w:rPr>
                  </w:pPr>
                  <w:r>
                    <w:rPr>
                      <w:rFonts w:hint="eastAsia"/>
                      <w:b/>
                      <w:color w:val="auto"/>
                      <w:szCs w:val="21"/>
                      <w:highlight w:val="none"/>
                    </w:rPr>
                    <w:t>储存周期</w:t>
                  </w:r>
                </w:p>
              </w:tc>
              <w:tc>
                <w:tcPr>
                  <w:tcW w:w="310" w:type="pct"/>
                  <w:vAlign w:val="center"/>
                </w:tcPr>
                <w:p w14:paraId="4963D43F">
                  <w:pPr>
                    <w:spacing w:line="276" w:lineRule="auto"/>
                    <w:jc w:val="center"/>
                    <w:rPr>
                      <w:rFonts w:hint="eastAsia"/>
                      <w:b/>
                      <w:color w:val="auto"/>
                      <w:szCs w:val="21"/>
                      <w:highlight w:val="none"/>
                    </w:rPr>
                  </w:pPr>
                  <w:r>
                    <w:rPr>
                      <w:rFonts w:hint="eastAsia"/>
                      <w:b/>
                      <w:color w:val="auto"/>
                      <w:szCs w:val="21"/>
                      <w:highlight w:val="none"/>
                    </w:rPr>
                    <w:t>数量（瓶）</w:t>
                  </w:r>
                </w:p>
              </w:tc>
              <w:tc>
                <w:tcPr>
                  <w:tcW w:w="310" w:type="pct"/>
                  <w:vAlign w:val="center"/>
                </w:tcPr>
                <w:p w14:paraId="3E4B737F">
                  <w:pPr>
                    <w:spacing w:line="276" w:lineRule="auto"/>
                    <w:jc w:val="center"/>
                    <w:rPr>
                      <w:rFonts w:hint="eastAsia"/>
                      <w:b/>
                      <w:color w:val="auto"/>
                      <w:szCs w:val="21"/>
                      <w:highlight w:val="none"/>
                    </w:rPr>
                  </w:pPr>
                  <w:r>
                    <w:rPr>
                      <w:rFonts w:hint="eastAsia"/>
                      <w:b/>
                      <w:color w:val="auto"/>
                      <w:szCs w:val="21"/>
                      <w:highlight w:val="none"/>
                    </w:rPr>
                    <w:t>年用量</w:t>
                  </w:r>
                </w:p>
              </w:tc>
              <w:tc>
                <w:tcPr>
                  <w:tcW w:w="310" w:type="pct"/>
                  <w:vAlign w:val="center"/>
                </w:tcPr>
                <w:p w14:paraId="696593C6">
                  <w:pPr>
                    <w:spacing w:line="276" w:lineRule="auto"/>
                    <w:jc w:val="center"/>
                    <w:rPr>
                      <w:rFonts w:hint="eastAsia"/>
                      <w:b/>
                      <w:color w:val="auto"/>
                      <w:szCs w:val="21"/>
                      <w:highlight w:val="none"/>
                    </w:rPr>
                  </w:pPr>
                  <w:r>
                    <w:rPr>
                      <w:rFonts w:hint="eastAsia"/>
                      <w:b/>
                      <w:color w:val="auto"/>
                      <w:szCs w:val="21"/>
                      <w:highlight w:val="none"/>
                    </w:rPr>
                    <w:t>最大储存量</w:t>
                  </w:r>
                </w:p>
              </w:tc>
              <w:tc>
                <w:tcPr>
                  <w:tcW w:w="311" w:type="pct"/>
                  <w:vAlign w:val="center"/>
                </w:tcPr>
                <w:p w14:paraId="365E57DF">
                  <w:pPr>
                    <w:spacing w:line="276" w:lineRule="auto"/>
                    <w:jc w:val="center"/>
                    <w:rPr>
                      <w:rFonts w:hint="eastAsia"/>
                      <w:b/>
                      <w:color w:val="auto"/>
                      <w:szCs w:val="21"/>
                      <w:highlight w:val="none"/>
                    </w:rPr>
                  </w:pPr>
                  <w:r>
                    <w:rPr>
                      <w:rFonts w:hint="eastAsia"/>
                      <w:b/>
                      <w:color w:val="auto"/>
                      <w:szCs w:val="21"/>
                      <w:highlight w:val="none"/>
                    </w:rPr>
                    <w:t>储存周期</w:t>
                  </w:r>
                </w:p>
              </w:tc>
              <w:tc>
                <w:tcPr>
                  <w:tcW w:w="310" w:type="pct"/>
                  <w:vMerge w:val="continue"/>
                  <w:vAlign w:val="center"/>
                </w:tcPr>
                <w:p w14:paraId="31A3A5FC">
                  <w:pPr>
                    <w:spacing w:line="276" w:lineRule="auto"/>
                    <w:jc w:val="center"/>
                    <w:rPr>
                      <w:rFonts w:hint="eastAsia"/>
                      <w:b/>
                      <w:color w:val="auto"/>
                      <w:szCs w:val="21"/>
                      <w:highlight w:val="none"/>
                    </w:rPr>
                  </w:pPr>
                </w:p>
              </w:tc>
              <w:tc>
                <w:tcPr>
                  <w:tcW w:w="310" w:type="pct"/>
                  <w:vMerge w:val="continue"/>
                  <w:vAlign w:val="center"/>
                </w:tcPr>
                <w:p w14:paraId="5E62628C">
                  <w:pPr>
                    <w:spacing w:line="276" w:lineRule="auto"/>
                    <w:jc w:val="center"/>
                    <w:rPr>
                      <w:b/>
                      <w:color w:val="auto"/>
                      <w:szCs w:val="21"/>
                      <w:highlight w:val="none"/>
                    </w:rPr>
                  </w:pPr>
                </w:p>
              </w:tc>
              <w:tc>
                <w:tcPr>
                  <w:tcW w:w="277" w:type="pct"/>
                  <w:vMerge w:val="continue"/>
                  <w:vAlign w:val="center"/>
                </w:tcPr>
                <w:p w14:paraId="7E719CBD">
                  <w:pPr>
                    <w:spacing w:line="276" w:lineRule="auto"/>
                    <w:jc w:val="center"/>
                    <w:rPr>
                      <w:b/>
                      <w:color w:val="auto"/>
                      <w:szCs w:val="21"/>
                      <w:highlight w:val="none"/>
                    </w:rPr>
                  </w:pPr>
                </w:p>
              </w:tc>
              <w:tc>
                <w:tcPr>
                  <w:tcW w:w="277" w:type="pct"/>
                  <w:vMerge w:val="continue"/>
                  <w:vAlign w:val="center"/>
                </w:tcPr>
                <w:p w14:paraId="4E9171C3">
                  <w:pPr>
                    <w:spacing w:line="276" w:lineRule="auto"/>
                    <w:jc w:val="center"/>
                    <w:rPr>
                      <w:rFonts w:hint="eastAsia"/>
                      <w:b/>
                      <w:color w:val="auto"/>
                      <w:szCs w:val="21"/>
                      <w:highlight w:val="none"/>
                    </w:rPr>
                  </w:pPr>
                </w:p>
              </w:tc>
            </w:tr>
            <w:tr w14:paraId="7D6076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591" w:hRule="atLeast"/>
                <w:jc w:val="center"/>
              </w:trPr>
              <w:tc>
                <w:tcPr>
                  <w:tcW w:w="233" w:type="pct"/>
                  <w:vAlign w:val="center"/>
                </w:tcPr>
                <w:p w14:paraId="33A8D208">
                  <w:pPr>
                    <w:spacing w:line="276" w:lineRule="auto"/>
                    <w:jc w:val="center"/>
                    <w:rPr>
                      <w:color w:val="auto"/>
                      <w:szCs w:val="21"/>
                      <w:highlight w:val="none"/>
                    </w:rPr>
                  </w:pPr>
                  <w:r>
                    <w:rPr>
                      <w:rFonts w:hint="eastAsia"/>
                      <w:color w:val="auto"/>
                      <w:szCs w:val="21"/>
                      <w:highlight w:val="none"/>
                    </w:rPr>
                    <w:t>1</w:t>
                  </w:r>
                </w:p>
              </w:tc>
              <w:tc>
                <w:tcPr>
                  <w:tcW w:w="443" w:type="pct"/>
                  <w:vAlign w:val="center"/>
                </w:tcPr>
                <w:p w14:paraId="5EEEBB03">
                  <w:pPr>
                    <w:spacing w:line="276" w:lineRule="auto"/>
                    <w:jc w:val="center"/>
                    <w:rPr>
                      <w:color w:val="auto"/>
                      <w:szCs w:val="21"/>
                      <w:highlight w:val="none"/>
                    </w:rPr>
                  </w:pPr>
                  <w:r>
                    <w:rPr>
                      <w:rFonts w:hint="eastAsia"/>
                      <w:color w:val="auto"/>
                      <w:szCs w:val="21"/>
                      <w:highlight w:val="none"/>
                    </w:rPr>
                    <w:t>氮气</w:t>
                  </w:r>
                </w:p>
              </w:tc>
              <w:tc>
                <w:tcPr>
                  <w:tcW w:w="443" w:type="pct"/>
                  <w:vAlign w:val="center"/>
                </w:tcPr>
                <w:p w14:paraId="7F2A940E">
                  <w:pPr>
                    <w:spacing w:line="276" w:lineRule="auto"/>
                    <w:jc w:val="center"/>
                    <w:rPr>
                      <w:color w:val="auto"/>
                      <w:szCs w:val="21"/>
                      <w:highlight w:val="none"/>
                    </w:rPr>
                  </w:pPr>
                  <w:r>
                    <w:rPr>
                      <w:rFonts w:hint="eastAsia"/>
                      <w:color w:val="auto"/>
                      <w:szCs w:val="21"/>
                      <w:highlight w:val="none"/>
                    </w:rPr>
                    <w:t>40L/瓶</w:t>
                  </w:r>
                </w:p>
              </w:tc>
              <w:tc>
                <w:tcPr>
                  <w:tcW w:w="343" w:type="pct"/>
                  <w:vAlign w:val="center"/>
                </w:tcPr>
                <w:p w14:paraId="2D73BF15">
                  <w:pPr>
                    <w:spacing w:line="276" w:lineRule="auto"/>
                    <w:jc w:val="center"/>
                    <w:rPr>
                      <w:color w:val="auto"/>
                      <w:szCs w:val="21"/>
                      <w:highlight w:val="none"/>
                    </w:rPr>
                  </w:pPr>
                  <w:r>
                    <w:rPr>
                      <w:rFonts w:hint="eastAsia"/>
                      <w:color w:val="auto"/>
                      <w:szCs w:val="21"/>
                      <w:highlight w:val="none"/>
                    </w:rPr>
                    <w:t>5</w:t>
                  </w:r>
                </w:p>
              </w:tc>
              <w:tc>
                <w:tcPr>
                  <w:tcW w:w="343" w:type="pct"/>
                  <w:vAlign w:val="center"/>
                </w:tcPr>
                <w:p w14:paraId="5FB16570">
                  <w:pPr>
                    <w:spacing w:line="276" w:lineRule="auto"/>
                    <w:jc w:val="center"/>
                    <w:rPr>
                      <w:color w:val="auto"/>
                      <w:szCs w:val="21"/>
                      <w:highlight w:val="none"/>
                    </w:rPr>
                  </w:pPr>
                  <w:r>
                    <w:rPr>
                      <w:rFonts w:hint="eastAsia"/>
                      <w:color w:val="auto"/>
                      <w:szCs w:val="21"/>
                      <w:highlight w:val="none"/>
                    </w:rPr>
                    <w:t>200L</w:t>
                  </w:r>
                </w:p>
              </w:tc>
              <w:tc>
                <w:tcPr>
                  <w:tcW w:w="331" w:type="pct"/>
                  <w:vAlign w:val="center"/>
                </w:tcPr>
                <w:p w14:paraId="2386AC62">
                  <w:pPr>
                    <w:spacing w:line="276" w:lineRule="auto"/>
                    <w:jc w:val="center"/>
                    <w:rPr>
                      <w:color w:val="auto"/>
                      <w:szCs w:val="21"/>
                      <w:highlight w:val="none"/>
                    </w:rPr>
                  </w:pPr>
                  <w:r>
                    <w:rPr>
                      <w:rFonts w:hint="eastAsia"/>
                      <w:color w:val="auto"/>
                      <w:szCs w:val="21"/>
                      <w:highlight w:val="none"/>
                    </w:rPr>
                    <w:t>40L</w:t>
                  </w:r>
                </w:p>
              </w:tc>
              <w:tc>
                <w:tcPr>
                  <w:tcW w:w="444" w:type="pct"/>
                  <w:vAlign w:val="center"/>
                </w:tcPr>
                <w:p w14:paraId="15D38FAE">
                  <w:pPr>
                    <w:spacing w:line="276" w:lineRule="auto"/>
                    <w:jc w:val="center"/>
                    <w:rPr>
                      <w:color w:val="auto"/>
                      <w:szCs w:val="21"/>
                      <w:highlight w:val="none"/>
                    </w:rPr>
                  </w:pPr>
                  <w:r>
                    <w:rPr>
                      <w:rFonts w:hint="eastAsia"/>
                      <w:color w:val="auto"/>
                      <w:szCs w:val="21"/>
                      <w:highlight w:val="none"/>
                    </w:rPr>
                    <w:t>2~3个月</w:t>
                  </w:r>
                </w:p>
              </w:tc>
              <w:tc>
                <w:tcPr>
                  <w:tcW w:w="310" w:type="pct"/>
                  <w:vAlign w:val="center"/>
                </w:tcPr>
                <w:p w14:paraId="4637D7E3">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6</w:t>
                  </w:r>
                </w:p>
              </w:tc>
              <w:tc>
                <w:tcPr>
                  <w:tcW w:w="310" w:type="pct"/>
                  <w:vAlign w:val="center"/>
                </w:tcPr>
                <w:p w14:paraId="4DAD2FE8">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240L</w:t>
                  </w:r>
                </w:p>
              </w:tc>
              <w:tc>
                <w:tcPr>
                  <w:tcW w:w="310" w:type="pct"/>
                  <w:vAlign w:val="center"/>
                </w:tcPr>
                <w:p w14:paraId="78C7F973">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40L</w:t>
                  </w:r>
                </w:p>
              </w:tc>
              <w:tc>
                <w:tcPr>
                  <w:tcW w:w="311" w:type="pct"/>
                  <w:vAlign w:val="center"/>
                </w:tcPr>
                <w:p w14:paraId="02CE4A39">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2~3个月</w:t>
                  </w:r>
                </w:p>
              </w:tc>
              <w:tc>
                <w:tcPr>
                  <w:tcW w:w="310" w:type="pct"/>
                  <w:vAlign w:val="center"/>
                </w:tcPr>
                <w:p w14:paraId="466DDA1C">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+40L</w:t>
                  </w:r>
                </w:p>
              </w:tc>
              <w:tc>
                <w:tcPr>
                  <w:tcW w:w="310" w:type="pct"/>
                  <w:vAlign w:val="center"/>
                </w:tcPr>
                <w:p w14:paraId="752155D1">
                  <w:pPr>
                    <w:spacing w:line="276" w:lineRule="auto"/>
                    <w:jc w:val="center"/>
                    <w:rPr>
                      <w:color w:val="auto"/>
                      <w:szCs w:val="21"/>
                      <w:highlight w:val="none"/>
                    </w:rPr>
                  </w:pPr>
                  <w:r>
                    <w:rPr>
                      <w:rFonts w:hint="eastAsia"/>
                      <w:color w:val="auto"/>
                      <w:szCs w:val="21"/>
                      <w:highlight w:val="none"/>
                    </w:rPr>
                    <w:t>外购</w:t>
                  </w:r>
                </w:p>
              </w:tc>
              <w:tc>
                <w:tcPr>
                  <w:tcW w:w="277" w:type="pct"/>
                  <w:vAlign w:val="center"/>
                </w:tcPr>
                <w:p w14:paraId="71E6BF30">
                  <w:pPr>
                    <w:spacing w:line="276" w:lineRule="auto"/>
                    <w:jc w:val="center"/>
                    <w:rPr>
                      <w:color w:val="auto"/>
                      <w:szCs w:val="21"/>
                      <w:highlight w:val="none"/>
                    </w:rPr>
                  </w:pPr>
                  <w:r>
                    <w:rPr>
                      <w:color w:val="auto"/>
                      <w:szCs w:val="21"/>
                      <w:highlight w:val="none"/>
                    </w:rPr>
                    <w:t>充装间</w:t>
                  </w:r>
                </w:p>
              </w:tc>
              <w:tc>
                <w:tcPr>
                  <w:tcW w:w="277" w:type="pct"/>
                  <w:vAlign w:val="center"/>
                </w:tcPr>
                <w:p w14:paraId="1F96B66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依托现有，新增</w:t>
                  </w:r>
                </w:p>
              </w:tc>
            </w:tr>
          </w:tbl>
          <w:p w14:paraId="1BC90EEC">
            <w:pPr>
              <w:spacing w:line="360" w:lineRule="auto"/>
              <w:ind w:firstLine="482" w:firstLineChars="200"/>
              <w:rPr>
                <w:b/>
                <w:color w:val="auto"/>
                <w:sz w:val="24"/>
                <w:highlight w:val="none"/>
              </w:rPr>
            </w:pPr>
            <w:r>
              <w:rPr>
                <w:rFonts w:hint="eastAsia"/>
                <w:b/>
                <w:color w:val="auto"/>
                <w:sz w:val="24"/>
                <w:highlight w:val="none"/>
              </w:rPr>
              <w:t>③钢瓶</w:t>
            </w:r>
          </w:p>
          <w:p w14:paraId="7B9183F0">
            <w:pPr>
              <w:spacing w:line="360" w:lineRule="auto"/>
              <w:ind w:firstLine="480" w:firstLineChars="200"/>
              <w:jc w:val="center"/>
              <w:rPr>
                <w:color w:val="auto"/>
                <w:sz w:val="24"/>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2-9</w:t>
            </w:r>
            <w:r>
              <w:rPr>
                <w:rFonts w:hAnsi="黑体" w:eastAsia="黑体"/>
                <w:color w:val="auto"/>
                <w:sz w:val="24"/>
                <w:szCs w:val="24"/>
                <w:highlight w:val="none"/>
              </w:rPr>
              <w:t xml:space="preserve"> 主要载体材料：钢瓶来源及利用</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34"/>
              <w:gridCol w:w="1161"/>
              <w:gridCol w:w="1264"/>
              <w:gridCol w:w="1822"/>
              <w:gridCol w:w="3183"/>
            </w:tblGrid>
            <w:tr w14:paraId="0C27A8F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93" w:type="pct"/>
                  <w:vAlign w:val="center"/>
                </w:tcPr>
                <w:p w14:paraId="2B0B481A">
                  <w:pPr>
                    <w:spacing w:line="276" w:lineRule="auto"/>
                    <w:jc w:val="center"/>
                    <w:rPr>
                      <w:b/>
                      <w:color w:val="auto"/>
                      <w:szCs w:val="21"/>
                      <w:highlight w:val="none"/>
                    </w:rPr>
                  </w:pPr>
                  <w:r>
                    <w:rPr>
                      <w:rFonts w:hint="eastAsia"/>
                      <w:b/>
                      <w:color w:val="auto"/>
                      <w:szCs w:val="21"/>
                      <w:highlight w:val="none"/>
                    </w:rPr>
                    <w:t>序号</w:t>
                  </w:r>
                </w:p>
              </w:tc>
              <w:tc>
                <w:tcPr>
                  <w:tcW w:w="720" w:type="pct"/>
                  <w:vAlign w:val="center"/>
                </w:tcPr>
                <w:p w14:paraId="10203545">
                  <w:pPr>
                    <w:spacing w:line="276" w:lineRule="auto"/>
                    <w:jc w:val="center"/>
                    <w:rPr>
                      <w:b/>
                      <w:color w:val="auto"/>
                      <w:szCs w:val="21"/>
                      <w:highlight w:val="none"/>
                    </w:rPr>
                  </w:pPr>
                  <w:r>
                    <w:rPr>
                      <w:rFonts w:hint="eastAsia"/>
                      <w:b/>
                      <w:color w:val="auto"/>
                      <w:szCs w:val="21"/>
                      <w:highlight w:val="none"/>
                    </w:rPr>
                    <w:t>类别</w:t>
                  </w:r>
                </w:p>
              </w:tc>
              <w:tc>
                <w:tcPr>
                  <w:tcW w:w="784" w:type="pct"/>
                  <w:vAlign w:val="center"/>
                </w:tcPr>
                <w:p w14:paraId="7F41EA22">
                  <w:pPr>
                    <w:spacing w:line="276" w:lineRule="auto"/>
                    <w:jc w:val="center"/>
                    <w:rPr>
                      <w:b/>
                      <w:color w:val="auto"/>
                      <w:szCs w:val="21"/>
                      <w:highlight w:val="none"/>
                    </w:rPr>
                  </w:pPr>
                  <w:r>
                    <w:rPr>
                      <w:rFonts w:hint="eastAsia"/>
                      <w:b/>
                      <w:color w:val="auto"/>
                      <w:szCs w:val="21"/>
                      <w:highlight w:val="none"/>
                    </w:rPr>
                    <w:t>规格</w:t>
                  </w:r>
                </w:p>
              </w:tc>
              <w:tc>
                <w:tcPr>
                  <w:tcW w:w="1130" w:type="pct"/>
                  <w:vAlign w:val="center"/>
                </w:tcPr>
                <w:p w14:paraId="4E6ABA04">
                  <w:pPr>
                    <w:spacing w:line="276" w:lineRule="auto"/>
                    <w:jc w:val="center"/>
                    <w:rPr>
                      <w:b/>
                      <w:color w:val="auto"/>
                      <w:szCs w:val="21"/>
                      <w:highlight w:val="none"/>
                    </w:rPr>
                  </w:pPr>
                  <w:r>
                    <w:rPr>
                      <w:rFonts w:hint="eastAsia"/>
                      <w:b/>
                      <w:color w:val="auto"/>
                      <w:szCs w:val="21"/>
                      <w:highlight w:val="none"/>
                    </w:rPr>
                    <w:t>来源</w:t>
                  </w:r>
                </w:p>
              </w:tc>
              <w:tc>
                <w:tcPr>
                  <w:tcW w:w="1973" w:type="pct"/>
                  <w:vAlign w:val="center"/>
                </w:tcPr>
                <w:p w14:paraId="50A97749">
                  <w:pPr>
                    <w:spacing w:line="276" w:lineRule="auto"/>
                    <w:jc w:val="center"/>
                    <w:rPr>
                      <w:b/>
                      <w:color w:val="auto"/>
                      <w:szCs w:val="21"/>
                      <w:highlight w:val="none"/>
                    </w:rPr>
                  </w:pPr>
                  <w:r>
                    <w:rPr>
                      <w:rFonts w:hint="eastAsia"/>
                      <w:b/>
                      <w:color w:val="auto"/>
                      <w:szCs w:val="21"/>
                      <w:highlight w:val="none"/>
                    </w:rPr>
                    <w:t>利用方式</w:t>
                  </w:r>
                </w:p>
              </w:tc>
            </w:tr>
            <w:tr w14:paraId="4C3C06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048" w:hRule="atLeast"/>
                <w:jc w:val="center"/>
              </w:trPr>
              <w:tc>
                <w:tcPr>
                  <w:tcW w:w="393" w:type="pct"/>
                  <w:vAlign w:val="center"/>
                </w:tcPr>
                <w:p w14:paraId="61EDFDBE">
                  <w:pPr>
                    <w:spacing w:line="276" w:lineRule="auto"/>
                    <w:jc w:val="center"/>
                    <w:rPr>
                      <w:color w:val="auto"/>
                      <w:szCs w:val="21"/>
                      <w:highlight w:val="none"/>
                    </w:rPr>
                  </w:pPr>
                  <w:r>
                    <w:rPr>
                      <w:rFonts w:hint="eastAsia"/>
                      <w:color w:val="auto"/>
                      <w:szCs w:val="21"/>
                      <w:highlight w:val="none"/>
                    </w:rPr>
                    <w:t>1</w:t>
                  </w:r>
                </w:p>
              </w:tc>
              <w:tc>
                <w:tcPr>
                  <w:tcW w:w="720" w:type="pct"/>
                  <w:vAlign w:val="center"/>
                </w:tcPr>
                <w:p w14:paraId="071333B0">
                  <w:pPr>
                    <w:spacing w:line="276" w:lineRule="auto"/>
                    <w:jc w:val="center"/>
                    <w:rPr>
                      <w:color w:val="auto"/>
                      <w:szCs w:val="21"/>
                      <w:highlight w:val="none"/>
                    </w:rPr>
                  </w:pPr>
                  <w:r>
                    <w:rPr>
                      <w:rFonts w:hint="eastAsia"/>
                      <w:color w:val="auto"/>
                      <w:szCs w:val="21"/>
                      <w:highlight w:val="none"/>
                    </w:rPr>
                    <w:t>新钢瓶</w:t>
                  </w:r>
                </w:p>
              </w:tc>
              <w:tc>
                <w:tcPr>
                  <w:tcW w:w="784" w:type="pct"/>
                  <w:vMerge w:val="restart"/>
                  <w:vAlign w:val="center"/>
                </w:tcPr>
                <w:p w14:paraId="707790F1">
                  <w:pPr>
                    <w:spacing w:line="276" w:lineRule="auto"/>
                    <w:jc w:val="center"/>
                    <w:rPr>
                      <w:color w:val="auto"/>
                      <w:highlight w:val="none"/>
                    </w:rPr>
                  </w:pPr>
                  <w:r>
                    <w:rPr>
                      <w:rFonts w:hint="eastAsia"/>
                      <w:color w:val="auto"/>
                      <w:highlight w:val="none"/>
                      <w:lang w:val="en-US" w:eastAsia="zh-CN"/>
                    </w:rPr>
                    <w:t>乙烯</w:t>
                  </w:r>
                  <w:r>
                    <w:rPr>
                      <w:rFonts w:hint="eastAsia"/>
                      <w:color w:val="auto"/>
                      <w:highlight w:val="none"/>
                    </w:rPr>
                    <w:t>散瓶：1L、1</w:t>
                  </w:r>
                  <w:r>
                    <w:rPr>
                      <w:color w:val="auto"/>
                      <w:highlight w:val="none"/>
                    </w:rPr>
                    <w:t>.5</w:t>
                  </w:r>
                  <w:r>
                    <w:rPr>
                      <w:rFonts w:hint="eastAsia"/>
                      <w:color w:val="auto"/>
                      <w:highlight w:val="none"/>
                    </w:rPr>
                    <w:t>L、2L、4L、6L、8L、4</w:t>
                  </w:r>
                  <w:r>
                    <w:rPr>
                      <w:color w:val="auto"/>
                      <w:highlight w:val="none"/>
                    </w:rPr>
                    <w:t>0L</w:t>
                  </w:r>
                  <w:r>
                    <w:rPr>
                      <w:rFonts w:hint="eastAsia"/>
                      <w:color w:val="auto"/>
                      <w:highlight w:val="none"/>
                    </w:rPr>
                    <w:t>、5</w:t>
                  </w:r>
                  <w:r>
                    <w:rPr>
                      <w:color w:val="auto"/>
                      <w:highlight w:val="none"/>
                    </w:rPr>
                    <w:t>0L</w:t>
                  </w:r>
                </w:p>
                <w:p w14:paraId="499EA489">
                  <w:pPr>
                    <w:spacing w:line="276" w:lineRule="auto"/>
                    <w:jc w:val="center"/>
                    <w:rPr>
                      <w:rFonts w:hint="eastAsia"/>
                      <w:color w:val="auto"/>
                      <w:highlight w:val="none"/>
                    </w:rPr>
                  </w:pPr>
                  <w:r>
                    <w:rPr>
                      <w:rFonts w:hint="eastAsia"/>
                      <w:color w:val="auto"/>
                      <w:highlight w:val="none"/>
                      <w:lang w:val="en-US" w:eastAsia="zh-CN"/>
                    </w:rPr>
                    <w:t>乙烯</w:t>
                  </w:r>
                  <w:r>
                    <w:rPr>
                      <w:rFonts w:hint="eastAsia"/>
                      <w:color w:val="auto"/>
                      <w:highlight w:val="none"/>
                    </w:rPr>
                    <w:t>集装格：每格2</w:t>
                  </w:r>
                  <w:r>
                    <w:rPr>
                      <w:color w:val="auto"/>
                      <w:highlight w:val="none"/>
                    </w:rPr>
                    <w:t>0</w:t>
                  </w:r>
                  <w:r>
                    <w:rPr>
                      <w:rFonts w:hint="eastAsia"/>
                      <w:color w:val="auto"/>
                      <w:highlight w:val="none"/>
                    </w:rPr>
                    <w:t>瓶，每瓶40L</w:t>
                  </w:r>
                </w:p>
                <w:p w14:paraId="1F197CBA">
                  <w:pPr>
                    <w:spacing w:line="276" w:lineRule="auto"/>
                    <w:jc w:val="center"/>
                    <w:rPr>
                      <w:rFonts w:hint="default" w:eastAsia="宋体"/>
                      <w:color w:val="auto"/>
                      <w:highlight w:val="none"/>
                      <w:lang w:val="en-US" w:eastAsia="zh-CN"/>
                    </w:rPr>
                  </w:pPr>
                  <w:r>
                    <w:rPr>
                      <w:rFonts w:hint="eastAsia"/>
                      <w:color w:val="auto"/>
                      <w:highlight w:val="none"/>
                      <w:lang w:val="en-US" w:eastAsia="zh-CN"/>
                    </w:rPr>
                    <w:t>丙烷/丁烷散瓶：</w:t>
                  </w:r>
                  <w:r>
                    <w:rPr>
                      <w:rFonts w:hint="eastAsia" w:eastAsia="宋体"/>
                      <w:bCs/>
                      <w:color w:val="auto"/>
                      <w:szCs w:val="24"/>
                      <w:highlight w:val="none"/>
                      <w:lang w:val="en-US" w:eastAsia="zh-CN"/>
                    </w:rPr>
                    <w:t>40L</w:t>
                  </w:r>
                  <w:r>
                    <w:rPr>
                      <w:rFonts w:hint="eastAsia"/>
                      <w:bCs/>
                      <w:color w:val="auto"/>
                      <w:szCs w:val="24"/>
                      <w:highlight w:val="none"/>
                      <w:lang w:val="en-US" w:eastAsia="zh-CN"/>
                    </w:rPr>
                    <w:t>、</w:t>
                  </w:r>
                  <w:r>
                    <w:rPr>
                      <w:rFonts w:hint="eastAsia" w:eastAsia="宋体"/>
                      <w:bCs/>
                      <w:color w:val="auto"/>
                      <w:szCs w:val="24"/>
                      <w:highlight w:val="none"/>
                      <w:lang w:val="en-US" w:eastAsia="zh-CN"/>
                    </w:rPr>
                    <w:t>70L</w:t>
                  </w:r>
                  <w:r>
                    <w:rPr>
                      <w:rFonts w:hint="eastAsia"/>
                      <w:bCs/>
                      <w:color w:val="auto"/>
                      <w:szCs w:val="24"/>
                      <w:highlight w:val="none"/>
                      <w:lang w:val="en-US" w:eastAsia="zh-CN"/>
                    </w:rPr>
                    <w:t>、</w:t>
                  </w:r>
                  <w:r>
                    <w:rPr>
                      <w:rFonts w:hint="eastAsia" w:eastAsia="宋体"/>
                      <w:bCs/>
                      <w:color w:val="auto"/>
                      <w:szCs w:val="24"/>
                      <w:highlight w:val="none"/>
                      <w:lang w:val="en-US" w:eastAsia="zh-CN"/>
                    </w:rPr>
                    <w:t>118L</w:t>
                  </w:r>
                  <w:r>
                    <w:rPr>
                      <w:rFonts w:hint="eastAsia"/>
                      <w:bCs/>
                      <w:color w:val="auto"/>
                      <w:szCs w:val="24"/>
                      <w:highlight w:val="none"/>
                      <w:lang w:val="en-US" w:eastAsia="zh-CN"/>
                    </w:rPr>
                    <w:t>、</w:t>
                  </w:r>
                  <w:r>
                    <w:rPr>
                      <w:rFonts w:hint="eastAsia" w:eastAsia="宋体"/>
                      <w:bCs/>
                      <w:color w:val="auto"/>
                      <w:szCs w:val="24"/>
                      <w:highlight w:val="none"/>
                      <w:lang w:val="en-US" w:eastAsia="zh-CN"/>
                    </w:rPr>
                    <w:t>400L</w:t>
                  </w:r>
                  <w:r>
                    <w:rPr>
                      <w:rFonts w:hint="eastAsia"/>
                      <w:bCs/>
                      <w:color w:val="auto"/>
                      <w:szCs w:val="24"/>
                      <w:highlight w:val="none"/>
                      <w:lang w:val="en-US" w:eastAsia="zh-CN"/>
                    </w:rPr>
                    <w:t>、</w:t>
                  </w:r>
                  <w:r>
                    <w:rPr>
                      <w:rFonts w:hint="eastAsia" w:eastAsia="宋体"/>
                      <w:bCs/>
                      <w:color w:val="auto"/>
                      <w:szCs w:val="24"/>
                      <w:highlight w:val="none"/>
                      <w:lang w:val="en-US" w:eastAsia="zh-CN"/>
                    </w:rPr>
                    <w:t>800L</w:t>
                  </w:r>
                </w:p>
              </w:tc>
              <w:tc>
                <w:tcPr>
                  <w:tcW w:w="1130" w:type="pct"/>
                  <w:vAlign w:val="center"/>
                </w:tcPr>
                <w:p w14:paraId="37B9ECC7">
                  <w:pPr>
                    <w:spacing w:line="276" w:lineRule="auto"/>
                    <w:jc w:val="center"/>
                    <w:rPr>
                      <w:color w:val="auto"/>
                      <w:szCs w:val="21"/>
                      <w:highlight w:val="none"/>
                    </w:rPr>
                  </w:pPr>
                  <w:r>
                    <w:rPr>
                      <w:rFonts w:hint="eastAsia"/>
                      <w:color w:val="auto"/>
                      <w:szCs w:val="21"/>
                      <w:highlight w:val="none"/>
                    </w:rPr>
                    <w:t>从上游厂家购买，瓶内已清洗并充氮气</w:t>
                  </w:r>
                </w:p>
              </w:tc>
              <w:tc>
                <w:tcPr>
                  <w:tcW w:w="1973" w:type="pct"/>
                  <w:vAlign w:val="center"/>
                </w:tcPr>
                <w:p w14:paraId="27B07FD1">
                  <w:pPr>
                    <w:spacing w:line="276" w:lineRule="auto"/>
                    <w:jc w:val="center"/>
                    <w:rPr>
                      <w:color w:val="auto"/>
                      <w:szCs w:val="21"/>
                      <w:highlight w:val="none"/>
                    </w:rPr>
                  </w:pPr>
                  <w:r>
                    <w:rPr>
                      <w:rFonts w:hint="eastAsia"/>
                      <w:color w:val="auto"/>
                      <w:szCs w:val="21"/>
                      <w:highlight w:val="none"/>
                    </w:rPr>
                    <w:t>新钢瓶到来厂后，采用气冷式无油真空泵抽真空，使用氮气置换2次并抽真空后再投入充装间使用</w:t>
                  </w:r>
                </w:p>
              </w:tc>
            </w:tr>
            <w:tr w14:paraId="5824331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93" w:type="pct"/>
                  <w:vAlign w:val="center"/>
                </w:tcPr>
                <w:p w14:paraId="4106EFB7">
                  <w:pPr>
                    <w:spacing w:line="276" w:lineRule="auto"/>
                    <w:jc w:val="center"/>
                    <w:rPr>
                      <w:color w:val="auto"/>
                      <w:szCs w:val="21"/>
                      <w:highlight w:val="none"/>
                    </w:rPr>
                  </w:pPr>
                  <w:r>
                    <w:rPr>
                      <w:rFonts w:hint="eastAsia"/>
                      <w:color w:val="auto"/>
                      <w:szCs w:val="21"/>
                      <w:highlight w:val="none"/>
                    </w:rPr>
                    <w:t>2</w:t>
                  </w:r>
                </w:p>
              </w:tc>
              <w:tc>
                <w:tcPr>
                  <w:tcW w:w="720" w:type="pct"/>
                  <w:vAlign w:val="center"/>
                </w:tcPr>
                <w:p w14:paraId="2806633D">
                  <w:pPr>
                    <w:spacing w:line="276" w:lineRule="auto"/>
                    <w:jc w:val="center"/>
                    <w:rPr>
                      <w:color w:val="auto"/>
                      <w:szCs w:val="21"/>
                      <w:highlight w:val="none"/>
                    </w:rPr>
                  </w:pPr>
                  <w:r>
                    <w:rPr>
                      <w:rFonts w:hint="eastAsia"/>
                      <w:color w:val="auto"/>
                      <w:szCs w:val="21"/>
                      <w:highlight w:val="none"/>
                    </w:rPr>
                    <w:t>返厂钢瓶</w:t>
                  </w:r>
                </w:p>
              </w:tc>
              <w:tc>
                <w:tcPr>
                  <w:tcW w:w="784" w:type="pct"/>
                  <w:vMerge w:val="continue"/>
                  <w:vAlign w:val="center"/>
                </w:tcPr>
                <w:p w14:paraId="0F3330E3">
                  <w:pPr>
                    <w:spacing w:line="276" w:lineRule="auto"/>
                    <w:jc w:val="center"/>
                    <w:rPr>
                      <w:color w:val="auto"/>
                      <w:szCs w:val="21"/>
                      <w:highlight w:val="none"/>
                    </w:rPr>
                  </w:pPr>
                </w:p>
              </w:tc>
              <w:tc>
                <w:tcPr>
                  <w:tcW w:w="1130" w:type="pct"/>
                  <w:vAlign w:val="center"/>
                </w:tcPr>
                <w:p w14:paraId="793C1B73">
                  <w:pPr>
                    <w:spacing w:line="276" w:lineRule="auto"/>
                    <w:jc w:val="center"/>
                    <w:rPr>
                      <w:color w:val="auto"/>
                      <w:szCs w:val="21"/>
                      <w:highlight w:val="none"/>
                    </w:rPr>
                  </w:pPr>
                  <w:r>
                    <w:rPr>
                      <w:rFonts w:hint="eastAsia"/>
                      <w:color w:val="auto"/>
                      <w:szCs w:val="21"/>
                      <w:highlight w:val="none"/>
                    </w:rPr>
                    <w:t>客户使用完毕，下游钢瓶回收厂家检验完毕，残留0.05MPa压力保持钢瓶内纯度后返厂再利用</w:t>
                  </w:r>
                </w:p>
              </w:tc>
              <w:tc>
                <w:tcPr>
                  <w:tcW w:w="1973" w:type="pct"/>
                  <w:vAlign w:val="center"/>
                </w:tcPr>
                <w:p w14:paraId="13A9CE92">
                  <w:pPr>
                    <w:spacing w:line="276" w:lineRule="auto"/>
                    <w:rPr>
                      <w:color w:val="auto"/>
                      <w:szCs w:val="21"/>
                      <w:highlight w:val="none"/>
                    </w:rPr>
                  </w:pPr>
                  <w:r>
                    <w:rPr>
                      <w:rFonts w:hint="eastAsia"/>
                      <w:color w:val="auto"/>
                      <w:szCs w:val="21"/>
                      <w:highlight w:val="none"/>
                    </w:rPr>
                    <w:t>返厂检查、检测：</w:t>
                  </w:r>
                </w:p>
                <w:p w14:paraId="449B67FD">
                  <w:pPr>
                    <w:spacing w:line="276" w:lineRule="auto"/>
                    <w:jc w:val="center"/>
                    <w:rPr>
                      <w:color w:val="auto"/>
                      <w:szCs w:val="21"/>
                      <w:highlight w:val="none"/>
                    </w:rPr>
                  </w:pPr>
                  <w:r>
                    <w:rPr>
                      <w:rFonts w:hint="eastAsia"/>
                      <w:color w:val="auto"/>
                      <w:szCs w:val="21"/>
                      <w:highlight w:val="none"/>
                    </w:rPr>
                    <w:t>①是厂内钢瓶，运用检测设备对钢瓶内气相成分及压力进行检测，符合充装条件的投入充装间使用，不符合充装条件的先收集于厂区内后返回钢瓶厂家处理；</w:t>
                  </w:r>
                </w:p>
                <w:p w14:paraId="67641471">
                  <w:pPr>
                    <w:spacing w:line="276" w:lineRule="auto"/>
                    <w:jc w:val="center"/>
                    <w:rPr>
                      <w:color w:val="auto"/>
                      <w:szCs w:val="21"/>
                      <w:highlight w:val="none"/>
                    </w:rPr>
                  </w:pPr>
                  <w:r>
                    <w:rPr>
                      <w:rFonts w:hint="eastAsia"/>
                      <w:color w:val="auto"/>
                      <w:szCs w:val="21"/>
                      <w:highlight w:val="none"/>
                    </w:rPr>
                    <w:t>②非厂内钢瓶及破损钢瓶不投入使用，收集于厂区内后返回钢瓶厂家处理</w:t>
                  </w:r>
                </w:p>
              </w:tc>
            </w:tr>
          </w:tbl>
          <w:p w14:paraId="23838976">
            <w:pPr>
              <w:spacing w:line="360" w:lineRule="auto"/>
              <w:ind w:firstLine="482" w:firstLineChars="200"/>
              <w:rPr>
                <w:b/>
                <w:color w:val="auto"/>
                <w:sz w:val="24"/>
                <w:highlight w:val="none"/>
              </w:rPr>
            </w:pPr>
            <w:r>
              <w:rPr>
                <w:rFonts w:hint="eastAsia"/>
                <w:b/>
                <w:color w:val="auto"/>
                <w:sz w:val="24"/>
                <w:highlight w:val="none"/>
              </w:rPr>
              <w:t>④能耗、水耗</w:t>
            </w:r>
          </w:p>
          <w:p w14:paraId="6BD1EC11">
            <w:pPr>
              <w:spacing w:line="360" w:lineRule="auto"/>
              <w:ind w:firstLine="480" w:firstLineChars="200"/>
              <w:rPr>
                <w:color w:val="auto"/>
                <w:sz w:val="24"/>
                <w:highlight w:val="none"/>
              </w:rPr>
            </w:pPr>
            <w:r>
              <w:rPr>
                <w:rFonts w:hint="eastAsia"/>
                <w:color w:val="auto"/>
                <w:sz w:val="24"/>
                <w:highlight w:val="none"/>
              </w:rPr>
              <w:t>本</w:t>
            </w:r>
            <w:r>
              <w:rPr>
                <w:rFonts w:hint="eastAsia"/>
                <w:color w:val="auto"/>
                <w:sz w:val="24"/>
                <w:highlight w:val="none"/>
                <w:lang w:val="en-US" w:eastAsia="zh-CN"/>
              </w:rPr>
              <w:t>次改建</w:t>
            </w:r>
            <w:r>
              <w:rPr>
                <w:rFonts w:hint="eastAsia"/>
                <w:color w:val="auto"/>
                <w:sz w:val="24"/>
                <w:highlight w:val="none"/>
              </w:rPr>
              <w:t>项目电能</w:t>
            </w:r>
            <w:r>
              <w:rPr>
                <w:rFonts w:hAnsi="宋体"/>
                <w:bCs/>
                <w:color w:val="auto"/>
                <w:sz w:val="24"/>
                <w:highlight w:val="none"/>
              </w:rPr>
              <w:t>来自市政供电管网，</w:t>
            </w:r>
            <w:r>
              <w:rPr>
                <w:rFonts w:hint="eastAsia" w:hAnsi="宋体"/>
                <w:bCs/>
                <w:color w:val="auto"/>
                <w:sz w:val="24"/>
                <w:highlight w:val="none"/>
                <w:lang w:val="en-US" w:eastAsia="zh-CN"/>
              </w:rPr>
              <w:t>新增</w:t>
            </w:r>
            <w:r>
              <w:rPr>
                <w:rFonts w:hAnsi="宋体"/>
                <w:bCs/>
                <w:color w:val="auto"/>
                <w:sz w:val="24"/>
                <w:highlight w:val="none"/>
              </w:rPr>
              <w:t>用电量为</w:t>
            </w:r>
            <w:r>
              <w:rPr>
                <w:rFonts w:hint="eastAsia" w:hAnsi="宋体"/>
                <w:bCs/>
                <w:color w:val="auto"/>
                <w:sz w:val="24"/>
                <w:highlight w:val="none"/>
              </w:rPr>
              <w:t>9</w:t>
            </w:r>
            <w:r>
              <w:rPr>
                <w:rFonts w:hint="eastAsia" w:hAnsi="宋体"/>
                <w:bCs/>
                <w:color w:val="auto"/>
                <w:sz w:val="24"/>
                <w:highlight w:val="none"/>
                <w:lang w:val="en-US" w:eastAsia="zh-CN"/>
              </w:rPr>
              <w:t>.</w:t>
            </w:r>
            <w:r>
              <w:rPr>
                <w:rFonts w:hint="eastAsia" w:hAnsi="宋体"/>
                <w:bCs/>
                <w:color w:val="auto"/>
                <w:sz w:val="24"/>
                <w:highlight w:val="none"/>
              </w:rPr>
              <w:t>8</w:t>
            </w:r>
            <w:r>
              <w:rPr>
                <w:rFonts w:hAnsi="宋体"/>
                <w:bCs/>
                <w:color w:val="auto"/>
                <w:sz w:val="24"/>
                <w:highlight w:val="none"/>
              </w:rPr>
              <w:t>万</w:t>
            </w:r>
            <w:r>
              <w:rPr>
                <w:color w:val="auto"/>
                <w:sz w:val="24"/>
                <w:highlight w:val="none"/>
              </w:rPr>
              <w:t>kW·h/a</w:t>
            </w:r>
            <w:r>
              <w:rPr>
                <w:rFonts w:hint="eastAsia"/>
                <w:color w:val="auto"/>
                <w:sz w:val="24"/>
                <w:highlight w:val="none"/>
                <w:lang w:eastAsia="zh-CN"/>
              </w:rPr>
              <w:t>，</w:t>
            </w:r>
            <w:r>
              <w:rPr>
                <w:rFonts w:hint="eastAsia"/>
                <w:color w:val="auto"/>
                <w:sz w:val="24"/>
                <w:highlight w:val="none"/>
                <w:lang w:val="en-US" w:eastAsia="zh-CN"/>
              </w:rPr>
              <w:t>不新增劳动定员、不新增生产及生活用水</w:t>
            </w:r>
            <w:r>
              <w:rPr>
                <w:rFonts w:hint="eastAsia"/>
                <w:color w:val="auto"/>
                <w:sz w:val="24"/>
                <w:highlight w:val="none"/>
              </w:rPr>
              <w:t>。</w:t>
            </w:r>
          </w:p>
          <w:p w14:paraId="22092EB2">
            <w:pPr>
              <w:spacing w:line="360" w:lineRule="auto"/>
              <w:ind w:firstLine="480" w:firstLineChars="200"/>
              <w:rPr>
                <w:color w:val="auto"/>
                <w:sz w:val="24"/>
                <w:highlight w:val="none"/>
              </w:rPr>
            </w:pPr>
            <w:r>
              <w:rPr>
                <w:rFonts w:hint="eastAsia"/>
                <w:color w:val="auto"/>
                <w:sz w:val="24"/>
                <w:highlight w:val="none"/>
              </w:rPr>
              <w:t>（2）原辅材料主要成分及理化性质</w:t>
            </w:r>
          </w:p>
          <w:p w14:paraId="17B5D8ED">
            <w:pPr>
              <w:spacing w:line="360" w:lineRule="auto"/>
              <w:ind w:firstLine="480" w:firstLineChars="200"/>
              <w:rPr>
                <w:rFonts w:hint="default" w:eastAsia="宋体"/>
                <w:color w:val="auto"/>
                <w:sz w:val="24"/>
                <w:highlight w:val="none"/>
                <w:lang w:val="en-US" w:eastAsia="zh-CN"/>
              </w:rPr>
            </w:pPr>
            <w:r>
              <w:rPr>
                <w:rFonts w:hint="eastAsia"/>
                <w:color w:val="auto"/>
                <w:sz w:val="24"/>
                <w:highlight w:val="none"/>
                <w:lang w:val="en-US" w:eastAsia="zh-CN"/>
              </w:rPr>
              <w:t>本次改建项目新增储运介质为丙烷、丁烷，项目建成后，全厂储运介质主要为乙烯、丙烷及丁烷，各介质理化性质汇总如下：</w:t>
            </w:r>
          </w:p>
          <w:p w14:paraId="0DEEDE30">
            <w:pPr>
              <w:autoSpaceDE w:val="0"/>
              <w:autoSpaceDN w:val="0"/>
              <w:adjustRightInd w:val="0"/>
              <w:snapToGrid w:val="0"/>
              <w:spacing w:line="360" w:lineRule="auto"/>
              <w:jc w:val="center"/>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2-10</w:t>
            </w:r>
            <w:r>
              <w:rPr>
                <w:rFonts w:hAnsi="黑体" w:eastAsia="黑体"/>
                <w:color w:val="auto"/>
                <w:sz w:val="24"/>
                <w:szCs w:val="24"/>
                <w:highlight w:val="none"/>
              </w:rPr>
              <w:t xml:space="preserve"> </w:t>
            </w:r>
            <w:r>
              <w:rPr>
                <w:rFonts w:hint="eastAsia" w:hAnsi="黑体" w:eastAsia="黑体"/>
                <w:color w:val="auto"/>
                <w:sz w:val="24"/>
                <w:szCs w:val="24"/>
                <w:highlight w:val="none"/>
              </w:rPr>
              <w:t>乙烯理化性质一览表</w:t>
            </w:r>
          </w:p>
          <w:tbl>
            <w:tblPr>
              <w:tblStyle w:val="3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356"/>
              <w:gridCol w:w="1545"/>
              <w:gridCol w:w="1963"/>
              <w:gridCol w:w="2200"/>
            </w:tblGrid>
            <w:tr w14:paraId="74F448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545BEFE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项目</w:t>
                  </w:r>
                </w:p>
              </w:tc>
              <w:tc>
                <w:tcPr>
                  <w:tcW w:w="958" w:type="pct"/>
                  <w:vAlign w:val="center"/>
                </w:tcPr>
                <w:p w14:paraId="49F3998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乙烯</w:t>
                  </w:r>
                </w:p>
              </w:tc>
              <w:tc>
                <w:tcPr>
                  <w:tcW w:w="1217" w:type="pct"/>
                  <w:vAlign w:val="center"/>
                </w:tcPr>
                <w:p w14:paraId="78437F3B">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外观性状</w:t>
                  </w:r>
                </w:p>
              </w:tc>
              <w:tc>
                <w:tcPr>
                  <w:tcW w:w="1364" w:type="pct"/>
                  <w:vAlign w:val="center"/>
                </w:tcPr>
                <w:p w14:paraId="46BC519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无色气体、具有烃类特有臭味</w:t>
                  </w:r>
                </w:p>
              </w:tc>
            </w:tr>
            <w:tr w14:paraId="29E17C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6936A7F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含量（</w:t>
                  </w:r>
                  <w:r>
                    <w:rPr>
                      <w:rFonts w:hint="eastAsia"/>
                      <w:color w:val="auto"/>
                      <w:szCs w:val="21"/>
                      <w:highlight w:val="none"/>
                    </w:rPr>
                    <w:t>%V/V</w:t>
                  </w:r>
                  <w:r>
                    <w:rPr>
                      <w:color w:val="auto"/>
                      <w:szCs w:val="21"/>
                      <w:highlight w:val="none"/>
                    </w:rPr>
                    <w:t>）</w:t>
                  </w:r>
                </w:p>
              </w:tc>
              <w:tc>
                <w:tcPr>
                  <w:tcW w:w="958" w:type="pct"/>
                  <w:vAlign w:val="center"/>
                </w:tcPr>
                <w:p w14:paraId="08D3927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w:t>
                  </w:r>
                  <w:r>
                    <w:rPr>
                      <w:rFonts w:hint="eastAsia"/>
                      <w:color w:val="auto"/>
                      <w:szCs w:val="21"/>
                      <w:highlight w:val="none"/>
                    </w:rPr>
                    <w:t>99.95</w:t>
                  </w:r>
                </w:p>
              </w:tc>
              <w:tc>
                <w:tcPr>
                  <w:tcW w:w="1217" w:type="pct"/>
                  <w:vAlign w:val="center"/>
                </w:tcPr>
                <w:p w14:paraId="201DEB0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分子式</w:t>
                  </w:r>
                </w:p>
              </w:tc>
              <w:tc>
                <w:tcPr>
                  <w:tcW w:w="1364" w:type="pct"/>
                  <w:vAlign w:val="center"/>
                </w:tcPr>
                <w:p w14:paraId="1E0B2D2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C</w:t>
                  </w:r>
                  <w:r>
                    <w:rPr>
                      <w:rFonts w:hint="eastAsia"/>
                      <w:color w:val="auto"/>
                      <w:szCs w:val="21"/>
                      <w:highlight w:val="none"/>
                      <w:vertAlign w:val="subscript"/>
                    </w:rPr>
                    <w:t>2</w:t>
                  </w:r>
                  <w:r>
                    <w:rPr>
                      <w:rFonts w:hint="eastAsia"/>
                      <w:color w:val="auto"/>
                      <w:szCs w:val="21"/>
                      <w:highlight w:val="none"/>
                    </w:rPr>
                    <w:t>H</w:t>
                  </w:r>
                  <w:r>
                    <w:rPr>
                      <w:rFonts w:hint="eastAsia"/>
                      <w:color w:val="auto"/>
                      <w:szCs w:val="21"/>
                      <w:highlight w:val="none"/>
                      <w:vertAlign w:val="subscript"/>
                    </w:rPr>
                    <w:t>4</w:t>
                  </w:r>
                </w:p>
              </w:tc>
            </w:tr>
            <w:tr w14:paraId="58284E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17ABD6E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甲烷和乙烷（ml</w:t>
                  </w:r>
                  <w:r>
                    <w:rPr>
                      <w:rFonts w:hint="eastAsia"/>
                      <w:color w:val="auto"/>
                      <w:szCs w:val="21"/>
                      <w:highlight w:val="none"/>
                    </w:rPr>
                    <w:t>/m</w:t>
                  </w:r>
                  <w:r>
                    <w:rPr>
                      <w:rFonts w:hint="eastAsia"/>
                      <w:color w:val="auto"/>
                      <w:szCs w:val="21"/>
                      <w:highlight w:val="none"/>
                      <w:vertAlign w:val="superscript"/>
                    </w:rPr>
                    <w:t>3</w:t>
                  </w:r>
                  <w:r>
                    <w:rPr>
                      <w:color w:val="auto"/>
                      <w:szCs w:val="21"/>
                      <w:highlight w:val="none"/>
                    </w:rPr>
                    <w:t>）</w:t>
                  </w:r>
                </w:p>
              </w:tc>
              <w:tc>
                <w:tcPr>
                  <w:tcW w:w="958" w:type="pct"/>
                  <w:vAlign w:val="center"/>
                </w:tcPr>
                <w:p w14:paraId="3043DD3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340</w:t>
                  </w:r>
                </w:p>
              </w:tc>
              <w:tc>
                <w:tcPr>
                  <w:tcW w:w="1217" w:type="pct"/>
                  <w:vAlign w:val="center"/>
                </w:tcPr>
                <w:p w14:paraId="1E141C0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相对密度（水</w:t>
                  </w:r>
                  <w:r>
                    <w:rPr>
                      <w:rFonts w:hint="eastAsia"/>
                      <w:color w:val="auto"/>
                      <w:szCs w:val="21"/>
                      <w:highlight w:val="none"/>
                    </w:rPr>
                    <w:t>=1</w:t>
                  </w:r>
                  <w:r>
                    <w:rPr>
                      <w:color w:val="auto"/>
                      <w:szCs w:val="21"/>
                      <w:highlight w:val="none"/>
                    </w:rPr>
                    <w:t>）</w:t>
                  </w:r>
                </w:p>
              </w:tc>
              <w:tc>
                <w:tcPr>
                  <w:tcW w:w="1364" w:type="pct"/>
                  <w:vAlign w:val="center"/>
                </w:tcPr>
                <w:p w14:paraId="778E764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0.61</w:t>
                  </w:r>
                </w:p>
              </w:tc>
            </w:tr>
            <w:tr w14:paraId="5D3A03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4780E39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蒸汽相对密度（空气</w:t>
                  </w:r>
                  <w:r>
                    <w:rPr>
                      <w:rFonts w:hint="eastAsia"/>
                      <w:color w:val="auto"/>
                      <w:szCs w:val="21"/>
                      <w:highlight w:val="none"/>
                    </w:rPr>
                    <w:t>=1</w:t>
                  </w:r>
                  <w:r>
                    <w:rPr>
                      <w:color w:val="auto"/>
                      <w:szCs w:val="21"/>
                      <w:highlight w:val="none"/>
                    </w:rPr>
                    <w:t>）</w:t>
                  </w:r>
                </w:p>
              </w:tc>
              <w:tc>
                <w:tcPr>
                  <w:tcW w:w="958" w:type="pct"/>
                  <w:vAlign w:val="center"/>
                </w:tcPr>
                <w:p w14:paraId="3350372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0.98</w:t>
                  </w:r>
                </w:p>
              </w:tc>
              <w:tc>
                <w:tcPr>
                  <w:tcW w:w="1217" w:type="pct"/>
                  <w:vAlign w:val="center"/>
                </w:tcPr>
                <w:p w14:paraId="4E9EF02F">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水溶解度</w:t>
                  </w:r>
                </w:p>
              </w:tc>
              <w:tc>
                <w:tcPr>
                  <w:tcW w:w="1364" w:type="pct"/>
                  <w:vAlign w:val="center"/>
                </w:tcPr>
                <w:p w14:paraId="535F2F5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不溶于水，微溶于乙醇、酮、苯、溶于醚类</w:t>
                  </w:r>
                </w:p>
              </w:tc>
            </w:tr>
            <w:tr w14:paraId="6B497E6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06C70310">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熔点</w:t>
                  </w:r>
                </w:p>
              </w:tc>
              <w:tc>
                <w:tcPr>
                  <w:tcW w:w="958" w:type="pct"/>
                  <w:vAlign w:val="center"/>
                </w:tcPr>
                <w:p w14:paraId="559A710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-169.4℃</w:t>
                  </w:r>
                </w:p>
              </w:tc>
              <w:tc>
                <w:tcPr>
                  <w:tcW w:w="1217" w:type="pct"/>
                  <w:vAlign w:val="center"/>
                </w:tcPr>
                <w:p w14:paraId="5C1E5331">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饱和蒸汽压</w:t>
                  </w:r>
                </w:p>
              </w:tc>
              <w:tc>
                <w:tcPr>
                  <w:tcW w:w="1364" w:type="pct"/>
                  <w:vAlign w:val="center"/>
                </w:tcPr>
                <w:p w14:paraId="4F015979">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4083.40kPa（0</w:t>
                  </w:r>
                  <w:r>
                    <w:rPr>
                      <w:color w:val="auto"/>
                      <w:szCs w:val="21"/>
                      <w:highlight w:val="none"/>
                    </w:rPr>
                    <w:t>℃</w:t>
                  </w:r>
                  <w:r>
                    <w:rPr>
                      <w:rFonts w:hint="eastAsia"/>
                      <w:color w:val="auto"/>
                      <w:szCs w:val="21"/>
                      <w:highlight w:val="none"/>
                    </w:rPr>
                    <w:t>）</w:t>
                  </w:r>
                </w:p>
              </w:tc>
            </w:tr>
            <w:tr w14:paraId="7A2D39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15F2E48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沸点</w:t>
                  </w:r>
                </w:p>
              </w:tc>
              <w:tc>
                <w:tcPr>
                  <w:tcW w:w="958" w:type="pct"/>
                  <w:vAlign w:val="center"/>
                </w:tcPr>
                <w:p w14:paraId="011C141A">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-103.9℃</w:t>
                  </w:r>
                </w:p>
              </w:tc>
              <w:tc>
                <w:tcPr>
                  <w:tcW w:w="1217" w:type="pct"/>
                  <w:vAlign w:val="center"/>
                </w:tcPr>
                <w:p w14:paraId="132F02D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临界压力</w:t>
                  </w:r>
                </w:p>
              </w:tc>
              <w:tc>
                <w:tcPr>
                  <w:tcW w:w="1364" w:type="pct"/>
                  <w:vAlign w:val="center"/>
                </w:tcPr>
                <w:p w14:paraId="4C1AA6A8">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5.04MPa</w:t>
                  </w:r>
                </w:p>
              </w:tc>
            </w:tr>
            <w:tr w14:paraId="646E7DF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3C1D72A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引燃温度</w:t>
                  </w:r>
                </w:p>
              </w:tc>
              <w:tc>
                <w:tcPr>
                  <w:tcW w:w="958" w:type="pct"/>
                  <w:vAlign w:val="center"/>
                </w:tcPr>
                <w:p w14:paraId="39E02843">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425℃</w:t>
                  </w:r>
                </w:p>
              </w:tc>
              <w:tc>
                <w:tcPr>
                  <w:tcW w:w="1217" w:type="pct"/>
                  <w:vAlign w:val="center"/>
                </w:tcPr>
                <w:p w14:paraId="07E4A55D">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爆炸上限</w:t>
                  </w:r>
                  <w:r>
                    <w:rPr>
                      <w:rFonts w:hint="eastAsia"/>
                      <w:color w:val="auto"/>
                      <w:szCs w:val="21"/>
                      <w:highlight w:val="none"/>
                    </w:rPr>
                    <w:t>V/V</w:t>
                  </w:r>
                </w:p>
              </w:tc>
              <w:tc>
                <w:tcPr>
                  <w:tcW w:w="1364" w:type="pct"/>
                  <w:vAlign w:val="center"/>
                </w:tcPr>
                <w:p w14:paraId="0DAF700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36%</w:t>
                  </w:r>
                </w:p>
              </w:tc>
            </w:tr>
            <w:tr w14:paraId="2D34609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1" w:type="pct"/>
                  <w:vAlign w:val="center"/>
                </w:tcPr>
                <w:p w14:paraId="6255DF96">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临界温度</w:t>
                  </w:r>
                </w:p>
              </w:tc>
              <w:tc>
                <w:tcPr>
                  <w:tcW w:w="958" w:type="pct"/>
                  <w:vAlign w:val="center"/>
                </w:tcPr>
                <w:p w14:paraId="0A34CC95">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9.2℃</w:t>
                  </w:r>
                </w:p>
              </w:tc>
              <w:tc>
                <w:tcPr>
                  <w:tcW w:w="1217" w:type="pct"/>
                  <w:vAlign w:val="center"/>
                </w:tcPr>
                <w:p w14:paraId="4F89C9F2">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color w:val="auto"/>
                      <w:szCs w:val="21"/>
                      <w:highlight w:val="none"/>
                    </w:rPr>
                    <w:t>爆炸下限</w:t>
                  </w:r>
                  <w:r>
                    <w:rPr>
                      <w:rFonts w:hint="eastAsia"/>
                      <w:color w:val="auto"/>
                      <w:szCs w:val="21"/>
                      <w:highlight w:val="none"/>
                    </w:rPr>
                    <w:t>V/V</w:t>
                  </w:r>
                </w:p>
              </w:tc>
              <w:tc>
                <w:tcPr>
                  <w:tcW w:w="1364" w:type="pct"/>
                  <w:vAlign w:val="center"/>
                </w:tcPr>
                <w:p w14:paraId="7C530397">
                  <w:pPr>
                    <w:keepNext w:val="0"/>
                    <w:keepLines w:val="0"/>
                    <w:pageBreakBefore w:val="0"/>
                    <w:widowControl w:val="0"/>
                    <w:kinsoku/>
                    <w:wordWrap/>
                    <w:overflowPunct/>
                    <w:topLinePunct w:val="0"/>
                    <w:autoSpaceDE/>
                    <w:autoSpaceDN/>
                    <w:bidi w:val="0"/>
                    <w:adjustRightInd/>
                    <w:snapToGrid/>
                    <w:spacing w:line="276" w:lineRule="auto"/>
                    <w:jc w:val="center"/>
                    <w:textAlignment w:val="auto"/>
                    <w:rPr>
                      <w:color w:val="auto"/>
                      <w:szCs w:val="21"/>
                      <w:highlight w:val="none"/>
                    </w:rPr>
                  </w:pPr>
                  <w:r>
                    <w:rPr>
                      <w:rFonts w:hint="eastAsia"/>
                      <w:color w:val="auto"/>
                      <w:szCs w:val="21"/>
                      <w:highlight w:val="none"/>
                    </w:rPr>
                    <w:t>2.7%</w:t>
                  </w:r>
                </w:p>
              </w:tc>
            </w:tr>
          </w:tbl>
          <w:p w14:paraId="7CA4152C">
            <w:pPr>
              <w:autoSpaceDE w:val="0"/>
              <w:autoSpaceDN w:val="0"/>
              <w:adjustRightInd w:val="0"/>
              <w:snapToGrid w:val="0"/>
              <w:spacing w:line="360" w:lineRule="auto"/>
              <w:jc w:val="center"/>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2-11</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丙烷</w:t>
            </w:r>
            <w:r>
              <w:rPr>
                <w:rFonts w:hint="eastAsia" w:hAnsi="黑体" w:eastAsia="黑体"/>
                <w:color w:val="auto"/>
                <w:sz w:val="24"/>
                <w:szCs w:val="24"/>
                <w:highlight w:val="none"/>
              </w:rPr>
              <w:t>理化性质一览表</w:t>
            </w:r>
          </w:p>
          <w:tbl>
            <w:tblPr>
              <w:tblStyle w:val="3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356"/>
              <w:gridCol w:w="1545"/>
              <w:gridCol w:w="1963"/>
              <w:gridCol w:w="2200"/>
            </w:tblGrid>
            <w:tr w14:paraId="7B3C62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4CBF31E9">
                  <w:pPr>
                    <w:spacing w:line="276" w:lineRule="auto"/>
                    <w:jc w:val="center"/>
                    <w:rPr>
                      <w:color w:val="auto"/>
                      <w:szCs w:val="21"/>
                      <w:highlight w:val="none"/>
                    </w:rPr>
                  </w:pPr>
                  <w:r>
                    <w:rPr>
                      <w:color w:val="auto"/>
                      <w:szCs w:val="21"/>
                      <w:highlight w:val="none"/>
                    </w:rPr>
                    <w:t>项目</w:t>
                  </w:r>
                </w:p>
              </w:tc>
              <w:tc>
                <w:tcPr>
                  <w:tcW w:w="957" w:type="pct"/>
                  <w:vAlign w:val="center"/>
                </w:tcPr>
                <w:p w14:paraId="7A3AD0F3">
                  <w:pPr>
                    <w:spacing w:line="276" w:lineRule="auto"/>
                    <w:jc w:val="center"/>
                    <w:rPr>
                      <w:rFonts w:hint="eastAsia" w:eastAsia="宋体"/>
                      <w:color w:val="auto"/>
                      <w:szCs w:val="21"/>
                      <w:highlight w:val="none"/>
                      <w:lang w:eastAsia="zh-CN"/>
                    </w:rPr>
                  </w:pPr>
                  <w:r>
                    <w:rPr>
                      <w:rFonts w:hint="eastAsia"/>
                      <w:color w:val="auto"/>
                      <w:szCs w:val="21"/>
                      <w:highlight w:val="none"/>
                      <w:lang w:val="en-US" w:eastAsia="zh-CN"/>
                    </w:rPr>
                    <w:t>丙烷</w:t>
                  </w:r>
                </w:p>
              </w:tc>
              <w:tc>
                <w:tcPr>
                  <w:tcW w:w="1217" w:type="pct"/>
                  <w:vAlign w:val="center"/>
                </w:tcPr>
                <w:p w14:paraId="759C96F6">
                  <w:pPr>
                    <w:spacing w:line="276" w:lineRule="auto"/>
                    <w:jc w:val="center"/>
                    <w:rPr>
                      <w:color w:val="auto"/>
                      <w:szCs w:val="21"/>
                      <w:highlight w:val="none"/>
                    </w:rPr>
                  </w:pPr>
                  <w:r>
                    <w:rPr>
                      <w:color w:val="auto"/>
                      <w:szCs w:val="21"/>
                      <w:highlight w:val="none"/>
                    </w:rPr>
                    <w:t>外观性状</w:t>
                  </w:r>
                </w:p>
              </w:tc>
              <w:tc>
                <w:tcPr>
                  <w:tcW w:w="1364" w:type="pct"/>
                  <w:vAlign w:val="center"/>
                </w:tcPr>
                <w:p w14:paraId="508832BF">
                  <w:pPr>
                    <w:spacing w:line="276" w:lineRule="auto"/>
                    <w:jc w:val="center"/>
                    <w:rPr>
                      <w:rFonts w:hint="default" w:eastAsia="宋体"/>
                      <w:color w:val="auto"/>
                      <w:szCs w:val="21"/>
                      <w:highlight w:val="none"/>
                      <w:lang w:val="en-US" w:eastAsia="zh-CN"/>
                    </w:rPr>
                  </w:pPr>
                  <w:r>
                    <w:rPr>
                      <w:color w:val="auto"/>
                      <w:szCs w:val="21"/>
                      <w:highlight w:val="none"/>
                    </w:rPr>
                    <w:t>无色气体、</w:t>
                  </w:r>
                  <w:r>
                    <w:rPr>
                      <w:rFonts w:hint="eastAsia"/>
                      <w:color w:val="auto"/>
                      <w:szCs w:val="21"/>
                      <w:highlight w:val="none"/>
                      <w:lang w:val="en-US" w:eastAsia="zh-CN"/>
                    </w:rPr>
                    <w:t>纯品无臭</w:t>
                  </w:r>
                </w:p>
              </w:tc>
            </w:tr>
            <w:tr w14:paraId="5CB5D6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4BF3F3EE">
                  <w:pPr>
                    <w:spacing w:line="276" w:lineRule="auto"/>
                    <w:jc w:val="center"/>
                    <w:rPr>
                      <w:color w:val="auto"/>
                      <w:szCs w:val="21"/>
                      <w:highlight w:val="none"/>
                    </w:rPr>
                  </w:pPr>
                  <w:r>
                    <w:rPr>
                      <w:color w:val="auto"/>
                      <w:szCs w:val="21"/>
                      <w:highlight w:val="none"/>
                    </w:rPr>
                    <w:t>含量（</w:t>
                  </w:r>
                  <w:r>
                    <w:rPr>
                      <w:rFonts w:hint="eastAsia"/>
                      <w:color w:val="auto"/>
                      <w:szCs w:val="21"/>
                      <w:highlight w:val="none"/>
                    </w:rPr>
                    <w:t>%V/V</w:t>
                  </w:r>
                  <w:r>
                    <w:rPr>
                      <w:color w:val="auto"/>
                      <w:szCs w:val="21"/>
                      <w:highlight w:val="none"/>
                    </w:rPr>
                    <w:t>）</w:t>
                  </w:r>
                </w:p>
              </w:tc>
              <w:tc>
                <w:tcPr>
                  <w:tcW w:w="957" w:type="pct"/>
                  <w:vAlign w:val="center"/>
                </w:tcPr>
                <w:p w14:paraId="71342D3C">
                  <w:pPr>
                    <w:spacing w:line="276" w:lineRule="auto"/>
                    <w:jc w:val="center"/>
                    <w:rPr>
                      <w:color w:val="auto"/>
                      <w:szCs w:val="21"/>
                      <w:highlight w:val="none"/>
                    </w:rPr>
                  </w:pPr>
                  <w:r>
                    <w:rPr>
                      <w:color w:val="auto"/>
                      <w:szCs w:val="21"/>
                      <w:highlight w:val="none"/>
                    </w:rPr>
                    <w:t>≥</w:t>
                  </w:r>
                  <w:r>
                    <w:rPr>
                      <w:rFonts w:hint="eastAsia"/>
                      <w:color w:val="auto"/>
                      <w:szCs w:val="21"/>
                      <w:highlight w:val="none"/>
                    </w:rPr>
                    <w:t>99.95</w:t>
                  </w:r>
                </w:p>
              </w:tc>
              <w:tc>
                <w:tcPr>
                  <w:tcW w:w="1217" w:type="pct"/>
                  <w:vAlign w:val="center"/>
                </w:tcPr>
                <w:p w14:paraId="3FED88BF">
                  <w:pPr>
                    <w:spacing w:line="276" w:lineRule="auto"/>
                    <w:jc w:val="center"/>
                    <w:rPr>
                      <w:color w:val="auto"/>
                      <w:szCs w:val="21"/>
                      <w:highlight w:val="none"/>
                    </w:rPr>
                  </w:pPr>
                  <w:r>
                    <w:rPr>
                      <w:color w:val="auto"/>
                      <w:szCs w:val="21"/>
                      <w:highlight w:val="none"/>
                    </w:rPr>
                    <w:t>分子式</w:t>
                  </w:r>
                </w:p>
              </w:tc>
              <w:tc>
                <w:tcPr>
                  <w:tcW w:w="1364" w:type="pct"/>
                  <w:vAlign w:val="center"/>
                </w:tcPr>
                <w:p w14:paraId="2C1A2ADA">
                  <w:pPr>
                    <w:spacing w:line="276" w:lineRule="auto"/>
                    <w:jc w:val="center"/>
                    <w:rPr>
                      <w:rFonts w:hint="eastAsia" w:eastAsia="宋体"/>
                      <w:color w:val="auto"/>
                      <w:szCs w:val="21"/>
                      <w:highlight w:val="none"/>
                      <w:lang w:eastAsia="zh-CN"/>
                    </w:rPr>
                  </w:pPr>
                  <w:r>
                    <w:rPr>
                      <w:rFonts w:hint="eastAsia"/>
                      <w:color w:val="auto"/>
                      <w:szCs w:val="21"/>
                      <w:highlight w:val="none"/>
                    </w:rPr>
                    <w:t>C</w:t>
                  </w:r>
                  <w:r>
                    <w:rPr>
                      <w:rFonts w:hint="eastAsia"/>
                      <w:color w:val="auto"/>
                      <w:szCs w:val="21"/>
                      <w:highlight w:val="none"/>
                      <w:vertAlign w:val="subscript"/>
                      <w:lang w:val="en-US" w:eastAsia="zh-CN"/>
                    </w:rPr>
                    <w:t>3</w:t>
                  </w:r>
                  <w:r>
                    <w:rPr>
                      <w:rFonts w:hint="eastAsia"/>
                      <w:color w:val="auto"/>
                      <w:szCs w:val="21"/>
                      <w:highlight w:val="none"/>
                    </w:rPr>
                    <w:t>H</w:t>
                  </w:r>
                  <w:r>
                    <w:rPr>
                      <w:rFonts w:hint="eastAsia"/>
                      <w:color w:val="auto"/>
                      <w:szCs w:val="21"/>
                      <w:highlight w:val="none"/>
                      <w:vertAlign w:val="subscript"/>
                      <w:lang w:val="en-US" w:eastAsia="zh-CN"/>
                    </w:rPr>
                    <w:t>8</w:t>
                  </w:r>
                </w:p>
              </w:tc>
            </w:tr>
            <w:tr w14:paraId="7483D9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731BF7ED">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蒸汽相对密度（空气</w:t>
                  </w:r>
                  <w:r>
                    <w:rPr>
                      <w:rFonts w:hint="eastAsia"/>
                      <w:color w:val="auto"/>
                      <w:szCs w:val="21"/>
                      <w:highlight w:val="none"/>
                    </w:rPr>
                    <w:t>=1</w:t>
                  </w:r>
                  <w:r>
                    <w:rPr>
                      <w:color w:val="auto"/>
                      <w:szCs w:val="21"/>
                      <w:highlight w:val="none"/>
                    </w:rPr>
                    <w:t>）</w:t>
                  </w:r>
                </w:p>
              </w:tc>
              <w:tc>
                <w:tcPr>
                  <w:tcW w:w="957" w:type="pct"/>
                  <w:shd w:val="clear" w:color="auto" w:fill="auto"/>
                  <w:vAlign w:val="center"/>
                </w:tcPr>
                <w:p w14:paraId="112B8A92">
                  <w:pPr>
                    <w:spacing w:line="276"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1.56</w:t>
                  </w:r>
                </w:p>
              </w:tc>
              <w:tc>
                <w:tcPr>
                  <w:tcW w:w="1217" w:type="pct"/>
                  <w:vAlign w:val="center"/>
                </w:tcPr>
                <w:p w14:paraId="037393E5">
                  <w:pPr>
                    <w:spacing w:line="276" w:lineRule="auto"/>
                    <w:jc w:val="center"/>
                    <w:rPr>
                      <w:color w:val="auto"/>
                      <w:szCs w:val="21"/>
                      <w:highlight w:val="none"/>
                    </w:rPr>
                  </w:pPr>
                  <w:r>
                    <w:rPr>
                      <w:color w:val="auto"/>
                      <w:szCs w:val="21"/>
                      <w:highlight w:val="none"/>
                    </w:rPr>
                    <w:t>相对密度（水</w:t>
                  </w:r>
                  <w:r>
                    <w:rPr>
                      <w:rFonts w:hint="eastAsia"/>
                      <w:color w:val="auto"/>
                      <w:szCs w:val="21"/>
                      <w:highlight w:val="none"/>
                    </w:rPr>
                    <w:t>=1</w:t>
                  </w:r>
                  <w:r>
                    <w:rPr>
                      <w:color w:val="auto"/>
                      <w:szCs w:val="21"/>
                      <w:highlight w:val="none"/>
                    </w:rPr>
                    <w:t>）</w:t>
                  </w:r>
                </w:p>
              </w:tc>
              <w:tc>
                <w:tcPr>
                  <w:tcW w:w="1364" w:type="pct"/>
                  <w:vAlign w:val="center"/>
                </w:tcPr>
                <w:p w14:paraId="03C9C67B">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0.49</w:t>
                  </w:r>
                </w:p>
              </w:tc>
            </w:tr>
            <w:tr w14:paraId="3E0951A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55153548">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熔点</w:t>
                  </w:r>
                </w:p>
              </w:tc>
              <w:tc>
                <w:tcPr>
                  <w:tcW w:w="957" w:type="pct"/>
                  <w:shd w:val="clear" w:color="auto" w:fill="auto"/>
                  <w:vAlign w:val="center"/>
                </w:tcPr>
                <w:p w14:paraId="192EB86E">
                  <w:pPr>
                    <w:spacing w:line="276" w:lineRule="auto"/>
                    <w:jc w:val="center"/>
                    <w:rPr>
                      <w:rFonts w:hint="default" w:ascii="Times New Roman" w:hAnsi="Times New Roman" w:eastAsia="宋体" w:cs="Times New Roman"/>
                      <w:color w:val="auto"/>
                      <w:kern w:val="2"/>
                      <w:sz w:val="21"/>
                      <w:szCs w:val="21"/>
                      <w:highlight w:val="none"/>
                      <w:lang w:val="en-US" w:eastAsia="zh-CN" w:bidi="ar-SA"/>
                    </w:rPr>
                  </w:pPr>
                  <w:r>
                    <w:rPr>
                      <w:color w:val="auto"/>
                      <w:szCs w:val="21"/>
                      <w:highlight w:val="none"/>
                    </w:rPr>
                    <w:t>-</w:t>
                  </w:r>
                  <w:r>
                    <w:rPr>
                      <w:rFonts w:hint="eastAsia"/>
                      <w:color w:val="auto"/>
                      <w:szCs w:val="21"/>
                      <w:highlight w:val="none"/>
                      <w:lang w:val="en-US" w:eastAsia="zh-CN"/>
                    </w:rPr>
                    <w:t>187.6</w:t>
                  </w:r>
                  <w:r>
                    <w:rPr>
                      <w:color w:val="auto"/>
                      <w:szCs w:val="21"/>
                      <w:highlight w:val="none"/>
                    </w:rPr>
                    <w:t>℃</w:t>
                  </w:r>
                </w:p>
              </w:tc>
              <w:tc>
                <w:tcPr>
                  <w:tcW w:w="1217" w:type="pct"/>
                  <w:vAlign w:val="center"/>
                </w:tcPr>
                <w:p w14:paraId="65B70588">
                  <w:pPr>
                    <w:spacing w:line="276" w:lineRule="auto"/>
                    <w:jc w:val="center"/>
                    <w:rPr>
                      <w:color w:val="auto"/>
                      <w:szCs w:val="21"/>
                      <w:highlight w:val="none"/>
                    </w:rPr>
                  </w:pPr>
                  <w:r>
                    <w:rPr>
                      <w:color w:val="auto"/>
                      <w:szCs w:val="21"/>
                      <w:highlight w:val="none"/>
                    </w:rPr>
                    <w:t>水溶解度</w:t>
                  </w:r>
                </w:p>
              </w:tc>
              <w:tc>
                <w:tcPr>
                  <w:tcW w:w="1364" w:type="pct"/>
                  <w:vAlign w:val="center"/>
                </w:tcPr>
                <w:p w14:paraId="52A9AA53">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微溶于水，溶于乙醇、乙醚</w:t>
                  </w:r>
                </w:p>
              </w:tc>
            </w:tr>
            <w:tr w14:paraId="1F76D7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4C093602">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沸点</w:t>
                  </w:r>
                </w:p>
              </w:tc>
              <w:tc>
                <w:tcPr>
                  <w:tcW w:w="957" w:type="pct"/>
                  <w:shd w:val="clear" w:color="auto" w:fill="auto"/>
                  <w:vAlign w:val="center"/>
                </w:tcPr>
                <w:p w14:paraId="6443901A">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w:t>
                  </w:r>
                  <w:r>
                    <w:rPr>
                      <w:rFonts w:hint="eastAsia"/>
                      <w:color w:val="auto"/>
                      <w:szCs w:val="21"/>
                      <w:highlight w:val="none"/>
                      <w:lang w:val="en-US" w:eastAsia="zh-CN"/>
                    </w:rPr>
                    <w:t>42.1</w:t>
                  </w:r>
                  <w:r>
                    <w:rPr>
                      <w:color w:val="auto"/>
                      <w:szCs w:val="21"/>
                      <w:highlight w:val="none"/>
                    </w:rPr>
                    <w:t>℃</w:t>
                  </w:r>
                </w:p>
              </w:tc>
              <w:tc>
                <w:tcPr>
                  <w:tcW w:w="1217" w:type="pct"/>
                  <w:vAlign w:val="center"/>
                </w:tcPr>
                <w:p w14:paraId="32999162">
                  <w:pPr>
                    <w:spacing w:line="276" w:lineRule="auto"/>
                    <w:jc w:val="center"/>
                    <w:rPr>
                      <w:color w:val="auto"/>
                      <w:szCs w:val="21"/>
                      <w:highlight w:val="none"/>
                    </w:rPr>
                  </w:pPr>
                  <w:r>
                    <w:rPr>
                      <w:color w:val="auto"/>
                      <w:szCs w:val="21"/>
                      <w:highlight w:val="none"/>
                    </w:rPr>
                    <w:t>饱和蒸汽压</w:t>
                  </w:r>
                </w:p>
              </w:tc>
              <w:tc>
                <w:tcPr>
                  <w:tcW w:w="1364" w:type="pct"/>
                  <w:vAlign w:val="center"/>
                </w:tcPr>
                <w:p w14:paraId="7B0D481E">
                  <w:pPr>
                    <w:spacing w:line="276" w:lineRule="auto"/>
                    <w:jc w:val="center"/>
                    <w:rPr>
                      <w:color w:val="auto"/>
                      <w:szCs w:val="21"/>
                      <w:highlight w:val="none"/>
                    </w:rPr>
                  </w:pPr>
                  <w:r>
                    <w:rPr>
                      <w:rFonts w:hint="eastAsia"/>
                      <w:color w:val="auto"/>
                      <w:szCs w:val="21"/>
                      <w:highlight w:val="none"/>
                      <w:lang w:val="en-US" w:eastAsia="zh-CN"/>
                    </w:rPr>
                    <w:t>53.32</w:t>
                  </w:r>
                  <w:r>
                    <w:rPr>
                      <w:rFonts w:hint="eastAsia"/>
                      <w:color w:val="auto"/>
                      <w:szCs w:val="21"/>
                      <w:highlight w:val="none"/>
                    </w:rPr>
                    <w:t>kPa（</w:t>
                  </w:r>
                  <w:r>
                    <w:rPr>
                      <w:rFonts w:hint="eastAsia"/>
                      <w:color w:val="auto"/>
                      <w:szCs w:val="21"/>
                      <w:highlight w:val="none"/>
                      <w:lang w:val="en-US" w:eastAsia="zh-CN"/>
                    </w:rPr>
                    <w:t>-55.6</w:t>
                  </w:r>
                  <w:r>
                    <w:rPr>
                      <w:color w:val="auto"/>
                      <w:szCs w:val="21"/>
                      <w:highlight w:val="none"/>
                    </w:rPr>
                    <w:t>℃</w:t>
                  </w:r>
                  <w:r>
                    <w:rPr>
                      <w:rFonts w:hint="eastAsia"/>
                      <w:color w:val="auto"/>
                      <w:szCs w:val="21"/>
                      <w:highlight w:val="none"/>
                    </w:rPr>
                    <w:t>）</w:t>
                  </w:r>
                </w:p>
              </w:tc>
            </w:tr>
            <w:tr w14:paraId="1A6993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53294CFE">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引燃温度</w:t>
                  </w:r>
                </w:p>
              </w:tc>
              <w:tc>
                <w:tcPr>
                  <w:tcW w:w="957" w:type="pct"/>
                  <w:shd w:val="clear" w:color="auto" w:fill="auto"/>
                  <w:vAlign w:val="center"/>
                </w:tcPr>
                <w:p w14:paraId="4839A842">
                  <w:pPr>
                    <w:spacing w:line="276"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450</w:t>
                  </w:r>
                  <w:r>
                    <w:rPr>
                      <w:color w:val="auto"/>
                      <w:szCs w:val="21"/>
                      <w:highlight w:val="none"/>
                    </w:rPr>
                    <w:t>℃</w:t>
                  </w:r>
                </w:p>
              </w:tc>
              <w:tc>
                <w:tcPr>
                  <w:tcW w:w="1217" w:type="pct"/>
                  <w:vAlign w:val="center"/>
                </w:tcPr>
                <w:p w14:paraId="773170AD">
                  <w:pPr>
                    <w:spacing w:line="276" w:lineRule="auto"/>
                    <w:jc w:val="center"/>
                    <w:rPr>
                      <w:color w:val="auto"/>
                      <w:szCs w:val="21"/>
                      <w:highlight w:val="none"/>
                    </w:rPr>
                  </w:pPr>
                  <w:r>
                    <w:rPr>
                      <w:color w:val="auto"/>
                      <w:szCs w:val="21"/>
                      <w:highlight w:val="none"/>
                    </w:rPr>
                    <w:t>临界压力</w:t>
                  </w:r>
                </w:p>
              </w:tc>
              <w:tc>
                <w:tcPr>
                  <w:tcW w:w="1364" w:type="pct"/>
                  <w:vAlign w:val="center"/>
                </w:tcPr>
                <w:p w14:paraId="6825F05D">
                  <w:pPr>
                    <w:spacing w:line="276" w:lineRule="auto"/>
                    <w:jc w:val="center"/>
                    <w:rPr>
                      <w:color w:val="auto"/>
                      <w:szCs w:val="21"/>
                      <w:highlight w:val="none"/>
                    </w:rPr>
                  </w:pPr>
                  <w:r>
                    <w:rPr>
                      <w:rFonts w:hint="eastAsia"/>
                      <w:color w:val="auto"/>
                      <w:szCs w:val="21"/>
                      <w:highlight w:val="none"/>
                      <w:lang w:val="en-US" w:eastAsia="zh-CN"/>
                    </w:rPr>
                    <w:t>4.25</w:t>
                  </w:r>
                  <w:r>
                    <w:rPr>
                      <w:rFonts w:hint="eastAsia"/>
                      <w:color w:val="auto"/>
                      <w:szCs w:val="21"/>
                      <w:highlight w:val="none"/>
                    </w:rPr>
                    <w:t>MPa</w:t>
                  </w:r>
                </w:p>
              </w:tc>
            </w:tr>
            <w:tr w14:paraId="66252C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7E84188D">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临界温度</w:t>
                  </w:r>
                </w:p>
              </w:tc>
              <w:tc>
                <w:tcPr>
                  <w:tcW w:w="957" w:type="pct"/>
                  <w:shd w:val="clear" w:color="auto" w:fill="auto"/>
                  <w:vAlign w:val="center"/>
                </w:tcPr>
                <w:p w14:paraId="5F9D8C5D">
                  <w:pPr>
                    <w:spacing w:line="276"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96.8</w:t>
                  </w:r>
                  <w:r>
                    <w:rPr>
                      <w:color w:val="auto"/>
                      <w:szCs w:val="21"/>
                      <w:highlight w:val="none"/>
                    </w:rPr>
                    <w:t>℃</w:t>
                  </w:r>
                </w:p>
              </w:tc>
              <w:tc>
                <w:tcPr>
                  <w:tcW w:w="1217" w:type="pct"/>
                  <w:vAlign w:val="center"/>
                </w:tcPr>
                <w:p w14:paraId="7A3C610C">
                  <w:pPr>
                    <w:spacing w:line="276" w:lineRule="auto"/>
                    <w:jc w:val="center"/>
                    <w:rPr>
                      <w:color w:val="auto"/>
                      <w:szCs w:val="21"/>
                      <w:highlight w:val="none"/>
                    </w:rPr>
                  </w:pPr>
                  <w:r>
                    <w:rPr>
                      <w:color w:val="auto"/>
                      <w:szCs w:val="21"/>
                      <w:highlight w:val="none"/>
                    </w:rPr>
                    <w:t>爆炸上限</w:t>
                  </w:r>
                  <w:r>
                    <w:rPr>
                      <w:rFonts w:hint="eastAsia"/>
                      <w:color w:val="auto"/>
                      <w:szCs w:val="21"/>
                      <w:highlight w:val="none"/>
                    </w:rPr>
                    <w:t>V/V</w:t>
                  </w:r>
                </w:p>
              </w:tc>
              <w:tc>
                <w:tcPr>
                  <w:tcW w:w="1364" w:type="pct"/>
                  <w:vAlign w:val="center"/>
                </w:tcPr>
                <w:p w14:paraId="56D2FE2D">
                  <w:pPr>
                    <w:spacing w:line="276" w:lineRule="auto"/>
                    <w:jc w:val="center"/>
                    <w:rPr>
                      <w:color w:val="auto"/>
                      <w:szCs w:val="21"/>
                      <w:highlight w:val="none"/>
                    </w:rPr>
                  </w:pPr>
                  <w:r>
                    <w:rPr>
                      <w:rFonts w:hint="eastAsia"/>
                      <w:color w:val="auto"/>
                      <w:szCs w:val="21"/>
                      <w:highlight w:val="none"/>
                      <w:lang w:val="en-US" w:eastAsia="zh-CN"/>
                    </w:rPr>
                    <w:t>9.5</w:t>
                  </w:r>
                  <w:r>
                    <w:rPr>
                      <w:rFonts w:hint="eastAsia"/>
                      <w:color w:val="auto"/>
                      <w:szCs w:val="21"/>
                      <w:highlight w:val="none"/>
                    </w:rPr>
                    <w:t>%</w:t>
                  </w:r>
                </w:p>
              </w:tc>
            </w:tr>
            <w:tr w14:paraId="44F29C8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3685F94F">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957" w:type="pct"/>
                  <w:vAlign w:val="center"/>
                </w:tcPr>
                <w:p w14:paraId="24D14CE2">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1217" w:type="pct"/>
                  <w:vAlign w:val="center"/>
                </w:tcPr>
                <w:p w14:paraId="263580A5">
                  <w:pPr>
                    <w:spacing w:line="276" w:lineRule="auto"/>
                    <w:jc w:val="center"/>
                    <w:rPr>
                      <w:color w:val="auto"/>
                      <w:szCs w:val="21"/>
                      <w:highlight w:val="none"/>
                    </w:rPr>
                  </w:pPr>
                  <w:r>
                    <w:rPr>
                      <w:color w:val="auto"/>
                      <w:szCs w:val="21"/>
                      <w:highlight w:val="none"/>
                    </w:rPr>
                    <w:t>爆炸下限</w:t>
                  </w:r>
                  <w:r>
                    <w:rPr>
                      <w:rFonts w:hint="eastAsia"/>
                      <w:color w:val="auto"/>
                      <w:szCs w:val="21"/>
                      <w:highlight w:val="none"/>
                    </w:rPr>
                    <w:t>V/V</w:t>
                  </w:r>
                </w:p>
              </w:tc>
              <w:tc>
                <w:tcPr>
                  <w:tcW w:w="1364" w:type="pct"/>
                  <w:vAlign w:val="center"/>
                </w:tcPr>
                <w:p w14:paraId="2FB93AF5">
                  <w:pPr>
                    <w:spacing w:line="276" w:lineRule="auto"/>
                    <w:jc w:val="center"/>
                    <w:rPr>
                      <w:color w:val="auto"/>
                      <w:szCs w:val="21"/>
                      <w:highlight w:val="none"/>
                    </w:rPr>
                  </w:pPr>
                  <w:r>
                    <w:rPr>
                      <w:rFonts w:hint="eastAsia"/>
                      <w:color w:val="auto"/>
                      <w:szCs w:val="21"/>
                      <w:highlight w:val="none"/>
                      <w:lang w:val="en-US" w:eastAsia="zh-CN"/>
                    </w:rPr>
                    <w:t>2.1</w:t>
                  </w:r>
                  <w:r>
                    <w:rPr>
                      <w:rFonts w:hint="eastAsia"/>
                      <w:color w:val="auto"/>
                      <w:szCs w:val="21"/>
                      <w:highlight w:val="none"/>
                    </w:rPr>
                    <w:t>%</w:t>
                  </w:r>
                </w:p>
              </w:tc>
            </w:tr>
          </w:tbl>
          <w:p w14:paraId="113183B0">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2-12</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丁烷</w:t>
            </w:r>
            <w:r>
              <w:rPr>
                <w:rFonts w:hint="eastAsia" w:hAnsi="黑体" w:eastAsia="黑体"/>
                <w:color w:val="auto"/>
                <w:sz w:val="24"/>
                <w:szCs w:val="24"/>
                <w:highlight w:val="none"/>
              </w:rPr>
              <w:t>理化性质一览表</w:t>
            </w:r>
          </w:p>
          <w:tbl>
            <w:tblPr>
              <w:tblStyle w:val="3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356"/>
              <w:gridCol w:w="1545"/>
              <w:gridCol w:w="1963"/>
              <w:gridCol w:w="2200"/>
            </w:tblGrid>
            <w:tr w14:paraId="36216B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371F9D29">
                  <w:pPr>
                    <w:spacing w:line="276" w:lineRule="auto"/>
                    <w:jc w:val="center"/>
                    <w:rPr>
                      <w:color w:val="auto"/>
                      <w:szCs w:val="21"/>
                      <w:highlight w:val="none"/>
                    </w:rPr>
                  </w:pPr>
                  <w:r>
                    <w:rPr>
                      <w:color w:val="auto"/>
                      <w:szCs w:val="21"/>
                      <w:highlight w:val="none"/>
                    </w:rPr>
                    <w:t>项目</w:t>
                  </w:r>
                </w:p>
              </w:tc>
              <w:tc>
                <w:tcPr>
                  <w:tcW w:w="957" w:type="pct"/>
                  <w:vAlign w:val="center"/>
                </w:tcPr>
                <w:p w14:paraId="030B1663">
                  <w:pPr>
                    <w:spacing w:line="276" w:lineRule="auto"/>
                    <w:jc w:val="center"/>
                    <w:rPr>
                      <w:rFonts w:hint="eastAsia" w:eastAsia="宋体"/>
                      <w:color w:val="auto"/>
                      <w:szCs w:val="21"/>
                      <w:highlight w:val="none"/>
                      <w:lang w:eastAsia="zh-CN"/>
                    </w:rPr>
                  </w:pPr>
                  <w:r>
                    <w:rPr>
                      <w:rFonts w:hint="eastAsia"/>
                      <w:color w:val="auto"/>
                      <w:szCs w:val="21"/>
                      <w:highlight w:val="none"/>
                      <w:lang w:val="en-US" w:eastAsia="zh-CN"/>
                    </w:rPr>
                    <w:t>丁烷</w:t>
                  </w:r>
                </w:p>
              </w:tc>
              <w:tc>
                <w:tcPr>
                  <w:tcW w:w="1217" w:type="pct"/>
                  <w:vAlign w:val="center"/>
                </w:tcPr>
                <w:p w14:paraId="65BA9919">
                  <w:pPr>
                    <w:spacing w:line="276" w:lineRule="auto"/>
                    <w:jc w:val="center"/>
                    <w:rPr>
                      <w:color w:val="auto"/>
                      <w:szCs w:val="21"/>
                      <w:highlight w:val="none"/>
                    </w:rPr>
                  </w:pPr>
                  <w:r>
                    <w:rPr>
                      <w:color w:val="auto"/>
                      <w:szCs w:val="21"/>
                      <w:highlight w:val="none"/>
                    </w:rPr>
                    <w:t>外观性状</w:t>
                  </w:r>
                </w:p>
              </w:tc>
              <w:tc>
                <w:tcPr>
                  <w:tcW w:w="1364" w:type="pct"/>
                  <w:vAlign w:val="center"/>
                </w:tcPr>
                <w:p w14:paraId="1EA3D262">
                  <w:pPr>
                    <w:spacing w:line="276" w:lineRule="auto"/>
                    <w:jc w:val="center"/>
                    <w:rPr>
                      <w:rFonts w:hint="default" w:eastAsia="宋体"/>
                      <w:color w:val="auto"/>
                      <w:szCs w:val="21"/>
                      <w:highlight w:val="none"/>
                      <w:lang w:val="en-US" w:eastAsia="zh-CN"/>
                    </w:rPr>
                  </w:pPr>
                  <w:r>
                    <w:rPr>
                      <w:color w:val="auto"/>
                      <w:szCs w:val="21"/>
                      <w:highlight w:val="none"/>
                    </w:rPr>
                    <w:t>无色气体</w:t>
                  </w:r>
                  <w:r>
                    <w:rPr>
                      <w:rFonts w:hint="eastAsia"/>
                      <w:color w:val="auto"/>
                      <w:szCs w:val="21"/>
                      <w:highlight w:val="none"/>
                      <w:lang w:eastAsia="zh-CN"/>
                    </w:rPr>
                    <w:t>，</w:t>
                  </w:r>
                  <w:r>
                    <w:rPr>
                      <w:rFonts w:hint="eastAsia"/>
                      <w:color w:val="auto"/>
                      <w:szCs w:val="21"/>
                      <w:highlight w:val="none"/>
                      <w:lang w:val="en-US" w:eastAsia="zh-CN"/>
                    </w:rPr>
                    <w:t>有轻微的不愉快气味</w:t>
                  </w:r>
                </w:p>
              </w:tc>
            </w:tr>
            <w:tr w14:paraId="02BE751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6139ABB1">
                  <w:pPr>
                    <w:spacing w:line="276" w:lineRule="auto"/>
                    <w:jc w:val="center"/>
                    <w:rPr>
                      <w:color w:val="auto"/>
                      <w:szCs w:val="21"/>
                      <w:highlight w:val="none"/>
                    </w:rPr>
                  </w:pPr>
                  <w:r>
                    <w:rPr>
                      <w:color w:val="auto"/>
                      <w:szCs w:val="21"/>
                      <w:highlight w:val="none"/>
                    </w:rPr>
                    <w:t>含量（</w:t>
                  </w:r>
                  <w:r>
                    <w:rPr>
                      <w:rFonts w:hint="eastAsia"/>
                      <w:color w:val="auto"/>
                      <w:szCs w:val="21"/>
                      <w:highlight w:val="none"/>
                    </w:rPr>
                    <w:t>%V/V</w:t>
                  </w:r>
                  <w:r>
                    <w:rPr>
                      <w:color w:val="auto"/>
                      <w:szCs w:val="21"/>
                      <w:highlight w:val="none"/>
                    </w:rPr>
                    <w:t>）</w:t>
                  </w:r>
                </w:p>
              </w:tc>
              <w:tc>
                <w:tcPr>
                  <w:tcW w:w="957" w:type="pct"/>
                  <w:vAlign w:val="center"/>
                </w:tcPr>
                <w:p w14:paraId="635C7043">
                  <w:pPr>
                    <w:spacing w:line="276" w:lineRule="auto"/>
                    <w:jc w:val="center"/>
                    <w:rPr>
                      <w:color w:val="auto"/>
                      <w:szCs w:val="21"/>
                      <w:highlight w:val="none"/>
                    </w:rPr>
                  </w:pPr>
                  <w:r>
                    <w:rPr>
                      <w:color w:val="auto"/>
                      <w:szCs w:val="21"/>
                      <w:highlight w:val="none"/>
                    </w:rPr>
                    <w:t>≥</w:t>
                  </w:r>
                  <w:r>
                    <w:rPr>
                      <w:rFonts w:hint="eastAsia"/>
                      <w:color w:val="auto"/>
                      <w:szCs w:val="21"/>
                      <w:highlight w:val="none"/>
                    </w:rPr>
                    <w:t>99.9</w:t>
                  </w:r>
                </w:p>
              </w:tc>
              <w:tc>
                <w:tcPr>
                  <w:tcW w:w="1217" w:type="pct"/>
                  <w:vAlign w:val="center"/>
                </w:tcPr>
                <w:p w14:paraId="55EFF31A">
                  <w:pPr>
                    <w:spacing w:line="276" w:lineRule="auto"/>
                    <w:jc w:val="center"/>
                    <w:rPr>
                      <w:color w:val="auto"/>
                      <w:szCs w:val="21"/>
                      <w:highlight w:val="none"/>
                    </w:rPr>
                  </w:pPr>
                  <w:r>
                    <w:rPr>
                      <w:color w:val="auto"/>
                      <w:szCs w:val="21"/>
                      <w:highlight w:val="none"/>
                    </w:rPr>
                    <w:t>分子式</w:t>
                  </w:r>
                </w:p>
              </w:tc>
              <w:tc>
                <w:tcPr>
                  <w:tcW w:w="1364" w:type="pct"/>
                  <w:vAlign w:val="center"/>
                </w:tcPr>
                <w:p w14:paraId="629CE345">
                  <w:pPr>
                    <w:spacing w:line="276" w:lineRule="auto"/>
                    <w:jc w:val="center"/>
                    <w:rPr>
                      <w:rFonts w:hint="default" w:eastAsia="宋体"/>
                      <w:color w:val="auto"/>
                      <w:szCs w:val="21"/>
                      <w:highlight w:val="none"/>
                      <w:lang w:val="en-US" w:eastAsia="zh-CN"/>
                    </w:rPr>
                  </w:pPr>
                  <w:r>
                    <w:rPr>
                      <w:rFonts w:hint="eastAsia"/>
                      <w:color w:val="auto"/>
                      <w:szCs w:val="21"/>
                      <w:highlight w:val="none"/>
                    </w:rPr>
                    <w:t>C</w:t>
                  </w:r>
                  <w:r>
                    <w:rPr>
                      <w:rFonts w:hint="eastAsia"/>
                      <w:color w:val="auto"/>
                      <w:szCs w:val="21"/>
                      <w:highlight w:val="none"/>
                      <w:vertAlign w:val="subscript"/>
                      <w:lang w:val="en-US" w:eastAsia="zh-CN"/>
                    </w:rPr>
                    <w:t>4</w:t>
                  </w:r>
                  <w:r>
                    <w:rPr>
                      <w:rFonts w:hint="eastAsia"/>
                      <w:color w:val="auto"/>
                      <w:szCs w:val="21"/>
                      <w:highlight w:val="none"/>
                    </w:rPr>
                    <w:t>H</w:t>
                  </w:r>
                  <w:r>
                    <w:rPr>
                      <w:rFonts w:hint="eastAsia"/>
                      <w:color w:val="auto"/>
                      <w:szCs w:val="21"/>
                      <w:highlight w:val="none"/>
                      <w:vertAlign w:val="subscript"/>
                      <w:lang w:val="en-US" w:eastAsia="zh-CN"/>
                    </w:rPr>
                    <w:t>10</w:t>
                  </w:r>
                </w:p>
              </w:tc>
            </w:tr>
            <w:tr w14:paraId="41955C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20586CED">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蒸汽相对密度（空气</w:t>
                  </w:r>
                  <w:r>
                    <w:rPr>
                      <w:rFonts w:hint="eastAsia"/>
                      <w:color w:val="auto"/>
                      <w:szCs w:val="21"/>
                      <w:highlight w:val="none"/>
                    </w:rPr>
                    <w:t>=1</w:t>
                  </w:r>
                  <w:r>
                    <w:rPr>
                      <w:color w:val="auto"/>
                      <w:szCs w:val="21"/>
                      <w:highlight w:val="none"/>
                    </w:rPr>
                    <w:t>）</w:t>
                  </w:r>
                </w:p>
              </w:tc>
              <w:tc>
                <w:tcPr>
                  <w:tcW w:w="957" w:type="pct"/>
                  <w:shd w:val="clear" w:color="auto" w:fill="auto"/>
                  <w:vAlign w:val="center"/>
                </w:tcPr>
                <w:p w14:paraId="0B1438E5">
                  <w:pPr>
                    <w:spacing w:line="276"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0.98</w:t>
                  </w:r>
                </w:p>
              </w:tc>
              <w:tc>
                <w:tcPr>
                  <w:tcW w:w="1217" w:type="pct"/>
                  <w:vAlign w:val="center"/>
                </w:tcPr>
                <w:p w14:paraId="4EB79EB7">
                  <w:pPr>
                    <w:spacing w:line="276" w:lineRule="auto"/>
                    <w:jc w:val="center"/>
                    <w:rPr>
                      <w:color w:val="auto"/>
                      <w:szCs w:val="21"/>
                      <w:highlight w:val="none"/>
                    </w:rPr>
                  </w:pPr>
                  <w:r>
                    <w:rPr>
                      <w:color w:val="auto"/>
                      <w:szCs w:val="21"/>
                      <w:highlight w:val="none"/>
                    </w:rPr>
                    <w:t>相对密度（水</w:t>
                  </w:r>
                  <w:r>
                    <w:rPr>
                      <w:rFonts w:hint="eastAsia"/>
                      <w:color w:val="auto"/>
                      <w:szCs w:val="21"/>
                      <w:highlight w:val="none"/>
                    </w:rPr>
                    <w:t>=1</w:t>
                  </w:r>
                  <w:r>
                    <w:rPr>
                      <w:color w:val="auto"/>
                      <w:szCs w:val="21"/>
                      <w:highlight w:val="none"/>
                    </w:rPr>
                    <w:t>）</w:t>
                  </w:r>
                </w:p>
              </w:tc>
              <w:tc>
                <w:tcPr>
                  <w:tcW w:w="1364" w:type="pct"/>
                  <w:vAlign w:val="center"/>
                </w:tcPr>
                <w:p w14:paraId="38BF557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0.57（25</w:t>
                  </w:r>
                  <w:r>
                    <w:rPr>
                      <w:rFonts w:hint="default" w:ascii="Times New Roman" w:hAnsi="Times New Roman" w:cs="Times New Roman"/>
                      <w:color w:val="auto"/>
                      <w:szCs w:val="21"/>
                      <w:highlight w:val="none"/>
                      <w:lang w:val="en-US" w:eastAsia="zh-CN"/>
                    </w:rPr>
                    <w:t>℃</w:t>
                  </w:r>
                  <w:r>
                    <w:rPr>
                      <w:rFonts w:hint="eastAsia"/>
                      <w:color w:val="auto"/>
                      <w:szCs w:val="21"/>
                      <w:highlight w:val="none"/>
                      <w:lang w:val="en-US" w:eastAsia="zh-CN"/>
                    </w:rPr>
                    <w:t>）</w:t>
                  </w:r>
                </w:p>
              </w:tc>
            </w:tr>
            <w:tr w14:paraId="7D04D5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26087A29">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熔点</w:t>
                  </w:r>
                </w:p>
              </w:tc>
              <w:tc>
                <w:tcPr>
                  <w:tcW w:w="957" w:type="pct"/>
                  <w:shd w:val="clear" w:color="auto" w:fill="auto"/>
                  <w:vAlign w:val="center"/>
                </w:tcPr>
                <w:p w14:paraId="5595C38C">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w:t>
                  </w:r>
                  <w:r>
                    <w:rPr>
                      <w:rFonts w:hint="eastAsia"/>
                      <w:color w:val="auto"/>
                      <w:szCs w:val="21"/>
                      <w:highlight w:val="none"/>
                      <w:lang w:val="en-US" w:eastAsia="zh-CN"/>
                    </w:rPr>
                    <w:t>138.4</w:t>
                  </w:r>
                  <w:r>
                    <w:rPr>
                      <w:color w:val="auto"/>
                      <w:szCs w:val="21"/>
                      <w:highlight w:val="none"/>
                    </w:rPr>
                    <w:t>℃</w:t>
                  </w:r>
                </w:p>
              </w:tc>
              <w:tc>
                <w:tcPr>
                  <w:tcW w:w="1217" w:type="pct"/>
                  <w:vAlign w:val="center"/>
                </w:tcPr>
                <w:p w14:paraId="3BD27673">
                  <w:pPr>
                    <w:spacing w:line="276" w:lineRule="auto"/>
                    <w:jc w:val="center"/>
                    <w:rPr>
                      <w:color w:val="auto"/>
                      <w:szCs w:val="21"/>
                      <w:highlight w:val="none"/>
                    </w:rPr>
                  </w:pPr>
                  <w:r>
                    <w:rPr>
                      <w:color w:val="auto"/>
                      <w:szCs w:val="21"/>
                      <w:highlight w:val="none"/>
                    </w:rPr>
                    <w:t>水溶解度</w:t>
                  </w:r>
                </w:p>
              </w:tc>
              <w:tc>
                <w:tcPr>
                  <w:tcW w:w="1364" w:type="pct"/>
                  <w:vAlign w:val="center"/>
                </w:tcPr>
                <w:p w14:paraId="6CA8E20D">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易溶于水、醇、氯仿</w:t>
                  </w:r>
                </w:p>
              </w:tc>
            </w:tr>
            <w:tr w14:paraId="6483513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2A1D8E65">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沸点</w:t>
                  </w:r>
                </w:p>
              </w:tc>
              <w:tc>
                <w:tcPr>
                  <w:tcW w:w="957" w:type="pct"/>
                  <w:shd w:val="clear" w:color="auto" w:fill="auto"/>
                  <w:vAlign w:val="center"/>
                </w:tcPr>
                <w:p w14:paraId="28F969EE">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w:t>
                  </w:r>
                  <w:r>
                    <w:rPr>
                      <w:rFonts w:hint="eastAsia"/>
                      <w:color w:val="auto"/>
                      <w:szCs w:val="21"/>
                      <w:highlight w:val="none"/>
                      <w:lang w:val="en-US" w:eastAsia="zh-CN"/>
                    </w:rPr>
                    <w:t>0.5</w:t>
                  </w:r>
                  <w:r>
                    <w:rPr>
                      <w:color w:val="auto"/>
                      <w:szCs w:val="21"/>
                      <w:highlight w:val="none"/>
                    </w:rPr>
                    <w:t>℃</w:t>
                  </w:r>
                </w:p>
              </w:tc>
              <w:tc>
                <w:tcPr>
                  <w:tcW w:w="1217" w:type="pct"/>
                  <w:vAlign w:val="center"/>
                </w:tcPr>
                <w:p w14:paraId="27151B92">
                  <w:pPr>
                    <w:spacing w:line="276" w:lineRule="auto"/>
                    <w:jc w:val="center"/>
                    <w:rPr>
                      <w:color w:val="auto"/>
                      <w:szCs w:val="21"/>
                      <w:highlight w:val="none"/>
                    </w:rPr>
                  </w:pPr>
                  <w:r>
                    <w:rPr>
                      <w:color w:val="auto"/>
                      <w:szCs w:val="21"/>
                      <w:highlight w:val="none"/>
                    </w:rPr>
                    <w:t>饱和蒸汽压</w:t>
                  </w:r>
                </w:p>
              </w:tc>
              <w:tc>
                <w:tcPr>
                  <w:tcW w:w="1364" w:type="pct"/>
                  <w:vAlign w:val="center"/>
                </w:tcPr>
                <w:p w14:paraId="464BF3AD">
                  <w:pPr>
                    <w:spacing w:line="276" w:lineRule="auto"/>
                    <w:jc w:val="center"/>
                    <w:rPr>
                      <w:color w:val="auto"/>
                      <w:szCs w:val="21"/>
                      <w:highlight w:val="none"/>
                    </w:rPr>
                  </w:pPr>
                  <w:r>
                    <w:rPr>
                      <w:rFonts w:hint="eastAsia"/>
                      <w:color w:val="auto"/>
                      <w:szCs w:val="21"/>
                      <w:highlight w:val="none"/>
                      <w:lang w:val="en-US" w:eastAsia="zh-CN"/>
                    </w:rPr>
                    <w:t>106.39</w:t>
                  </w:r>
                  <w:r>
                    <w:rPr>
                      <w:rFonts w:hint="eastAsia"/>
                      <w:color w:val="auto"/>
                      <w:szCs w:val="21"/>
                      <w:highlight w:val="none"/>
                    </w:rPr>
                    <w:t>kPa（0</w:t>
                  </w:r>
                  <w:r>
                    <w:rPr>
                      <w:color w:val="auto"/>
                      <w:szCs w:val="21"/>
                      <w:highlight w:val="none"/>
                    </w:rPr>
                    <w:t>℃</w:t>
                  </w:r>
                  <w:r>
                    <w:rPr>
                      <w:rFonts w:hint="eastAsia"/>
                      <w:color w:val="auto"/>
                      <w:szCs w:val="21"/>
                      <w:highlight w:val="none"/>
                    </w:rPr>
                    <w:t>）</w:t>
                  </w:r>
                </w:p>
              </w:tc>
            </w:tr>
            <w:tr w14:paraId="7FDE36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2A9DC627">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引燃温度</w:t>
                  </w:r>
                </w:p>
              </w:tc>
              <w:tc>
                <w:tcPr>
                  <w:tcW w:w="957" w:type="pct"/>
                  <w:shd w:val="clear" w:color="auto" w:fill="auto"/>
                  <w:vAlign w:val="center"/>
                </w:tcPr>
                <w:p w14:paraId="21BA8756">
                  <w:pPr>
                    <w:spacing w:line="276"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287</w:t>
                  </w:r>
                  <w:r>
                    <w:rPr>
                      <w:color w:val="auto"/>
                      <w:szCs w:val="21"/>
                      <w:highlight w:val="none"/>
                    </w:rPr>
                    <w:t>℃</w:t>
                  </w:r>
                </w:p>
              </w:tc>
              <w:tc>
                <w:tcPr>
                  <w:tcW w:w="1217" w:type="pct"/>
                  <w:vAlign w:val="center"/>
                </w:tcPr>
                <w:p w14:paraId="3BB44C46">
                  <w:pPr>
                    <w:spacing w:line="276" w:lineRule="auto"/>
                    <w:jc w:val="center"/>
                    <w:rPr>
                      <w:color w:val="auto"/>
                      <w:szCs w:val="21"/>
                      <w:highlight w:val="none"/>
                    </w:rPr>
                  </w:pPr>
                  <w:r>
                    <w:rPr>
                      <w:color w:val="auto"/>
                      <w:szCs w:val="21"/>
                      <w:highlight w:val="none"/>
                    </w:rPr>
                    <w:t>临界压力</w:t>
                  </w:r>
                </w:p>
              </w:tc>
              <w:tc>
                <w:tcPr>
                  <w:tcW w:w="1364" w:type="pct"/>
                  <w:vAlign w:val="center"/>
                </w:tcPr>
                <w:p w14:paraId="27E77B5C">
                  <w:pPr>
                    <w:spacing w:line="276" w:lineRule="auto"/>
                    <w:jc w:val="center"/>
                    <w:rPr>
                      <w:color w:val="auto"/>
                      <w:szCs w:val="21"/>
                      <w:highlight w:val="none"/>
                    </w:rPr>
                  </w:pPr>
                  <w:r>
                    <w:rPr>
                      <w:rFonts w:hint="eastAsia"/>
                      <w:color w:val="auto"/>
                      <w:szCs w:val="21"/>
                      <w:highlight w:val="none"/>
                      <w:lang w:val="en-US" w:eastAsia="zh-CN"/>
                    </w:rPr>
                    <w:t>3.79</w:t>
                  </w:r>
                  <w:r>
                    <w:rPr>
                      <w:rFonts w:hint="eastAsia"/>
                      <w:color w:val="auto"/>
                      <w:szCs w:val="21"/>
                      <w:highlight w:val="none"/>
                    </w:rPr>
                    <w:t>MPa</w:t>
                  </w:r>
                </w:p>
              </w:tc>
            </w:tr>
            <w:tr w14:paraId="6581CEC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shd w:val="clear" w:color="auto" w:fill="auto"/>
                  <w:vAlign w:val="center"/>
                </w:tcPr>
                <w:p w14:paraId="0C706E26">
                  <w:pPr>
                    <w:spacing w:line="276" w:lineRule="auto"/>
                    <w:jc w:val="center"/>
                    <w:rPr>
                      <w:rFonts w:ascii="Times New Roman" w:hAnsi="Times New Roman" w:eastAsia="宋体" w:cs="Times New Roman"/>
                      <w:color w:val="auto"/>
                      <w:kern w:val="2"/>
                      <w:sz w:val="21"/>
                      <w:szCs w:val="21"/>
                      <w:highlight w:val="none"/>
                      <w:lang w:val="en-US" w:eastAsia="zh-CN" w:bidi="ar-SA"/>
                    </w:rPr>
                  </w:pPr>
                  <w:r>
                    <w:rPr>
                      <w:color w:val="auto"/>
                      <w:szCs w:val="21"/>
                      <w:highlight w:val="none"/>
                    </w:rPr>
                    <w:t>临界温度</w:t>
                  </w:r>
                </w:p>
              </w:tc>
              <w:tc>
                <w:tcPr>
                  <w:tcW w:w="957" w:type="pct"/>
                  <w:shd w:val="clear" w:color="auto" w:fill="auto"/>
                  <w:vAlign w:val="center"/>
                </w:tcPr>
                <w:p w14:paraId="6A2168EF">
                  <w:pPr>
                    <w:spacing w:line="276" w:lineRule="auto"/>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151.9</w:t>
                  </w:r>
                  <w:r>
                    <w:rPr>
                      <w:color w:val="auto"/>
                      <w:szCs w:val="21"/>
                      <w:highlight w:val="none"/>
                    </w:rPr>
                    <w:t>℃</w:t>
                  </w:r>
                </w:p>
              </w:tc>
              <w:tc>
                <w:tcPr>
                  <w:tcW w:w="1217" w:type="pct"/>
                  <w:vAlign w:val="center"/>
                </w:tcPr>
                <w:p w14:paraId="6FC8222D">
                  <w:pPr>
                    <w:spacing w:line="276" w:lineRule="auto"/>
                    <w:jc w:val="center"/>
                    <w:rPr>
                      <w:color w:val="auto"/>
                      <w:szCs w:val="21"/>
                      <w:highlight w:val="none"/>
                    </w:rPr>
                  </w:pPr>
                  <w:r>
                    <w:rPr>
                      <w:color w:val="auto"/>
                      <w:szCs w:val="21"/>
                      <w:highlight w:val="none"/>
                    </w:rPr>
                    <w:t>爆炸上限</w:t>
                  </w:r>
                  <w:r>
                    <w:rPr>
                      <w:rFonts w:hint="eastAsia"/>
                      <w:color w:val="auto"/>
                      <w:szCs w:val="21"/>
                      <w:highlight w:val="none"/>
                    </w:rPr>
                    <w:t>V/V</w:t>
                  </w:r>
                </w:p>
              </w:tc>
              <w:tc>
                <w:tcPr>
                  <w:tcW w:w="1364" w:type="pct"/>
                  <w:vAlign w:val="center"/>
                </w:tcPr>
                <w:p w14:paraId="2FA2EA5F">
                  <w:pPr>
                    <w:spacing w:line="276" w:lineRule="auto"/>
                    <w:jc w:val="center"/>
                    <w:rPr>
                      <w:color w:val="auto"/>
                      <w:szCs w:val="21"/>
                      <w:highlight w:val="none"/>
                    </w:rPr>
                  </w:pPr>
                  <w:r>
                    <w:rPr>
                      <w:rFonts w:hint="eastAsia"/>
                      <w:color w:val="auto"/>
                      <w:szCs w:val="21"/>
                      <w:highlight w:val="none"/>
                      <w:lang w:val="en-US" w:eastAsia="zh-CN"/>
                    </w:rPr>
                    <w:t>8.5</w:t>
                  </w:r>
                  <w:r>
                    <w:rPr>
                      <w:rFonts w:hint="eastAsia"/>
                      <w:color w:val="auto"/>
                      <w:szCs w:val="21"/>
                      <w:highlight w:val="none"/>
                    </w:rPr>
                    <w:t>%</w:t>
                  </w:r>
                </w:p>
              </w:tc>
            </w:tr>
            <w:tr w14:paraId="20063C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1460" w:type="pct"/>
                  <w:vAlign w:val="center"/>
                </w:tcPr>
                <w:p w14:paraId="46784B64">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957" w:type="pct"/>
                  <w:vAlign w:val="center"/>
                </w:tcPr>
                <w:p w14:paraId="4A372DDB">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w:t>
                  </w:r>
                </w:p>
              </w:tc>
              <w:tc>
                <w:tcPr>
                  <w:tcW w:w="1217" w:type="pct"/>
                  <w:vAlign w:val="center"/>
                </w:tcPr>
                <w:p w14:paraId="7D681E1F">
                  <w:pPr>
                    <w:spacing w:line="276" w:lineRule="auto"/>
                    <w:jc w:val="center"/>
                    <w:rPr>
                      <w:color w:val="auto"/>
                      <w:szCs w:val="21"/>
                      <w:highlight w:val="none"/>
                    </w:rPr>
                  </w:pPr>
                  <w:r>
                    <w:rPr>
                      <w:color w:val="auto"/>
                      <w:szCs w:val="21"/>
                      <w:highlight w:val="none"/>
                    </w:rPr>
                    <w:t>爆炸下限</w:t>
                  </w:r>
                  <w:r>
                    <w:rPr>
                      <w:rFonts w:hint="eastAsia"/>
                      <w:color w:val="auto"/>
                      <w:szCs w:val="21"/>
                      <w:highlight w:val="none"/>
                    </w:rPr>
                    <w:t>V/V</w:t>
                  </w:r>
                </w:p>
              </w:tc>
              <w:tc>
                <w:tcPr>
                  <w:tcW w:w="1364" w:type="pct"/>
                  <w:vAlign w:val="center"/>
                </w:tcPr>
                <w:p w14:paraId="72306F4C">
                  <w:pPr>
                    <w:spacing w:line="276" w:lineRule="auto"/>
                    <w:jc w:val="center"/>
                    <w:rPr>
                      <w:color w:val="auto"/>
                      <w:szCs w:val="21"/>
                      <w:highlight w:val="none"/>
                    </w:rPr>
                  </w:pPr>
                  <w:r>
                    <w:rPr>
                      <w:rFonts w:hint="eastAsia"/>
                      <w:color w:val="auto"/>
                      <w:szCs w:val="21"/>
                      <w:highlight w:val="none"/>
                      <w:lang w:val="en-US" w:eastAsia="zh-CN"/>
                    </w:rPr>
                    <w:t>1.5</w:t>
                  </w:r>
                  <w:r>
                    <w:rPr>
                      <w:rFonts w:hint="eastAsia"/>
                      <w:color w:val="auto"/>
                      <w:szCs w:val="21"/>
                      <w:highlight w:val="none"/>
                    </w:rPr>
                    <w:t>%</w:t>
                  </w:r>
                </w:p>
              </w:tc>
            </w:tr>
          </w:tbl>
          <w:p w14:paraId="02D9FC14">
            <w:pPr>
              <w:spacing w:line="360" w:lineRule="auto"/>
              <w:ind w:firstLine="482" w:firstLineChars="200"/>
              <w:rPr>
                <w:b/>
                <w:color w:val="auto"/>
                <w:sz w:val="24"/>
                <w:highlight w:val="none"/>
              </w:rPr>
            </w:pPr>
            <w:r>
              <w:rPr>
                <w:rFonts w:hint="eastAsia"/>
                <w:b/>
                <w:color w:val="auto"/>
                <w:sz w:val="24"/>
                <w:highlight w:val="none"/>
              </w:rPr>
              <w:t>7、储运工程</w:t>
            </w:r>
          </w:p>
          <w:p w14:paraId="608E2559">
            <w:pPr>
              <w:spacing w:line="360" w:lineRule="auto"/>
              <w:ind w:firstLine="480" w:firstLineChars="200"/>
              <w:rPr>
                <w:color w:val="auto"/>
                <w:sz w:val="24"/>
                <w:highlight w:val="none"/>
              </w:rPr>
            </w:pPr>
            <w:r>
              <w:rPr>
                <w:rFonts w:hint="eastAsia"/>
                <w:color w:val="auto"/>
                <w:sz w:val="24"/>
                <w:highlight w:val="none"/>
                <w:lang w:val="en-US" w:eastAsia="zh-CN"/>
              </w:rPr>
              <w:t>本次改建项目</w:t>
            </w:r>
            <w:r>
              <w:rPr>
                <w:rFonts w:hint="eastAsia"/>
                <w:color w:val="auto"/>
                <w:sz w:val="24"/>
                <w:highlight w:val="none"/>
              </w:rPr>
              <w:t>新建</w:t>
            </w:r>
            <w:r>
              <w:rPr>
                <w:rFonts w:hint="eastAsia"/>
                <w:color w:val="auto"/>
                <w:sz w:val="24"/>
                <w:highlight w:val="none"/>
                <w:lang w:val="en-US" w:eastAsia="zh-CN"/>
              </w:rPr>
              <w:t>1台容积31.5m</w:t>
            </w:r>
            <w:r>
              <w:rPr>
                <w:rFonts w:hint="eastAsia"/>
                <w:color w:val="auto"/>
                <w:sz w:val="24"/>
                <w:highlight w:val="none"/>
                <w:vertAlign w:val="superscript"/>
                <w:lang w:val="en-US" w:eastAsia="zh-CN"/>
              </w:rPr>
              <w:t>3</w:t>
            </w:r>
            <w:r>
              <w:rPr>
                <w:rFonts w:hint="eastAsia"/>
                <w:color w:val="auto"/>
                <w:sz w:val="24"/>
                <w:highlight w:val="none"/>
                <w:lang w:val="en-US" w:eastAsia="zh-CN"/>
              </w:rPr>
              <w:t>的丙烷压力</w:t>
            </w:r>
            <w:r>
              <w:rPr>
                <w:rFonts w:hint="eastAsia"/>
                <w:color w:val="auto"/>
                <w:sz w:val="24"/>
                <w:highlight w:val="none"/>
              </w:rPr>
              <w:t>储罐</w:t>
            </w:r>
            <w:r>
              <w:rPr>
                <w:rFonts w:hint="eastAsia"/>
                <w:color w:val="auto"/>
                <w:sz w:val="24"/>
                <w:highlight w:val="none"/>
                <w:lang w:eastAsia="zh-CN"/>
              </w:rPr>
              <w:t>、</w:t>
            </w:r>
            <w:r>
              <w:rPr>
                <w:rFonts w:hint="eastAsia"/>
                <w:color w:val="auto"/>
                <w:sz w:val="24"/>
                <w:highlight w:val="none"/>
                <w:lang w:val="en-US" w:eastAsia="zh-CN"/>
              </w:rPr>
              <w:t>1台容积31.5m</w:t>
            </w:r>
            <w:r>
              <w:rPr>
                <w:rFonts w:hint="eastAsia"/>
                <w:color w:val="auto"/>
                <w:sz w:val="24"/>
                <w:highlight w:val="none"/>
                <w:vertAlign w:val="superscript"/>
                <w:lang w:val="en-US" w:eastAsia="zh-CN"/>
              </w:rPr>
              <w:t>3</w:t>
            </w:r>
            <w:r>
              <w:rPr>
                <w:rFonts w:hint="eastAsia"/>
                <w:color w:val="auto"/>
                <w:sz w:val="24"/>
                <w:highlight w:val="none"/>
                <w:lang w:val="en-US" w:eastAsia="zh-CN"/>
              </w:rPr>
              <w:t>的丁烷压力</w:t>
            </w:r>
            <w:r>
              <w:rPr>
                <w:rFonts w:hint="eastAsia"/>
                <w:color w:val="auto"/>
                <w:sz w:val="24"/>
                <w:highlight w:val="none"/>
              </w:rPr>
              <w:t>储罐</w:t>
            </w:r>
            <w:r>
              <w:rPr>
                <w:rFonts w:hint="eastAsia"/>
                <w:color w:val="auto"/>
                <w:sz w:val="24"/>
                <w:highlight w:val="none"/>
                <w:lang w:eastAsia="zh-CN"/>
              </w:rPr>
              <w:t>、</w:t>
            </w:r>
            <w:r>
              <w:rPr>
                <w:rFonts w:hint="eastAsia"/>
                <w:color w:val="auto"/>
                <w:sz w:val="24"/>
                <w:highlight w:val="none"/>
                <w:lang w:val="en-US" w:eastAsia="zh-CN"/>
              </w:rPr>
              <w:t>1台容积31.5m</w:t>
            </w:r>
            <w:r>
              <w:rPr>
                <w:rFonts w:hint="eastAsia"/>
                <w:color w:val="auto"/>
                <w:sz w:val="24"/>
                <w:highlight w:val="none"/>
                <w:vertAlign w:val="superscript"/>
                <w:lang w:val="en-US" w:eastAsia="zh-CN"/>
              </w:rPr>
              <w:t>3</w:t>
            </w:r>
            <w:r>
              <w:rPr>
                <w:rFonts w:hint="eastAsia"/>
                <w:color w:val="auto"/>
                <w:sz w:val="24"/>
                <w:highlight w:val="none"/>
                <w:lang w:val="en-US" w:eastAsia="zh-CN"/>
              </w:rPr>
              <w:t>的事故压力</w:t>
            </w:r>
            <w:r>
              <w:rPr>
                <w:rFonts w:hint="eastAsia"/>
                <w:color w:val="auto"/>
                <w:sz w:val="24"/>
                <w:highlight w:val="none"/>
              </w:rPr>
              <w:t>储罐，</w:t>
            </w:r>
            <w:r>
              <w:rPr>
                <w:rFonts w:hint="eastAsia"/>
                <w:color w:val="auto"/>
                <w:sz w:val="24"/>
                <w:highlight w:val="none"/>
                <w:lang w:val="en-US" w:eastAsia="zh-CN"/>
              </w:rPr>
              <w:t>停用厂区现有1台低温乙烯储罐</w:t>
            </w:r>
            <w:r>
              <w:rPr>
                <w:rFonts w:hint="eastAsia"/>
                <w:color w:val="auto"/>
                <w:sz w:val="24"/>
                <w:highlight w:val="none"/>
              </w:rPr>
              <w:t>储罐</w:t>
            </w:r>
            <w:r>
              <w:rPr>
                <w:rFonts w:hint="eastAsia"/>
                <w:color w:val="auto"/>
                <w:sz w:val="24"/>
                <w:highlight w:val="none"/>
                <w:lang w:eastAsia="zh-CN"/>
              </w:rPr>
              <w:t>，</w:t>
            </w:r>
            <w:r>
              <w:rPr>
                <w:rFonts w:hint="eastAsia"/>
                <w:color w:val="auto"/>
                <w:sz w:val="24"/>
                <w:highlight w:val="none"/>
                <w:lang w:val="en-US" w:eastAsia="zh-CN"/>
              </w:rPr>
              <w:t>建成后全厂储罐</w:t>
            </w:r>
            <w:r>
              <w:rPr>
                <w:rFonts w:hint="eastAsia"/>
                <w:color w:val="auto"/>
                <w:sz w:val="24"/>
                <w:highlight w:val="none"/>
              </w:rPr>
              <w:t>配置情况见表</w:t>
            </w:r>
            <w:r>
              <w:rPr>
                <w:rFonts w:hint="eastAsia"/>
                <w:color w:val="auto"/>
                <w:sz w:val="24"/>
                <w:highlight w:val="none"/>
                <w:lang w:val="en-US" w:eastAsia="zh-CN"/>
              </w:rPr>
              <w:t>2-13</w:t>
            </w:r>
            <w:r>
              <w:rPr>
                <w:rFonts w:hint="eastAsia"/>
                <w:color w:val="auto"/>
                <w:sz w:val="24"/>
                <w:highlight w:val="none"/>
              </w:rPr>
              <w:t>。</w:t>
            </w:r>
          </w:p>
          <w:p w14:paraId="7F2B5A00">
            <w:pPr>
              <w:autoSpaceDE w:val="0"/>
              <w:autoSpaceDN w:val="0"/>
              <w:adjustRightInd w:val="0"/>
              <w:snapToGrid w:val="0"/>
              <w:spacing w:line="360" w:lineRule="auto"/>
              <w:jc w:val="center"/>
              <w:rPr>
                <w:rFonts w:eastAsia="黑体"/>
                <w:bCs/>
                <w:color w:val="auto"/>
                <w:szCs w:val="21"/>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2-13</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改建后全厂</w:t>
            </w:r>
            <w:r>
              <w:rPr>
                <w:rFonts w:hAnsi="黑体" w:eastAsia="黑体"/>
                <w:color w:val="auto"/>
                <w:sz w:val="24"/>
                <w:szCs w:val="24"/>
                <w:highlight w:val="none"/>
              </w:rPr>
              <w:t>储罐配置情况</w:t>
            </w:r>
          </w:p>
          <w:tbl>
            <w:tblPr>
              <w:tblStyle w:val="37"/>
              <w:tblW w:w="8016"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0"/>
              <w:gridCol w:w="849"/>
              <w:gridCol w:w="1744"/>
              <w:gridCol w:w="1481"/>
              <w:gridCol w:w="1620"/>
              <w:gridCol w:w="1582"/>
            </w:tblGrid>
            <w:tr w14:paraId="2C1C4E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83" w:hRule="atLeast"/>
                <w:jc w:val="center"/>
              </w:trPr>
              <w:tc>
                <w:tcPr>
                  <w:tcW w:w="1589" w:type="dxa"/>
                  <w:gridSpan w:val="2"/>
                  <w:vAlign w:val="center"/>
                </w:tcPr>
                <w:p w14:paraId="7624E0E6">
                  <w:pPr>
                    <w:spacing w:line="276" w:lineRule="auto"/>
                    <w:jc w:val="center"/>
                    <w:rPr>
                      <w:b/>
                      <w:bCs/>
                      <w:color w:val="auto"/>
                      <w:szCs w:val="21"/>
                      <w:highlight w:val="none"/>
                    </w:rPr>
                  </w:pPr>
                  <w:r>
                    <w:rPr>
                      <w:rFonts w:hint="eastAsia"/>
                      <w:b/>
                      <w:bCs/>
                      <w:color w:val="auto"/>
                      <w:szCs w:val="21"/>
                      <w:highlight w:val="none"/>
                    </w:rPr>
                    <w:t>储存介质</w:t>
                  </w:r>
                </w:p>
              </w:tc>
              <w:tc>
                <w:tcPr>
                  <w:tcW w:w="1744" w:type="dxa"/>
                  <w:vAlign w:val="center"/>
                </w:tcPr>
                <w:p w14:paraId="5FBC8EEA">
                  <w:pPr>
                    <w:spacing w:line="276" w:lineRule="auto"/>
                    <w:jc w:val="center"/>
                    <w:rPr>
                      <w:b/>
                      <w:bCs/>
                      <w:color w:val="auto"/>
                      <w:szCs w:val="21"/>
                      <w:highlight w:val="none"/>
                    </w:rPr>
                  </w:pPr>
                  <w:r>
                    <w:rPr>
                      <w:rFonts w:hint="eastAsia"/>
                      <w:b/>
                      <w:bCs/>
                      <w:color w:val="auto"/>
                      <w:szCs w:val="21"/>
                      <w:highlight w:val="none"/>
                    </w:rPr>
                    <w:t>乙烯</w:t>
                  </w:r>
                </w:p>
              </w:tc>
              <w:tc>
                <w:tcPr>
                  <w:tcW w:w="1481" w:type="dxa"/>
                  <w:vAlign w:val="center"/>
                </w:tcPr>
                <w:p w14:paraId="6C46A09F">
                  <w:pPr>
                    <w:spacing w:line="276" w:lineRule="auto"/>
                    <w:jc w:val="center"/>
                    <w:rPr>
                      <w:rFonts w:hint="eastAsia" w:eastAsia="宋体"/>
                      <w:b/>
                      <w:bCs/>
                      <w:color w:val="auto"/>
                      <w:szCs w:val="21"/>
                      <w:highlight w:val="none"/>
                      <w:lang w:val="en-US" w:eastAsia="zh-CN"/>
                    </w:rPr>
                  </w:pPr>
                  <w:r>
                    <w:rPr>
                      <w:rFonts w:hint="eastAsia"/>
                      <w:b/>
                      <w:bCs/>
                      <w:color w:val="auto"/>
                      <w:szCs w:val="21"/>
                      <w:highlight w:val="none"/>
                      <w:lang w:val="en-US" w:eastAsia="zh-CN"/>
                    </w:rPr>
                    <w:t>丙烷</w:t>
                  </w:r>
                </w:p>
              </w:tc>
              <w:tc>
                <w:tcPr>
                  <w:tcW w:w="1620" w:type="dxa"/>
                  <w:vAlign w:val="center"/>
                </w:tcPr>
                <w:p w14:paraId="27115764">
                  <w:pPr>
                    <w:spacing w:line="276" w:lineRule="auto"/>
                    <w:jc w:val="center"/>
                    <w:rPr>
                      <w:rFonts w:hint="eastAsia" w:eastAsia="宋体"/>
                      <w:b/>
                      <w:bCs/>
                      <w:color w:val="auto"/>
                      <w:szCs w:val="21"/>
                      <w:highlight w:val="none"/>
                      <w:lang w:val="en-US" w:eastAsia="zh-CN"/>
                    </w:rPr>
                  </w:pPr>
                  <w:r>
                    <w:rPr>
                      <w:rFonts w:hint="eastAsia"/>
                      <w:b/>
                      <w:bCs/>
                      <w:color w:val="auto"/>
                      <w:szCs w:val="21"/>
                      <w:highlight w:val="none"/>
                      <w:lang w:val="en-US" w:eastAsia="zh-CN"/>
                    </w:rPr>
                    <w:t>丁烷</w:t>
                  </w:r>
                </w:p>
              </w:tc>
              <w:tc>
                <w:tcPr>
                  <w:tcW w:w="1582" w:type="dxa"/>
                  <w:vAlign w:val="center"/>
                </w:tcPr>
                <w:p w14:paraId="55B93501">
                  <w:pPr>
                    <w:spacing w:line="276" w:lineRule="auto"/>
                    <w:jc w:val="center"/>
                    <w:rPr>
                      <w:rFonts w:hint="default"/>
                      <w:b/>
                      <w:bCs/>
                      <w:color w:val="auto"/>
                      <w:szCs w:val="21"/>
                      <w:highlight w:val="none"/>
                      <w:lang w:val="en-US" w:eastAsia="zh-CN"/>
                    </w:rPr>
                  </w:pPr>
                  <w:r>
                    <w:rPr>
                      <w:rFonts w:hint="eastAsia"/>
                      <w:b/>
                      <w:bCs/>
                      <w:color w:val="auto"/>
                      <w:szCs w:val="21"/>
                      <w:highlight w:val="none"/>
                      <w:lang w:val="en-US" w:eastAsia="zh-CN"/>
                    </w:rPr>
                    <w:t>丙烷/丁烷</w:t>
                  </w:r>
                </w:p>
              </w:tc>
            </w:tr>
            <w:tr w14:paraId="2F3662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6F321509">
                  <w:pPr>
                    <w:spacing w:line="276" w:lineRule="auto"/>
                    <w:jc w:val="center"/>
                    <w:rPr>
                      <w:color w:val="auto"/>
                      <w:szCs w:val="21"/>
                      <w:highlight w:val="none"/>
                    </w:rPr>
                  </w:pPr>
                  <w:r>
                    <w:rPr>
                      <w:rFonts w:hint="eastAsia"/>
                      <w:color w:val="auto"/>
                      <w:szCs w:val="21"/>
                      <w:highlight w:val="none"/>
                    </w:rPr>
                    <w:t>储存状态</w:t>
                  </w:r>
                </w:p>
              </w:tc>
              <w:tc>
                <w:tcPr>
                  <w:tcW w:w="1744" w:type="dxa"/>
                  <w:vAlign w:val="center"/>
                </w:tcPr>
                <w:p w14:paraId="6BBE7278">
                  <w:pPr>
                    <w:spacing w:line="276" w:lineRule="auto"/>
                    <w:jc w:val="center"/>
                    <w:rPr>
                      <w:color w:val="auto"/>
                      <w:szCs w:val="21"/>
                      <w:highlight w:val="none"/>
                    </w:rPr>
                  </w:pPr>
                  <w:r>
                    <w:rPr>
                      <w:rFonts w:hint="eastAsia"/>
                      <w:color w:val="auto"/>
                      <w:szCs w:val="21"/>
                      <w:highlight w:val="none"/>
                    </w:rPr>
                    <w:t>液态</w:t>
                  </w:r>
                </w:p>
              </w:tc>
              <w:tc>
                <w:tcPr>
                  <w:tcW w:w="1481" w:type="dxa"/>
                  <w:vAlign w:val="center"/>
                </w:tcPr>
                <w:p w14:paraId="40A8D189">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液态</w:t>
                  </w:r>
                </w:p>
              </w:tc>
              <w:tc>
                <w:tcPr>
                  <w:tcW w:w="1620" w:type="dxa"/>
                  <w:vAlign w:val="center"/>
                </w:tcPr>
                <w:p w14:paraId="4E667DA0">
                  <w:pPr>
                    <w:spacing w:line="276" w:lineRule="auto"/>
                    <w:jc w:val="center"/>
                    <w:rPr>
                      <w:rFonts w:hint="eastAsia"/>
                      <w:color w:val="auto"/>
                      <w:szCs w:val="21"/>
                      <w:highlight w:val="none"/>
                    </w:rPr>
                  </w:pPr>
                  <w:r>
                    <w:rPr>
                      <w:rFonts w:hint="eastAsia"/>
                      <w:color w:val="auto"/>
                      <w:szCs w:val="21"/>
                      <w:highlight w:val="none"/>
                      <w:lang w:val="en-US" w:eastAsia="zh-CN"/>
                    </w:rPr>
                    <w:t>液态</w:t>
                  </w:r>
                </w:p>
              </w:tc>
              <w:tc>
                <w:tcPr>
                  <w:tcW w:w="1582" w:type="dxa"/>
                  <w:vAlign w:val="center"/>
                </w:tcPr>
                <w:p w14:paraId="318C4834">
                  <w:pPr>
                    <w:spacing w:line="276" w:lineRule="auto"/>
                    <w:jc w:val="center"/>
                    <w:rPr>
                      <w:rFonts w:hint="eastAsia"/>
                      <w:color w:val="auto"/>
                      <w:szCs w:val="21"/>
                      <w:highlight w:val="none"/>
                    </w:rPr>
                  </w:pPr>
                  <w:r>
                    <w:rPr>
                      <w:rFonts w:hint="eastAsia"/>
                      <w:color w:val="auto"/>
                      <w:szCs w:val="21"/>
                      <w:highlight w:val="none"/>
                      <w:lang w:val="en-US" w:eastAsia="zh-CN"/>
                    </w:rPr>
                    <w:t>液态</w:t>
                  </w:r>
                </w:p>
              </w:tc>
            </w:tr>
            <w:tr w14:paraId="347FFD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2735E879">
                  <w:pPr>
                    <w:spacing w:line="276" w:lineRule="auto"/>
                    <w:jc w:val="center"/>
                    <w:rPr>
                      <w:color w:val="auto"/>
                      <w:szCs w:val="21"/>
                      <w:highlight w:val="none"/>
                    </w:rPr>
                  </w:pPr>
                  <w:r>
                    <w:rPr>
                      <w:rFonts w:hint="eastAsia"/>
                      <w:color w:val="auto"/>
                      <w:szCs w:val="21"/>
                      <w:highlight w:val="none"/>
                    </w:rPr>
                    <w:t>公称容积</w:t>
                  </w:r>
                </w:p>
              </w:tc>
              <w:tc>
                <w:tcPr>
                  <w:tcW w:w="1744" w:type="dxa"/>
                  <w:vAlign w:val="center"/>
                </w:tcPr>
                <w:p w14:paraId="1AE2A668">
                  <w:pPr>
                    <w:spacing w:line="276" w:lineRule="auto"/>
                    <w:jc w:val="center"/>
                    <w:rPr>
                      <w:color w:val="auto"/>
                      <w:szCs w:val="21"/>
                      <w:highlight w:val="none"/>
                    </w:rPr>
                  </w:pPr>
                  <w:r>
                    <w:rPr>
                      <w:rFonts w:hint="eastAsia"/>
                      <w:color w:val="auto"/>
                      <w:szCs w:val="21"/>
                      <w:highlight w:val="none"/>
                    </w:rPr>
                    <w:t>30m</w:t>
                  </w:r>
                  <w:r>
                    <w:rPr>
                      <w:rFonts w:hint="eastAsia"/>
                      <w:color w:val="auto"/>
                      <w:szCs w:val="21"/>
                      <w:highlight w:val="none"/>
                      <w:vertAlign w:val="superscript"/>
                    </w:rPr>
                    <w:t>3</w:t>
                  </w:r>
                </w:p>
              </w:tc>
              <w:tc>
                <w:tcPr>
                  <w:tcW w:w="1481" w:type="dxa"/>
                  <w:vAlign w:val="center"/>
                </w:tcPr>
                <w:p w14:paraId="467E2583">
                  <w:pPr>
                    <w:spacing w:line="276" w:lineRule="auto"/>
                    <w:jc w:val="center"/>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p>
              </w:tc>
              <w:tc>
                <w:tcPr>
                  <w:tcW w:w="1620" w:type="dxa"/>
                  <w:vAlign w:val="center"/>
                </w:tcPr>
                <w:p w14:paraId="56D41702">
                  <w:pPr>
                    <w:spacing w:line="276" w:lineRule="auto"/>
                    <w:jc w:val="center"/>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p>
              </w:tc>
              <w:tc>
                <w:tcPr>
                  <w:tcW w:w="1582" w:type="dxa"/>
                  <w:vAlign w:val="center"/>
                </w:tcPr>
                <w:p w14:paraId="404D5C80">
                  <w:pPr>
                    <w:spacing w:line="276" w:lineRule="auto"/>
                    <w:jc w:val="center"/>
                    <w:rPr>
                      <w:rFonts w:hint="eastAsia"/>
                      <w:color w:val="auto"/>
                      <w:szCs w:val="21"/>
                      <w:highlight w:val="none"/>
                    </w:rPr>
                  </w:pPr>
                  <w:r>
                    <w:rPr>
                      <w:rFonts w:hint="eastAsia"/>
                      <w:color w:val="auto"/>
                      <w:szCs w:val="21"/>
                      <w:highlight w:val="none"/>
                      <w:lang w:val="en-US" w:eastAsia="zh-CN"/>
                    </w:rPr>
                    <w:t>31.5</w:t>
                  </w:r>
                  <w:r>
                    <w:rPr>
                      <w:rFonts w:hint="eastAsia"/>
                      <w:color w:val="auto"/>
                      <w:szCs w:val="21"/>
                      <w:highlight w:val="none"/>
                    </w:rPr>
                    <w:t>m</w:t>
                  </w:r>
                  <w:r>
                    <w:rPr>
                      <w:rFonts w:hint="eastAsia"/>
                      <w:color w:val="auto"/>
                      <w:szCs w:val="21"/>
                      <w:highlight w:val="none"/>
                      <w:vertAlign w:val="superscript"/>
                    </w:rPr>
                    <w:t>3</w:t>
                  </w:r>
                </w:p>
              </w:tc>
            </w:tr>
            <w:tr w14:paraId="5F1031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1E190447">
                  <w:pPr>
                    <w:spacing w:line="276" w:lineRule="auto"/>
                    <w:jc w:val="center"/>
                    <w:rPr>
                      <w:color w:val="auto"/>
                      <w:szCs w:val="21"/>
                      <w:highlight w:val="none"/>
                    </w:rPr>
                  </w:pPr>
                  <w:r>
                    <w:rPr>
                      <w:rFonts w:hint="eastAsia"/>
                      <w:color w:val="auto"/>
                      <w:szCs w:val="21"/>
                      <w:highlight w:val="none"/>
                    </w:rPr>
                    <w:t>介质密度</w:t>
                  </w:r>
                </w:p>
              </w:tc>
              <w:tc>
                <w:tcPr>
                  <w:tcW w:w="1744" w:type="dxa"/>
                  <w:vAlign w:val="center"/>
                </w:tcPr>
                <w:p w14:paraId="7EC3EBAA">
                  <w:pPr>
                    <w:spacing w:line="276" w:lineRule="auto"/>
                    <w:jc w:val="center"/>
                    <w:rPr>
                      <w:color w:val="auto"/>
                      <w:szCs w:val="21"/>
                      <w:highlight w:val="none"/>
                    </w:rPr>
                  </w:pPr>
                  <w:r>
                    <w:rPr>
                      <w:rFonts w:hint="eastAsia"/>
                      <w:color w:val="auto"/>
                      <w:szCs w:val="21"/>
                      <w:highlight w:val="none"/>
                    </w:rPr>
                    <w:t>650kg/m</w:t>
                  </w:r>
                  <w:r>
                    <w:rPr>
                      <w:rFonts w:hint="eastAsia"/>
                      <w:color w:val="auto"/>
                      <w:szCs w:val="21"/>
                      <w:highlight w:val="none"/>
                      <w:vertAlign w:val="superscript"/>
                    </w:rPr>
                    <w:t>3</w:t>
                  </w:r>
                </w:p>
              </w:tc>
              <w:tc>
                <w:tcPr>
                  <w:tcW w:w="1481" w:type="dxa"/>
                  <w:vAlign w:val="center"/>
                </w:tcPr>
                <w:p w14:paraId="0AF1092E">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454~519</w:t>
                  </w:r>
                  <w:r>
                    <w:rPr>
                      <w:rFonts w:hint="eastAsia"/>
                      <w:color w:val="auto"/>
                      <w:szCs w:val="21"/>
                      <w:highlight w:val="none"/>
                    </w:rPr>
                    <w:t>kg/m</w:t>
                  </w:r>
                  <w:r>
                    <w:rPr>
                      <w:rFonts w:hint="eastAsia"/>
                      <w:color w:val="auto"/>
                      <w:szCs w:val="21"/>
                      <w:highlight w:val="none"/>
                      <w:vertAlign w:val="superscript"/>
                    </w:rPr>
                    <w:t>3</w:t>
                  </w:r>
                </w:p>
              </w:tc>
              <w:tc>
                <w:tcPr>
                  <w:tcW w:w="1620" w:type="dxa"/>
                  <w:vAlign w:val="center"/>
                </w:tcPr>
                <w:p w14:paraId="54D66AD5">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544~637</w:t>
                  </w:r>
                  <w:r>
                    <w:rPr>
                      <w:rFonts w:hint="eastAsia"/>
                      <w:color w:val="auto"/>
                      <w:szCs w:val="21"/>
                      <w:highlight w:val="none"/>
                    </w:rPr>
                    <w:t>kg/m</w:t>
                  </w:r>
                  <w:r>
                    <w:rPr>
                      <w:rFonts w:hint="eastAsia"/>
                      <w:color w:val="auto"/>
                      <w:szCs w:val="21"/>
                      <w:highlight w:val="none"/>
                      <w:vertAlign w:val="superscript"/>
                    </w:rPr>
                    <w:t>3</w:t>
                  </w:r>
                </w:p>
              </w:tc>
              <w:tc>
                <w:tcPr>
                  <w:tcW w:w="1582" w:type="dxa"/>
                  <w:vAlign w:val="center"/>
                </w:tcPr>
                <w:p w14:paraId="58EC6106">
                  <w:pPr>
                    <w:spacing w:line="276" w:lineRule="auto"/>
                    <w:jc w:val="center"/>
                    <w:rPr>
                      <w:rFonts w:hint="default"/>
                      <w:color w:val="auto"/>
                      <w:szCs w:val="21"/>
                      <w:highlight w:val="none"/>
                      <w:lang w:val="en-US"/>
                    </w:rPr>
                  </w:pPr>
                  <w:r>
                    <w:rPr>
                      <w:rFonts w:hint="eastAsia"/>
                      <w:color w:val="auto"/>
                      <w:szCs w:val="21"/>
                      <w:highlight w:val="none"/>
                      <w:lang w:val="en-US" w:eastAsia="zh-CN"/>
                    </w:rPr>
                    <w:t>454~637</w:t>
                  </w:r>
                  <w:r>
                    <w:rPr>
                      <w:rFonts w:hint="eastAsia"/>
                      <w:color w:val="auto"/>
                      <w:szCs w:val="21"/>
                      <w:highlight w:val="none"/>
                    </w:rPr>
                    <w:t>kg/m</w:t>
                  </w:r>
                  <w:r>
                    <w:rPr>
                      <w:rFonts w:hint="eastAsia"/>
                      <w:color w:val="auto"/>
                      <w:szCs w:val="21"/>
                      <w:highlight w:val="none"/>
                      <w:vertAlign w:val="superscript"/>
                    </w:rPr>
                    <w:t>3</w:t>
                  </w:r>
                </w:p>
              </w:tc>
            </w:tr>
            <w:tr w14:paraId="702EE3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4C830E4C">
                  <w:pPr>
                    <w:spacing w:line="276" w:lineRule="auto"/>
                    <w:jc w:val="center"/>
                    <w:rPr>
                      <w:color w:val="auto"/>
                      <w:szCs w:val="21"/>
                      <w:highlight w:val="none"/>
                    </w:rPr>
                  </w:pPr>
                  <w:r>
                    <w:rPr>
                      <w:rFonts w:hint="eastAsia"/>
                      <w:color w:val="auto"/>
                      <w:szCs w:val="21"/>
                      <w:highlight w:val="none"/>
                    </w:rPr>
                    <w:t>储存温度</w:t>
                  </w:r>
                </w:p>
              </w:tc>
              <w:tc>
                <w:tcPr>
                  <w:tcW w:w="1744" w:type="dxa"/>
                  <w:vAlign w:val="center"/>
                </w:tcPr>
                <w:p w14:paraId="44DE1583">
                  <w:pPr>
                    <w:spacing w:line="276" w:lineRule="auto"/>
                    <w:jc w:val="center"/>
                    <w:rPr>
                      <w:color w:val="auto"/>
                      <w:szCs w:val="21"/>
                      <w:highlight w:val="none"/>
                    </w:rPr>
                  </w:pPr>
                  <w:r>
                    <w:rPr>
                      <w:rFonts w:hint="eastAsia"/>
                      <w:color w:val="auto"/>
                      <w:szCs w:val="21"/>
                      <w:highlight w:val="none"/>
                    </w:rPr>
                    <w:t>-160</w:t>
                  </w:r>
                  <w:r>
                    <w:rPr>
                      <w:color w:val="auto"/>
                      <w:szCs w:val="21"/>
                      <w:highlight w:val="none"/>
                    </w:rPr>
                    <w:t>℃</w:t>
                  </w:r>
                </w:p>
              </w:tc>
              <w:tc>
                <w:tcPr>
                  <w:tcW w:w="1481" w:type="dxa"/>
                  <w:vAlign w:val="center"/>
                </w:tcPr>
                <w:p w14:paraId="08F92E22">
                  <w:pPr>
                    <w:spacing w:line="276" w:lineRule="auto"/>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-19~50℃</w:t>
                  </w:r>
                </w:p>
              </w:tc>
              <w:tc>
                <w:tcPr>
                  <w:tcW w:w="1620" w:type="dxa"/>
                  <w:vAlign w:val="center"/>
                </w:tcPr>
                <w:p w14:paraId="2AE06653">
                  <w:pPr>
                    <w:spacing w:line="276"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-19~50℃</w:t>
                  </w:r>
                </w:p>
              </w:tc>
              <w:tc>
                <w:tcPr>
                  <w:tcW w:w="1582" w:type="dxa"/>
                  <w:vAlign w:val="center"/>
                </w:tcPr>
                <w:p w14:paraId="42935399">
                  <w:pPr>
                    <w:spacing w:line="276"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-19~50℃</w:t>
                  </w:r>
                </w:p>
              </w:tc>
            </w:tr>
            <w:tr w14:paraId="5EC2DC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4ADAC371">
                  <w:pPr>
                    <w:spacing w:line="276" w:lineRule="auto"/>
                    <w:jc w:val="center"/>
                    <w:rPr>
                      <w:color w:val="auto"/>
                      <w:szCs w:val="21"/>
                      <w:highlight w:val="none"/>
                    </w:rPr>
                  </w:pPr>
                  <w:r>
                    <w:rPr>
                      <w:rFonts w:hint="eastAsia"/>
                      <w:color w:val="auto"/>
                      <w:szCs w:val="21"/>
                      <w:highlight w:val="none"/>
                    </w:rPr>
                    <w:t>工作压力</w:t>
                  </w:r>
                </w:p>
              </w:tc>
              <w:tc>
                <w:tcPr>
                  <w:tcW w:w="1744" w:type="dxa"/>
                  <w:vAlign w:val="center"/>
                </w:tcPr>
                <w:p w14:paraId="333AEC25">
                  <w:pPr>
                    <w:spacing w:line="276" w:lineRule="auto"/>
                    <w:jc w:val="center"/>
                    <w:rPr>
                      <w:color w:val="auto"/>
                      <w:szCs w:val="21"/>
                      <w:highlight w:val="none"/>
                    </w:rPr>
                  </w:pPr>
                  <w:r>
                    <w:rPr>
                      <w:rFonts w:hint="eastAsia"/>
                      <w:color w:val="auto"/>
                      <w:szCs w:val="21"/>
                      <w:highlight w:val="none"/>
                    </w:rPr>
                    <w:t>0.2~0.6MPa</w:t>
                  </w:r>
                </w:p>
              </w:tc>
              <w:tc>
                <w:tcPr>
                  <w:tcW w:w="1481" w:type="dxa"/>
                  <w:vAlign w:val="center"/>
                </w:tcPr>
                <w:p w14:paraId="298479B2">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1.61MPa</w:t>
                  </w:r>
                </w:p>
              </w:tc>
              <w:tc>
                <w:tcPr>
                  <w:tcW w:w="1620" w:type="dxa"/>
                  <w:vAlign w:val="center"/>
                </w:tcPr>
                <w:p w14:paraId="7AF9ACB4">
                  <w:pPr>
                    <w:spacing w:line="276" w:lineRule="auto"/>
                    <w:jc w:val="center"/>
                    <w:rPr>
                      <w:rFonts w:hint="default"/>
                      <w:color w:val="auto"/>
                      <w:szCs w:val="21"/>
                      <w:highlight w:val="none"/>
                      <w:lang w:val="en-US"/>
                    </w:rPr>
                  </w:pPr>
                  <w:r>
                    <w:rPr>
                      <w:rFonts w:hint="eastAsia"/>
                      <w:color w:val="auto"/>
                      <w:szCs w:val="21"/>
                      <w:highlight w:val="none"/>
                      <w:lang w:val="en-US" w:eastAsia="zh-CN"/>
                    </w:rPr>
                    <w:t>0.78MPa</w:t>
                  </w:r>
                </w:p>
              </w:tc>
              <w:tc>
                <w:tcPr>
                  <w:tcW w:w="1582" w:type="dxa"/>
                  <w:vAlign w:val="center"/>
                </w:tcPr>
                <w:p w14:paraId="19A6EB12">
                  <w:pPr>
                    <w:spacing w:line="276" w:lineRule="auto"/>
                    <w:jc w:val="center"/>
                    <w:rPr>
                      <w:rFonts w:hint="default"/>
                      <w:color w:val="auto"/>
                      <w:szCs w:val="21"/>
                      <w:highlight w:val="none"/>
                      <w:lang w:val="en-US"/>
                    </w:rPr>
                  </w:pPr>
                  <w:r>
                    <w:rPr>
                      <w:rFonts w:hint="eastAsia"/>
                      <w:color w:val="auto"/>
                      <w:szCs w:val="21"/>
                      <w:highlight w:val="none"/>
                      <w:lang w:val="en-US" w:eastAsia="zh-CN"/>
                    </w:rPr>
                    <w:t>1.61MPa</w:t>
                  </w:r>
                </w:p>
              </w:tc>
            </w:tr>
            <w:tr w14:paraId="560079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33F7EFDC">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设计温度</w:t>
                  </w:r>
                </w:p>
              </w:tc>
              <w:tc>
                <w:tcPr>
                  <w:tcW w:w="1744" w:type="dxa"/>
                  <w:vAlign w:val="center"/>
                </w:tcPr>
                <w:p w14:paraId="4008C867">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-196</w:t>
                  </w:r>
                  <w:r>
                    <w:rPr>
                      <w:rFonts w:hint="default" w:ascii="Times New Roman" w:hAnsi="Times New Roman" w:cs="Times New Roman"/>
                      <w:color w:val="auto"/>
                      <w:szCs w:val="21"/>
                      <w:highlight w:val="none"/>
                      <w:lang w:val="en-US" w:eastAsia="zh-CN"/>
                    </w:rPr>
                    <w:t>℃</w:t>
                  </w:r>
                </w:p>
              </w:tc>
              <w:tc>
                <w:tcPr>
                  <w:tcW w:w="1481" w:type="dxa"/>
                  <w:vAlign w:val="center"/>
                </w:tcPr>
                <w:p w14:paraId="369A45FF">
                  <w:pPr>
                    <w:spacing w:line="276" w:lineRule="auto"/>
                    <w:jc w:val="center"/>
                    <w:rPr>
                      <w:rFonts w:hint="default" w:hAnsi="宋体"/>
                      <w:bCs/>
                      <w:color w:val="auto"/>
                      <w:szCs w:val="21"/>
                      <w:highlight w:val="none"/>
                      <w:lang w:val="en-US" w:eastAsia="zh-CN"/>
                    </w:rPr>
                  </w:pPr>
                  <w:r>
                    <w:rPr>
                      <w:rFonts w:hint="eastAsia" w:hAnsi="宋体"/>
                      <w:bCs/>
                      <w:color w:val="auto"/>
                      <w:szCs w:val="21"/>
                      <w:highlight w:val="none"/>
                      <w:lang w:val="en-US" w:eastAsia="zh-CN"/>
                    </w:rPr>
                    <w:t>-20~50</w:t>
                  </w:r>
                  <w:r>
                    <w:rPr>
                      <w:rFonts w:hint="default" w:ascii="Times New Roman" w:hAnsi="Times New Roman" w:cs="Times New Roman"/>
                      <w:color w:val="auto"/>
                      <w:szCs w:val="21"/>
                      <w:highlight w:val="none"/>
                      <w:lang w:val="en-US" w:eastAsia="zh-CN"/>
                    </w:rPr>
                    <w:t>℃</w:t>
                  </w:r>
                </w:p>
              </w:tc>
              <w:tc>
                <w:tcPr>
                  <w:tcW w:w="1620" w:type="dxa"/>
                  <w:vAlign w:val="center"/>
                </w:tcPr>
                <w:p w14:paraId="45E8BAB1">
                  <w:pPr>
                    <w:spacing w:line="276" w:lineRule="auto"/>
                    <w:jc w:val="center"/>
                    <w:rPr>
                      <w:rFonts w:hint="default" w:ascii="Times New Roman" w:hAnsi="Times New Roman" w:cs="Times New Roman"/>
                      <w:bCs/>
                      <w:color w:val="auto"/>
                      <w:szCs w:val="21"/>
                      <w:highlight w:val="none"/>
                      <w:lang w:val="en-US" w:eastAsia="zh-CN"/>
                    </w:rPr>
                  </w:pPr>
                  <w:r>
                    <w:rPr>
                      <w:rFonts w:hint="eastAsia" w:hAnsi="宋体"/>
                      <w:bCs/>
                      <w:color w:val="auto"/>
                      <w:szCs w:val="21"/>
                      <w:highlight w:val="none"/>
                      <w:lang w:val="en-US" w:eastAsia="zh-CN"/>
                    </w:rPr>
                    <w:t>-20~50</w:t>
                  </w:r>
                  <w:r>
                    <w:rPr>
                      <w:rFonts w:hint="default" w:ascii="Times New Roman" w:hAnsi="Times New Roman" w:cs="Times New Roman"/>
                      <w:color w:val="auto"/>
                      <w:szCs w:val="21"/>
                      <w:highlight w:val="none"/>
                      <w:lang w:val="en-US" w:eastAsia="zh-CN"/>
                    </w:rPr>
                    <w:t>℃</w:t>
                  </w:r>
                </w:p>
              </w:tc>
              <w:tc>
                <w:tcPr>
                  <w:tcW w:w="1582" w:type="dxa"/>
                  <w:vAlign w:val="center"/>
                </w:tcPr>
                <w:p w14:paraId="09A998D1">
                  <w:pPr>
                    <w:spacing w:line="276" w:lineRule="auto"/>
                    <w:jc w:val="center"/>
                    <w:rPr>
                      <w:rFonts w:hint="default" w:ascii="Times New Roman" w:hAnsi="Times New Roman" w:cs="Times New Roman"/>
                      <w:bCs/>
                      <w:color w:val="auto"/>
                      <w:szCs w:val="21"/>
                      <w:highlight w:val="none"/>
                      <w:lang w:val="en-US" w:eastAsia="zh-CN"/>
                    </w:rPr>
                  </w:pPr>
                  <w:r>
                    <w:rPr>
                      <w:rFonts w:hint="eastAsia" w:hAnsi="宋体"/>
                      <w:bCs/>
                      <w:color w:val="auto"/>
                      <w:szCs w:val="21"/>
                      <w:highlight w:val="none"/>
                      <w:lang w:val="en-US" w:eastAsia="zh-CN"/>
                    </w:rPr>
                    <w:t>-20~50</w:t>
                  </w:r>
                  <w:r>
                    <w:rPr>
                      <w:rFonts w:hint="default" w:ascii="Times New Roman" w:hAnsi="Times New Roman" w:cs="Times New Roman"/>
                      <w:color w:val="auto"/>
                      <w:szCs w:val="21"/>
                      <w:highlight w:val="none"/>
                      <w:lang w:val="en-US" w:eastAsia="zh-CN"/>
                    </w:rPr>
                    <w:t>℃</w:t>
                  </w:r>
                </w:p>
              </w:tc>
            </w:tr>
            <w:tr w14:paraId="3FE662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33705278">
                  <w:pPr>
                    <w:spacing w:line="276" w:lineRule="auto"/>
                    <w:jc w:val="center"/>
                    <w:rPr>
                      <w:color w:val="auto"/>
                      <w:szCs w:val="21"/>
                      <w:highlight w:val="none"/>
                    </w:rPr>
                  </w:pPr>
                  <w:r>
                    <w:rPr>
                      <w:rFonts w:hint="eastAsia"/>
                      <w:color w:val="auto"/>
                      <w:szCs w:val="21"/>
                      <w:highlight w:val="none"/>
                    </w:rPr>
                    <w:t>设计压力</w:t>
                  </w:r>
                </w:p>
              </w:tc>
              <w:tc>
                <w:tcPr>
                  <w:tcW w:w="1744" w:type="dxa"/>
                  <w:vAlign w:val="center"/>
                </w:tcPr>
                <w:p w14:paraId="14B7EBBE">
                  <w:pPr>
                    <w:spacing w:line="276" w:lineRule="auto"/>
                    <w:jc w:val="center"/>
                    <w:rPr>
                      <w:color w:val="auto"/>
                      <w:szCs w:val="21"/>
                      <w:highlight w:val="none"/>
                    </w:rPr>
                  </w:pPr>
                  <w:r>
                    <w:rPr>
                      <w:rFonts w:hint="eastAsia"/>
                      <w:color w:val="auto"/>
                      <w:szCs w:val="21"/>
                      <w:highlight w:val="none"/>
                    </w:rPr>
                    <w:t>0.8MPa</w:t>
                  </w:r>
                </w:p>
              </w:tc>
              <w:tc>
                <w:tcPr>
                  <w:tcW w:w="1481" w:type="dxa"/>
                  <w:vAlign w:val="center"/>
                </w:tcPr>
                <w:p w14:paraId="463D67CF">
                  <w:pPr>
                    <w:spacing w:line="276" w:lineRule="auto"/>
                    <w:jc w:val="center"/>
                    <w:rPr>
                      <w:rFonts w:hint="eastAsia"/>
                      <w:color w:val="auto"/>
                      <w:szCs w:val="21"/>
                      <w:highlight w:val="none"/>
                    </w:rPr>
                  </w:pPr>
                  <w:r>
                    <w:rPr>
                      <w:rFonts w:hint="eastAsia" w:hAnsi="宋体"/>
                      <w:bCs/>
                      <w:color w:val="auto"/>
                      <w:szCs w:val="21"/>
                      <w:highlight w:val="none"/>
                      <w:lang w:val="en-US" w:eastAsia="zh-CN"/>
                    </w:rPr>
                    <w:t>1.77</w:t>
                  </w:r>
                  <w:r>
                    <w:rPr>
                      <w:rFonts w:hint="eastAsia" w:hAnsi="宋体"/>
                      <w:bCs/>
                      <w:color w:val="auto"/>
                      <w:szCs w:val="21"/>
                      <w:highlight w:val="none"/>
                    </w:rPr>
                    <w:t>MPa</w:t>
                  </w:r>
                </w:p>
              </w:tc>
              <w:tc>
                <w:tcPr>
                  <w:tcW w:w="1620" w:type="dxa"/>
                  <w:vAlign w:val="center"/>
                </w:tcPr>
                <w:p w14:paraId="34B0DA85">
                  <w:pPr>
                    <w:spacing w:line="276" w:lineRule="auto"/>
                    <w:jc w:val="center"/>
                    <w:rPr>
                      <w:rFonts w:hint="default" w:eastAsia="宋体"/>
                      <w:color w:val="auto"/>
                      <w:szCs w:val="21"/>
                      <w:highlight w:val="none"/>
                      <w:lang w:val="en-US" w:eastAsia="zh-CN"/>
                    </w:rPr>
                  </w:pPr>
                  <w:r>
                    <w:rPr>
                      <w:rFonts w:hint="eastAsia" w:cs="Times New Roman"/>
                      <w:bCs/>
                      <w:strike w:val="0"/>
                      <w:dstrike w:val="0"/>
                      <w:color w:val="auto"/>
                      <w:szCs w:val="21"/>
                      <w:highlight w:val="none"/>
                      <w:lang w:val="en-US" w:eastAsia="zh-CN"/>
                    </w:rPr>
                    <w:t>1.77</w:t>
                  </w:r>
                  <w:r>
                    <w:rPr>
                      <w:rFonts w:hint="default" w:ascii="Times New Roman" w:hAnsi="Times New Roman" w:cs="Times New Roman"/>
                      <w:bCs/>
                      <w:strike w:val="0"/>
                      <w:dstrike w:val="0"/>
                      <w:color w:val="auto"/>
                      <w:szCs w:val="21"/>
                      <w:highlight w:val="none"/>
                    </w:rPr>
                    <w:t>MPa</w:t>
                  </w:r>
                </w:p>
              </w:tc>
              <w:tc>
                <w:tcPr>
                  <w:tcW w:w="1582" w:type="dxa"/>
                  <w:vAlign w:val="center"/>
                </w:tcPr>
                <w:p w14:paraId="143CA7D1">
                  <w:pPr>
                    <w:spacing w:line="276" w:lineRule="auto"/>
                    <w:jc w:val="center"/>
                    <w:rPr>
                      <w:rFonts w:hint="eastAsia" w:eastAsia="宋体"/>
                      <w:color w:val="auto"/>
                      <w:szCs w:val="21"/>
                      <w:highlight w:val="none"/>
                      <w:lang w:val="en-US" w:eastAsia="zh-CN"/>
                    </w:rPr>
                  </w:pPr>
                  <w:r>
                    <w:rPr>
                      <w:rFonts w:hint="default" w:ascii="Times New Roman" w:hAnsi="Times New Roman" w:cs="Times New Roman"/>
                      <w:bCs/>
                      <w:color w:val="auto"/>
                      <w:szCs w:val="21"/>
                      <w:highlight w:val="none"/>
                      <w:lang w:val="en-US" w:eastAsia="zh-CN"/>
                    </w:rPr>
                    <w:t>1.77</w:t>
                  </w:r>
                  <w:r>
                    <w:rPr>
                      <w:rFonts w:hint="default" w:ascii="Times New Roman" w:hAnsi="Times New Roman" w:cs="Times New Roman"/>
                      <w:bCs/>
                      <w:color w:val="auto"/>
                      <w:szCs w:val="21"/>
                      <w:highlight w:val="none"/>
                    </w:rPr>
                    <w:t>MPa</w:t>
                  </w:r>
                </w:p>
              </w:tc>
            </w:tr>
            <w:tr w14:paraId="0D55791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29" w:hRule="atLeast"/>
                <w:jc w:val="center"/>
              </w:trPr>
              <w:tc>
                <w:tcPr>
                  <w:tcW w:w="1589" w:type="dxa"/>
                  <w:gridSpan w:val="2"/>
                  <w:vAlign w:val="center"/>
                </w:tcPr>
                <w:p w14:paraId="47225FDC">
                  <w:pPr>
                    <w:spacing w:line="276" w:lineRule="auto"/>
                    <w:jc w:val="center"/>
                    <w:rPr>
                      <w:color w:val="auto"/>
                      <w:szCs w:val="21"/>
                      <w:highlight w:val="none"/>
                    </w:rPr>
                  </w:pPr>
                  <w:r>
                    <w:rPr>
                      <w:rFonts w:hint="eastAsia"/>
                      <w:color w:val="auto"/>
                      <w:szCs w:val="21"/>
                      <w:highlight w:val="none"/>
                    </w:rPr>
                    <w:t>外形尺寸</w:t>
                  </w:r>
                </w:p>
              </w:tc>
              <w:tc>
                <w:tcPr>
                  <w:tcW w:w="1744" w:type="dxa"/>
                  <w:vAlign w:val="center"/>
                </w:tcPr>
                <w:p w14:paraId="1B5668E3">
                  <w:pPr>
                    <w:spacing w:line="276" w:lineRule="auto"/>
                    <w:jc w:val="center"/>
                    <w:rPr>
                      <w:color w:val="auto"/>
                      <w:szCs w:val="21"/>
                      <w:highlight w:val="none"/>
                    </w:rPr>
                  </w:pPr>
                  <w:r>
                    <w:rPr>
                      <w:rFonts w:hint="eastAsia"/>
                      <w:color w:val="auto"/>
                      <w:szCs w:val="21"/>
                      <w:highlight w:val="none"/>
                    </w:rPr>
                    <w:t>Ø2900×7878（高度）</w:t>
                  </w:r>
                </w:p>
              </w:tc>
              <w:tc>
                <w:tcPr>
                  <w:tcW w:w="1481" w:type="dxa"/>
                  <w:vAlign w:val="center"/>
                </w:tcPr>
                <w:p w14:paraId="77AE80AD">
                  <w:pPr>
                    <w:spacing w:line="276" w:lineRule="auto"/>
                    <w:jc w:val="center"/>
                    <w:rPr>
                      <w:rFonts w:hint="eastAsia"/>
                      <w:color w:val="auto"/>
                      <w:szCs w:val="21"/>
                      <w:highlight w:val="none"/>
                    </w:rPr>
                  </w:pPr>
                  <w:r>
                    <w:rPr>
                      <w:rFonts w:hint="eastAsia"/>
                      <w:color w:val="auto"/>
                      <w:szCs w:val="21"/>
                      <w:highlight w:val="none"/>
                    </w:rPr>
                    <w:t>Ø</w:t>
                  </w:r>
                  <w:r>
                    <w:rPr>
                      <w:rFonts w:hint="eastAsia"/>
                      <w:color w:val="auto"/>
                      <w:szCs w:val="21"/>
                      <w:highlight w:val="none"/>
                      <w:lang w:val="en-US" w:eastAsia="zh-CN"/>
                    </w:rPr>
                    <w:t>25</w:t>
                  </w:r>
                  <w:r>
                    <w:rPr>
                      <w:rFonts w:hint="eastAsia"/>
                      <w:color w:val="auto"/>
                      <w:szCs w:val="21"/>
                      <w:highlight w:val="none"/>
                    </w:rPr>
                    <w:t>00×</w:t>
                  </w:r>
                  <w:r>
                    <w:rPr>
                      <w:rFonts w:hint="eastAsia"/>
                      <w:color w:val="auto"/>
                      <w:szCs w:val="21"/>
                      <w:highlight w:val="none"/>
                      <w:lang w:val="en-US" w:eastAsia="zh-CN"/>
                    </w:rPr>
                    <w:t>7672</w:t>
                  </w:r>
                  <w:r>
                    <w:rPr>
                      <w:rFonts w:hint="eastAsia"/>
                      <w:color w:val="auto"/>
                      <w:szCs w:val="21"/>
                      <w:highlight w:val="none"/>
                    </w:rPr>
                    <w:t>（高度）</w:t>
                  </w:r>
                </w:p>
              </w:tc>
              <w:tc>
                <w:tcPr>
                  <w:tcW w:w="1620" w:type="dxa"/>
                  <w:vAlign w:val="center"/>
                </w:tcPr>
                <w:p w14:paraId="54BB9B6A">
                  <w:pPr>
                    <w:spacing w:line="276" w:lineRule="auto"/>
                    <w:jc w:val="center"/>
                    <w:rPr>
                      <w:rFonts w:hint="eastAsia"/>
                      <w:color w:val="auto"/>
                      <w:szCs w:val="21"/>
                      <w:highlight w:val="none"/>
                    </w:rPr>
                  </w:pPr>
                  <w:r>
                    <w:rPr>
                      <w:rFonts w:hint="eastAsia"/>
                      <w:color w:val="auto"/>
                      <w:szCs w:val="21"/>
                      <w:highlight w:val="none"/>
                    </w:rPr>
                    <w:t>Ø</w:t>
                  </w:r>
                  <w:r>
                    <w:rPr>
                      <w:rFonts w:hint="eastAsia"/>
                      <w:color w:val="auto"/>
                      <w:szCs w:val="21"/>
                      <w:highlight w:val="none"/>
                      <w:lang w:val="en-US" w:eastAsia="zh-CN"/>
                    </w:rPr>
                    <w:t>25</w:t>
                  </w:r>
                  <w:r>
                    <w:rPr>
                      <w:rFonts w:hint="eastAsia"/>
                      <w:color w:val="auto"/>
                      <w:szCs w:val="21"/>
                      <w:highlight w:val="none"/>
                    </w:rPr>
                    <w:t>00×</w:t>
                  </w:r>
                  <w:r>
                    <w:rPr>
                      <w:rFonts w:hint="eastAsia"/>
                      <w:color w:val="auto"/>
                      <w:szCs w:val="21"/>
                      <w:highlight w:val="none"/>
                      <w:lang w:val="en-US" w:eastAsia="zh-CN"/>
                    </w:rPr>
                    <w:t>7672</w:t>
                  </w:r>
                  <w:r>
                    <w:rPr>
                      <w:rFonts w:hint="eastAsia"/>
                      <w:color w:val="auto"/>
                      <w:szCs w:val="21"/>
                      <w:highlight w:val="none"/>
                    </w:rPr>
                    <w:t>（高度）</w:t>
                  </w:r>
                </w:p>
              </w:tc>
              <w:tc>
                <w:tcPr>
                  <w:tcW w:w="1582" w:type="dxa"/>
                  <w:vAlign w:val="center"/>
                </w:tcPr>
                <w:p w14:paraId="09474912">
                  <w:pPr>
                    <w:spacing w:line="276" w:lineRule="auto"/>
                    <w:jc w:val="center"/>
                    <w:rPr>
                      <w:rFonts w:hint="eastAsia"/>
                      <w:color w:val="auto"/>
                      <w:szCs w:val="21"/>
                      <w:highlight w:val="none"/>
                    </w:rPr>
                  </w:pPr>
                  <w:r>
                    <w:rPr>
                      <w:rFonts w:hint="eastAsia"/>
                      <w:color w:val="auto"/>
                      <w:szCs w:val="21"/>
                      <w:highlight w:val="none"/>
                    </w:rPr>
                    <w:t>Ø</w:t>
                  </w:r>
                  <w:r>
                    <w:rPr>
                      <w:rFonts w:hint="eastAsia"/>
                      <w:color w:val="auto"/>
                      <w:szCs w:val="21"/>
                      <w:highlight w:val="none"/>
                      <w:lang w:val="en-US" w:eastAsia="zh-CN"/>
                    </w:rPr>
                    <w:t>25</w:t>
                  </w:r>
                  <w:r>
                    <w:rPr>
                      <w:rFonts w:hint="eastAsia"/>
                      <w:color w:val="auto"/>
                      <w:szCs w:val="21"/>
                      <w:highlight w:val="none"/>
                    </w:rPr>
                    <w:t>00×</w:t>
                  </w:r>
                  <w:r>
                    <w:rPr>
                      <w:rFonts w:hint="eastAsia"/>
                      <w:color w:val="auto"/>
                      <w:szCs w:val="21"/>
                      <w:highlight w:val="none"/>
                      <w:lang w:val="en-US" w:eastAsia="zh-CN"/>
                    </w:rPr>
                    <w:t>7672</w:t>
                  </w:r>
                  <w:r>
                    <w:rPr>
                      <w:rFonts w:hint="eastAsia"/>
                      <w:color w:val="auto"/>
                      <w:szCs w:val="21"/>
                      <w:highlight w:val="none"/>
                    </w:rPr>
                    <w:t>（高度）</w:t>
                  </w:r>
                </w:p>
              </w:tc>
            </w:tr>
            <w:tr w14:paraId="568F41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1589" w:type="dxa"/>
                  <w:gridSpan w:val="2"/>
                  <w:vAlign w:val="center"/>
                </w:tcPr>
                <w:p w14:paraId="2421AB42">
                  <w:pPr>
                    <w:spacing w:line="276" w:lineRule="auto"/>
                    <w:jc w:val="center"/>
                    <w:rPr>
                      <w:color w:val="auto"/>
                      <w:szCs w:val="21"/>
                      <w:highlight w:val="none"/>
                    </w:rPr>
                  </w:pPr>
                  <w:r>
                    <w:rPr>
                      <w:rFonts w:hint="eastAsia"/>
                      <w:color w:val="auto"/>
                      <w:szCs w:val="21"/>
                      <w:highlight w:val="none"/>
                    </w:rPr>
                    <w:t>卸车口尺寸</w:t>
                  </w:r>
                </w:p>
              </w:tc>
              <w:tc>
                <w:tcPr>
                  <w:tcW w:w="1744" w:type="dxa"/>
                  <w:vAlign w:val="center"/>
                </w:tcPr>
                <w:p w14:paraId="18D3EBBB">
                  <w:pPr>
                    <w:spacing w:line="276" w:lineRule="auto"/>
                    <w:jc w:val="center"/>
                    <w:rPr>
                      <w:color w:val="auto"/>
                      <w:szCs w:val="21"/>
                      <w:highlight w:val="none"/>
                    </w:rPr>
                  </w:pPr>
                  <w:r>
                    <w:rPr>
                      <w:rFonts w:hint="eastAsia"/>
                      <w:color w:val="auto"/>
                      <w:szCs w:val="21"/>
                      <w:highlight w:val="none"/>
                    </w:rPr>
                    <w:t>DN50（液相）/DN25（气相）</w:t>
                  </w:r>
                </w:p>
              </w:tc>
              <w:tc>
                <w:tcPr>
                  <w:tcW w:w="1481" w:type="dxa"/>
                  <w:vAlign w:val="center"/>
                </w:tcPr>
                <w:p w14:paraId="7CE902FC">
                  <w:pPr>
                    <w:spacing w:line="276" w:lineRule="auto"/>
                    <w:jc w:val="center"/>
                    <w:rPr>
                      <w:rFonts w:hint="eastAsia"/>
                      <w:color w:val="auto"/>
                      <w:szCs w:val="21"/>
                      <w:highlight w:val="none"/>
                    </w:rPr>
                  </w:pP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c>
                <w:tcPr>
                  <w:tcW w:w="1620" w:type="dxa"/>
                  <w:vAlign w:val="center"/>
                </w:tcPr>
                <w:p w14:paraId="70940EE6">
                  <w:pPr>
                    <w:spacing w:line="276" w:lineRule="auto"/>
                    <w:jc w:val="center"/>
                    <w:rPr>
                      <w:rFonts w:hint="eastAsia"/>
                      <w:color w:val="auto"/>
                      <w:szCs w:val="21"/>
                      <w:highlight w:val="none"/>
                    </w:rPr>
                  </w:pP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c>
                <w:tcPr>
                  <w:tcW w:w="1582" w:type="dxa"/>
                  <w:vAlign w:val="center"/>
                </w:tcPr>
                <w:p w14:paraId="3FFA8A1C">
                  <w:pPr>
                    <w:spacing w:line="276" w:lineRule="auto"/>
                    <w:jc w:val="center"/>
                    <w:rPr>
                      <w:rFonts w:hint="eastAsia"/>
                      <w:color w:val="auto"/>
                      <w:szCs w:val="21"/>
                      <w:highlight w:val="none"/>
                    </w:rPr>
                  </w:pPr>
                  <w:r>
                    <w:rPr>
                      <w:rFonts w:hint="eastAsia"/>
                      <w:color w:val="auto"/>
                      <w:szCs w:val="21"/>
                      <w:highlight w:val="none"/>
                      <w:lang w:val="en-US" w:eastAsia="zh-CN"/>
                    </w:rPr>
                    <w:t>接入口：</w:t>
                  </w: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r>
            <w:tr w14:paraId="5F63CDE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57" w:hRule="atLeast"/>
                <w:jc w:val="center"/>
              </w:trPr>
              <w:tc>
                <w:tcPr>
                  <w:tcW w:w="1589" w:type="dxa"/>
                  <w:gridSpan w:val="2"/>
                  <w:vAlign w:val="center"/>
                </w:tcPr>
                <w:p w14:paraId="5C6DA6FF">
                  <w:pPr>
                    <w:spacing w:line="276" w:lineRule="auto"/>
                    <w:jc w:val="center"/>
                    <w:rPr>
                      <w:color w:val="auto"/>
                      <w:szCs w:val="21"/>
                      <w:highlight w:val="none"/>
                    </w:rPr>
                  </w:pPr>
                  <w:r>
                    <w:rPr>
                      <w:rFonts w:hint="eastAsia"/>
                      <w:color w:val="auto"/>
                      <w:szCs w:val="21"/>
                      <w:highlight w:val="none"/>
                    </w:rPr>
                    <w:t>出口尺寸</w:t>
                  </w:r>
                </w:p>
              </w:tc>
              <w:tc>
                <w:tcPr>
                  <w:tcW w:w="1744" w:type="dxa"/>
                  <w:vAlign w:val="center"/>
                </w:tcPr>
                <w:p w14:paraId="33B9D1C1">
                  <w:pPr>
                    <w:spacing w:line="276" w:lineRule="auto"/>
                    <w:jc w:val="center"/>
                    <w:rPr>
                      <w:color w:val="auto"/>
                      <w:szCs w:val="21"/>
                      <w:highlight w:val="none"/>
                    </w:rPr>
                  </w:pPr>
                  <w:r>
                    <w:rPr>
                      <w:rFonts w:hint="eastAsia"/>
                      <w:color w:val="auto"/>
                      <w:szCs w:val="21"/>
                      <w:highlight w:val="none"/>
                    </w:rPr>
                    <w:t>DN25（液相）/DN20（气相）</w:t>
                  </w:r>
                </w:p>
              </w:tc>
              <w:tc>
                <w:tcPr>
                  <w:tcW w:w="1481" w:type="dxa"/>
                  <w:vAlign w:val="center"/>
                </w:tcPr>
                <w:p w14:paraId="0C567F84">
                  <w:pPr>
                    <w:spacing w:line="276" w:lineRule="auto"/>
                    <w:jc w:val="center"/>
                    <w:rPr>
                      <w:rFonts w:hint="eastAsia"/>
                      <w:color w:val="auto"/>
                      <w:szCs w:val="21"/>
                      <w:highlight w:val="none"/>
                    </w:rPr>
                  </w:pP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c>
                <w:tcPr>
                  <w:tcW w:w="1620" w:type="dxa"/>
                  <w:vAlign w:val="center"/>
                </w:tcPr>
                <w:p w14:paraId="473392D1">
                  <w:pPr>
                    <w:spacing w:line="276" w:lineRule="auto"/>
                    <w:jc w:val="center"/>
                    <w:rPr>
                      <w:rFonts w:hint="eastAsia"/>
                      <w:color w:val="auto"/>
                      <w:szCs w:val="21"/>
                      <w:highlight w:val="none"/>
                    </w:rPr>
                  </w:pP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c>
                <w:tcPr>
                  <w:tcW w:w="1582" w:type="dxa"/>
                  <w:vAlign w:val="center"/>
                </w:tcPr>
                <w:p w14:paraId="31BADECA">
                  <w:pPr>
                    <w:spacing w:line="276" w:lineRule="auto"/>
                    <w:jc w:val="center"/>
                    <w:rPr>
                      <w:rFonts w:hint="eastAsia"/>
                      <w:color w:val="auto"/>
                      <w:szCs w:val="21"/>
                      <w:highlight w:val="none"/>
                    </w:rPr>
                  </w:pPr>
                  <w:r>
                    <w:rPr>
                      <w:rFonts w:hint="eastAsia"/>
                      <w:color w:val="auto"/>
                      <w:szCs w:val="21"/>
                      <w:highlight w:val="none"/>
                    </w:rPr>
                    <w:t>DN</w:t>
                  </w:r>
                  <w:r>
                    <w:rPr>
                      <w:rFonts w:hint="eastAsia"/>
                      <w:color w:val="auto"/>
                      <w:szCs w:val="21"/>
                      <w:highlight w:val="none"/>
                      <w:lang w:val="en-US" w:eastAsia="zh-CN"/>
                    </w:rPr>
                    <w:t>40</w:t>
                  </w:r>
                  <w:r>
                    <w:rPr>
                      <w:rFonts w:hint="eastAsia"/>
                      <w:color w:val="auto"/>
                      <w:szCs w:val="21"/>
                      <w:highlight w:val="none"/>
                    </w:rPr>
                    <w:t>（液相）/DN</w:t>
                  </w:r>
                  <w:r>
                    <w:rPr>
                      <w:rFonts w:hint="eastAsia"/>
                      <w:color w:val="auto"/>
                      <w:szCs w:val="21"/>
                      <w:highlight w:val="none"/>
                      <w:lang w:val="en-US" w:eastAsia="zh-CN"/>
                    </w:rPr>
                    <w:t>40</w:t>
                  </w:r>
                  <w:r>
                    <w:rPr>
                      <w:rFonts w:hint="eastAsia"/>
                      <w:color w:val="auto"/>
                      <w:szCs w:val="21"/>
                      <w:highlight w:val="none"/>
                    </w:rPr>
                    <w:t>（气相）</w:t>
                  </w:r>
                </w:p>
              </w:tc>
            </w:tr>
            <w:tr w14:paraId="42751F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589" w:type="dxa"/>
                  <w:gridSpan w:val="2"/>
                  <w:vAlign w:val="center"/>
                </w:tcPr>
                <w:p w14:paraId="04F122BB">
                  <w:pPr>
                    <w:spacing w:line="276" w:lineRule="auto"/>
                    <w:jc w:val="center"/>
                    <w:rPr>
                      <w:color w:val="auto"/>
                      <w:szCs w:val="21"/>
                      <w:highlight w:val="none"/>
                    </w:rPr>
                  </w:pPr>
                  <w:r>
                    <w:rPr>
                      <w:rFonts w:hint="eastAsia"/>
                      <w:color w:val="auto"/>
                      <w:szCs w:val="21"/>
                      <w:highlight w:val="none"/>
                    </w:rPr>
                    <w:t>储罐材质</w:t>
                  </w:r>
                </w:p>
              </w:tc>
              <w:tc>
                <w:tcPr>
                  <w:tcW w:w="1744" w:type="dxa"/>
                  <w:vAlign w:val="center"/>
                </w:tcPr>
                <w:p w14:paraId="0266EBE0">
                  <w:pPr>
                    <w:spacing w:line="276" w:lineRule="auto"/>
                    <w:jc w:val="center"/>
                    <w:rPr>
                      <w:color w:val="auto"/>
                      <w:szCs w:val="21"/>
                      <w:highlight w:val="none"/>
                    </w:rPr>
                  </w:pPr>
                  <w:r>
                    <w:rPr>
                      <w:rFonts w:hint="eastAsia"/>
                      <w:color w:val="auto"/>
                      <w:szCs w:val="21"/>
                      <w:highlight w:val="none"/>
                    </w:rPr>
                    <w:t>304/Q245R</w:t>
                  </w:r>
                </w:p>
              </w:tc>
              <w:tc>
                <w:tcPr>
                  <w:tcW w:w="1481" w:type="dxa"/>
                  <w:vAlign w:val="center"/>
                </w:tcPr>
                <w:p w14:paraId="65E9158E">
                  <w:pPr>
                    <w:spacing w:line="276" w:lineRule="auto"/>
                    <w:jc w:val="center"/>
                    <w:rPr>
                      <w:rFonts w:hint="eastAsia"/>
                      <w:color w:val="auto"/>
                      <w:szCs w:val="21"/>
                      <w:highlight w:val="none"/>
                    </w:rPr>
                  </w:pP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c>
                <w:tcPr>
                  <w:tcW w:w="1620" w:type="dxa"/>
                  <w:vAlign w:val="center"/>
                </w:tcPr>
                <w:p w14:paraId="6F115894">
                  <w:pPr>
                    <w:spacing w:line="276" w:lineRule="auto"/>
                    <w:jc w:val="center"/>
                    <w:rPr>
                      <w:rFonts w:hint="eastAsia"/>
                      <w:color w:val="auto"/>
                      <w:szCs w:val="21"/>
                      <w:highlight w:val="none"/>
                    </w:rPr>
                  </w:pP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c>
                <w:tcPr>
                  <w:tcW w:w="1582" w:type="dxa"/>
                  <w:vAlign w:val="center"/>
                </w:tcPr>
                <w:p w14:paraId="3EC9D27A">
                  <w:pPr>
                    <w:spacing w:line="276" w:lineRule="auto"/>
                    <w:jc w:val="center"/>
                    <w:rPr>
                      <w:rFonts w:hint="eastAsia"/>
                      <w:color w:val="auto"/>
                      <w:szCs w:val="21"/>
                      <w:highlight w:val="none"/>
                    </w:rPr>
                  </w:pPr>
                  <w:r>
                    <w:rPr>
                      <w:rFonts w:hint="eastAsia"/>
                      <w:color w:val="auto"/>
                      <w:szCs w:val="21"/>
                      <w:highlight w:val="none"/>
                    </w:rPr>
                    <w:t>Q</w:t>
                  </w:r>
                  <w:r>
                    <w:rPr>
                      <w:rFonts w:hint="eastAsia"/>
                      <w:color w:val="auto"/>
                      <w:szCs w:val="21"/>
                      <w:highlight w:val="none"/>
                      <w:lang w:val="en-US" w:eastAsia="zh-CN"/>
                    </w:rPr>
                    <w:t>3</w:t>
                  </w:r>
                  <w:r>
                    <w:rPr>
                      <w:rFonts w:hint="eastAsia"/>
                      <w:color w:val="auto"/>
                      <w:szCs w:val="21"/>
                      <w:highlight w:val="none"/>
                    </w:rPr>
                    <w:t>45R</w:t>
                  </w:r>
                </w:p>
              </w:tc>
            </w:tr>
            <w:tr w14:paraId="00BD09B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99" w:hRule="atLeast"/>
                <w:jc w:val="center"/>
              </w:trPr>
              <w:tc>
                <w:tcPr>
                  <w:tcW w:w="1589" w:type="dxa"/>
                  <w:gridSpan w:val="2"/>
                  <w:vAlign w:val="center"/>
                </w:tcPr>
                <w:p w14:paraId="6F062156">
                  <w:pPr>
                    <w:spacing w:line="276" w:lineRule="auto"/>
                    <w:jc w:val="center"/>
                    <w:rPr>
                      <w:color w:val="auto"/>
                      <w:szCs w:val="21"/>
                      <w:highlight w:val="none"/>
                    </w:rPr>
                  </w:pPr>
                  <w:r>
                    <w:rPr>
                      <w:rFonts w:hint="eastAsia"/>
                      <w:color w:val="auto"/>
                      <w:szCs w:val="21"/>
                      <w:highlight w:val="none"/>
                    </w:rPr>
                    <w:t>储罐结构</w:t>
                  </w:r>
                </w:p>
              </w:tc>
              <w:tc>
                <w:tcPr>
                  <w:tcW w:w="1744" w:type="dxa"/>
                  <w:vAlign w:val="center"/>
                </w:tcPr>
                <w:p w14:paraId="3BFC60CC">
                  <w:pPr>
                    <w:spacing w:line="276" w:lineRule="auto"/>
                    <w:jc w:val="center"/>
                    <w:rPr>
                      <w:color w:val="auto"/>
                      <w:szCs w:val="21"/>
                      <w:highlight w:val="none"/>
                    </w:rPr>
                  </w:pPr>
                  <w:r>
                    <w:rPr>
                      <w:rFonts w:hint="eastAsia"/>
                      <w:color w:val="auto"/>
                      <w:szCs w:val="21"/>
                      <w:highlight w:val="none"/>
                    </w:rPr>
                    <w:t>双层罐（夹层充填绝热材料珠光砂，并抽真空）</w:t>
                  </w:r>
                </w:p>
              </w:tc>
              <w:tc>
                <w:tcPr>
                  <w:tcW w:w="1481" w:type="dxa"/>
                  <w:vAlign w:val="center"/>
                </w:tcPr>
                <w:p w14:paraId="616933C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单层承压立式罐体</w:t>
                  </w:r>
                </w:p>
              </w:tc>
              <w:tc>
                <w:tcPr>
                  <w:tcW w:w="1620" w:type="dxa"/>
                  <w:vAlign w:val="center"/>
                </w:tcPr>
                <w:p w14:paraId="012D88E6">
                  <w:pPr>
                    <w:spacing w:line="276" w:lineRule="auto"/>
                    <w:jc w:val="center"/>
                    <w:rPr>
                      <w:rFonts w:hint="eastAsia"/>
                      <w:color w:val="auto"/>
                      <w:szCs w:val="21"/>
                      <w:highlight w:val="none"/>
                    </w:rPr>
                  </w:pPr>
                  <w:r>
                    <w:rPr>
                      <w:rFonts w:hint="eastAsia"/>
                      <w:color w:val="auto"/>
                      <w:szCs w:val="21"/>
                      <w:highlight w:val="none"/>
                      <w:lang w:val="en-US" w:eastAsia="zh-CN"/>
                    </w:rPr>
                    <w:t>单层承压立式罐体</w:t>
                  </w:r>
                </w:p>
              </w:tc>
              <w:tc>
                <w:tcPr>
                  <w:tcW w:w="1582" w:type="dxa"/>
                  <w:vAlign w:val="center"/>
                </w:tcPr>
                <w:p w14:paraId="67479A48">
                  <w:pPr>
                    <w:spacing w:line="276" w:lineRule="auto"/>
                    <w:jc w:val="center"/>
                    <w:rPr>
                      <w:rFonts w:hint="eastAsia"/>
                      <w:color w:val="auto"/>
                      <w:szCs w:val="21"/>
                      <w:highlight w:val="none"/>
                    </w:rPr>
                  </w:pPr>
                  <w:r>
                    <w:rPr>
                      <w:rFonts w:hint="eastAsia"/>
                      <w:color w:val="auto"/>
                      <w:szCs w:val="21"/>
                      <w:highlight w:val="none"/>
                      <w:lang w:val="en-US" w:eastAsia="zh-CN"/>
                    </w:rPr>
                    <w:t>单层承压立式罐体</w:t>
                  </w:r>
                </w:p>
              </w:tc>
            </w:tr>
            <w:tr w14:paraId="63F0BE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85" w:hRule="atLeast"/>
                <w:jc w:val="center"/>
              </w:trPr>
              <w:tc>
                <w:tcPr>
                  <w:tcW w:w="1589" w:type="dxa"/>
                  <w:gridSpan w:val="2"/>
                  <w:vAlign w:val="center"/>
                </w:tcPr>
                <w:p w14:paraId="2940052E">
                  <w:pPr>
                    <w:spacing w:line="276" w:lineRule="auto"/>
                    <w:jc w:val="center"/>
                    <w:rPr>
                      <w:color w:val="auto"/>
                      <w:szCs w:val="21"/>
                      <w:highlight w:val="none"/>
                    </w:rPr>
                  </w:pPr>
                  <w:r>
                    <w:rPr>
                      <w:rFonts w:hint="eastAsia"/>
                      <w:color w:val="auto"/>
                      <w:szCs w:val="21"/>
                      <w:highlight w:val="none"/>
                    </w:rPr>
                    <w:t>介质火灾危险性类别</w:t>
                  </w:r>
                </w:p>
              </w:tc>
              <w:tc>
                <w:tcPr>
                  <w:tcW w:w="1744" w:type="dxa"/>
                  <w:vAlign w:val="center"/>
                </w:tcPr>
                <w:p w14:paraId="3A4D32DA">
                  <w:pPr>
                    <w:spacing w:line="276" w:lineRule="auto"/>
                    <w:jc w:val="center"/>
                    <w:rPr>
                      <w:color w:val="auto"/>
                      <w:szCs w:val="21"/>
                      <w:highlight w:val="none"/>
                    </w:rPr>
                  </w:pPr>
                  <w:r>
                    <w:rPr>
                      <w:rFonts w:hint="eastAsia"/>
                      <w:color w:val="auto"/>
                      <w:szCs w:val="21"/>
                      <w:highlight w:val="none"/>
                    </w:rPr>
                    <w:t>甲类</w:t>
                  </w:r>
                </w:p>
              </w:tc>
              <w:tc>
                <w:tcPr>
                  <w:tcW w:w="1481" w:type="dxa"/>
                  <w:vAlign w:val="center"/>
                </w:tcPr>
                <w:p w14:paraId="1C0EACA4">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甲类</w:t>
                  </w:r>
                </w:p>
              </w:tc>
              <w:tc>
                <w:tcPr>
                  <w:tcW w:w="1620" w:type="dxa"/>
                  <w:vAlign w:val="center"/>
                </w:tcPr>
                <w:p w14:paraId="7BCBFAEE">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甲类</w:t>
                  </w:r>
                </w:p>
              </w:tc>
              <w:tc>
                <w:tcPr>
                  <w:tcW w:w="1582" w:type="dxa"/>
                  <w:vAlign w:val="center"/>
                </w:tcPr>
                <w:p w14:paraId="53DFCAE2">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甲类</w:t>
                  </w:r>
                </w:p>
              </w:tc>
            </w:tr>
            <w:tr w14:paraId="028866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43" w:hRule="atLeast"/>
                <w:jc w:val="center"/>
              </w:trPr>
              <w:tc>
                <w:tcPr>
                  <w:tcW w:w="740" w:type="dxa"/>
                  <w:vAlign w:val="center"/>
                </w:tcPr>
                <w:p w14:paraId="44855BC6">
                  <w:pPr>
                    <w:spacing w:line="276" w:lineRule="auto"/>
                    <w:jc w:val="center"/>
                    <w:rPr>
                      <w:color w:val="auto"/>
                      <w:szCs w:val="21"/>
                      <w:highlight w:val="none"/>
                    </w:rPr>
                  </w:pPr>
                  <w:r>
                    <w:rPr>
                      <w:rFonts w:hint="eastAsia"/>
                      <w:color w:val="auto"/>
                      <w:szCs w:val="21"/>
                      <w:highlight w:val="none"/>
                      <w:lang w:val="en-US" w:eastAsia="zh-CN"/>
                    </w:rPr>
                    <w:t>改建前</w:t>
                  </w:r>
                </w:p>
              </w:tc>
              <w:tc>
                <w:tcPr>
                  <w:tcW w:w="849" w:type="dxa"/>
                  <w:vAlign w:val="center"/>
                </w:tcPr>
                <w:p w14:paraId="76E4B284">
                  <w:pPr>
                    <w:spacing w:line="276" w:lineRule="auto"/>
                    <w:jc w:val="center"/>
                    <w:rPr>
                      <w:rFonts w:hint="eastAsia"/>
                      <w:color w:val="auto"/>
                      <w:szCs w:val="21"/>
                      <w:highlight w:val="none"/>
                      <w:lang w:val="en-US" w:eastAsia="zh-CN"/>
                    </w:rPr>
                  </w:pPr>
                  <w:r>
                    <w:rPr>
                      <w:rFonts w:hint="eastAsia"/>
                      <w:color w:val="auto"/>
                      <w:szCs w:val="21"/>
                      <w:highlight w:val="none"/>
                    </w:rPr>
                    <w:t>配备数量</w:t>
                  </w:r>
                </w:p>
              </w:tc>
              <w:tc>
                <w:tcPr>
                  <w:tcW w:w="1744" w:type="dxa"/>
                  <w:vAlign w:val="center"/>
                </w:tcPr>
                <w:p w14:paraId="750B8206">
                  <w:pPr>
                    <w:spacing w:line="276" w:lineRule="auto"/>
                    <w:jc w:val="center"/>
                    <w:rPr>
                      <w:rFonts w:hint="default"/>
                      <w:color w:val="auto"/>
                      <w:szCs w:val="21"/>
                      <w:highlight w:val="none"/>
                      <w:lang w:val="en-US"/>
                    </w:rPr>
                  </w:pPr>
                  <w:r>
                    <w:rPr>
                      <w:rFonts w:hint="eastAsia"/>
                      <w:color w:val="auto"/>
                      <w:szCs w:val="21"/>
                      <w:highlight w:val="none"/>
                      <w:lang w:val="en-US" w:eastAsia="zh-CN"/>
                    </w:rPr>
                    <w:t>2台</w:t>
                  </w:r>
                </w:p>
              </w:tc>
              <w:tc>
                <w:tcPr>
                  <w:tcW w:w="1481" w:type="dxa"/>
                  <w:vAlign w:val="center"/>
                </w:tcPr>
                <w:p w14:paraId="6CF7B944">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0台</w:t>
                  </w:r>
                </w:p>
              </w:tc>
              <w:tc>
                <w:tcPr>
                  <w:tcW w:w="1620" w:type="dxa"/>
                  <w:vAlign w:val="center"/>
                </w:tcPr>
                <w:p w14:paraId="50207C24">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0台</w:t>
                  </w:r>
                </w:p>
              </w:tc>
              <w:tc>
                <w:tcPr>
                  <w:tcW w:w="1582" w:type="dxa"/>
                  <w:vAlign w:val="center"/>
                </w:tcPr>
                <w:p w14:paraId="279FB0B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0台</w:t>
                  </w:r>
                </w:p>
              </w:tc>
            </w:tr>
            <w:tr w14:paraId="06C410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73" w:hRule="atLeast"/>
                <w:jc w:val="center"/>
              </w:trPr>
              <w:tc>
                <w:tcPr>
                  <w:tcW w:w="740" w:type="dxa"/>
                  <w:vAlign w:val="center"/>
                </w:tcPr>
                <w:p w14:paraId="43133E8D">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改建后</w:t>
                  </w:r>
                </w:p>
              </w:tc>
              <w:tc>
                <w:tcPr>
                  <w:tcW w:w="849" w:type="dxa"/>
                  <w:vAlign w:val="center"/>
                </w:tcPr>
                <w:p w14:paraId="0E5B927A">
                  <w:pPr>
                    <w:spacing w:line="276" w:lineRule="auto"/>
                    <w:jc w:val="center"/>
                    <w:rPr>
                      <w:rFonts w:hint="eastAsia"/>
                      <w:color w:val="auto"/>
                      <w:szCs w:val="21"/>
                      <w:highlight w:val="none"/>
                    </w:rPr>
                  </w:pPr>
                  <w:r>
                    <w:rPr>
                      <w:rFonts w:hint="eastAsia"/>
                      <w:color w:val="auto"/>
                      <w:szCs w:val="21"/>
                      <w:highlight w:val="none"/>
                    </w:rPr>
                    <w:t>配备数量</w:t>
                  </w:r>
                </w:p>
              </w:tc>
              <w:tc>
                <w:tcPr>
                  <w:tcW w:w="1744" w:type="dxa"/>
                  <w:vAlign w:val="center"/>
                </w:tcPr>
                <w:p w14:paraId="278D6C63">
                  <w:pPr>
                    <w:spacing w:line="276" w:lineRule="auto"/>
                    <w:jc w:val="center"/>
                    <w:rPr>
                      <w:rFonts w:hint="eastAsia"/>
                      <w:color w:val="auto"/>
                      <w:szCs w:val="21"/>
                      <w:highlight w:val="none"/>
                      <w:lang w:val="en-US" w:eastAsia="zh-CN"/>
                    </w:rPr>
                  </w:pPr>
                  <w:r>
                    <w:rPr>
                      <w:rFonts w:hint="eastAsia"/>
                      <w:color w:val="auto"/>
                      <w:szCs w:val="21"/>
                      <w:highlight w:val="none"/>
                      <w:lang w:val="en-US" w:eastAsia="zh-CN"/>
                    </w:rPr>
                    <w:t>1台</w:t>
                  </w:r>
                </w:p>
              </w:tc>
              <w:tc>
                <w:tcPr>
                  <w:tcW w:w="1481" w:type="dxa"/>
                  <w:vAlign w:val="center"/>
                </w:tcPr>
                <w:p w14:paraId="45956614">
                  <w:pPr>
                    <w:spacing w:line="276" w:lineRule="auto"/>
                    <w:jc w:val="center"/>
                    <w:rPr>
                      <w:rFonts w:hint="eastAsia"/>
                      <w:color w:val="auto"/>
                      <w:szCs w:val="21"/>
                      <w:highlight w:val="none"/>
                    </w:rPr>
                  </w:pPr>
                  <w:r>
                    <w:rPr>
                      <w:rFonts w:hint="eastAsia"/>
                      <w:color w:val="auto"/>
                      <w:szCs w:val="21"/>
                      <w:highlight w:val="none"/>
                      <w:lang w:val="en-US" w:eastAsia="zh-CN"/>
                    </w:rPr>
                    <w:t>1台</w:t>
                  </w:r>
                </w:p>
              </w:tc>
              <w:tc>
                <w:tcPr>
                  <w:tcW w:w="1620" w:type="dxa"/>
                  <w:vAlign w:val="center"/>
                </w:tcPr>
                <w:p w14:paraId="2EB9A396">
                  <w:pPr>
                    <w:spacing w:line="276" w:lineRule="auto"/>
                    <w:jc w:val="center"/>
                    <w:rPr>
                      <w:rFonts w:hint="eastAsia"/>
                      <w:color w:val="auto"/>
                      <w:szCs w:val="21"/>
                      <w:highlight w:val="none"/>
                    </w:rPr>
                  </w:pPr>
                  <w:r>
                    <w:rPr>
                      <w:rFonts w:hint="eastAsia"/>
                      <w:color w:val="auto"/>
                      <w:szCs w:val="21"/>
                      <w:highlight w:val="none"/>
                      <w:lang w:val="en-US" w:eastAsia="zh-CN"/>
                    </w:rPr>
                    <w:t>1台</w:t>
                  </w:r>
                </w:p>
              </w:tc>
              <w:tc>
                <w:tcPr>
                  <w:tcW w:w="1582" w:type="dxa"/>
                  <w:vAlign w:val="center"/>
                </w:tcPr>
                <w:p w14:paraId="7DCBC884">
                  <w:pPr>
                    <w:spacing w:line="276" w:lineRule="auto"/>
                    <w:jc w:val="center"/>
                    <w:rPr>
                      <w:rFonts w:hint="eastAsia"/>
                      <w:color w:val="auto"/>
                      <w:szCs w:val="21"/>
                      <w:highlight w:val="none"/>
                    </w:rPr>
                  </w:pPr>
                  <w:r>
                    <w:rPr>
                      <w:rFonts w:hint="eastAsia"/>
                      <w:color w:val="auto"/>
                      <w:szCs w:val="21"/>
                      <w:highlight w:val="none"/>
                      <w:lang w:val="en-US" w:eastAsia="zh-CN"/>
                    </w:rPr>
                    <w:t>1台</w:t>
                  </w:r>
                </w:p>
              </w:tc>
            </w:tr>
          </w:tbl>
          <w:p w14:paraId="448BD458">
            <w:pPr>
              <w:spacing w:line="360" w:lineRule="auto"/>
              <w:ind w:firstLine="482" w:firstLineChars="200"/>
              <w:rPr>
                <w:b/>
                <w:color w:val="auto"/>
                <w:sz w:val="24"/>
                <w:highlight w:val="none"/>
              </w:rPr>
            </w:pPr>
            <w:r>
              <w:rPr>
                <w:rFonts w:hint="eastAsia"/>
                <w:b/>
                <w:color w:val="auto"/>
                <w:sz w:val="24"/>
                <w:highlight w:val="none"/>
              </w:rPr>
              <w:t>8</w:t>
            </w:r>
            <w:r>
              <w:rPr>
                <w:b/>
                <w:color w:val="auto"/>
                <w:sz w:val="24"/>
                <w:highlight w:val="none"/>
              </w:rPr>
              <w:t>、</w:t>
            </w:r>
            <w:r>
              <w:rPr>
                <w:rFonts w:hint="eastAsia"/>
                <w:b/>
                <w:color w:val="auto"/>
                <w:sz w:val="24"/>
                <w:highlight w:val="none"/>
              </w:rPr>
              <w:t>公用工程</w:t>
            </w:r>
          </w:p>
          <w:p w14:paraId="57316322">
            <w:pPr>
              <w:pStyle w:val="52"/>
              <w:adjustRightInd/>
              <w:spacing w:line="360" w:lineRule="auto"/>
              <w:ind w:firstLine="480" w:firstLineChars="200"/>
              <w:rPr>
                <w:color w:val="auto"/>
                <w:highlight w:val="none"/>
              </w:rPr>
            </w:pPr>
            <w:r>
              <w:rPr>
                <w:rFonts w:hint="eastAsia"/>
                <w:color w:val="auto"/>
                <w:highlight w:val="none"/>
              </w:rPr>
              <w:t>（1）给排水</w:t>
            </w:r>
          </w:p>
          <w:p w14:paraId="1E48AF84">
            <w:pPr>
              <w:pStyle w:val="52"/>
              <w:adjustRightInd/>
              <w:spacing w:line="360" w:lineRule="auto"/>
              <w:ind w:firstLine="480" w:firstLineChars="200"/>
              <w:jc w:val="both"/>
              <w:rPr>
                <w:color w:val="auto"/>
                <w:highlight w:val="none"/>
              </w:rPr>
            </w:pPr>
            <w:r>
              <w:rPr>
                <w:rFonts w:hint="eastAsia"/>
                <w:color w:val="auto"/>
                <w:highlight w:val="none"/>
                <w:lang w:val="en-US" w:eastAsia="zh-CN"/>
              </w:rPr>
              <w:t>本次改建项目不新增劳动定员、不新增生活用水，不涉及生产用水，现有厂区生活及绿化</w:t>
            </w:r>
            <w:r>
              <w:rPr>
                <w:rFonts w:hint="eastAsia"/>
                <w:color w:val="auto"/>
                <w:highlight w:val="none"/>
              </w:rPr>
              <w:t>用水由市政供水管网供给。</w:t>
            </w:r>
          </w:p>
          <w:p w14:paraId="1E78FDEF">
            <w:pPr>
              <w:pStyle w:val="52"/>
              <w:adjustRightInd/>
              <w:spacing w:line="360" w:lineRule="auto"/>
              <w:ind w:firstLine="480" w:firstLineChars="200"/>
              <w:rPr>
                <w:color w:val="auto"/>
                <w:kern w:val="2"/>
                <w:highlight w:val="none"/>
              </w:rPr>
            </w:pPr>
            <w:r>
              <w:rPr>
                <w:rFonts w:hint="eastAsia"/>
                <w:color w:val="auto"/>
                <w:kern w:val="2"/>
                <w:highlight w:val="none"/>
                <w:lang w:val="en-US" w:eastAsia="zh-CN"/>
              </w:rPr>
              <w:t>现有厂区已采用</w:t>
            </w:r>
            <w:r>
              <w:rPr>
                <w:rFonts w:hint="eastAsia"/>
                <w:color w:val="auto"/>
                <w:kern w:val="2"/>
                <w:highlight w:val="none"/>
              </w:rPr>
              <w:t>雨污分流。雨水通过厂区雨水管网收集经雨水总排口汇入园区雨水管网。</w:t>
            </w:r>
            <w:r>
              <w:rPr>
                <w:rFonts w:hint="eastAsia"/>
                <w:color w:val="auto"/>
                <w:kern w:val="2"/>
                <w:highlight w:val="none"/>
                <w:lang w:val="en-US" w:eastAsia="zh-CN"/>
              </w:rPr>
              <w:t>现有厂区</w:t>
            </w:r>
            <w:r>
              <w:rPr>
                <w:rFonts w:hint="eastAsia"/>
                <w:color w:val="auto"/>
                <w:kern w:val="2"/>
                <w:highlight w:val="none"/>
              </w:rPr>
              <w:t>无生产废水排放，</w:t>
            </w:r>
            <w:r>
              <w:rPr>
                <w:rFonts w:hint="eastAsia"/>
                <w:color w:val="auto"/>
                <w:szCs w:val="21"/>
                <w:highlight w:val="none"/>
              </w:rPr>
              <w:t>生活污水经厂区内化粪池处理，达到</w:t>
            </w:r>
            <w:r>
              <w:rPr>
                <w:rFonts w:hint="eastAsia" w:hAnsi="宋体"/>
                <w:bCs/>
                <w:color w:val="auto"/>
                <w:spacing w:val="-1"/>
                <w:highlight w:val="none"/>
              </w:rPr>
              <w:t>淮南经济技术开发区污水处理厂接管限值后，再</w:t>
            </w:r>
            <w:r>
              <w:rPr>
                <w:rFonts w:hint="eastAsia"/>
                <w:color w:val="auto"/>
                <w:szCs w:val="21"/>
                <w:highlight w:val="none"/>
              </w:rPr>
              <w:t>处理达标排放。淮南经济技术开发区污水处理厂处理的尾水</w:t>
            </w:r>
            <w:r>
              <w:rPr>
                <w:rFonts w:hint="eastAsia"/>
                <w:color w:val="auto"/>
                <w:szCs w:val="21"/>
                <w:highlight w:val="none"/>
                <w:lang w:val="en-US" w:eastAsia="zh-CN"/>
              </w:rPr>
              <w:t>达到</w:t>
            </w:r>
            <w:r>
              <w:rPr>
                <w:rFonts w:hint="eastAsia" w:hAnsi="宋体"/>
                <w:color w:val="auto"/>
                <w:highlight w:val="none"/>
              </w:rPr>
              <w:t>《城镇污水处理厂污染物排放标准》（GB18918-2002</w:t>
            </w:r>
            <w:r>
              <w:rPr>
                <w:rFonts w:hint="eastAsia" w:hAnsi="宋体"/>
                <w:color w:val="auto"/>
                <w:highlight w:val="none"/>
                <w:lang w:eastAsia="zh-CN"/>
              </w:rPr>
              <w:t>，</w:t>
            </w:r>
            <w:r>
              <w:rPr>
                <w:rFonts w:hint="eastAsia" w:hAnsi="宋体"/>
                <w:color w:val="auto"/>
                <w:highlight w:val="none"/>
                <w:lang w:val="en-US" w:eastAsia="zh-CN"/>
              </w:rPr>
              <w:t>含2025修改单</w:t>
            </w:r>
            <w:r>
              <w:rPr>
                <w:rFonts w:hint="eastAsia" w:hAnsi="宋体"/>
                <w:color w:val="auto"/>
                <w:highlight w:val="none"/>
              </w:rPr>
              <w:t>）一级A标准</w:t>
            </w:r>
            <w:r>
              <w:rPr>
                <w:color w:val="auto"/>
                <w:kern w:val="2"/>
                <w:highlight w:val="none"/>
              </w:rPr>
              <w:t>后</w:t>
            </w:r>
            <w:r>
              <w:rPr>
                <w:rFonts w:hint="eastAsia"/>
                <w:color w:val="auto"/>
                <w:highlight w:val="none"/>
              </w:rPr>
              <w:t>排入淮河</w:t>
            </w:r>
            <w:r>
              <w:rPr>
                <w:rFonts w:hint="eastAsia"/>
                <w:color w:val="auto"/>
                <w:kern w:val="2"/>
                <w:highlight w:val="none"/>
              </w:rPr>
              <w:t>。</w:t>
            </w:r>
            <w:r>
              <w:rPr>
                <w:rFonts w:hint="eastAsia"/>
                <w:color w:val="auto"/>
                <w:kern w:val="2"/>
                <w:highlight w:val="none"/>
                <w:lang w:val="en-US" w:eastAsia="zh-CN"/>
              </w:rPr>
              <w:t>改建后全厂</w:t>
            </w:r>
            <w:r>
              <w:rPr>
                <w:rFonts w:hint="eastAsia"/>
                <w:color w:val="auto"/>
                <w:kern w:val="2"/>
                <w:highlight w:val="none"/>
              </w:rPr>
              <w:t>水平衡图见下图：</w:t>
            </w:r>
          </w:p>
          <w:p w14:paraId="31FF8DC9">
            <w:pPr>
              <w:bidi w:val="0"/>
              <w:spacing w:line="360" w:lineRule="auto"/>
              <w:rPr>
                <w:rFonts w:hint="eastAsia" w:ascii="宋体" w:hAnsi="宋体" w:eastAsia="宋体" w:cs="宋体"/>
                <w:color w:val="auto"/>
                <w:sz w:val="24"/>
                <w:szCs w:val="24"/>
                <w:highlight w:val="none"/>
              </w:rPr>
            </w:pPr>
            <w:r>
              <w:rPr>
                <w:color w:val="auto"/>
                <w:highlight w:val="none"/>
                <w:lang w:eastAsia="en-US"/>
              </w:rPr>
              <mc:AlternateContent>
                <mc:Choice Requires="wpc">
                  <w:drawing>
                    <wp:anchor distT="0" distB="0" distL="114300" distR="114300" simplePos="0" relativeHeight="251660288" behindDoc="0" locked="0" layoutInCell="1" allowOverlap="1">
                      <wp:simplePos x="0" y="0"/>
                      <wp:positionH relativeFrom="column">
                        <wp:posOffset>0</wp:posOffset>
                      </wp:positionH>
                      <wp:positionV relativeFrom="paragraph">
                        <wp:posOffset>31750</wp:posOffset>
                      </wp:positionV>
                      <wp:extent cx="5101590" cy="2787650"/>
                      <wp:effectExtent l="0" t="0" r="0" b="0"/>
                      <wp:wrapNone/>
                      <wp:docPr id="205" name="画布 2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85" name="文本框 185"/>
                              <wps:cNvSpPr txBox="1"/>
                              <wps:spPr>
                                <a:xfrm>
                                  <a:off x="216535" y="247650"/>
                                  <a:ext cx="592455" cy="490855"/>
                                </a:xfrm>
                                <a:prstGeom prst="rect">
                                  <a:avLst/>
                                </a:prstGeom>
                                <a:noFill/>
                                <a:ln>
                                  <a:noFill/>
                                </a:ln>
                              </wps:spPr>
                              <wps:txbx>
                                <w:txbxContent>
                                  <w:p w14:paraId="038D59C3">
                                    <w:pPr>
                                      <w:jc w:val="center"/>
                                      <w:rPr>
                                        <w:rFonts w:ascii="Times New Roman" w:hAnsi="Times New Roman" w:eastAsia="黑体"/>
                                        <w:sz w:val="18"/>
                                        <w:szCs w:val="18"/>
                                      </w:rPr>
                                    </w:pPr>
                                    <w:r>
                                      <w:rPr>
                                        <w:rFonts w:hint="eastAsia" w:ascii="Times New Roman" w:hAnsi="黑体" w:eastAsia="黑体"/>
                                        <w:sz w:val="18"/>
                                        <w:szCs w:val="18"/>
                                      </w:rPr>
                                      <w:t>新鲜水</w:t>
                                    </w:r>
                                  </w:p>
                                  <w:p w14:paraId="26652A73">
                                    <w:pPr>
                                      <w:jc w:val="center"/>
                                      <w:rPr>
                                        <w:rFonts w:ascii="Times New Roman" w:hAnsi="Times New Roman" w:eastAsia="黑体"/>
                                        <w:sz w:val="18"/>
                                        <w:szCs w:val="18"/>
                                        <w:lang w:eastAsia="en-US"/>
                                      </w:rPr>
                                    </w:pPr>
                                    <w:r>
                                      <w:rPr>
                                        <w:rFonts w:hint="eastAsia" w:ascii="Times New Roman" w:hAnsi="Times New Roman" w:eastAsia="黑体"/>
                                        <w:sz w:val="18"/>
                                        <w:szCs w:val="18"/>
                                      </w:rPr>
                                      <w:t>4.3</w:t>
                                    </w:r>
                                  </w:p>
                                </w:txbxContent>
                              </wps:txbx>
                              <wps:bodyPr upright="1"/>
                            </wps:wsp>
                            <wps:wsp>
                              <wps:cNvPr id="186" name="文本框 186"/>
                              <wps:cNvSpPr txBox="1"/>
                              <wps:spPr>
                                <a:xfrm>
                                  <a:off x="986790" y="1257935"/>
                                  <a:ext cx="720090" cy="2520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ABDC4C7">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生活用水</w:t>
                                    </w:r>
                                  </w:p>
                                </w:txbxContent>
                              </wps:txbx>
                              <wps:bodyPr upright="1"/>
                            </wps:wsp>
                            <wps:wsp>
                              <wps:cNvPr id="187" name="文本框 187"/>
                              <wps:cNvSpPr txBox="1"/>
                              <wps:spPr>
                                <a:xfrm>
                                  <a:off x="2172970" y="1257935"/>
                                  <a:ext cx="608965" cy="2520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3F34FF">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化粪池</w:t>
                                    </w:r>
                                  </w:p>
                                </w:txbxContent>
                              </wps:txbx>
                              <wps:bodyPr upright="1"/>
                            </wps:wsp>
                            <wps:wsp>
                              <wps:cNvPr id="188" name="文本框 188"/>
                              <wps:cNvSpPr txBox="1"/>
                              <wps:spPr>
                                <a:xfrm>
                                  <a:off x="4288790" y="1034415"/>
                                  <a:ext cx="766445" cy="691515"/>
                                </a:xfrm>
                                <a:prstGeom prst="rect">
                                  <a:avLst/>
                                </a:prstGeom>
                                <a:noFill/>
                                <a:ln>
                                  <a:noFill/>
                                </a:ln>
                              </wps:spPr>
                              <wps:txbx>
                                <w:txbxContent>
                                  <w:p w14:paraId="29812DDD">
                                    <w:pPr>
                                      <w:spacing w:line="276" w:lineRule="auto"/>
                                      <w:jc w:val="center"/>
                                      <w:rPr>
                                        <w:rFonts w:ascii="黑体" w:hAnsi="黑体" w:eastAsia="黑体"/>
                                        <w:sz w:val="18"/>
                                        <w:szCs w:val="18"/>
                                      </w:rPr>
                                    </w:pPr>
                                    <w:r>
                                      <w:rPr>
                                        <w:rFonts w:ascii="黑体" w:hAnsi="黑体" w:eastAsia="黑体"/>
                                        <w:sz w:val="18"/>
                                        <w:szCs w:val="18"/>
                                      </w:rPr>
                                      <w:t>淮南经济技术开发区</w:t>
                                    </w:r>
                                  </w:p>
                                  <w:p w14:paraId="48675F19">
                                    <w:pPr>
                                      <w:spacing w:line="276" w:lineRule="auto"/>
                                      <w:jc w:val="center"/>
                                      <w:rPr>
                                        <w:rFonts w:ascii="Times New Roman" w:hAnsi="Times New Roman" w:eastAsia="黑体"/>
                                        <w:sz w:val="18"/>
                                        <w:szCs w:val="18"/>
                                      </w:rPr>
                                    </w:pPr>
                                    <w:r>
                                      <w:rPr>
                                        <w:rFonts w:ascii="黑体" w:hAnsi="黑体" w:eastAsia="黑体"/>
                                        <w:sz w:val="18"/>
                                        <w:szCs w:val="18"/>
                                      </w:rPr>
                                      <w:t>污水处理厂</w:t>
                                    </w:r>
                                  </w:p>
                                </w:txbxContent>
                              </wps:txbx>
                              <wps:bodyPr lIns="0" tIns="0" rIns="0" bIns="0" anchor="ctr" anchorCtr="0" upright="1"/>
                            </wps:wsp>
                            <wps:wsp>
                              <wps:cNvPr id="189" name="直接箭头连接符 189"/>
                              <wps:cNvCnPr/>
                              <wps:spPr>
                                <a:xfrm>
                                  <a:off x="1706880" y="1387475"/>
                                  <a:ext cx="466090" cy="635"/>
                                </a:xfrm>
                                <a:prstGeom prst="straightConnector1">
                                  <a:avLst/>
                                </a:prstGeom>
                                <a:ln w="9525" cap="flat" cmpd="sng">
                                  <a:solidFill>
                                    <a:srgbClr val="000000"/>
                                  </a:solidFill>
                                  <a:prstDash val="solid"/>
                                  <a:headEnd type="none" w="med" len="med"/>
                                  <a:tailEnd type="triangle" w="sm" len="med"/>
                                </a:ln>
                              </wps:spPr>
                              <wps:bodyPr/>
                            </wps:wsp>
                            <wps:wsp>
                              <wps:cNvPr id="190" name="直接箭头连接符 190"/>
                              <wps:cNvCnPr/>
                              <wps:spPr>
                                <a:xfrm>
                                  <a:off x="2779395" y="1385570"/>
                                  <a:ext cx="484505" cy="635"/>
                                </a:xfrm>
                                <a:prstGeom prst="straightConnector1">
                                  <a:avLst/>
                                </a:prstGeom>
                                <a:ln w="9525" cap="flat" cmpd="sng">
                                  <a:solidFill>
                                    <a:srgbClr val="000000"/>
                                  </a:solidFill>
                                  <a:prstDash val="solid"/>
                                  <a:headEnd type="none" w="med" len="med"/>
                                  <a:tailEnd type="triangle" w="sm" len="med"/>
                                </a:ln>
                              </wps:spPr>
                              <wps:bodyPr/>
                            </wps:wsp>
                            <wps:wsp>
                              <wps:cNvPr id="191" name="文本框 191"/>
                              <wps:cNvSpPr txBox="1"/>
                              <wps:spPr>
                                <a:xfrm>
                                  <a:off x="1732280" y="1151890"/>
                                  <a:ext cx="393700" cy="252095"/>
                                </a:xfrm>
                                <a:prstGeom prst="rect">
                                  <a:avLst/>
                                </a:prstGeom>
                                <a:noFill/>
                                <a:ln>
                                  <a:noFill/>
                                </a:ln>
                              </wps:spPr>
                              <wps:txbx>
                                <w:txbxContent>
                                  <w:p w14:paraId="0E06D2E6">
                                    <w:pPr>
                                      <w:rPr>
                                        <w:rFonts w:ascii="Times New Roman" w:hAnsi="Times New Roman"/>
                                        <w:sz w:val="18"/>
                                        <w:szCs w:val="18"/>
                                      </w:rPr>
                                    </w:pPr>
                                    <w:r>
                                      <w:rPr>
                                        <w:rFonts w:hint="eastAsia" w:ascii="Times New Roman" w:hAnsi="Times New Roman"/>
                                        <w:sz w:val="18"/>
                                        <w:szCs w:val="18"/>
                                      </w:rPr>
                                      <w:t>1.44</w:t>
                                    </w:r>
                                  </w:p>
                                </w:txbxContent>
                              </wps:txbx>
                              <wps:bodyPr upright="1"/>
                            </wps:wsp>
                            <wps:wsp>
                              <wps:cNvPr id="192" name="文本框 192"/>
                              <wps:cNvSpPr txBox="1"/>
                              <wps:spPr>
                                <a:xfrm>
                                  <a:off x="2832100" y="1170940"/>
                                  <a:ext cx="422910" cy="252095"/>
                                </a:xfrm>
                                <a:prstGeom prst="rect">
                                  <a:avLst/>
                                </a:prstGeom>
                                <a:noFill/>
                                <a:ln>
                                  <a:noFill/>
                                </a:ln>
                              </wps:spPr>
                              <wps:txbx>
                                <w:txbxContent>
                                  <w:p w14:paraId="58D906C4">
                                    <w:pPr>
                                      <w:jc w:val="center"/>
                                      <w:rPr>
                                        <w:rFonts w:ascii="Times New Roman" w:hAnsi="Times New Roman"/>
                                        <w:sz w:val="18"/>
                                        <w:szCs w:val="18"/>
                                      </w:rPr>
                                    </w:pPr>
                                    <w:r>
                                      <w:rPr>
                                        <w:rFonts w:hint="eastAsia" w:ascii="Times New Roman" w:hAnsi="Times New Roman"/>
                                        <w:sz w:val="18"/>
                                        <w:szCs w:val="18"/>
                                      </w:rPr>
                                      <w:t>1.44</w:t>
                                    </w:r>
                                  </w:p>
                                </w:txbxContent>
                              </wps:txbx>
                              <wps:bodyPr upright="1"/>
                            </wps:wsp>
                            <wps:wsp>
                              <wps:cNvPr id="193" name="任意多边形 193"/>
                              <wps:cNvSpPr/>
                              <wps:spPr>
                                <a:xfrm>
                                  <a:off x="1314450" y="1043305"/>
                                  <a:ext cx="220345" cy="207010"/>
                                </a:xfrm>
                                <a:custGeom>
                                  <a:avLst/>
                                  <a:gdLst/>
                                  <a:ahLst/>
                                  <a:cxnLst/>
                                  <a:pathLst>
                                    <a:path w="463" h="414">
                                      <a:moveTo>
                                        <a:pt x="0" y="414"/>
                                      </a:moveTo>
                                      <a:cubicBezTo>
                                        <a:pt x="58" y="228"/>
                                        <a:pt x="117" y="43"/>
                                        <a:pt x="163" y="26"/>
                                      </a:cubicBezTo>
                                      <a:cubicBezTo>
                                        <a:pt x="209" y="9"/>
                                        <a:pt x="225" y="315"/>
                                        <a:pt x="275" y="311"/>
                                      </a:cubicBezTo>
                                      <a:cubicBezTo>
                                        <a:pt x="325" y="307"/>
                                        <a:pt x="394" y="153"/>
                                        <a:pt x="463" y="0"/>
                                      </a:cubicBezTo>
                                    </a:path>
                                  </a:pathLst>
                                </a:custGeom>
                                <a:noFill/>
                                <a:ln w="9525" cap="flat" cmpd="sng">
                                  <a:solidFill>
                                    <a:srgbClr val="000000"/>
                                  </a:solidFill>
                                  <a:prstDash val="dash"/>
                                  <a:headEnd type="none" w="med" len="med"/>
                                  <a:tailEnd type="triangle" w="sm" len="med"/>
                                </a:ln>
                              </wps:spPr>
                              <wps:bodyPr upright="1"/>
                            </wps:wsp>
                            <wps:wsp>
                              <wps:cNvPr id="194" name="直接箭头连接符 194"/>
                              <wps:cNvCnPr/>
                              <wps:spPr>
                                <a:xfrm>
                                  <a:off x="493395" y="1384935"/>
                                  <a:ext cx="493395" cy="635"/>
                                </a:xfrm>
                                <a:prstGeom prst="straightConnector1">
                                  <a:avLst/>
                                </a:prstGeom>
                                <a:ln w="9525" cap="flat" cmpd="sng">
                                  <a:solidFill>
                                    <a:srgbClr val="000000"/>
                                  </a:solidFill>
                                  <a:prstDash val="solid"/>
                                  <a:headEnd type="none" w="med" len="med"/>
                                  <a:tailEnd type="triangle" w="sm" len="med"/>
                                </a:ln>
                              </wps:spPr>
                              <wps:bodyPr/>
                            </wps:wsp>
                            <wps:wsp>
                              <wps:cNvPr id="195" name="文本框 195"/>
                              <wps:cNvSpPr txBox="1"/>
                              <wps:spPr>
                                <a:xfrm>
                                  <a:off x="1553210" y="869315"/>
                                  <a:ext cx="242570" cy="191770"/>
                                </a:xfrm>
                                <a:prstGeom prst="rect">
                                  <a:avLst/>
                                </a:prstGeom>
                                <a:noFill/>
                                <a:ln>
                                  <a:noFill/>
                                </a:ln>
                              </wps:spPr>
                              <wps:txbx>
                                <w:txbxContent>
                                  <w:p w14:paraId="1740E7B6">
                                    <w:pPr>
                                      <w:jc w:val="center"/>
                                      <w:rPr>
                                        <w:rFonts w:ascii="Times New Roman" w:hAnsi="Times New Roman"/>
                                        <w:sz w:val="18"/>
                                        <w:szCs w:val="18"/>
                                      </w:rPr>
                                    </w:pPr>
                                    <w:r>
                                      <w:rPr>
                                        <w:rFonts w:hint="eastAsia" w:ascii="Times New Roman" w:hAnsi="Times New Roman"/>
                                        <w:sz w:val="18"/>
                                        <w:szCs w:val="18"/>
                                      </w:rPr>
                                      <w:t>0.36</w:t>
                                    </w:r>
                                  </w:p>
                                </w:txbxContent>
                              </wps:txbx>
                              <wps:bodyPr lIns="0" tIns="0" rIns="0" bIns="0" anchor="ctr" anchorCtr="0" upright="1"/>
                            </wps:wsp>
                            <wps:wsp>
                              <wps:cNvPr id="196" name="直接箭头连接符 196"/>
                              <wps:cNvCnPr/>
                              <wps:spPr>
                                <a:xfrm>
                                  <a:off x="493395" y="738505"/>
                                  <a:ext cx="635" cy="1541145"/>
                                </a:xfrm>
                                <a:prstGeom prst="straightConnector1">
                                  <a:avLst/>
                                </a:prstGeom>
                                <a:ln w="9525" cap="flat" cmpd="sng">
                                  <a:solidFill>
                                    <a:srgbClr val="000000"/>
                                  </a:solidFill>
                                  <a:prstDash val="solid"/>
                                  <a:headEnd type="none" w="med" len="med"/>
                                  <a:tailEnd type="none" w="med" len="med"/>
                                </a:ln>
                              </wps:spPr>
                              <wps:bodyPr/>
                            </wps:wsp>
                            <wps:wsp>
                              <wps:cNvPr id="197" name="文本框 197"/>
                              <wps:cNvSpPr txBox="1"/>
                              <wps:spPr>
                                <a:xfrm>
                                  <a:off x="659130" y="1151890"/>
                                  <a:ext cx="242570" cy="191770"/>
                                </a:xfrm>
                                <a:prstGeom prst="rect">
                                  <a:avLst/>
                                </a:prstGeom>
                                <a:noFill/>
                                <a:ln>
                                  <a:noFill/>
                                </a:ln>
                              </wps:spPr>
                              <wps:txbx>
                                <w:txbxContent>
                                  <w:p w14:paraId="123926C2">
                                    <w:pPr>
                                      <w:jc w:val="center"/>
                                      <w:rPr>
                                        <w:rFonts w:ascii="Times New Roman" w:hAnsi="Times New Roman"/>
                                        <w:sz w:val="18"/>
                                        <w:szCs w:val="18"/>
                                      </w:rPr>
                                    </w:pPr>
                                    <w:r>
                                      <w:rPr>
                                        <w:rFonts w:hint="eastAsia" w:ascii="Times New Roman" w:hAnsi="Times New Roman"/>
                                        <w:sz w:val="18"/>
                                        <w:szCs w:val="18"/>
                                      </w:rPr>
                                      <w:t>1.8</w:t>
                                    </w:r>
                                  </w:p>
                                </w:txbxContent>
                              </wps:txbx>
                              <wps:bodyPr lIns="0" tIns="0" rIns="0" bIns="0" anchor="ctr" anchorCtr="0" upright="1"/>
                            </wps:wsp>
                            <wps:wsp>
                              <wps:cNvPr id="198" name="直接箭头连接符 198"/>
                              <wps:cNvCnPr/>
                              <wps:spPr>
                                <a:xfrm>
                                  <a:off x="499110" y="2292350"/>
                                  <a:ext cx="493395" cy="635"/>
                                </a:xfrm>
                                <a:prstGeom prst="straightConnector1">
                                  <a:avLst/>
                                </a:prstGeom>
                                <a:ln w="9525" cap="flat" cmpd="sng">
                                  <a:solidFill>
                                    <a:srgbClr val="000000"/>
                                  </a:solidFill>
                                  <a:prstDash val="solid"/>
                                  <a:headEnd type="none" w="med" len="med"/>
                                  <a:tailEnd type="triangle" w="sm" len="med"/>
                                </a:ln>
                              </wps:spPr>
                              <wps:bodyPr/>
                            </wps:wsp>
                            <wps:wsp>
                              <wps:cNvPr id="199" name="文本框 199"/>
                              <wps:cNvSpPr txBox="1"/>
                              <wps:spPr>
                                <a:xfrm>
                                  <a:off x="992505" y="2165350"/>
                                  <a:ext cx="739775" cy="2520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45F3678">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绿化用水</w:t>
                                    </w:r>
                                  </w:p>
                                </w:txbxContent>
                              </wps:txbx>
                              <wps:bodyPr upright="1"/>
                            </wps:wsp>
                            <wps:wsp>
                              <wps:cNvPr id="200" name="文本框 200"/>
                              <wps:cNvSpPr txBox="1"/>
                              <wps:spPr>
                                <a:xfrm>
                                  <a:off x="511810" y="2040890"/>
                                  <a:ext cx="460375" cy="252095"/>
                                </a:xfrm>
                                <a:prstGeom prst="rect">
                                  <a:avLst/>
                                </a:prstGeom>
                                <a:noFill/>
                                <a:ln>
                                  <a:noFill/>
                                </a:ln>
                              </wps:spPr>
                              <wps:txbx>
                                <w:txbxContent>
                                  <w:p w14:paraId="00DFE47A">
                                    <w:pPr>
                                      <w:jc w:val="center"/>
                                      <w:rPr>
                                        <w:rFonts w:ascii="Times New Roman" w:hAnsi="Times New Roman"/>
                                        <w:sz w:val="18"/>
                                        <w:szCs w:val="18"/>
                                      </w:rPr>
                                    </w:pPr>
                                    <w:r>
                                      <w:rPr>
                                        <w:rFonts w:hint="eastAsia" w:ascii="Times New Roman" w:hAnsi="Times New Roman"/>
                                        <w:sz w:val="18"/>
                                        <w:szCs w:val="18"/>
                                      </w:rPr>
                                      <w:t>2.5</w:t>
                                    </w:r>
                                  </w:p>
                                </w:txbxContent>
                              </wps:txbx>
                              <wps:bodyPr upright="1"/>
                            </wps:wsp>
                            <wps:wsp>
                              <wps:cNvPr id="201" name="任意多边形 201"/>
                              <wps:cNvSpPr/>
                              <wps:spPr>
                                <a:xfrm>
                                  <a:off x="1388745" y="1958340"/>
                                  <a:ext cx="220345" cy="207010"/>
                                </a:xfrm>
                                <a:custGeom>
                                  <a:avLst/>
                                  <a:gdLst/>
                                  <a:ahLst/>
                                  <a:cxnLst/>
                                  <a:pathLst>
                                    <a:path w="463" h="414">
                                      <a:moveTo>
                                        <a:pt x="0" y="414"/>
                                      </a:moveTo>
                                      <a:cubicBezTo>
                                        <a:pt x="58" y="228"/>
                                        <a:pt x="117" y="43"/>
                                        <a:pt x="163" y="26"/>
                                      </a:cubicBezTo>
                                      <a:cubicBezTo>
                                        <a:pt x="209" y="9"/>
                                        <a:pt x="225" y="315"/>
                                        <a:pt x="275" y="311"/>
                                      </a:cubicBezTo>
                                      <a:cubicBezTo>
                                        <a:pt x="325" y="307"/>
                                        <a:pt x="394" y="153"/>
                                        <a:pt x="463" y="0"/>
                                      </a:cubicBezTo>
                                    </a:path>
                                  </a:pathLst>
                                </a:custGeom>
                                <a:noFill/>
                                <a:ln w="9525" cap="flat" cmpd="sng">
                                  <a:solidFill>
                                    <a:srgbClr val="000000"/>
                                  </a:solidFill>
                                  <a:prstDash val="dash"/>
                                  <a:headEnd type="none" w="med" len="med"/>
                                  <a:tailEnd type="triangle" w="sm" len="med"/>
                                </a:ln>
                              </wps:spPr>
                              <wps:bodyPr upright="1"/>
                            </wps:wsp>
                            <wps:wsp>
                              <wps:cNvPr id="202" name="文本框 202"/>
                              <wps:cNvSpPr txBox="1"/>
                              <wps:spPr>
                                <a:xfrm>
                                  <a:off x="1609090" y="1849120"/>
                                  <a:ext cx="242570" cy="191770"/>
                                </a:xfrm>
                                <a:prstGeom prst="rect">
                                  <a:avLst/>
                                </a:prstGeom>
                                <a:noFill/>
                                <a:ln>
                                  <a:noFill/>
                                </a:ln>
                              </wps:spPr>
                              <wps:txbx>
                                <w:txbxContent>
                                  <w:p w14:paraId="1F94EDE5">
                                    <w:pPr>
                                      <w:jc w:val="center"/>
                                      <w:rPr>
                                        <w:rFonts w:ascii="Times New Roman" w:hAnsi="Times New Roman"/>
                                      </w:rPr>
                                    </w:pPr>
                                    <w:r>
                                      <w:rPr>
                                        <w:rFonts w:ascii="Times New Roman" w:hAnsi="Times New Roman"/>
                                      </w:rPr>
                                      <w:t>2.5</w:t>
                                    </w:r>
                                  </w:p>
                                </w:txbxContent>
                              </wps:txbx>
                              <wps:bodyPr lIns="0" tIns="0" rIns="0" bIns="0" anchor="ctr" anchorCtr="0" upright="1"/>
                            </wps:wsp>
                            <wps:wsp>
                              <wps:cNvPr id="203" name="文本框 203"/>
                              <wps:cNvSpPr txBox="1"/>
                              <wps:spPr>
                                <a:xfrm>
                                  <a:off x="3274060" y="1259205"/>
                                  <a:ext cx="586105" cy="2520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42D6893">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总排口</w:t>
                                    </w:r>
                                  </w:p>
                                </w:txbxContent>
                              </wps:txbx>
                              <wps:bodyPr upright="1"/>
                            </wps:wsp>
                            <wps:wsp>
                              <wps:cNvPr id="204" name="直接箭头连接符 204"/>
                              <wps:cNvCnPr/>
                              <wps:spPr>
                                <a:xfrm flipV="1">
                                  <a:off x="3860165" y="1380490"/>
                                  <a:ext cx="419735" cy="7620"/>
                                </a:xfrm>
                                <a:prstGeom prst="straightConnector1">
                                  <a:avLst/>
                                </a:prstGeom>
                                <a:ln w="9525" cap="flat" cmpd="sng">
                                  <a:solidFill>
                                    <a:srgbClr val="000000"/>
                                  </a:solidFill>
                                  <a:prstDash val="solid"/>
                                  <a:headEnd type="none" w="med" len="med"/>
                                  <a:tailEnd type="triangle" w="sm" len="med"/>
                                </a:ln>
                              </wps:spPr>
                              <wps:bodyPr/>
                            </wps:wsp>
                          </wpc:wpc>
                        </a:graphicData>
                      </a:graphic>
                    </wp:anchor>
                  </w:drawing>
                </mc:Choice>
                <mc:Fallback>
                  <w:pict>
                    <v:group id="_x0000_s1026" o:spid="_x0000_s1026" o:spt="203" style="position:absolute;left:0pt;margin-left:0pt;margin-top:2.5pt;height:219.5pt;width:401.7pt;z-index:251660288;mso-width-relative:page;mso-height-relative:page;" coordsize="5101590,2787650" editas="canvas" o:gfxdata="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BoRJvR1wAAAAYBAAAPAAAAAAAAAAEAIAAAACIAAABkcnMvZG93bnJldi54&#10;bWxQSwECFAAUAAAACACHTuJAZJZBleEGAADjLQAADgAAAAAAAAABACAAAAAmAQAAZHJzL2Uyb0Rv&#10;Yy54bWxQSwUGAAAAAAYABgBZAQAAeQoAAAAA&#10;">
                      <o:lock v:ext="edit" aspectratio="f"/>
                      <v:shape id="_x0000_s1026" o:spid="_x0000_s1026" style="position:absolute;left:0;top:0;height:2787650;width:5101590;" filled="f" stroked="f" coordsize="21600,21600" o:gfxdata="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">
                        <v:fill on="f" focussize="0,0"/>
                        <v:stroke on="f"/>
                        <v:imagedata o:title=""/>
                        <o:lock v:ext="edit" aspectratio="t"/>
                      </v:shape>
                      <v:shape id="_x0000_s1026" o:spid="_x0000_s1026" o:spt="202" type="#_x0000_t202" style="position:absolute;left:216535;top:247650;height:490855;width:592455;" filled="f" stroked="f" coordsize="21600,21600" o:gfxdata="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ST&#10;5XjTAAAABgEAAA8AAAAAAAAAAQAgAAAAIgAAAGRycy9kb3ducmV2LnhtbFBLAQIUABQAAAAIAIdO&#10;4kBi21pbtgEAAFsDAAAOAAAAAAAAAAEAIAAAACIBAABkcnMvZTJvRG9jLnhtbFBLBQYAAAAABgAG&#10;AFkBAABKBQAAAAA=&#10;">
                        <v:fill on="f" focussize="0,0"/>
                        <v:stroke on="f"/>
                        <v:imagedata o:title=""/>
                        <o:lock v:ext="edit" aspectratio="f"/>
                        <v:textbox>
                          <w:txbxContent>
                            <w:p w14:paraId="038D59C3">
                              <w:pPr>
                                <w:jc w:val="center"/>
                                <w:rPr>
                                  <w:rFonts w:ascii="Times New Roman" w:hAnsi="Times New Roman" w:eastAsia="黑体"/>
                                  <w:sz w:val="18"/>
                                  <w:szCs w:val="18"/>
                                </w:rPr>
                              </w:pPr>
                              <w:r>
                                <w:rPr>
                                  <w:rFonts w:hint="eastAsia" w:ascii="Times New Roman" w:hAnsi="黑体" w:eastAsia="黑体"/>
                                  <w:sz w:val="18"/>
                                  <w:szCs w:val="18"/>
                                </w:rPr>
                                <w:t>新鲜水</w:t>
                              </w:r>
                            </w:p>
                            <w:p w14:paraId="26652A73">
                              <w:pPr>
                                <w:jc w:val="center"/>
                                <w:rPr>
                                  <w:rFonts w:ascii="Times New Roman" w:hAnsi="Times New Roman" w:eastAsia="黑体"/>
                                  <w:sz w:val="18"/>
                                  <w:szCs w:val="18"/>
                                  <w:lang w:eastAsia="en-US"/>
                                </w:rPr>
                              </w:pPr>
                              <w:r>
                                <w:rPr>
                                  <w:rFonts w:hint="eastAsia" w:ascii="Times New Roman" w:hAnsi="Times New Roman" w:eastAsia="黑体"/>
                                  <w:sz w:val="18"/>
                                  <w:szCs w:val="18"/>
                                </w:rPr>
                                <w:t>4.3</w:t>
                              </w:r>
                            </w:p>
                          </w:txbxContent>
                        </v:textbox>
                      </v:shape>
                      <v:shape id="_x0000_s1026" o:spid="_x0000_s1026" o:spt="202" type="#_x0000_t202" style="position:absolute;left:986790;top:1257935;height:252095;width:720090;" fillcolor="#FFFFFF" filled="t" stroked="t" coordsize="21600,21600" o:gfxdata="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hLTAq1gAAAAYBAAAPAAAAAAAA&#10;AAEAIAAAACIAAABkcnMvZG93bnJldi54bWxQSwECFAAUAAAACACHTuJAk9Ax5BQCAABEBAAADgAA&#10;AAAAAAABACAAAAAlAQAAZHJzL2Uyb0RvYy54bWxQSwUGAAAAAAYABgBZAQAAqwUAAAAA&#10;">
                        <v:fill on="t" focussize="0,0"/>
                        <v:stroke color="#000000" joinstyle="miter"/>
                        <v:imagedata o:title=""/>
                        <o:lock v:ext="edit" aspectratio="f"/>
                        <v:textbox>
                          <w:txbxContent>
                            <w:p w14:paraId="3ABDC4C7">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生活用水</w:t>
                              </w:r>
                            </w:p>
                          </w:txbxContent>
                        </v:textbox>
                      </v:shape>
                      <v:shape id="_x0000_s1026" o:spid="_x0000_s1026" o:spt="202" type="#_x0000_t202" style="position:absolute;left:2172970;top:1257935;height:252095;width:608965;" fillcolor="#FFFFFF" filled="t" stroked="t" coordsize="21600,21600" o:gfxdata="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hLTAq1gAAAAYBAAAPAAAA&#10;AAAAAAEAIAAAACIAAABkcnMvZG93bnJldi54bWxQSwECFAAUAAAACACHTuJAd9q3wxcCAABFBAAA&#10;DgAAAAAAAAABACAAAAAlAQAAZHJzL2Uyb0RvYy54bWxQSwUGAAAAAAYABgBZAQAArgUAAAAA&#10;">
                        <v:fill on="t" focussize="0,0"/>
                        <v:stroke color="#000000" joinstyle="miter"/>
                        <v:imagedata o:title=""/>
                        <o:lock v:ext="edit" aspectratio="f"/>
                        <v:textbox>
                          <w:txbxContent>
                            <w:p w14:paraId="383F34FF">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化粪池</w:t>
                              </w:r>
                            </w:p>
                          </w:txbxContent>
                        </v:textbox>
                      </v:shape>
                      <v:shape id="_x0000_s1026" o:spid="_x0000_s1026" o:spt="202" type="#_x0000_t202" style="position:absolute;left:4288790;top:1034415;height:691515;width:766445;v-text-anchor:middle;" filled="f" stroked="f" coordsize="21600,21600" o:gfxdata="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gTytrWAAAABgEAAA8AAAAAAAAAAQAg&#10;AAAAIgAAAGRycy9kb3ducmV2LnhtbFBLAQIUABQAAAAIAIdO4kC8Akow1wEAAJwDAAAOAAAAAAAA&#10;AAEAIAAAACUBAABkcnMvZTJvRG9jLnhtbFBLBQYAAAAABgAGAFkBAABuBQAAAAA=&#10;">
                        <v:fill on="f" focussize="0,0"/>
                        <v:stroke on="f"/>
                        <v:imagedata o:title=""/>
                        <o:lock v:ext="edit" aspectratio="f"/>
                        <v:textbox inset="0mm,0mm,0mm,0mm">
                          <w:txbxContent>
                            <w:p w14:paraId="29812DDD">
                              <w:pPr>
                                <w:spacing w:line="276" w:lineRule="auto"/>
                                <w:jc w:val="center"/>
                                <w:rPr>
                                  <w:rFonts w:ascii="黑体" w:hAnsi="黑体" w:eastAsia="黑体"/>
                                  <w:sz w:val="18"/>
                                  <w:szCs w:val="18"/>
                                </w:rPr>
                              </w:pPr>
                              <w:r>
                                <w:rPr>
                                  <w:rFonts w:ascii="黑体" w:hAnsi="黑体" w:eastAsia="黑体"/>
                                  <w:sz w:val="18"/>
                                  <w:szCs w:val="18"/>
                                </w:rPr>
                                <w:t>淮南经济技术开发区</w:t>
                              </w:r>
                            </w:p>
                            <w:p w14:paraId="48675F19">
                              <w:pPr>
                                <w:spacing w:line="276" w:lineRule="auto"/>
                                <w:jc w:val="center"/>
                                <w:rPr>
                                  <w:rFonts w:ascii="Times New Roman" w:hAnsi="Times New Roman" w:eastAsia="黑体"/>
                                  <w:sz w:val="18"/>
                                  <w:szCs w:val="18"/>
                                </w:rPr>
                              </w:pPr>
                              <w:r>
                                <w:rPr>
                                  <w:rFonts w:ascii="黑体" w:hAnsi="黑体" w:eastAsia="黑体"/>
                                  <w:sz w:val="18"/>
                                  <w:szCs w:val="18"/>
                                </w:rPr>
                                <w:t>污水处理厂</w:t>
                              </w:r>
                            </w:p>
                          </w:txbxContent>
                        </v:textbox>
                      </v:shape>
                      <v:shape id="_x0000_s1026" o:spid="_x0000_s1026" o:spt="32" type="#_x0000_t32" style="position:absolute;left:1706880;top:1387475;height:635;width:466090;" filled="f" stroked="t" coordsize="21600,21600" o:gfxdata="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74OUDXAAAABgEAAA8A&#10;AAAAAAAAAQAgAAAAIgAAAGRycy9kb3ducmV2LnhtbFBLAQIUABQAAAAIAIdO4kChU3L2GAIAAAAE&#10;AAAOAAAAAAAAAAEAIAAAACYBAABkcnMvZTJvRG9jLnhtbFBLBQYAAAAABgAGAFkBAACwBQAAAAA=&#10;">
                        <v:fill on="f" focussize="0,0"/>
                        <v:stroke color="#000000" joinstyle="round" endarrow="block" endarrowwidth="narrow"/>
                        <v:imagedata o:title=""/>
                        <o:lock v:ext="edit" aspectratio="f"/>
                      </v:shape>
                      <v:shape id="_x0000_s1026" o:spid="_x0000_s1026" o:spt="32" type="#_x0000_t32" style="position:absolute;left:2779395;top:1385570;height:635;width:484505;" filled="f" stroked="t" coordsize="21600,21600" o:gfxdata="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74OUDXAAAABgEAAA8AAAAA&#10;AAAAAQAgAAAAIgAAAGRycy9kb3ducmV2LnhtbFBLAQIUABQAAAAIAIdO4kDQw8ZeFQIAAAAEAAAO&#10;AAAAAAAAAAEAIAAAACYBAABkcnMvZTJvRG9jLnhtbFBLBQYAAAAABgAGAFkBAACtBQAAAAA=&#10;">
                        <v:fill on="f" focussize="0,0"/>
                        <v:stroke color="#000000" joinstyle="round" endarrow="block" endarrowwidth="narrow"/>
                        <v:imagedata o:title=""/>
                        <o:lock v:ext="edit" aspectratio="f"/>
                      </v:shape>
                      <v:shape id="_x0000_s1026" o:spid="_x0000_s1026" o:spt="202" type="#_x0000_t202" style="position:absolute;left:1732280;top:1151890;height:252095;width:393700;" filled="f" stroked="f" coordsize="21600,21600" o:gfxdata="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OST&#10;5XjTAAAABgEAAA8AAAAAAAAAAQAgAAAAIgAAAGRycy9kb3ducmV2LnhtbFBLAQIUABQAAAAIAIdO&#10;4kCfe7TstgEAAF0DAAAOAAAAAAAAAAEAIAAAACIBAABkcnMvZTJvRG9jLnhtbFBLBQYAAAAABgAG&#10;AFkBAABKBQAAAAA=&#10;">
                        <v:fill on="f" focussize="0,0"/>
                        <v:stroke on="f"/>
                        <v:imagedata o:title=""/>
                        <o:lock v:ext="edit" aspectratio="f"/>
                        <v:textbox>
                          <w:txbxContent>
                            <w:p w14:paraId="0E06D2E6">
                              <w:pPr>
                                <w:rPr>
                                  <w:rFonts w:ascii="Times New Roman" w:hAnsi="Times New Roman"/>
                                  <w:sz w:val="18"/>
                                  <w:szCs w:val="18"/>
                                </w:rPr>
                              </w:pPr>
                              <w:r>
                                <w:rPr>
                                  <w:rFonts w:hint="eastAsia" w:ascii="Times New Roman" w:hAnsi="Times New Roman"/>
                                  <w:sz w:val="18"/>
                                  <w:szCs w:val="18"/>
                                </w:rPr>
                                <w:t>1.44</w:t>
                              </w:r>
                            </w:p>
                          </w:txbxContent>
                        </v:textbox>
                      </v:shape>
                      <v:shape id="_x0000_s1026" o:spid="_x0000_s1026" o:spt="202" type="#_x0000_t202" style="position:absolute;left:2832100;top:1170940;height:252095;width:422910;" filled="f" stroked="f" coordsize="21600,21600" o:gfxdata="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5JPleNMAAAAGAQAADwAAAAAAAAABACAAAAAiAAAAZHJzL2Rvd25yZXYueG1sUEsBAhQAFAAAAAgA&#10;h07iQFEaOUC4AQAAXQMAAA4AAAAAAAAAAQAgAAAAIgEAAGRycy9lMm9Eb2MueG1sUEsFBgAAAAAG&#10;AAYAWQEAAEwFAAAAAA==&#10;">
                        <v:fill on="f" focussize="0,0"/>
                        <v:stroke on="f"/>
                        <v:imagedata o:title=""/>
                        <o:lock v:ext="edit" aspectratio="f"/>
                        <v:textbox>
                          <w:txbxContent>
                            <w:p w14:paraId="58D906C4">
                              <w:pPr>
                                <w:jc w:val="center"/>
                                <w:rPr>
                                  <w:rFonts w:ascii="Times New Roman" w:hAnsi="Times New Roman"/>
                                  <w:sz w:val="18"/>
                                  <w:szCs w:val="18"/>
                                </w:rPr>
                              </w:pPr>
                              <w:r>
                                <w:rPr>
                                  <w:rFonts w:hint="eastAsia" w:ascii="Times New Roman" w:hAnsi="Times New Roman"/>
                                  <w:sz w:val="18"/>
                                  <w:szCs w:val="18"/>
                                </w:rPr>
                                <w:t>1.44</w:t>
                              </w:r>
                            </w:p>
                          </w:txbxContent>
                        </v:textbox>
                      </v:shape>
                      <v:shape id="_x0000_s1026" o:spid="_x0000_s1026" o:spt="100" style="position:absolute;left:1314450;top:1043305;height:207010;width:220345;" filled="f" stroked="t" coordsize="463,414" o:gfxdata="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WDFsi9YAAAAGAQAADwAAAAAAAAABACAAAAAiAAAAZHJzL2Rvd25yZXYueG1sUEsBAhQAFAAA&#10;AAgAh07iQN7kdFucAgAAmQUAAA4AAAAAAAAAAQAgAAAAJQEAAGRycy9lMm9Eb2MueG1sUEsFBgAA&#10;AAAGAAYAWQEAADMGAAAAAA==&#10;" path="m0,414c58,228,117,43,163,26c209,9,225,315,275,311c325,307,394,153,463,0e">
                        <v:fill on="f" focussize="0,0"/>
                        <v:stroke color="#000000" joinstyle="round" dashstyle="dash" endarrow="block" endarrowwidth="narrow"/>
                        <v:imagedata o:title=""/>
                        <o:lock v:ext="edit" aspectratio="f"/>
                      </v:shape>
                      <v:shape id="_x0000_s1026" o:spid="_x0000_s1026" o:spt="32" type="#_x0000_t32" style="position:absolute;left:493395;top:1384935;height:635;width:493395;" filled="f" stroked="t" coordsize="21600,21600" o:gfxdata="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vg5QNcAAAAGAQAADwAAAAAAAAAB&#10;ACAAAAAiAAAAZHJzL2Rvd25yZXYueG1sUEsBAhQAFAAAAAgAh07iQOT2qBsRAgAA/wMAAA4AAAAA&#10;AAAAAQAgAAAAJgEAAGRycy9lMm9Eb2MueG1sUEsFBgAAAAAGAAYAWQEAAKkFAAAAAA==&#10;">
                        <v:fill on="f" focussize="0,0"/>
                        <v:stroke color="#000000" joinstyle="round" endarrow="block" endarrowwidth="narrow"/>
                        <v:imagedata o:title=""/>
                        <o:lock v:ext="edit" aspectratio="f"/>
                      </v:shape>
                      <v:shape id="_x0000_s1026" o:spid="_x0000_s1026" o:spt="202" type="#_x0000_t202" style="position:absolute;left:1553210;top:869315;height:191770;width:242570;v-text-anchor:middle;" filled="f" stroked="f" coordsize="21600,21600" o:gfxdata="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PgTytrWAAAABgEAAA8AAAAAAAAAAQAgAAAA&#10;IgAAAGRycy9kb3ducmV2LnhtbFBLAQIUABQAAAAIAIdO4kDF65cB1AEAAJsDAAAOAAAAAAAAAAEA&#10;IAAAACUBAABkcnMvZTJvRG9jLnhtbFBLBQYAAAAABgAGAFkBAABrBQAAAAA=&#10;">
                        <v:fill on="f" focussize="0,0"/>
                        <v:stroke on="f"/>
                        <v:imagedata o:title=""/>
                        <o:lock v:ext="edit" aspectratio="f"/>
                        <v:textbox inset="0mm,0mm,0mm,0mm">
                          <w:txbxContent>
                            <w:p w14:paraId="1740E7B6">
                              <w:pPr>
                                <w:jc w:val="center"/>
                                <w:rPr>
                                  <w:rFonts w:ascii="Times New Roman" w:hAnsi="Times New Roman"/>
                                  <w:sz w:val="18"/>
                                  <w:szCs w:val="18"/>
                                </w:rPr>
                              </w:pPr>
                              <w:r>
                                <w:rPr>
                                  <w:rFonts w:hint="eastAsia" w:ascii="Times New Roman" w:hAnsi="Times New Roman"/>
                                  <w:sz w:val="18"/>
                                  <w:szCs w:val="18"/>
                                </w:rPr>
                                <w:t>0.36</w:t>
                              </w:r>
                            </w:p>
                          </w:txbxContent>
                        </v:textbox>
                      </v:shape>
                      <v:shape id="_x0000_s1026" o:spid="_x0000_s1026" o:spt="32" type="#_x0000_t32" style="position:absolute;left:493395;top:738505;height:1541145;width:635;" filled="f" stroked="t" coordsize="21600,21600" o:gfxdata="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uFVz1QAAAAYBAAAPAAAAAAAAAAEAIAAA&#10;ACIAAABkcnMvZG93bnJldi54bWxQSwECFAAUAAAACACHTuJAakvgTQ8CAAD8AwAADgAAAAAAAAAB&#10;ACAAAAAkAQAAZHJzL2Uyb0RvYy54bWxQSwUGAAAAAAYABgBZAQAApQUAAAAA&#10;">
                        <v:fill on="f" focussize="0,0"/>
                        <v:stroke color="#000000" joinstyle="round"/>
                        <v:imagedata o:title=""/>
                        <o:lock v:ext="edit" aspectratio="f"/>
                      </v:shape>
                      <v:shape id="_x0000_s1026" o:spid="_x0000_s1026" o:spt="202" type="#_x0000_t202" style="position:absolute;left:659130;top:1151890;height:191770;width:242570;v-text-anchor:middle;" filled="f" stroked="f" coordsize="21600,21600" o:gfxdata="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4E8ra1gAAAAYBAAAPAAAAAAAAAAEAIAAAACIA&#10;AABkcnMvZG93bnJldi54bWxQSwECFAAUAAAACACHTuJANZaEyNIBAACbAwAADgAAAAAAAAABACAA&#10;AAAlAQAAZHJzL2Uyb0RvYy54bWxQSwUGAAAAAAYABgBZAQAAaQUAAAAA&#10;">
                        <v:fill on="f" focussize="0,0"/>
                        <v:stroke on="f"/>
                        <v:imagedata o:title=""/>
                        <o:lock v:ext="edit" aspectratio="f"/>
                        <v:textbox inset="0mm,0mm,0mm,0mm">
                          <w:txbxContent>
                            <w:p w14:paraId="123926C2">
                              <w:pPr>
                                <w:jc w:val="center"/>
                                <w:rPr>
                                  <w:rFonts w:ascii="Times New Roman" w:hAnsi="Times New Roman"/>
                                  <w:sz w:val="18"/>
                                  <w:szCs w:val="18"/>
                                </w:rPr>
                              </w:pPr>
                              <w:r>
                                <w:rPr>
                                  <w:rFonts w:hint="eastAsia" w:ascii="Times New Roman" w:hAnsi="Times New Roman"/>
                                  <w:sz w:val="18"/>
                                  <w:szCs w:val="18"/>
                                </w:rPr>
                                <w:t>1.8</w:t>
                              </w:r>
                            </w:p>
                          </w:txbxContent>
                        </v:textbox>
                      </v:shape>
                      <v:shape id="_x0000_s1026" o:spid="_x0000_s1026" o:spt="32" type="#_x0000_t32" style="position:absolute;left:499110;top:2292350;height:635;width:493395;" filled="f" stroked="t" coordsize="21600,21600" o:gfxdata="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O+DlA1wAAAAYBAAAPAAAAAAAA&#10;AAEAIAAAACIAAABkcnMvZG93bnJldi54bWxQSwECFAAUAAAACACHTuJAdoISjxMCAAD/AwAADgAA&#10;AAAAAAABACAAAAAmAQAAZHJzL2Uyb0RvYy54bWxQSwUGAAAAAAYABgBZAQAAqwUAAAAA&#10;">
                        <v:fill on="f" focussize="0,0"/>
                        <v:stroke color="#000000" joinstyle="round" endarrow="block" endarrowwidth="narrow"/>
                        <v:imagedata o:title=""/>
                        <o:lock v:ext="edit" aspectratio="f"/>
                      </v:shape>
                      <v:shape id="_x0000_s1026" o:spid="_x0000_s1026" o:spt="202" type="#_x0000_t202" style="position:absolute;left:992505;top:2165350;height:252095;width:739775;" fillcolor="#FFFFFF" filled="t" stroked="t" coordsize="21600,21600" o:gfxdata="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EtMCrWAAAABgEAAA8AAAAAAAAA&#10;AQAgAAAAIgAAAGRycy9kb3ducmV2LnhtbFBLAQIUABQAAAAIAIdO4kAX9B0CEwIAAEQEAAAOAAAA&#10;AAAAAAEAIAAAACUBAABkcnMvZTJvRG9jLnhtbFBLBQYAAAAABgAGAFkBAACqBQAAAAA=&#10;">
                        <v:fill on="t" focussize="0,0"/>
                        <v:stroke color="#000000" joinstyle="miter"/>
                        <v:imagedata o:title=""/>
                        <o:lock v:ext="edit" aspectratio="f"/>
                        <v:textbox>
                          <w:txbxContent>
                            <w:p w14:paraId="445F3678">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绿化用水</w:t>
                              </w:r>
                            </w:p>
                          </w:txbxContent>
                        </v:textbox>
                      </v:shape>
                      <v:shape id="_x0000_s1026" o:spid="_x0000_s1026" o:spt="202" type="#_x0000_t202" style="position:absolute;left:511810;top:2040890;height:252095;width:460375;" filled="f" stroked="f" coordsize="21600,21600" o:gfxdata="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k&#10;k+V40wAAAAYBAAAPAAAAAAAAAAEAIAAAACIAAABkcnMvZG93bnJldi54bWxQSwECFAAUAAAACACH&#10;TuJAV4KQnbcBAABcAwAADgAAAAAAAAABACAAAAAiAQAAZHJzL2Uyb0RvYy54bWxQSwUGAAAAAAYA&#10;BgBZAQAASwUAAAAA&#10;">
                        <v:fill on="f" focussize="0,0"/>
                        <v:stroke on="f"/>
                        <v:imagedata o:title=""/>
                        <o:lock v:ext="edit" aspectratio="f"/>
                        <v:textbox>
                          <w:txbxContent>
                            <w:p w14:paraId="00DFE47A">
                              <w:pPr>
                                <w:jc w:val="center"/>
                                <w:rPr>
                                  <w:rFonts w:ascii="Times New Roman" w:hAnsi="Times New Roman"/>
                                  <w:sz w:val="18"/>
                                  <w:szCs w:val="18"/>
                                </w:rPr>
                              </w:pPr>
                              <w:r>
                                <w:rPr>
                                  <w:rFonts w:hint="eastAsia" w:ascii="Times New Roman" w:hAnsi="Times New Roman"/>
                                  <w:sz w:val="18"/>
                                  <w:szCs w:val="18"/>
                                </w:rPr>
                                <w:t>2.5</w:t>
                              </w:r>
                            </w:p>
                          </w:txbxContent>
                        </v:textbox>
                      </v:shape>
                      <v:shape id="_x0000_s1026" o:spid="_x0000_s1026" o:spt="100" style="position:absolute;left:1388745;top:1958340;height:207010;width:220345;" filled="f" stroked="t" coordsize="463,414" o:gfxdata="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WDFsi9YAAAAGAQAADwAAAAAAAAABACAAAAAiAAAAZHJzL2Rvd25yZXYueG1sUEsBAhQA&#10;FAAAAAgAh07iQDhsnjCfAgAAmQUAAA4AAAAAAAAAAQAgAAAAJQEAAGRycy9lMm9Eb2MueG1sUEsF&#10;BgAAAAAGAAYAWQEAADYGAAAAAA==&#10;" path="m0,414c58,228,117,43,163,26c209,9,225,315,275,311c325,307,394,153,463,0e">
                        <v:fill on="f" focussize="0,0"/>
                        <v:stroke color="#000000" joinstyle="round" dashstyle="dash" endarrow="block" endarrowwidth="narrow"/>
                        <v:imagedata o:title=""/>
                        <o:lock v:ext="edit" aspectratio="f"/>
                      </v:shape>
                      <v:shape id="_x0000_s1026" o:spid="_x0000_s1026" o:spt="202" type="#_x0000_t202" style="position:absolute;left:1609090;top:1849120;height:191770;width:242570;v-text-anchor:middle;" filled="f" stroked="f" coordsize="21600,21600" o:gfxdata="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PK2tYAAAAGAQAADwAAAAAAAAABACAAAAAi&#10;AAAAZHJzL2Rvd25yZXYueG1sUEsBAhQAFAAAAAgAh07iQGBE2l3TAQAAnAMAAA4AAAAAAAAAAQAg&#10;AAAAJQEAAGRycy9lMm9Eb2MueG1sUEsFBgAAAAAGAAYAWQEAAGoFAAAAAA==&#10;">
                        <v:fill on="f" focussize="0,0"/>
                        <v:stroke on="f"/>
                        <v:imagedata o:title=""/>
                        <o:lock v:ext="edit" aspectratio="f"/>
                        <v:textbox inset="0mm,0mm,0mm,0mm">
                          <w:txbxContent>
                            <w:p w14:paraId="1F94EDE5">
                              <w:pPr>
                                <w:jc w:val="center"/>
                                <w:rPr>
                                  <w:rFonts w:ascii="Times New Roman" w:hAnsi="Times New Roman"/>
                                </w:rPr>
                              </w:pPr>
                              <w:r>
                                <w:rPr>
                                  <w:rFonts w:ascii="Times New Roman" w:hAnsi="Times New Roman"/>
                                </w:rPr>
                                <w:t>2.5</w:t>
                              </w:r>
                            </w:p>
                          </w:txbxContent>
                        </v:textbox>
                      </v:shape>
                      <v:shape id="_x0000_s1026" o:spid="_x0000_s1026" o:spt="202" type="#_x0000_t202" style="position:absolute;left:3274060;top:1259205;height:252095;width:586105;" fillcolor="#FFFFFF" filled="t" stroked="t" coordsize="21600,21600" o:gfxdata="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4S0wKtYAAAAGAQAADwAA&#10;AAAAAAABACAAAAAiAAAAZHJzL2Rvd25yZXYueG1sUEsBAhQAFAAAAAgAh07iQJBLpZkYAgAARQQA&#10;AA4AAAAAAAAAAQAgAAAAJQEAAGRycy9lMm9Eb2MueG1sUEsFBgAAAAAGAAYAWQEAAK8FAAAAAA==&#10;">
                        <v:fill on="t" focussize="0,0"/>
                        <v:stroke color="#000000" joinstyle="miter"/>
                        <v:imagedata o:title=""/>
                        <o:lock v:ext="edit" aspectratio="f"/>
                        <v:textbox>
                          <w:txbxContent>
                            <w:p w14:paraId="742D6893">
                              <w:pPr>
                                <w:adjustRightInd w:val="0"/>
                                <w:snapToGrid w:val="0"/>
                                <w:jc w:val="center"/>
                                <w:rPr>
                                  <w:rFonts w:ascii="Times New Roman" w:hAnsi="Times New Roman" w:eastAsia="黑体"/>
                                  <w:sz w:val="18"/>
                                  <w:szCs w:val="18"/>
                                </w:rPr>
                              </w:pPr>
                              <w:r>
                                <w:rPr>
                                  <w:rFonts w:hint="eastAsia" w:ascii="Times New Roman" w:hAnsi="黑体" w:eastAsia="黑体"/>
                                  <w:sz w:val="18"/>
                                  <w:szCs w:val="18"/>
                                </w:rPr>
                                <w:t>总排口</w:t>
                              </w:r>
                            </w:p>
                          </w:txbxContent>
                        </v:textbox>
                      </v:shape>
                      <v:shape id="_x0000_s1026" o:spid="_x0000_s1026" o:spt="32" type="#_x0000_t32" style="position:absolute;left:3860165;top:1380490;flip:y;height:7620;width:419735;" filled="f" stroked="t" coordsize="21600,21600" o:gfxdata="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C91P4tcA&#10;AAAGAQAADwAAAAAAAAABACAAAAAiAAAAZHJzL2Rvd25yZXYueG1sUEsBAhQAFAAAAAgAh07iQAib&#10;CmYgAgAACwQAAA4AAAAAAAAAAQAgAAAAJgEAAGRycy9lMm9Eb2MueG1sUEsFBgAAAAAGAAYAWQEA&#10;ALgFAAAAAA==&#10;">
                        <v:fill on="f" focussize="0,0"/>
                        <v:stroke color="#000000" joinstyle="round" endarrow="block" endarrowwidth="narrow"/>
                        <v:imagedata o:title=""/>
                        <o:lock v:ext="edit" aspectratio="f"/>
                      </v:shape>
                    </v:group>
                  </w:pict>
                </mc:Fallback>
              </mc:AlternateContent>
            </w:r>
          </w:p>
          <w:p w14:paraId="31B49F12">
            <w:pPr>
              <w:bidi w:val="0"/>
              <w:spacing w:line="360" w:lineRule="auto"/>
              <w:rPr>
                <w:rFonts w:hint="eastAsia" w:ascii="宋体" w:hAnsi="宋体" w:eastAsia="宋体" w:cs="宋体"/>
                <w:color w:val="auto"/>
                <w:sz w:val="24"/>
                <w:szCs w:val="24"/>
                <w:highlight w:val="none"/>
              </w:rPr>
            </w:pPr>
          </w:p>
          <w:p w14:paraId="36C24B56">
            <w:pPr>
              <w:bidi w:val="0"/>
              <w:spacing w:line="360" w:lineRule="auto"/>
              <w:rPr>
                <w:rFonts w:hint="eastAsia" w:ascii="宋体" w:hAnsi="宋体" w:eastAsia="宋体" w:cs="宋体"/>
                <w:color w:val="auto"/>
                <w:sz w:val="24"/>
                <w:szCs w:val="24"/>
                <w:highlight w:val="none"/>
              </w:rPr>
            </w:pPr>
          </w:p>
          <w:p w14:paraId="70D35275">
            <w:pPr>
              <w:bidi w:val="0"/>
              <w:spacing w:line="360" w:lineRule="auto"/>
              <w:rPr>
                <w:rFonts w:hint="eastAsia" w:ascii="宋体" w:hAnsi="宋体" w:eastAsia="宋体" w:cs="宋体"/>
                <w:color w:val="auto"/>
                <w:sz w:val="24"/>
                <w:szCs w:val="24"/>
                <w:highlight w:val="none"/>
              </w:rPr>
            </w:pPr>
          </w:p>
          <w:p w14:paraId="24593072">
            <w:pPr>
              <w:bidi w:val="0"/>
              <w:spacing w:line="360" w:lineRule="auto"/>
              <w:rPr>
                <w:rFonts w:hint="eastAsia" w:ascii="宋体" w:hAnsi="宋体" w:eastAsia="宋体" w:cs="宋体"/>
                <w:color w:val="auto"/>
                <w:sz w:val="24"/>
                <w:szCs w:val="24"/>
                <w:highlight w:val="none"/>
              </w:rPr>
            </w:pPr>
          </w:p>
          <w:p w14:paraId="1A571AA2">
            <w:pPr>
              <w:bidi w:val="0"/>
              <w:spacing w:line="360" w:lineRule="auto"/>
              <w:rPr>
                <w:rFonts w:hint="eastAsia" w:ascii="宋体" w:hAnsi="宋体" w:eastAsia="宋体" w:cs="宋体"/>
                <w:color w:val="auto"/>
                <w:sz w:val="24"/>
                <w:szCs w:val="24"/>
                <w:highlight w:val="none"/>
              </w:rPr>
            </w:pPr>
          </w:p>
          <w:p w14:paraId="69519B18">
            <w:pPr>
              <w:bidi w:val="0"/>
              <w:spacing w:line="360" w:lineRule="auto"/>
              <w:rPr>
                <w:rFonts w:hint="eastAsia" w:ascii="宋体" w:hAnsi="宋体" w:eastAsia="宋体" w:cs="宋体"/>
                <w:color w:val="auto"/>
                <w:sz w:val="24"/>
                <w:szCs w:val="24"/>
                <w:highlight w:val="none"/>
              </w:rPr>
            </w:pPr>
          </w:p>
          <w:p w14:paraId="09912BE1">
            <w:pPr>
              <w:bidi w:val="0"/>
              <w:spacing w:line="360" w:lineRule="auto"/>
              <w:rPr>
                <w:rFonts w:hint="eastAsia" w:ascii="宋体" w:hAnsi="宋体" w:eastAsia="宋体" w:cs="宋体"/>
                <w:color w:val="auto"/>
                <w:sz w:val="24"/>
                <w:szCs w:val="24"/>
                <w:highlight w:val="none"/>
              </w:rPr>
            </w:pPr>
          </w:p>
          <w:p w14:paraId="007CE579">
            <w:pPr>
              <w:bidi w:val="0"/>
              <w:spacing w:line="360" w:lineRule="auto"/>
              <w:rPr>
                <w:rFonts w:hint="eastAsia" w:ascii="宋体" w:hAnsi="宋体" w:eastAsia="宋体" w:cs="宋体"/>
                <w:color w:val="auto"/>
                <w:sz w:val="24"/>
                <w:szCs w:val="24"/>
                <w:highlight w:val="none"/>
              </w:rPr>
            </w:pPr>
          </w:p>
          <w:p w14:paraId="76BA4995">
            <w:pPr>
              <w:bidi w:val="0"/>
              <w:spacing w:line="360" w:lineRule="auto"/>
              <w:rPr>
                <w:rFonts w:hint="eastAsia" w:ascii="宋体" w:hAnsi="宋体" w:eastAsia="宋体" w:cs="宋体"/>
                <w:color w:val="auto"/>
                <w:sz w:val="24"/>
                <w:szCs w:val="24"/>
                <w:highlight w:val="none"/>
              </w:rPr>
            </w:pPr>
          </w:p>
          <w:p w14:paraId="7B2198EA">
            <w:pPr>
              <w:autoSpaceDE w:val="0"/>
              <w:autoSpaceDN w:val="0"/>
              <w:adjustRightInd w:val="0"/>
              <w:snapToGrid w:val="0"/>
              <w:jc w:val="center"/>
              <w:rPr>
                <w:color w:val="auto"/>
                <w:szCs w:val="21"/>
                <w:highlight w:val="none"/>
              </w:rPr>
            </w:pPr>
            <w:r>
              <w:rPr>
                <w:rFonts w:hAnsi="黑体" w:eastAsia="黑体"/>
                <w:color w:val="auto"/>
                <w:sz w:val="24"/>
                <w:szCs w:val="24"/>
                <w:highlight w:val="none"/>
              </w:rPr>
              <w:t>图</w:t>
            </w:r>
            <w:r>
              <w:rPr>
                <w:rFonts w:hint="eastAsia" w:hAnsi="黑体" w:eastAsia="黑体"/>
                <w:color w:val="auto"/>
                <w:sz w:val="24"/>
                <w:szCs w:val="24"/>
                <w:highlight w:val="none"/>
                <w:lang w:val="en-US" w:eastAsia="zh-CN"/>
              </w:rPr>
              <w:t>2-1</w:t>
            </w:r>
            <w:r>
              <w:rPr>
                <w:rFonts w:hAnsi="黑体" w:eastAsia="黑体"/>
                <w:color w:val="auto"/>
                <w:sz w:val="24"/>
                <w:szCs w:val="24"/>
                <w:highlight w:val="none"/>
              </w:rPr>
              <w:t xml:space="preserve"> 运营期</w:t>
            </w:r>
            <w:r>
              <w:rPr>
                <w:rFonts w:hint="eastAsia" w:hAnsi="黑体" w:eastAsia="黑体"/>
                <w:color w:val="auto"/>
                <w:sz w:val="24"/>
                <w:szCs w:val="24"/>
                <w:highlight w:val="none"/>
                <w:lang w:val="en-US" w:eastAsia="zh-CN"/>
              </w:rPr>
              <w:t>全厂</w:t>
            </w:r>
            <w:r>
              <w:rPr>
                <w:rFonts w:hAnsi="黑体" w:eastAsia="黑体"/>
                <w:color w:val="auto"/>
                <w:sz w:val="24"/>
                <w:szCs w:val="24"/>
                <w:highlight w:val="none"/>
              </w:rPr>
              <w:t>水平衡图   单位：m</w:t>
            </w:r>
            <w:r>
              <w:rPr>
                <w:rFonts w:hAnsi="黑体" w:eastAsia="黑体"/>
                <w:color w:val="auto"/>
                <w:sz w:val="24"/>
                <w:szCs w:val="24"/>
                <w:highlight w:val="none"/>
                <w:vertAlign w:val="superscript"/>
              </w:rPr>
              <w:t>3</w:t>
            </w:r>
            <w:r>
              <w:rPr>
                <w:rFonts w:hAnsi="黑体" w:eastAsia="黑体"/>
                <w:color w:val="auto"/>
                <w:sz w:val="24"/>
                <w:szCs w:val="24"/>
                <w:highlight w:val="none"/>
              </w:rPr>
              <w:t>/d</w:t>
            </w:r>
          </w:p>
          <w:p w14:paraId="6B6C3166">
            <w:pPr>
              <w:spacing w:line="360" w:lineRule="auto"/>
              <w:ind w:firstLine="480" w:firstLineChars="200"/>
              <w:rPr>
                <w:color w:val="auto"/>
                <w:sz w:val="24"/>
                <w:szCs w:val="28"/>
                <w:highlight w:val="none"/>
              </w:rPr>
            </w:pPr>
            <w:r>
              <w:rPr>
                <w:color w:val="auto"/>
                <w:sz w:val="24"/>
                <w:szCs w:val="28"/>
                <w:highlight w:val="none"/>
              </w:rPr>
              <w:t>（</w:t>
            </w:r>
            <w:r>
              <w:rPr>
                <w:rFonts w:hint="eastAsia"/>
                <w:color w:val="auto"/>
                <w:sz w:val="24"/>
                <w:szCs w:val="28"/>
                <w:highlight w:val="none"/>
              </w:rPr>
              <w:t>2</w:t>
            </w:r>
            <w:r>
              <w:rPr>
                <w:color w:val="auto"/>
                <w:sz w:val="24"/>
                <w:szCs w:val="28"/>
                <w:highlight w:val="none"/>
              </w:rPr>
              <w:t>）供电</w:t>
            </w:r>
          </w:p>
          <w:p w14:paraId="35320333">
            <w:pPr>
              <w:spacing w:line="360" w:lineRule="auto"/>
              <w:ind w:firstLine="480" w:firstLineChars="200"/>
              <w:rPr>
                <w:rFonts w:hint="eastAsia" w:hAnsi="宋体"/>
                <w:bCs/>
                <w:color w:val="auto"/>
                <w:sz w:val="24"/>
                <w:highlight w:val="none"/>
                <w:lang w:val="en-US" w:eastAsia="zh-CN"/>
              </w:rPr>
            </w:pPr>
            <w:r>
              <w:rPr>
                <w:rFonts w:hint="eastAsia" w:hAnsi="宋体"/>
                <w:bCs/>
                <w:color w:val="auto"/>
                <w:sz w:val="24"/>
                <w:highlight w:val="none"/>
                <w:lang w:val="en-US" w:eastAsia="zh-CN"/>
              </w:rPr>
              <w:t>项目用电</w:t>
            </w:r>
            <w:r>
              <w:rPr>
                <w:rFonts w:hAnsi="宋体"/>
                <w:bCs/>
                <w:color w:val="auto"/>
                <w:sz w:val="24"/>
                <w:highlight w:val="none"/>
              </w:rPr>
              <w:t>来自市政供电管网</w:t>
            </w:r>
            <w:r>
              <w:rPr>
                <w:rFonts w:hint="eastAsia" w:hAnsi="宋体"/>
                <w:bCs/>
                <w:color w:val="auto"/>
                <w:sz w:val="24"/>
                <w:highlight w:val="none"/>
                <w:lang w:eastAsia="zh-CN"/>
              </w:rPr>
              <w:t>，</w:t>
            </w:r>
            <w:r>
              <w:rPr>
                <w:rFonts w:hint="eastAsia" w:hAnsi="宋体"/>
                <w:bCs/>
                <w:color w:val="auto"/>
                <w:sz w:val="24"/>
                <w:highlight w:val="none"/>
                <w:lang w:val="en-US" w:eastAsia="zh-CN"/>
              </w:rPr>
              <w:t>由110kV洛河变电站和110kV经开区变电所接入的两路10kV电源输送至现有厂区内，本项目依托在配电房已设置的2台250kVA的变压器。仪表用电为一级负荷；出料泵、压缩机为二级负荷；火灾报警系统、消防系统以及消防泵、应急照明用电负荷为二级负荷；其他用电负荷均为三级负荷。</w:t>
            </w:r>
          </w:p>
          <w:p w14:paraId="7CCC6600">
            <w:pPr>
              <w:spacing w:line="360" w:lineRule="auto"/>
              <w:ind w:firstLine="480" w:firstLineChars="200"/>
              <w:rPr>
                <w:rFonts w:hAnsi="宋体"/>
                <w:color w:val="auto"/>
                <w:sz w:val="24"/>
                <w:highlight w:val="none"/>
              </w:rPr>
            </w:pPr>
            <w:r>
              <w:rPr>
                <w:rFonts w:hint="eastAsia" w:hAnsi="宋体"/>
                <w:bCs/>
                <w:color w:val="auto"/>
                <w:sz w:val="24"/>
                <w:highlight w:val="none"/>
                <w:lang w:val="en-US" w:eastAsia="zh-CN"/>
              </w:rPr>
              <w:t>目前厂区日常生产高峰最大负荷约127KVA，本项目仅新增压缩机、出料泵等用电设备，</w:t>
            </w:r>
            <w:r>
              <w:rPr>
                <w:rFonts w:hAnsi="宋体"/>
                <w:bCs/>
                <w:color w:val="auto"/>
                <w:sz w:val="24"/>
                <w:highlight w:val="none"/>
              </w:rPr>
              <w:t>本项目</w:t>
            </w:r>
            <w:r>
              <w:rPr>
                <w:rFonts w:hint="eastAsia" w:hAnsi="宋体"/>
                <w:bCs/>
                <w:color w:val="auto"/>
                <w:sz w:val="24"/>
                <w:highlight w:val="none"/>
                <w:lang w:val="en-US" w:eastAsia="zh-CN"/>
              </w:rPr>
              <w:t>新增</w:t>
            </w:r>
            <w:r>
              <w:rPr>
                <w:rFonts w:hAnsi="宋体"/>
                <w:bCs/>
                <w:color w:val="auto"/>
                <w:sz w:val="24"/>
                <w:highlight w:val="none"/>
              </w:rPr>
              <w:t>用电量</w:t>
            </w:r>
            <w:r>
              <w:rPr>
                <w:rFonts w:hint="eastAsia" w:hAnsi="宋体"/>
                <w:bCs/>
                <w:color w:val="auto"/>
                <w:sz w:val="24"/>
                <w:highlight w:val="none"/>
                <w:lang w:val="en-US" w:eastAsia="zh-CN"/>
              </w:rPr>
              <w:t>约</w:t>
            </w:r>
            <w:r>
              <w:rPr>
                <w:rFonts w:hint="eastAsia" w:hAnsi="宋体"/>
                <w:bCs/>
                <w:color w:val="auto"/>
                <w:sz w:val="24"/>
                <w:highlight w:val="none"/>
              </w:rPr>
              <w:t>9</w:t>
            </w:r>
            <w:r>
              <w:rPr>
                <w:rFonts w:hint="eastAsia" w:hAnsi="宋体"/>
                <w:bCs/>
                <w:color w:val="auto"/>
                <w:sz w:val="24"/>
                <w:highlight w:val="none"/>
                <w:lang w:val="en-US" w:eastAsia="zh-CN"/>
              </w:rPr>
              <w:t>.</w:t>
            </w:r>
            <w:r>
              <w:rPr>
                <w:rFonts w:hint="eastAsia" w:hAnsi="宋体"/>
                <w:bCs/>
                <w:color w:val="auto"/>
                <w:sz w:val="24"/>
                <w:highlight w:val="none"/>
              </w:rPr>
              <w:t>8</w:t>
            </w:r>
            <w:r>
              <w:rPr>
                <w:rFonts w:hAnsi="宋体"/>
                <w:bCs/>
                <w:color w:val="auto"/>
                <w:sz w:val="24"/>
                <w:highlight w:val="none"/>
              </w:rPr>
              <w:t>万</w:t>
            </w:r>
            <w:r>
              <w:rPr>
                <w:color w:val="auto"/>
                <w:sz w:val="24"/>
                <w:highlight w:val="none"/>
              </w:rPr>
              <w:t>kW·h/a</w:t>
            </w:r>
            <w:r>
              <w:rPr>
                <w:rFonts w:hint="eastAsia"/>
                <w:color w:val="auto"/>
                <w:sz w:val="24"/>
                <w:highlight w:val="none"/>
                <w:lang w:eastAsia="zh-CN"/>
              </w:rPr>
              <w:t>，</w:t>
            </w:r>
            <w:r>
              <w:rPr>
                <w:rFonts w:hint="eastAsia" w:hAnsi="宋体"/>
                <w:bCs/>
                <w:color w:val="auto"/>
                <w:sz w:val="24"/>
                <w:highlight w:val="none"/>
                <w:lang w:val="en-US" w:eastAsia="zh-CN"/>
              </w:rPr>
              <w:t>现有变压器满足本项目的用电需求</w:t>
            </w:r>
            <w:r>
              <w:rPr>
                <w:rFonts w:hAnsi="宋体"/>
                <w:color w:val="auto"/>
                <w:sz w:val="24"/>
                <w:highlight w:val="none"/>
              </w:rPr>
              <w:t>。</w:t>
            </w:r>
          </w:p>
          <w:p w14:paraId="3815ABF1">
            <w:pPr>
              <w:spacing w:line="360" w:lineRule="auto"/>
              <w:ind w:firstLine="482" w:firstLineChars="200"/>
              <w:rPr>
                <w:b/>
                <w:color w:val="auto"/>
                <w:sz w:val="24"/>
                <w:highlight w:val="none"/>
              </w:rPr>
            </w:pPr>
            <w:r>
              <w:rPr>
                <w:rFonts w:hint="eastAsia"/>
                <w:b/>
                <w:color w:val="auto"/>
                <w:sz w:val="24"/>
                <w:highlight w:val="none"/>
              </w:rPr>
              <w:t>9、事故废水收集设施</w:t>
            </w:r>
          </w:p>
          <w:p w14:paraId="4C9E2F6A">
            <w:pPr>
              <w:spacing w:line="360" w:lineRule="auto"/>
              <w:ind w:firstLine="480" w:firstLineChars="200"/>
              <w:rPr>
                <w:color w:val="auto"/>
                <w:sz w:val="24"/>
                <w:highlight w:val="none"/>
              </w:rPr>
            </w:pPr>
            <w:r>
              <w:rPr>
                <w:rFonts w:hint="eastAsia"/>
                <w:color w:val="auto"/>
                <w:sz w:val="24"/>
                <w:highlight w:val="none"/>
              </w:rPr>
              <w:t>依托现有厂区中部</w:t>
            </w:r>
            <w:r>
              <w:rPr>
                <w:rFonts w:hint="eastAsia"/>
                <w:color w:val="auto"/>
                <w:sz w:val="24"/>
                <w:highlight w:val="none"/>
                <w:lang w:eastAsia="zh-CN"/>
              </w:rPr>
              <w:t>1</w:t>
            </w:r>
            <w:r>
              <w:rPr>
                <w:rFonts w:hint="eastAsia"/>
                <w:color w:val="auto"/>
                <w:sz w:val="24"/>
                <w:highlight w:val="none"/>
                <w:lang w:val="en-US" w:eastAsia="zh-CN"/>
              </w:rPr>
              <w:t>座</w:t>
            </w:r>
            <w:r>
              <w:rPr>
                <w:rFonts w:hint="eastAsia"/>
                <w:color w:val="auto"/>
                <w:sz w:val="24"/>
                <w:highlight w:val="none"/>
              </w:rPr>
              <w:t>容积1270m</w:t>
            </w:r>
            <w:r>
              <w:rPr>
                <w:rFonts w:hint="eastAsia"/>
                <w:color w:val="auto"/>
                <w:sz w:val="24"/>
                <w:highlight w:val="none"/>
                <w:vertAlign w:val="superscript"/>
              </w:rPr>
              <w:t>3</w:t>
            </w:r>
            <w:r>
              <w:rPr>
                <w:rFonts w:hint="eastAsia"/>
                <w:color w:val="auto"/>
                <w:sz w:val="24"/>
                <w:highlight w:val="none"/>
              </w:rPr>
              <w:t>的事故应急池，用于收集事故状态下产生的事故消防废水及污染雨水；依托罐区内及充装间外已设置导流沟</w:t>
            </w:r>
            <w:r>
              <w:rPr>
                <w:rFonts w:hint="eastAsia"/>
                <w:color w:val="auto"/>
                <w:sz w:val="24"/>
                <w:highlight w:val="none"/>
                <w:lang w:eastAsia="zh-CN"/>
              </w:rPr>
              <w:t>，</w:t>
            </w:r>
            <w:r>
              <w:rPr>
                <w:rFonts w:hint="eastAsia"/>
                <w:color w:val="auto"/>
                <w:sz w:val="24"/>
                <w:highlight w:val="none"/>
                <w:lang w:val="en-US" w:eastAsia="zh-CN"/>
              </w:rPr>
              <w:t>以及本次调整后单罐单堤围堰内导流沟</w:t>
            </w:r>
            <w:r>
              <w:rPr>
                <w:rFonts w:hint="eastAsia"/>
                <w:color w:val="auto"/>
                <w:sz w:val="24"/>
                <w:highlight w:val="none"/>
              </w:rPr>
              <w:t>进行事故废水导流。</w:t>
            </w:r>
            <w:r>
              <w:rPr>
                <w:rFonts w:hint="eastAsia"/>
                <w:color w:val="auto"/>
                <w:sz w:val="24"/>
                <w:highlight w:val="none"/>
                <w:lang w:val="en-US" w:eastAsia="zh-CN"/>
              </w:rPr>
              <w:t>现有事故应急池已建设、事故废水导流系统及收集管线均已完善，突发环境事故时，事故废水可由导流沟汇入事故应急池中暂存，可满足改建后全厂事故废水收容，</w:t>
            </w:r>
            <w:r>
              <w:rPr>
                <w:rFonts w:hint="eastAsia"/>
                <w:color w:val="auto"/>
                <w:sz w:val="24"/>
                <w:highlight w:val="none"/>
              </w:rPr>
              <w:t>具体</w:t>
            </w:r>
            <w:r>
              <w:rPr>
                <w:rFonts w:hint="eastAsia"/>
                <w:color w:val="auto"/>
                <w:sz w:val="24"/>
                <w:highlight w:val="none"/>
                <w:lang w:val="en-US" w:eastAsia="zh-CN"/>
              </w:rPr>
              <w:t>分析</w:t>
            </w:r>
            <w:r>
              <w:rPr>
                <w:rFonts w:hint="eastAsia"/>
                <w:color w:val="auto"/>
                <w:sz w:val="24"/>
                <w:highlight w:val="none"/>
              </w:rPr>
              <w:t>过程见环境风险专项。</w:t>
            </w:r>
          </w:p>
          <w:p w14:paraId="6C6A51DC">
            <w:pPr>
              <w:spacing w:line="360" w:lineRule="auto"/>
              <w:ind w:firstLine="482" w:firstLineChars="200"/>
              <w:rPr>
                <w:b/>
                <w:color w:val="auto"/>
                <w:sz w:val="24"/>
                <w:highlight w:val="none"/>
              </w:rPr>
            </w:pPr>
            <w:r>
              <w:rPr>
                <w:rFonts w:hint="eastAsia"/>
                <w:b/>
                <w:color w:val="auto"/>
                <w:sz w:val="24"/>
                <w:highlight w:val="none"/>
              </w:rPr>
              <w:t>10</w:t>
            </w:r>
            <w:r>
              <w:rPr>
                <w:b/>
                <w:color w:val="auto"/>
                <w:sz w:val="24"/>
                <w:highlight w:val="none"/>
              </w:rPr>
              <w:t>、</w:t>
            </w:r>
            <w:r>
              <w:rPr>
                <w:rFonts w:hint="eastAsia"/>
                <w:b/>
                <w:color w:val="auto"/>
                <w:sz w:val="24"/>
                <w:highlight w:val="none"/>
              </w:rPr>
              <w:t>劳动定员及工作时长</w:t>
            </w:r>
          </w:p>
          <w:p w14:paraId="16B0E26C">
            <w:pPr>
              <w:pStyle w:val="52"/>
              <w:adjustRightInd/>
              <w:spacing w:line="360" w:lineRule="auto"/>
              <w:ind w:firstLine="480" w:firstLineChars="200"/>
              <w:rPr>
                <w:color w:val="auto"/>
                <w:highlight w:val="none"/>
              </w:rPr>
            </w:pPr>
            <w:r>
              <w:rPr>
                <w:color w:val="auto"/>
                <w:szCs w:val="28"/>
                <w:highlight w:val="none"/>
              </w:rPr>
              <w:t>本项目</w:t>
            </w:r>
            <w:r>
              <w:rPr>
                <w:rFonts w:hint="eastAsia"/>
                <w:color w:val="auto"/>
                <w:szCs w:val="28"/>
                <w:highlight w:val="none"/>
                <w:lang w:val="en-US" w:eastAsia="zh-CN"/>
              </w:rPr>
              <w:t>不</w:t>
            </w:r>
            <w:r>
              <w:rPr>
                <w:color w:val="auto"/>
                <w:szCs w:val="28"/>
                <w:highlight w:val="none"/>
              </w:rPr>
              <w:t>新增劳动定员</w:t>
            </w:r>
            <w:r>
              <w:rPr>
                <w:rFonts w:hint="eastAsia"/>
                <w:color w:val="auto"/>
                <w:szCs w:val="28"/>
                <w:highlight w:val="none"/>
                <w:lang w:eastAsia="zh-CN"/>
              </w:rPr>
              <w:t>，</w:t>
            </w:r>
            <w:r>
              <w:rPr>
                <w:rFonts w:hint="eastAsia"/>
                <w:color w:val="auto"/>
                <w:szCs w:val="28"/>
                <w:highlight w:val="none"/>
                <w:lang w:val="en-US" w:eastAsia="zh-CN"/>
              </w:rPr>
              <w:t>运营期</w:t>
            </w:r>
            <w:r>
              <w:rPr>
                <w:rFonts w:hint="eastAsia"/>
                <w:color w:val="auto"/>
                <w:szCs w:val="28"/>
                <w:highlight w:val="none"/>
              </w:rPr>
              <w:t>工作8小时，</w:t>
            </w:r>
            <w:r>
              <w:rPr>
                <w:color w:val="auto"/>
                <w:szCs w:val="28"/>
                <w:highlight w:val="none"/>
              </w:rPr>
              <w:t>年</w:t>
            </w:r>
            <w:r>
              <w:rPr>
                <w:rFonts w:hint="eastAsia"/>
                <w:color w:val="auto"/>
                <w:szCs w:val="28"/>
                <w:highlight w:val="none"/>
              </w:rPr>
              <w:t>工作</w:t>
            </w:r>
            <w:r>
              <w:rPr>
                <w:color w:val="auto"/>
                <w:szCs w:val="28"/>
                <w:highlight w:val="none"/>
              </w:rPr>
              <w:t>时间</w:t>
            </w:r>
            <w:r>
              <w:rPr>
                <w:rFonts w:hint="eastAsia"/>
                <w:color w:val="auto"/>
                <w:szCs w:val="28"/>
                <w:highlight w:val="none"/>
              </w:rPr>
              <w:t>约</w:t>
            </w:r>
            <w:r>
              <w:rPr>
                <w:color w:val="auto"/>
                <w:szCs w:val="28"/>
                <w:highlight w:val="none"/>
              </w:rPr>
              <w:t>3</w:t>
            </w:r>
            <w:r>
              <w:rPr>
                <w:rFonts w:hint="eastAsia"/>
                <w:color w:val="auto"/>
                <w:szCs w:val="28"/>
                <w:highlight w:val="none"/>
              </w:rPr>
              <w:t>00</w:t>
            </w:r>
            <w:r>
              <w:rPr>
                <w:color w:val="auto"/>
                <w:szCs w:val="28"/>
                <w:highlight w:val="none"/>
              </w:rPr>
              <w:t>天。</w:t>
            </w:r>
          </w:p>
          <w:p w14:paraId="139DAD91">
            <w:pPr>
              <w:spacing w:line="360" w:lineRule="auto"/>
              <w:ind w:firstLine="482" w:firstLineChars="200"/>
              <w:rPr>
                <w:b/>
                <w:color w:val="auto"/>
                <w:sz w:val="24"/>
                <w:highlight w:val="none"/>
              </w:rPr>
            </w:pPr>
            <w:r>
              <w:rPr>
                <w:rFonts w:hint="eastAsia"/>
                <w:b/>
                <w:color w:val="auto"/>
                <w:sz w:val="24"/>
                <w:highlight w:val="none"/>
              </w:rPr>
              <w:t>11</w:t>
            </w:r>
            <w:r>
              <w:rPr>
                <w:b/>
                <w:color w:val="auto"/>
                <w:sz w:val="24"/>
                <w:highlight w:val="none"/>
              </w:rPr>
              <w:t>、</w:t>
            </w:r>
            <w:r>
              <w:rPr>
                <w:rFonts w:hint="eastAsia"/>
                <w:b/>
                <w:color w:val="auto"/>
                <w:sz w:val="24"/>
                <w:highlight w:val="none"/>
              </w:rPr>
              <w:t>总平面布置</w:t>
            </w:r>
          </w:p>
          <w:p w14:paraId="2FC9B146">
            <w:pPr>
              <w:spacing w:line="360" w:lineRule="auto"/>
              <w:ind w:firstLine="480" w:firstLineChars="200"/>
              <w:rPr>
                <w:color w:val="auto"/>
                <w:sz w:val="24"/>
                <w:szCs w:val="24"/>
                <w:highlight w:val="none"/>
              </w:rPr>
            </w:pPr>
            <w:r>
              <w:rPr>
                <w:color w:val="auto"/>
                <w:sz w:val="24"/>
                <w:szCs w:val="24"/>
                <w:highlight w:val="none"/>
              </w:rPr>
              <w:t>项目位于</w:t>
            </w:r>
            <w:r>
              <w:rPr>
                <w:rFonts w:hint="eastAsia"/>
                <w:color w:val="auto"/>
                <w:sz w:val="24"/>
                <w:szCs w:val="24"/>
                <w:highlight w:val="none"/>
                <w:lang w:eastAsia="zh-CN"/>
              </w:rPr>
              <w:t>安徽省淮南市淮南经济技术开发区安徽永银科技发展有限公司（经开区长宁路80号）</w:t>
            </w:r>
            <w:r>
              <w:rPr>
                <w:color w:val="auto"/>
                <w:sz w:val="24"/>
                <w:szCs w:val="24"/>
                <w:highlight w:val="none"/>
              </w:rPr>
              <w:t>。</w:t>
            </w:r>
            <w:r>
              <w:rPr>
                <w:rFonts w:hint="eastAsia"/>
                <w:color w:val="auto"/>
                <w:sz w:val="24"/>
                <w:szCs w:val="24"/>
                <w:highlight w:val="none"/>
                <w:lang w:val="en-US" w:eastAsia="zh-CN"/>
              </w:rPr>
              <w:t>根据厂区总平面布局图，总占地</w:t>
            </w:r>
            <w:r>
              <w:rPr>
                <w:rFonts w:hint="eastAsia"/>
                <w:color w:val="auto"/>
                <w:sz w:val="24"/>
                <w:szCs w:val="24"/>
                <w:highlight w:val="none"/>
              </w:rPr>
              <w:t>1</w:t>
            </w:r>
            <w:r>
              <w:rPr>
                <w:color w:val="auto"/>
                <w:sz w:val="24"/>
                <w:szCs w:val="24"/>
                <w:highlight w:val="none"/>
              </w:rPr>
              <w:t>5333.3</w:t>
            </w:r>
            <w:r>
              <w:rPr>
                <w:rFonts w:hint="eastAsia"/>
                <w:color w:val="auto"/>
                <w:sz w:val="24"/>
                <w:szCs w:val="24"/>
                <w:highlight w:val="none"/>
                <w:lang w:val="en-US" w:eastAsia="zh-CN"/>
              </w:rPr>
              <w:t>m</w:t>
            </w:r>
            <w:r>
              <w:rPr>
                <w:rFonts w:hint="eastAsia"/>
                <w:color w:val="auto"/>
                <w:sz w:val="24"/>
                <w:szCs w:val="24"/>
                <w:highlight w:val="none"/>
                <w:vertAlign w:val="superscript"/>
                <w:lang w:val="en-US" w:eastAsia="zh-CN"/>
              </w:rPr>
              <w:t>2</w:t>
            </w:r>
            <w:r>
              <w:rPr>
                <w:rFonts w:hint="eastAsia"/>
                <w:color w:val="auto"/>
                <w:sz w:val="24"/>
                <w:szCs w:val="24"/>
                <w:highlight w:val="none"/>
                <w:lang w:val="en-US" w:eastAsia="zh-CN"/>
              </w:rPr>
              <w:t>，厂区设置</w:t>
            </w:r>
            <w:r>
              <w:rPr>
                <w:rFonts w:hint="eastAsia"/>
                <w:color w:val="auto"/>
                <w:sz w:val="24"/>
                <w:szCs w:val="24"/>
                <w:highlight w:val="none"/>
              </w:rPr>
              <w:t>物流、人流出入口，物流出入口位于厂区东北角，人流出入口位于厂区南部。</w:t>
            </w:r>
            <w:r>
              <w:rPr>
                <w:rFonts w:hint="eastAsia"/>
                <w:color w:val="auto"/>
                <w:sz w:val="24"/>
                <w:szCs w:val="24"/>
                <w:highlight w:val="none"/>
                <w:lang w:val="en-US" w:eastAsia="zh-CN"/>
              </w:rPr>
              <w:t>现有</w:t>
            </w:r>
            <w:r>
              <w:rPr>
                <w:rFonts w:hint="eastAsia"/>
                <w:color w:val="auto"/>
                <w:sz w:val="24"/>
                <w:szCs w:val="24"/>
                <w:highlight w:val="none"/>
              </w:rPr>
              <w:t>厂区按功能</w:t>
            </w:r>
            <w:r>
              <w:rPr>
                <w:rFonts w:hint="eastAsia"/>
                <w:color w:val="auto"/>
                <w:sz w:val="24"/>
                <w:szCs w:val="24"/>
                <w:highlight w:val="none"/>
                <w:lang w:val="en-US" w:eastAsia="zh-CN"/>
              </w:rPr>
              <w:t>划</w:t>
            </w:r>
            <w:r>
              <w:rPr>
                <w:rFonts w:hint="eastAsia"/>
                <w:color w:val="auto"/>
                <w:sz w:val="24"/>
                <w:szCs w:val="24"/>
                <w:highlight w:val="none"/>
              </w:rPr>
              <w:t>分为东部、中部、西部。东部自北向南依次布置了槽罐车位、低温乙烯卸车鹤管、低温乙烯泵</w:t>
            </w:r>
            <w:r>
              <w:rPr>
                <w:rFonts w:hint="eastAsia"/>
                <w:color w:val="auto"/>
                <w:sz w:val="24"/>
                <w:szCs w:val="24"/>
                <w:highlight w:val="none"/>
                <w:lang w:eastAsia="zh-CN"/>
              </w:rPr>
              <w:t>、</w:t>
            </w:r>
            <w:r>
              <w:rPr>
                <w:rFonts w:hint="eastAsia"/>
                <w:color w:val="auto"/>
                <w:sz w:val="24"/>
                <w:szCs w:val="24"/>
                <w:highlight w:val="none"/>
              </w:rPr>
              <w:t>低温乙烯气化器、低温乙烯储罐区。</w:t>
            </w:r>
          </w:p>
          <w:p w14:paraId="44E0D6C3">
            <w:pPr>
              <w:spacing w:line="360" w:lineRule="auto"/>
              <w:rPr>
                <w:color w:val="auto"/>
                <w:sz w:val="24"/>
                <w:szCs w:val="24"/>
                <w:highlight w:val="none"/>
              </w:rPr>
            </w:pPr>
            <w:r>
              <w:rPr>
                <w:rFonts w:hint="eastAsia"/>
                <w:color w:val="auto"/>
                <w:sz w:val="24"/>
                <w:szCs w:val="24"/>
                <w:highlight w:val="none"/>
              </w:rPr>
              <w:t>中部自北向南依次布置了装卸车位及平台、充装间、事故应急池。西部自北向南依次布置了甲类仓库</w:t>
            </w:r>
            <w:r>
              <w:rPr>
                <w:rFonts w:hint="eastAsia"/>
                <w:color w:val="auto"/>
                <w:sz w:val="24"/>
                <w:szCs w:val="24"/>
                <w:highlight w:val="none"/>
                <w:lang w:eastAsia="zh-CN"/>
              </w:rPr>
              <w:t>（</w:t>
            </w:r>
            <w:r>
              <w:rPr>
                <w:rFonts w:hint="eastAsia"/>
                <w:color w:val="auto"/>
                <w:sz w:val="24"/>
                <w:szCs w:val="24"/>
                <w:highlight w:val="none"/>
                <w:lang w:val="en-US" w:eastAsia="zh-CN"/>
              </w:rPr>
              <w:t>1#仓库</w:t>
            </w:r>
            <w:r>
              <w:rPr>
                <w:rFonts w:hint="eastAsia"/>
                <w:color w:val="auto"/>
                <w:sz w:val="24"/>
                <w:szCs w:val="24"/>
                <w:highlight w:val="none"/>
                <w:lang w:eastAsia="zh-CN"/>
              </w:rPr>
              <w:t>）</w:t>
            </w:r>
            <w:r>
              <w:rPr>
                <w:rFonts w:hint="eastAsia"/>
                <w:color w:val="auto"/>
                <w:sz w:val="24"/>
                <w:szCs w:val="24"/>
                <w:highlight w:val="none"/>
              </w:rPr>
              <w:t>、备件库、消防水池、消防泵房</w:t>
            </w:r>
            <w:r>
              <w:rPr>
                <w:rFonts w:hint="eastAsia"/>
                <w:color w:val="auto"/>
                <w:sz w:val="24"/>
                <w:szCs w:val="24"/>
                <w:highlight w:val="none"/>
                <w:lang w:eastAsia="zh-CN"/>
              </w:rPr>
              <w:t>、</w:t>
            </w:r>
            <w:r>
              <w:rPr>
                <w:rFonts w:hint="eastAsia"/>
                <w:color w:val="auto"/>
                <w:sz w:val="24"/>
                <w:szCs w:val="24"/>
                <w:highlight w:val="none"/>
              </w:rPr>
              <w:t>配电房、控制室。</w:t>
            </w:r>
          </w:p>
          <w:p w14:paraId="7740DDBD">
            <w:pPr>
              <w:spacing w:line="360" w:lineRule="auto"/>
              <w:ind w:firstLine="480" w:firstLineChars="200"/>
              <w:rPr>
                <w:rFonts w:hint="default" w:eastAsia="宋体"/>
                <w:color w:val="auto"/>
                <w:sz w:val="24"/>
                <w:szCs w:val="24"/>
                <w:highlight w:val="none"/>
                <w:lang w:val="en-US" w:eastAsia="zh-CN"/>
              </w:rPr>
            </w:pPr>
            <w:r>
              <w:rPr>
                <w:rFonts w:hint="eastAsia"/>
                <w:color w:val="auto"/>
                <w:sz w:val="24"/>
                <w:szCs w:val="24"/>
                <w:highlight w:val="none"/>
                <w:lang w:val="en-US" w:eastAsia="zh-CN"/>
              </w:rPr>
              <w:t>本次改建项目对现有厂区低温储罐区进行调整改造，利用低温储罐区西侧空置区域新增1台31.5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丁烷立式压力储罐、</w:t>
            </w:r>
            <w:r>
              <w:rPr>
                <w:rFonts w:hint="eastAsia"/>
                <w:color w:val="auto"/>
                <w:sz w:val="24"/>
                <w:szCs w:val="24"/>
                <w:highlight w:val="none"/>
                <w:lang w:val="en-US" w:eastAsia="zh-CN"/>
              </w:rPr>
              <w:t>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丙烷立式压力储罐、</w:t>
            </w:r>
            <w:r>
              <w:rPr>
                <w:rFonts w:hint="eastAsia"/>
                <w:color w:val="auto"/>
                <w:sz w:val="24"/>
                <w:szCs w:val="24"/>
                <w:highlight w:val="none"/>
                <w:lang w:val="en-US" w:eastAsia="zh-CN"/>
              </w:rPr>
              <w:t>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事故立式压力储罐以及储罐基础、防火堤，停用1台30m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低温乙烯储罐，罐区占地面积由216.58m</w:t>
            </w:r>
            <w:r>
              <w:rPr>
                <w:rFonts w:hint="eastAsia"/>
                <w:color w:val="auto"/>
                <w:sz w:val="24"/>
                <w:szCs w:val="24"/>
                <w:highlight w:val="none"/>
                <w:vertAlign w:val="superscript"/>
                <w:lang w:val="en-US" w:eastAsia="zh-CN"/>
              </w:rPr>
              <w:t>2</w:t>
            </w:r>
            <w:r>
              <w:rPr>
                <w:rFonts w:hint="eastAsia"/>
                <w:color w:val="auto"/>
                <w:sz w:val="24"/>
                <w:szCs w:val="24"/>
                <w:highlight w:val="none"/>
                <w:vertAlign w:val="baseline"/>
                <w:lang w:val="en-US" w:eastAsia="zh-CN"/>
              </w:rPr>
              <w:t>调整为323.2m</w:t>
            </w:r>
            <w:r>
              <w:rPr>
                <w:rFonts w:hint="eastAsia"/>
                <w:color w:val="auto"/>
                <w:sz w:val="24"/>
                <w:szCs w:val="24"/>
                <w:highlight w:val="none"/>
                <w:vertAlign w:val="superscript"/>
                <w:lang w:val="en-US" w:eastAsia="zh-CN"/>
              </w:rPr>
              <w:t>2</w:t>
            </w:r>
            <w:r>
              <w:rPr>
                <w:rFonts w:hint="eastAsia"/>
                <w:color w:val="auto"/>
                <w:sz w:val="24"/>
                <w:szCs w:val="24"/>
                <w:highlight w:val="none"/>
                <w:vertAlign w:val="baseline"/>
                <w:lang w:val="en-US" w:eastAsia="zh-CN"/>
              </w:rPr>
              <w:t>；于厂区东部空置区域新增丙烷及丁烷卸车鹤管、出料泵以及压缩机等装卸输送设备；拆除现有乙烯充装间（包含检测区和乙烯充装线）内1条乙烯充装线，新建1条丙烷充装线、1条丁烷充装线；并于现有1#仓库北侧空置区域，新建1台占地面积约50.4m</w:t>
            </w:r>
            <w:r>
              <w:rPr>
                <w:rFonts w:hint="eastAsia"/>
                <w:color w:val="auto"/>
                <w:sz w:val="24"/>
                <w:szCs w:val="24"/>
                <w:highlight w:val="none"/>
                <w:vertAlign w:val="superscript"/>
                <w:lang w:val="en-US" w:eastAsia="zh-CN"/>
              </w:rPr>
              <w:t>2</w:t>
            </w:r>
            <w:r>
              <w:rPr>
                <w:rFonts w:hint="eastAsia"/>
                <w:color w:val="auto"/>
                <w:sz w:val="24"/>
                <w:szCs w:val="24"/>
                <w:highlight w:val="none"/>
                <w:vertAlign w:val="baseline"/>
                <w:lang w:val="en-US" w:eastAsia="zh-CN"/>
              </w:rPr>
              <w:t>的库棚（甲类），主要用于丙烷、丁烷钢瓶储存。</w:t>
            </w:r>
          </w:p>
          <w:p w14:paraId="26B0019F">
            <w:pPr>
              <w:spacing w:line="360" w:lineRule="auto"/>
              <w:ind w:firstLine="480" w:firstLineChars="200"/>
              <w:rPr>
                <w:rFonts w:hint="eastAsia"/>
                <w:snapToGrid w:val="0"/>
                <w:color w:val="auto"/>
                <w:kern w:val="0"/>
                <w:sz w:val="24"/>
                <w:szCs w:val="24"/>
                <w:highlight w:val="none"/>
              </w:rPr>
            </w:pPr>
            <w:r>
              <w:rPr>
                <w:color w:val="auto"/>
                <w:sz w:val="24"/>
                <w:szCs w:val="24"/>
                <w:highlight w:val="none"/>
              </w:rPr>
              <w:t>项目办公区域和生产区域分开设置，减少了项目噪声对办公的影响；最大程度满</w:t>
            </w:r>
            <w:r>
              <w:rPr>
                <w:rFonts w:ascii="宋体" w:hAnsi="宋体"/>
                <w:color w:val="auto"/>
                <w:sz w:val="24"/>
                <w:szCs w:val="24"/>
                <w:highlight w:val="none"/>
              </w:rPr>
              <w:t>足了“闹静分开”的布设原</w:t>
            </w:r>
            <w:r>
              <w:rPr>
                <w:color w:val="auto"/>
                <w:sz w:val="24"/>
                <w:szCs w:val="24"/>
                <w:highlight w:val="none"/>
              </w:rPr>
              <w:t>则，同时使生产区噪声远离办公区；人流物流线路短捷顺畅、建筑布置紧凑。</w:t>
            </w:r>
            <w:r>
              <w:rPr>
                <w:rFonts w:hint="eastAsia"/>
                <w:snapToGrid w:val="0"/>
                <w:color w:val="auto"/>
                <w:kern w:val="0"/>
                <w:sz w:val="24"/>
                <w:szCs w:val="24"/>
                <w:highlight w:val="none"/>
              </w:rPr>
              <w:t>各功能单元衔接顺畅，操作效率稳定</w:t>
            </w:r>
            <w:r>
              <w:rPr>
                <w:color w:val="auto"/>
                <w:sz w:val="24"/>
                <w:szCs w:val="24"/>
                <w:highlight w:val="none"/>
              </w:rPr>
              <w:t>。</w:t>
            </w:r>
            <w:r>
              <w:rPr>
                <w:rFonts w:hint="eastAsia"/>
                <w:snapToGrid w:val="0"/>
                <w:color w:val="auto"/>
                <w:kern w:val="0"/>
                <w:sz w:val="24"/>
                <w:szCs w:val="24"/>
                <w:highlight w:val="none"/>
              </w:rPr>
              <w:t>具体</w:t>
            </w:r>
            <w:r>
              <w:rPr>
                <w:rFonts w:hint="eastAsia"/>
                <w:snapToGrid w:val="0"/>
                <w:color w:val="auto"/>
                <w:kern w:val="0"/>
                <w:sz w:val="24"/>
                <w:szCs w:val="24"/>
                <w:highlight w:val="none"/>
                <w:lang w:val="en-US" w:eastAsia="zh-CN"/>
              </w:rPr>
              <w:t>平面布置图</w:t>
            </w:r>
            <w:r>
              <w:rPr>
                <w:rFonts w:hint="eastAsia"/>
                <w:snapToGrid w:val="0"/>
                <w:color w:val="auto"/>
                <w:kern w:val="0"/>
                <w:sz w:val="24"/>
                <w:szCs w:val="24"/>
                <w:highlight w:val="none"/>
              </w:rPr>
              <w:t>详见附图</w:t>
            </w:r>
            <w:r>
              <w:rPr>
                <w:rFonts w:hint="eastAsia"/>
                <w:snapToGrid w:val="0"/>
                <w:color w:val="auto"/>
                <w:kern w:val="0"/>
                <w:sz w:val="24"/>
                <w:szCs w:val="24"/>
                <w:highlight w:val="none"/>
                <w:lang w:val="en-US" w:eastAsia="zh-CN"/>
              </w:rPr>
              <w:t>4</w:t>
            </w:r>
            <w:r>
              <w:rPr>
                <w:rFonts w:hint="eastAsia"/>
                <w:snapToGrid w:val="0"/>
                <w:color w:val="auto"/>
                <w:kern w:val="0"/>
                <w:sz w:val="24"/>
                <w:szCs w:val="24"/>
                <w:highlight w:val="none"/>
              </w:rPr>
              <w:t>。</w:t>
            </w:r>
          </w:p>
          <w:p w14:paraId="1649F9E7">
            <w:pPr>
              <w:spacing w:line="360" w:lineRule="auto"/>
              <w:ind w:firstLine="480" w:firstLineChars="200"/>
              <w:rPr>
                <w:rFonts w:hint="eastAsia"/>
                <w:snapToGrid w:val="0"/>
                <w:color w:val="auto"/>
                <w:kern w:val="0"/>
                <w:sz w:val="24"/>
                <w:szCs w:val="24"/>
                <w:highlight w:val="none"/>
              </w:rPr>
            </w:pPr>
          </w:p>
          <w:p w14:paraId="7487EDF7">
            <w:pPr>
              <w:spacing w:line="360" w:lineRule="auto"/>
              <w:ind w:firstLine="480" w:firstLineChars="200"/>
              <w:rPr>
                <w:rFonts w:hint="eastAsia"/>
                <w:snapToGrid w:val="0"/>
                <w:color w:val="auto"/>
                <w:kern w:val="0"/>
                <w:sz w:val="24"/>
                <w:szCs w:val="24"/>
                <w:highlight w:val="none"/>
              </w:rPr>
            </w:pPr>
          </w:p>
          <w:p w14:paraId="3BD1ED18">
            <w:pPr>
              <w:spacing w:line="360" w:lineRule="auto"/>
              <w:ind w:firstLine="480" w:firstLineChars="200"/>
              <w:rPr>
                <w:rFonts w:hint="eastAsia"/>
                <w:snapToGrid w:val="0"/>
                <w:color w:val="auto"/>
                <w:kern w:val="0"/>
                <w:sz w:val="24"/>
                <w:szCs w:val="24"/>
                <w:highlight w:val="none"/>
              </w:rPr>
            </w:pPr>
          </w:p>
          <w:p w14:paraId="77BB1CF5">
            <w:pPr>
              <w:spacing w:line="360" w:lineRule="auto"/>
              <w:ind w:firstLine="480" w:firstLineChars="200"/>
              <w:rPr>
                <w:rFonts w:hint="eastAsia"/>
                <w:snapToGrid w:val="0"/>
                <w:color w:val="auto"/>
                <w:kern w:val="0"/>
                <w:sz w:val="24"/>
                <w:szCs w:val="24"/>
                <w:highlight w:val="none"/>
              </w:rPr>
            </w:pPr>
          </w:p>
          <w:p w14:paraId="20830785">
            <w:pPr>
              <w:spacing w:line="360" w:lineRule="auto"/>
              <w:ind w:firstLine="480" w:firstLineChars="200"/>
              <w:rPr>
                <w:rFonts w:hint="eastAsia"/>
                <w:snapToGrid w:val="0"/>
                <w:color w:val="auto"/>
                <w:kern w:val="0"/>
                <w:sz w:val="24"/>
                <w:szCs w:val="24"/>
                <w:highlight w:val="none"/>
              </w:rPr>
            </w:pPr>
          </w:p>
          <w:p w14:paraId="61A73CAC">
            <w:pPr>
              <w:spacing w:line="360" w:lineRule="auto"/>
              <w:ind w:firstLine="480" w:firstLineChars="200"/>
              <w:rPr>
                <w:rFonts w:hint="eastAsia"/>
                <w:snapToGrid w:val="0"/>
                <w:color w:val="auto"/>
                <w:kern w:val="0"/>
                <w:sz w:val="24"/>
                <w:szCs w:val="24"/>
                <w:highlight w:val="none"/>
              </w:rPr>
            </w:pPr>
          </w:p>
          <w:p w14:paraId="723C2BC4">
            <w:pPr>
              <w:spacing w:line="360" w:lineRule="auto"/>
              <w:ind w:firstLine="480" w:firstLineChars="200"/>
              <w:rPr>
                <w:rFonts w:hint="eastAsia"/>
                <w:snapToGrid w:val="0"/>
                <w:color w:val="auto"/>
                <w:kern w:val="0"/>
                <w:sz w:val="24"/>
                <w:szCs w:val="24"/>
                <w:highlight w:val="none"/>
              </w:rPr>
            </w:pPr>
          </w:p>
          <w:p w14:paraId="10696F4C">
            <w:pPr>
              <w:spacing w:line="360" w:lineRule="auto"/>
              <w:ind w:firstLine="480" w:firstLineChars="200"/>
              <w:rPr>
                <w:rFonts w:hint="eastAsia"/>
                <w:snapToGrid w:val="0"/>
                <w:color w:val="auto"/>
                <w:kern w:val="0"/>
                <w:sz w:val="24"/>
                <w:szCs w:val="24"/>
                <w:highlight w:val="none"/>
              </w:rPr>
            </w:pPr>
          </w:p>
          <w:p w14:paraId="0C645737">
            <w:pPr>
              <w:spacing w:line="360" w:lineRule="auto"/>
              <w:ind w:firstLine="480" w:firstLineChars="200"/>
              <w:rPr>
                <w:rFonts w:hint="eastAsia"/>
                <w:snapToGrid w:val="0"/>
                <w:color w:val="auto"/>
                <w:kern w:val="0"/>
                <w:sz w:val="24"/>
                <w:szCs w:val="24"/>
                <w:highlight w:val="none"/>
              </w:rPr>
            </w:pPr>
          </w:p>
          <w:p w14:paraId="6FD4700A">
            <w:pPr>
              <w:spacing w:line="360" w:lineRule="auto"/>
              <w:ind w:firstLine="480" w:firstLineChars="200"/>
              <w:rPr>
                <w:rFonts w:hint="eastAsia"/>
                <w:snapToGrid w:val="0"/>
                <w:color w:val="auto"/>
                <w:kern w:val="0"/>
                <w:sz w:val="24"/>
                <w:szCs w:val="24"/>
                <w:highlight w:val="none"/>
              </w:rPr>
            </w:pPr>
          </w:p>
          <w:p w14:paraId="3C837B82">
            <w:pPr>
              <w:spacing w:line="360" w:lineRule="auto"/>
              <w:ind w:firstLine="480" w:firstLineChars="200"/>
              <w:rPr>
                <w:rFonts w:hint="eastAsia"/>
                <w:snapToGrid w:val="0"/>
                <w:color w:val="auto"/>
                <w:kern w:val="0"/>
                <w:sz w:val="24"/>
                <w:szCs w:val="24"/>
                <w:highlight w:val="none"/>
              </w:rPr>
            </w:pPr>
          </w:p>
          <w:p w14:paraId="48C53C2A">
            <w:pPr>
              <w:spacing w:line="360" w:lineRule="auto"/>
              <w:ind w:firstLine="480" w:firstLineChars="200"/>
              <w:rPr>
                <w:rFonts w:hint="eastAsia"/>
                <w:snapToGrid w:val="0"/>
                <w:color w:val="auto"/>
                <w:kern w:val="0"/>
                <w:sz w:val="24"/>
                <w:szCs w:val="24"/>
                <w:highlight w:val="none"/>
              </w:rPr>
            </w:pPr>
          </w:p>
          <w:p w14:paraId="07644E0B">
            <w:pPr>
              <w:spacing w:line="360" w:lineRule="auto"/>
              <w:ind w:firstLine="480" w:firstLineChars="200"/>
              <w:rPr>
                <w:rFonts w:hint="eastAsia"/>
                <w:snapToGrid w:val="0"/>
                <w:color w:val="auto"/>
                <w:kern w:val="0"/>
                <w:sz w:val="24"/>
                <w:szCs w:val="24"/>
                <w:highlight w:val="none"/>
              </w:rPr>
            </w:pPr>
          </w:p>
          <w:p w14:paraId="3C55990B">
            <w:pPr>
              <w:spacing w:line="360" w:lineRule="auto"/>
              <w:ind w:firstLine="480" w:firstLineChars="200"/>
              <w:rPr>
                <w:rFonts w:hint="eastAsia"/>
                <w:snapToGrid w:val="0"/>
                <w:color w:val="auto"/>
                <w:kern w:val="0"/>
                <w:sz w:val="24"/>
                <w:szCs w:val="24"/>
                <w:highlight w:val="none"/>
              </w:rPr>
            </w:pPr>
          </w:p>
          <w:p w14:paraId="60EB6E22">
            <w:pPr>
              <w:spacing w:line="360" w:lineRule="auto"/>
              <w:ind w:firstLine="480" w:firstLineChars="200"/>
              <w:rPr>
                <w:rFonts w:hint="eastAsia"/>
                <w:snapToGrid w:val="0"/>
                <w:color w:val="auto"/>
                <w:kern w:val="0"/>
                <w:sz w:val="24"/>
                <w:szCs w:val="24"/>
                <w:highlight w:val="none"/>
              </w:rPr>
            </w:pPr>
          </w:p>
          <w:p w14:paraId="16678682">
            <w:pPr>
              <w:spacing w:line="360" w:lineRule="auto"/>
              <w:ind w:firstLine="480" w:firstLineChars="200"/>
              <w:rPr>
                <w:rFonts w:hint="eastAsia"/>
                <w:snapToGrid w:val="0"/>
                <w:color w:val="auto"/>
                <w:kern w:val="0"/>
                <w:sz w:val="24"/>
                <w:szCs w:val="24"/>
                <w:highlight w:val="none"/>
              </w:rPr>
            </w:pPr>
          </w:p>
          <w:p w14:paraId="7FE44990">
            <w:pPr>
              <w:spacing w:line="360" w:lineRule="auto"/>
              <w:ind w:firstLine="480" w:firstLineChars="200"/>
              <w:rPr>
                <w:rFonts w:hint="eastAsia"/>
                <w:snapToGrid w:val="0"/>
                <w:color w:val="auto"/>
                <w:kern w:val="0"/>
                <w:sz w:val="24"/>
                <w:szCs w:val="24"/>
                <w:highlight w:val="none"/>
              </w:rPr>
            </w:pPr>
          </w:p>
          <w:p w14:paraId="06959D16">
            <w:pPr>
              <w:spacing w:line="360" w:lineRule="auto"/>
              <w:ind w:firstLine="480" w:firstLineChars="200"/>
              <w:rPr>
                <w:rFonts w:hint="eastAsia"/>
                <w:snapToGrid w:val="0"/>
                <w:color w:val="auto"/>
                <w:kern w:val="0"/>
                <w:sz w:val="24"/>
                <w:szCs w:val="24"/>
                <w:highlight w:val="none"/>
              </w:rPr>
            </w:pPr>
          </w:p>
          <w:p w14:paraId="32727C60">
            <w:pPr>
              <w:spacing w:line="360" w:lineRule="auto"/>
              <w:ind w:firstLine="480" w:firstLineChars="200"/>
              <w:rPr>
                <w:rFonts w:hint="eastAsia"/>
                <w:snapToGrid w:val="0"/>
                <w:color w:val="auto"/>
                <w:kern w:val="0"/>
                <w:sz w:val="24"/>
                <w:szCs w:val="24"/>
                <w:highlight w:val="none"/>
              </w:rPr>
            </w:pPr>
          </w:p>
          <w:p w14:paraId="00508749">
            <w:pPr>
              <w:spacing w:line="360" w:lineRule="auto"/>
              <w:ind w:firstLine="480" w:firstLineChars="200"/>
              <w:rPr>
                <w:rFonts w:hint="eastAsia"/>
                <w:snapToGrid w:val="0"/>
                <w:color w:val="auto"/>
                <w:kern w:val="0"/>
                <w:sz w:val="24"/>
                <w:szCs w:val="24"/>
                <w:highlight w:val="none"/>
              </w:rPr>
            </w:pPr>
          </w:p>
          <w:p w14:paraId="7D9D2011">
            <w:pPr>
              <w:spacing w:line="360" w:lineRule="auto"/>
              <w:rPr>
                <w:rFonts w:hint="eastAsia"/>
                <w:snapToGrid w:val="0"/>
                <w:color w:val="auto"/>
                <w:kern w:val="0"/>
                <w:sz w:val="24"/>
                <w:szCs w:val="24"/>
                <w:highlight w:val="none"/>
              </w:rPr>
            </w:pPr>
          </w:p>
          <w:p w14:paraId="7A9C8603">
            <w:pPr>
              <w:pStyle w:val="52"/>
              <w:spacing w:line="360" w:lineRule="auto"/>
              <w:rPr>
                <w:rFonts w:hint="eastAsia"/>
                <w:snapToGrid w:val="0"/>
                <w:color w:val="auto"/>
                <w:kern w:val="0"/>
                <w:sz w:val="24"/>
                <w:szCs w:val="24"/>
                <w:highlight w:val="none"/>
              </w:rPr>
            </w:pPr>
          </w:p>
          <w:p w14:paraId="0E37E4EC">
            <w:pPr>
              <w:pStyle w:val="52"/>
              <w:spacing w:line="360" w:lineRule="auto"/>
              <w:rPr>
                <w:rFonts w:hint="eastAsia"/>
                <w:snapToGrid w:val="0"/>
                <w:color w:val="auto"/>
                <w:kern w:val="0"/>
                <w:sz w:val="24"/>
                <w:szCs w:val="24"/>
                <w:highlight w:val="none"/>
              </w:rPr>
            </w:pPr>
          </w:p>
          <w:p w14:paraId="66D7214F">
            <w:pPr>
              <w:pStyle w:val="52"/>
              <w:spacing w:line="360" w:lineRule="auto"/>
              <w:rPr>
                <w:rFonts w:hint="eastAsia"/>
                <w:snapToGrid w:val="0"/>
                <w:color w:val="auto"/>
                <w:kern w:val="0"/>
                <w:sz w:val="24"/>
                <w:szCs w:val="24"/>
                <w:highlight w:val="none"/>
              </w:rPr>
            </w:pPr>
          </w:p>
          <w:p w14:paraId="10F65942">
            <w:pPr>
              <w:pStyle w:val="52"/>
              <w:rPr>
                <w:rFonts w:hint="eastAsia"/>
                <w:snapToGrid w:val="0"/>
                <w:color w:val="auto"/>
                <w:kern w:val="0"/>
                <w:sz w:val="24"/>
                <w:szCs w:val="24"/>
                <w:highlight w:val="none"/>
              </w:rPr>
            </w:pPr>
          </w:p>
        </w:tc>
      </w:tr>
      <w:tr w14:paraId="21E13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6" w:hRule="atLeast"/>
        </w:trPr>
        <w:tc>
          <w:tcPr>
            <w:tcW w:w="537" w:type="dxa"/>
            <w:vAlign w:val="center"/>
          </w:tcPr>
          <w:p w14:paraId="2ACA6281">
            <w:pPr>
              <w:widowControl/>
              <w:spacing w:line="360" w:lineRule="auto"/>
              <w:jc w:val="center"/>
              <w:rPr>
                <w:rFonts w:hAnsi="宋体"/>
                <w:color w:val="auto"/>
                <w:kern w:val="0"/>
                <w:sz w:val="24"/>
                <w:highlight w:val="none"/>
              </w:rPr>
            </w:pPr>
            <w:r>
              <w:rPr>
                <w:rFonts w:hAnsi="宋体"/>
                <w:color w:val="auto"/>
                <w:kern w:val="0"/>
                <w:sz w:val="24"/>
                <w:highlight w:val="none"/>
              </w:rPr>
              <w:t>工艺流程和产污环节</w:t>
            </w:r>
          </w:p>
        </w:tc>
        <w:tc>
          <w:tcPr>
            <w:tcW w:w="8280" w:type="dxa"/>
          </w:tcPr>
          <w:p w14:paraId="5DDE1675">
            <w:pPr>
              <w:spacing w:line="360" w:lineRule="auto"/>
              <w:ind w:firstLine="482" w:firstLineChars="200"/>
              <w:rPr>
                <w:b/>
                <w:color w:val="auto"/>
                <w:sz w:val="24"/>
                <w:highlight w:val="none"/>
              </w:rPr>
            </w:pPr>
            <w:r>
              <w:rPr>
                <w:rFonts w:hint="eastAsia"/>
                <w:b/>
                <w:color w:val="auto"/>
                <w:sz w:val="24"/>
                <w:highlight w:val="none"/>
              </w:rPr>
              <w:t>1、施工期工艺流程</w:t>
            </w:r>
          </w:p>
          <w:p w14:paraId="22ED0418">
            <w:pPr>
              <w:spacing w:line="360" w:lineRule="auto"/>
              <w:ind w:firstLine="480" w:firstLineChars="200"/>
              <w:rPr>
                <w:rFonts w:hint="eastAsia"/>
                <w:color w:val="auto"/>
                <w:sz w:val="24"/>
                <w:szCs w:val="24"/>
                <w:highlight w:val="none"/>
                <w:vertAlign w:val="baseline"/>
                <w:lang w:val="en-US" w:eastAsia="zh-CN"/>
              </w:rPr>
            </w:pPr>
            <w:r>
              <w:rPr>
                <w:rFonts w:hint="eastAsia"/>
                <w:color w:val="auto"/>
                <w:sz w:val="24"/>
                <w:highlight w:val="none"/>
                <w:lang w:val="en-US" w:eastAsia="zh-CN"/>
              </w:rPr>
              <w:t>本次改建项目</w:t>
            </w:r>
            <w:r>
              <w:rPr>
                <w:rFonts w:hint="eastAsia"/>
                <w:color w:val="auto"/>
                <w:sz w:val="24"/>
                <w:szCs w:val="24"/>
                <w:highlight w:val="none"/>
                <w:lang w:val="en-US" w:eastAsia="zh-CN"/>
              </w:rPr>
              <w:t>利用低温储罐区西侧空置区域新增1台31.5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丁烷立式压力储罐、</w:t>
            </w:r>
            <w:r>
              <w:rPr>
                <w:rFonts w:hint="eastAsia"/>
                <w:color w:val="auto"/>
                <w:sz w:val="24"/>
                <w:szCs w:val="24"/>
                <w:highlight w:val="none"/>
                <w:lang w:val="en-US" w:eastAsia="zh-CN"/>
              </w:rPr>
              <w:t>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丙烷立式压力储罐、</w:t>
            </w:r>
            <w:r>
              <w:rPr>
                <w:rFonts w:hint="eastAsia"/>
                <w:color w:val="auto"/>
                <w:sz w:val="24"/>
                <w:szCs w:val="24"/>
                <w:highlight w:val="none"/>
                <w:lang w:val="en-US" w:eastAsia="zh-CN"/>
              </w:rPr>
              <w:t>1台31.5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sz w:val="24"/>
                <w:szCs w:val="24"/>
                <w:highlight w:val="none"/>
                <w:vertAlign w:val="baseline"/>
                <w:lang w:val="en-US" w:eastAsia="zh-CN"/>
              </w:rPr>
              <w:t>事故立式压力储罐以及储罐基础、防火堤以及配套设施，并新建库棚（甲类），装置建设完成后需进行设备安装，涉及土建施工活动。</w:t>
            </w:r>
          </w:p>
          <w:p w14:paraId="0F966E7C">
            <w:pPr>
              <w:spacing w:line="360" w:lineRule="auto"/>
              <w:ind w:firstLine="480" w:firstLineChars="200"/>
              <w:rPr>
                <w:color w:val="auto"/>
                <w:sz w:val="24"/>
                <w:highlight w:val="none"/>
              </w:rPr>
            </w:pPr>
            <w:r>
              <w:rPr>
                <w:rFonts w:hint="eastAsia"/>
                <w:color w:val="auto"/>
                <w:sz w:val="24"/>
                <w:highlight w:val="none"/>
                <w:lang w:val="en-US" w:eastAsia="zh-CN"/>
              </w:rPr>
              <w:t>施工期建设主要包括基础工程、主体工程、装修工程、设备安装及工程验收等。</w:t>
            </w:r>
            <w:r>
              <w:rPr>
                <w:rFonts w:hint="eastAsia"/>
                <w:color w:val="auto"/>
                <w:sz w:val="24"/>
                <w:highlight w:val="none"/>
              </w:rPr>
              <w:t>建筑施工全过程按照作业性质可以分为以下几个阶段：场地平整阶段，包括清理现场、挖掘土石方等；基础工程阶段，包括打桩、砌筑基础等；主体工程阶段，包括钢筋、混凝土工程、钢木工程、砌体工程、焊接工程等；扫尾阶段，包括设备安装、装修、回填土方、清理现场等。本项目储罐成品到场安装，</w:t>
            </w:r>
            <w:r>
              <w:rPr>
                <w:rFonts w:hAnsi="宋体"/>
                <w:color w:val="auto"/>
                <w:sz w:val="24"/>
                <w:szCs w:val="24"/>
                <w:highlight w:val="none"/>
              </w:rPr>
              <w:t>项目</w:t>
            </w:r>
            <w:r>
              <w:rPr>
                <w:rFonts w:hint="eastAsia" w:hAnsi="宋体"/>
                <w:color w:val="auto"/>
                <w:sz w:val="24"/>
                <w:szCs w:val="24"/>
                <w:highlight w:val="none"/>
              </w:rPr>
              <w:t>施工期</w:t>
            </w:r>
            <w:r>
              <w:rPr>
                <w:rFonts w:hAnsi="宋体"/>
                <w:color w:val="auto"/>
                <w:sz w:val="24"/>
                <w:szCs w:val="24"/>
                <w:highlight w:val="none"/>
              </w:rPr>
              <w:t>工艺流程及产污环节示意图如下：</w:t>
            </w:r>
          </w:p>
          <w:p w14:paraId="0D375A59">
            <w:pPr>
              <w:spacing w:line="360" w:lineRule="auto"/>
              <w:rPr>
                <w:color w:val="auto"/>
                <w:sz w:val="24"/>
                <w:highlight w:val="none"/>
              </w:rPr>
            </w:pPr>
            <w:r>
              <w:rPr>
                <w:color w:val="auto"/>
                <w:sz w:val="24"/>
                <w:highlight w:val="none"/>
              </w:rPr>
              <mc:AlternateContent>
                <mc:Choice Requires="wpc">
                  <w:drawing>
                    <wp:inline distT="0" distB="0" distL="114300" distR="114300">
                      <wp:extent cx="5172075" cy="3446145"/>
                      <wp:effectExtent l="0" t="0" r="0" b="0"/>
                      <wp:docPr id="43" name="画布 60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42" name="组合 6099"/>
                              <wpg:cNvGrpSpPr/>
                              <wpg:grpSpPr>
                                <a:xfrm>
                                  <a:off x="415203" y="314657"/>
                                  <a:ext cx="4512635" cy="2880049"/>
                                  <a:chOff x="2935" y="5192"/>
                                  <a:chExt cx="6282" cy="4009"/>
                                </a:xfrm>
                              </wpg:grpSpPr>
                              <wps:wsp>
                                <wps:cNvPr id="25" name="矩形 6100"/>
                                <wps:cNvSpPr/>
                                <wps:spPr>
                                  <a:xfrm>
                                    <a:off x="2935" y="5192"/>
                                    <a:ext cx="1754" cy="444"/>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DEF26C">
                                      <w:pPr>
                                        <w:jc w:val="center"/>
                                      </w:pPr>
                                      <w:r>
                                        <w:t>基础工程</w:t>
                                      </w:r>
                                    </w:p>
                                  </w:txbxContent>
                                </wps:txbx>
                                <wps:bodyPr upright="1"/>
                              </wps:wsp>
                              <wps:wsp>
                                <wps:cNvPr id="26" name="矩形 6101"/>
                                <wps:cNvSpPr/>
                                <wps:spPr>
                                  <a:xfrm>
                                    <a:off x="2935" y="6032"/>
                                    <a:ext cx="1754" cy="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5CDB34">
                                      <w:pPr>
                                        <w:jc w:val="center"/>
                                      </w:pPr>
                                      <w:r>
                                        <w:t>主体工程</w:t>
                                      </w:r>
                                    </w:p>
                                  </w:txbxContent>
                                </wps:txbx>
                                <wps:bodyPr upright="1"/>
                              </wps:wsp>
                              <wps:wsp>
                                <wps:cNvPr id="27" name="矩形 6102"/>
                                <wps:cNvSpPr/>
                                <wps:spPr>
                                  <a:xfrm>
                                    <a:off x="2935" y="6909"/>
                                    <a:ext cx="1754" cy="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0270C3">
                                      <w:pPr>
                                        <w:jc w:val="center"/>
                                      </w:pPr>
                                      <w:r>
                                        <w:t>装饰工程</w:t>
                                      </w:r>
                                    </w:p>
                                  </w:txbxContent>
                                </wps:txbx>
                                <wps:bodyPr upright="1"/>
                              </wps:wsp>
                              <wps:wsp>
                                <wps:cNvPr id="28" name="矩形 6103"/>
                                <wps:cNvSpPr/>
                                <wps:spPr>
                                  <a:xfrm>
                                    <a:off x="2935" y="7846"/>
                                    <a:ext cx="1754" cy="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719AF9">
                                      <w:pPr>
                                        <w:jc w:val="center"/>
                                      </w:pPr>
                                      <w:r>
                                        <w:t>设备安装调试工程</w:t>
                                      </w:r>
                                    </w:p>
                                  </w:txbxContent>
                                </wps:txbx>
                                <wps:bodyPr upright="1"/>
                              </wps:wsp>
                              <wps:wsp>
                                <wps:cNvPr id="29" name="矩形 6104"/>
                                <wps:cNvSpPr/>
                                <wps:spPr>
                                  <a:xfrm>
                                    <a:off x="2935" y="8756"/>
                                    <a:ext cx="1754" cy="44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173A98">
                                      <w:pPr>
                                        <w:jc w:val="center"/>
                                      </w:pPr>
                                      <w:r>
                                        <w:t>竣工验收</w:t>
                                      </w:r>
                                    </w:p>
                                  </w:txbxContent>
                                </wps:txbx>
                                <wps:bodyPr upright="1"/>
                              </wps:wsp>
                              <wps:wsp>
                                <wps:cNvPr id="30" name="文本框 6105"/>
                                <wps:cNvSpPr txBox="1"/>
                                <wps:spPr>
                                  <a:xfrm>
                                    <a:off x="5949" y="5192"/>
                                    <a:ext cx="2629" cy="444"/>
                                  </a:xfrm>
                                  <a:prstGeom prst="rect">
                                    <a:avLst/>
                                  </a:prstGeom>
                                  <a:solidFill>
                                    <a:srgbClr val="FFFFFF"/>
                                  </a:solidFill>
                                  <a:ln>
                                    <a:noFill/>
                                  </a:ln>
                                </wps:spPr>
                                <wps:txbx>
                                  <w:txbxContent>
                                    <w:p w14:paraId="2D4F26C3">
                                      <w:r>
                                        <w:t>噪声、扬尘、废水、建筑垃圾</w:t>
                                      </w:r>
                                    </w:p>
                                  </w:txbxContent>
                                </wps:txbx>
                                <wps:bodyPr upright="1"/>
                              </wps:wsp>
                              <wps:wsp>
                                <wps:cNvPr id="31" name="文本框 6106"/>
                                <wps:cNvSpPr txBox="1"/>
                                <wps:spPr>
                                  <a:xfrm>
                                    <a:off x="5949" y="6032"/>
                                    <a:ext cx="2956" cy="445"/>
                                  </a:xfrm>
                                  <a:prstGeom prst="rect">
                                    <a:avLst/>
                                  </a:prstGeom>
                                  <a:solidFill>
                                    <a:srgbClr val="FFFFFF"/>
                                  </a:solidFill>
                                  <a:ln>
                                    <a:noFill/>
                                  </a:ln>
                                </wps:spPr>
                                <wps:txbx>
                                  <w:txbxContent>
                                    <w:p w14:paraId="4FC6BB92">
                                      <w:r>
                                        <w:t>噪声、扬尘、建筑垃圾</w:t>
                                      </w:r>
                                    </w:p>
                                  </w:txbxContent>
                                </wps:txbx>
                                <wps:bodyPr upright="1"/>
                              </wps:wsp>
                              <wps:wsp>
                                <wps:cNvPr id="32" name="文本框 6107"/>
                                <wps:cNvSpPr txBox="1"/>
                                <wps:spPr>
                                  <a:xfrm>
                                    <a:off x="5949" y="6909"/>
                                    <a:ext cx="3268" cy="445"/>
                                  </a:xfrm>
                                  <a:prstGeom prst="rect">
                                    <a:avLst/>
                                  </a:prstGeom>
                                  <a:solidFill>
                                    <a:srgbClr val="FFFFFF"/>
                                  </a:solidFill>
                                  <a:ln>
                                    <a:noFill/>
                                  </a:ln>
                                </wps:spPr>
                                <wps:txbx>
                                  <w:txbxContent>
                                    <w:p w14:paraId="152EFEFE">
                                      <w:r>
                                        <w:t>噪声、扬尘、废水、废气、建筑垃圾</w:t>
                                      </w:r>
                                    </w:p>
                                  </w:txbxContent>
                                </wps:txbx>
                                <wps:bodyPr upright="1"/>
                              </wps:wsp>
                              <wps:wsp>
                                <wps:cNvPr id="33" name="文本框 6108"/>
                                <wps:cNvSpPr txBox="1"/>
                                <wps:spPr>
                                  <a:xfrm>
                                    <a:off x="5949" y="7846"/>
                                    <a:ext cx="3268" cy="445"/>
                                  </a:xfrm>
                                  <a:prstGeom prst="rect">
                                    <a:avLst/>
                                  </a:prstGeom>
                                  <a:solidFill>
                                    <a:srgbClr val="FFFFFF"/>
                                  </a:solidFill>
                                  <a:ln>
                                    <a:noFill/>
                                  </a:ln>
                                </wps:spPr>
                                <wps:txbx>
                                  <w:txbxContent>
                                    <w:p w14:paraId="344D364A">
                                      <w:r>
                                        <w:t>噪声</w:t>
                                      </w:r>
                                    </w:p>
                                  </w:txbxContent>
                                </wps:txbx>
                                <wps:bodyPr upright="1"/>
                              </wps:wsp>
                              <wps:wsp>
                                <wps:cNvPr id="34" name="自选图形 6109"/>
                                <wps:cNvCnPr/>
                                <wps:spPr>
                                  <a:xfrm>
                                    <a:off x="4689" y="5414"/>
                                    <a:ext cx="1260" cy="1"/>
                                  </a:xfrm>
                                  <a:prstGeom prst="straightConnector1">
                                    <a:avLst/>
                                  </a:prstGeom>
                                  <a:ln w="9525" cap="flat" cmpd="sng">
                                    <a:solidFill>
                                      <a:srgbClr val="000000"/>
                                    </a:solidFill>
                                    <a:prstDash val="dash"/>
                                    <a:headEnd type="none" w="med" len="med"/>
                                    <a:tailEnd type="triangle" w="sm" len="lg"/>
                                  </a:ln>
                                </wps:spPr>
                                <wps:bodyPr/>
                              </wps:wsp>
                              <wps:wsp>
                                <wps:cNvPr id="35" name="自选图形 6110"/>
                                <wps:cNvCnPr/>
                                <wps:spPr>
                                  <a:xfrm>
                                    <a:off x="4689" y="6255"/>
                                    <a:ext cx="1260" cy="1"/>
                                  </a:xfrm>
                                  <a:prstGeom prst="straightConnector1">
                                    <a:avLst/>
                                  </a:prstGeom>
                                  <a:ln w="9525" cap="flat" cmpd="sng">
                                    <a:solidFill>
                                      <a:srgbClr val="000000"/>
                                    </a:solidFill>
                                    <a:prstDash val="dash"/>
                                    <a:headEnd type="none" w="med" len="med"/>
                                    <a:tailEnd type="triangle" w="sm" len="lg"/>
                                  </a:ln>
                                </wps:spPr>
                                <wps:bodyPr/>
                              </wps:wsp>
                              <wps:wsp>
                                <wps:cNvPr id="36" name="自选图形 6111"/>
                                <wps:cNvCnPr/>
                                <wps:spPr>
                                  <a:xfrm>
                                    <a:off x="4689" y="7132"/>
                                    <a:ext cx="1260" cy="1"/>
                                  </a:xfrm>
                                  <a:prstGeom prst="straightConnector1">
                                    <a:avLst/>
                                  </a:prstGeom>
                                  <a:ln w="9525" cap="flat" cmpd="sng">
                                    <a:solidFill>
                                      <a:srgbClr val="000000"/>
                                    </a:solidFill>
                                    <a:prstDash val="dash"/>
                                    <a:headEnd type="none" w="med" len="med"/>
                                    <a:tailEnd type="triangle" w="sm" len="lg"/>
                                  </a:ln>
                                </wps:spPr>
                                <wps:bodyPr/>
                              </wps:wsp>
                              <wps:wsp>
                                <wps:cNvPr id="37" name="自选图形 6112"/>
                                <wps:cNvCnPr/>
                                <wps:spPr>
                                  <a:xfrm>
                                    <a:off x="4689" y="8069"/>
                                    <a:ext cx="1260" cy="1"/>
                                  </a:xfrm>
                                  <a:prstGeom prst="straightConnector1">
                                    <a:avLst/>
                                  </a:prstGeom>
                                  <a:ln w="9525" cap="flat" cmpd="sng">
                                    <a:solidFill>
                                      <a:srgbClr val="000000"/>
                                    </a:solidFill>
                                    <a:prstDash val="dash"/>
                                    <a:headEnd type="none" w="med" len="med"/>
                                    <a:tailEnd type="triangle" w="sm" len="lg"/>
                                  </a:ln>
                                </wps:spPr>
                                <wps:bodyPr/>
                              </wps:wsp>
                              <wps:wsp>
                                <wps:cNvPr id="38" name="自选图形 6113"/>
                                <wps:cNvCnPr/>
                                <wps:spPr>
                                  <a:xfrm>
                                    <a:off x="3812" y="5636"/>
                                    <a:ext cx="1" cy="396"/>
                                  </a:xfrm>
                                  <a:prstGeom prst="straightConnector1">
                                    <a:avLst/>
                                  </a:prstGeom>
                                  <a:ln w="9525" cap="flat" cmpd="sng">
                                    <a:solidFill>
                                      <a:srgbClr val="000000"/>
                                    </a:solidFill>
                                    <a:prstDash val="solid"/>
                                    <a:headEnd type="none" w="med" len="med"/>
                                    <a:tailEnd type="triangle" w="sm" len="lg"/>
                                  </a:ln>
                                </wps:spPr>
                                <wps:bodyPr/>
                              </wps:wsp>
                              <wps:wsp>
                                <wps:cNvPr id="39" name="自选图形 6114"/>
                                <wps:cNvCnPr/>
                                <wps:spPr>
                                  <a:xfrm>
                                    <a:off x="3812" y="6477"/>
                                    <a:ext cx="1" cy="432"/>
                                  </a:xfrm>
                                  <a:prstGeom prst="straightConnector1">
                                    <a:avLst/>
                                  </a:prstGeom>
                                  <a:ln w="9525" cap="flat" cmpd="sng">
                                    <a:solidFill>
                                      <a:srgbClr val="000000"/>
                                    </a:solidFill>
                                    <a:prstDash val="solid"/>
                                    <a:headEnd type="none" w="med" len="med"/>
                                    <a:tailEnd type="triangle" w="sm" len="lg"/>
                                  </a:ln>
                                </wps:spPr>
                                <wps:bodyPr/>
                              </wps:wsp>
                              <wps:wsp>
                                <wps:cNvPr id="40" name="自选图形 6115"/>
                                <wps:cNvCnPr/>
                                <wps:spPr>
                                  <a:xfrm>
                                    <a:off x="3812" y="7354"/>
                                    <a:ext cx="1" cy="492"/>
                                  </a:xfrm>
                                  <a:prstGeom prst="straightConnector1">
                                    <a:avLst/>
                                  </a:prstGeom>
                                  <a:ln w="9525" cap="flat" cmpd="sng">
                                    <a:solidFill>
                                      <a:srgbClr val="000000"/>
                                    </a:solidFill>
                                    <a:prstDash val="solid"/>
                                    <a:headEnd type="none" w="med" len="med"/>
                                    <a:tailEnd type="triangle" w="sm" len="lg"/>
                                  </a:ln>
                                </wps:spPr>
                                <wps:bodyPr/>
                              </wps:wsp>
                              <wps:wsp>
                                <wps:cNvPr id="41" name="自选图形 6116"/>
                                <wps:cNvCnPr/>
                                <wps:spPr>
                                  <a:xfrm>
                                    <a:off x="3812" y="8291"/>
                                    <a:ext cx="1" cy="465"/>
                                  </a:xfrm>
                                  <a:prstGeom prst="straightConnector1">
                                    <a:avLst/>
                                  </a:prstGeom>
                                  <a:ln w="9525" cap="flat" cmpd="sng">
                                    <a:solidFill>
                                      <a:srgbClr val="000000"/>
                                    </a:solidFill>
                                    <a:prstDash val="solid"/>
                                    <a:headEnd type="none" w="med" len="med"/>
                                    <a:tailEnd type="triangle" w="sm" len="lg"/>
                                  </a:ln>
                                </wps:spPr>
                                <wps:bodyPr/>
                              </wps:wsp>
                            </wpg:wgp>
                          </wpc:wpc>
                        </a:graphicData>
                      </a:graphic>
                    </wp:inline>
                  </w:drawing>
                </mc:Choice>
                <mc:Fallback>
                  <w:pict>
                    <v:group id="画布 6097" o:spid="_x0000_s1026" o:spt="203" style="height:271.35pt;width:407.25pt;" coordsize="5172075,3446145" editas="canvas" o:gfxdata="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">
                      <o:lock v:ext="edit" aspectratio="f"/>
                      <v:shape id="画布 6097" o:spid="_x0000_s1026" style="position:absolute;left:0;top:0;height:3446145;width:5172075;" filled="f" stroked="f" coordsize="21600,21600" o:gfxdata="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">
                        <v:fill on="f" focussize="0,0"/>
                        <v:stroke on="f"/>
                        <v:imagedata o:title=""/>
                        <o:lock v:ext="edit" aspectratio="t"/>
                      </v:shape>
                      <v:group id="组合 6099" o:spid="_x0000_s1026" o:spt="203" style="position:absolute;left:415203;top:314657;height:2880049;width:4512635;" coordorigin="2935,5192" coordsize="6282,4009" o:gfxdata="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">
                        <o:lock v:ext="edit" aspectratio="f"/>
                        <v:rect id="矩形 6100" o:spid="_x0000_s1026" o:spt="1" style="position:absolute;left:2935;top:5192;height:444;width:1754;" fillcolor="#FFFFFF" filled="t" stroked="t" coordsize="21600,21600" o:gfxdata="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h3e0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0DEF26C">
                                <w:pPr>
                                  <w:jc w:val="center"/>
                                </w:pPr>
                                <w:r>
                                  <w:t>基础工程</w:t>
                                </w:r>
                              </w:p>
                            </w:txbxContent>
                          </v:textbox>
                        </v:rect>
                        <v:rect id="矩形 6101" o:spid="_x0000_s1026" o:spt="1" style="position:absolute;left:2935;top:6032;height:445;width:1754;" fillcolor="#FFFFFF" filled="t" stroked="t" coordsize="21600,21600" o:gfxdata="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tV6cO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0F5CDB34">
                                <w:pPr>
                                  <w:jc w:val="center"/>
                                </w:pPr>
                                <w:r>
                                  <w:t>主体工程</w:t>
                                </w:r>
                              </w:p>
                            </w:txbxContent>
                          </v:textbox>
                        </v:rect>
                        <v:rect id="矩形 6102" o:spid="_x0000_s1026" o:spt="1" style="position:absolute;left:2935;top:6909;height:445;width:1754;" fillcolor="#FFFFFF" filled="t" stroked="t" coordsize="21600,21600" o:gfxdata="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Ux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0270C3">
                                <w:pPr>
                                  <w:jc w:val="center"/>
                                </w:pPr>
                                <w:r>
                                  <w:t>装饰工程</w:t>
                                </w:r>
                              </w:p>
                            </w:txbxContent>
                          </v:textbox>
                        </v:rect>
                        <v:rect id="矩形 6103" o:spid="_x0000_s1026" o:spt="1" style="position:absolute;left:2935;top:7846;height:445;width:1754;" fillcolor="#FFFFFF" filled="t" stroked="t" coordsize="21600,21600" o:gfxdata="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htgq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49719AF9">
                                <w:pPr>
                                  <w:jc w:val="center"/>
                                </w:pPr>
                                <w:r>
                                  <w:t>设备安装调试工程</w:t>
                                </w:r>
                              </w:p>
                            </w:txbxContent>
                          </v:textbox>
                        </v:rect>
                        <v:rect id="矩形 6104" o:spid="_x0000_s1026" o:spt="1" style="position:absolute;left:2935;top:8756;height:445;width:1754;" fillcolor="#FFFFFF" filled="t" stroked="t" coordsize="21600,21600" o:gfxdata="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Kfb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B173A98">
                                <w:pPr>
                                  <w:jc w:val="center"/>
                                </w:pPr>
                                <w:r>
                                  <w:t>竣工验收</w:t>
                                </w:r>
                              </w:p>
                            </w:txbxContent>
                          </v:textbox>
                        </v:rect>
                        <v:shape id="文本框 6105" o:spid="_x0000_s1026" o:spt="202" type="#_x0000_t202" style="position:absolute;left:5949;top:5192;height:444;width:2629;" fillcolor="#FFFFFF" filled="t" stroked="f" coordsize="21600,21600" o:gfxdata="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2ef0ErUAAADbAAAADwAA&#10;AAAAAAABACAAAAAiAAAAZHJzL2Rvd25yZXYueG1sUEsBAhQAFAAAAAgAh07iQDMvBZ47AAAAOQAA&#10;ABAAAAAAAAAAAQAgAAAABAEAAGRycy9zaGFwZXhtbC54bWxQSwUGAAAAAAYABgBbAQAArgMAAAAA&#10;">
                          <v:fill on="t" focussize="0,0"/>
                          <v:stroke on="f"/>
                          <v:imagedata o:title=""/>
                          <o:lock v:ext="edit" aspectratio="f"/>
                          <v:textbox>
                            <w:txbxContent>
                              <w:p w14:paraId="2D4F26C3">
                                <w:r>
                                  <w:t>噪声、扬尘、废水、建筑垃圾</w:t>
                                </w:r>
                              </w:p>
                            </w:txbxContent>
                          </v:textbox>
                        </v:shape>
                        <v:shape id="文本框 6106" o:spid="_x0000_s1026" o:spt="202" type="#_x0000_t202" style="position:absolute;left:5949;top:6032;height:445;width:2956;" fillcolor="#FFFFFF" filled="t" stroked="f" coordsize="21600,21600" o:gfxdata="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q1GJvQAA&#10;ANsAAAAPAAAAAAAAAAEAIAAAACIAAABkcnMvZG93bnJldi54bWxQSwECFAAUAAAACACHTuJAMy8F&#10;njsAAAA5AAAAEAAAAAAAAAABACAAAAAMAQAAZHJzL3NoYXBleG1sLnhtbFBLBQYAAAAABgAGAFsB&#10;AAC2AwAAAAA=&#10;">
                          <v:fill on="t" focussize="0,0"/>
                          <v:stroke on="f"/>
                          <v:imagedata o:title=""/>
                          <o:lock v:ext="edit" aspectratio="f"/>
                          <v:textbox>
                            <w:txbxContent>
                              <w:p w14:paraId="4FC6BB92">
                                <w:r>
                                  <w:t>噪声、扬尘、建筑垃圾</w:t>
                                </w:r>
                              </w:p>
                            </w:txbxContent>
                          </v:textbox>
                        </v:shape>
                        <v:shape id="文本框 6107" o:spid="_x0000_s1026" o:spt="202" type="#_x0000_t202" style="position:absolute;left:5949;top:6909;height:445;width:3268;" fillcolor="#FFFFFF" filled="t" stroked="f" coordsize="21600,21600" o:gfxdata="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nP/r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152EFEFE">
                                <w:r>
                                  <w:t>噪声、扬尘、废水、废气、建筑垃圾</w:t>
                                </w:r>
                              </w:p>
                            </w:txbxContent>
                          </v:textbox>
                        </v:shape>
                        <v:shape id="文本框 6108" o:spid="_x0000_s1026" o:spt="202" type="#_x0000_t202" style="position:absolute;left:5949;top:7846;height:445;width:3268;" fillcolor="#FFFFFF" filled="t" stroked="f" coordsize="21600,21600" o:gfxdata="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TVqZ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344D364A">
                                <w:r>
                                  <w:t>噪声</w:t>
                                </w:r>
                              </w:p>
                            </w:txbxContent>
                          </v:textbox>
                        </v:shape>
                        <v:shape id="自选图形 6109" o:spid="_x0000_s1026" o:spt="32" type="#_x0000_t32" style="position:absolute;left:4689;top:5414;height:1;width:1260;" filled="f" stroked="t" coordsize="21600,21600" o:gfxdata="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GlxwvQAA&#10;ANsAAAAPAAAAAAAAAAEAIAAAACIAAABkcnMvZG93bnJldi54bWxQSwECFAAUAAAACACHTuJAMy8F&#10;njsAAAA5AAAAEAAAAAAAAAABACAAAAAMAQAAZHJzL3NoYXBleG1sLnhtbFBLBQYAAAAABgAGAFsB&#10;AAC2AwAAAAA=&#10;">
                          <v:fill on="f" focussize="0,0"/>
                          <v:stroke color="#000000" joinstyle="round" dashstyle="dash" endarrow="block" endarrowwidth="narrow" endarrowlength="long"/>
                          <v:imagedata o:title=""/>
                          <o:lock v:ext="edit" aspectratio="f"/>
                        </v:shape>
                        <v:shape id="自选图形 6110" o:spid="_x0000_s1026" o:spt="32" type="#_x0000_t32" style="position:absolute;left:4689;top:6255;height:1;width:1260;" filled="f" stroked="t" coordsize="21600,21600" o:gfxdata="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VvnrvQAA&#10;ANsAAAAPAAAAAAAAAAEAIAAAACIAAABkcnMvZG93bnJldi54bWxQSwECFAAUAAAACACHTuJAMy8F&#10;njsAAAA5AAAAEAAAAAAAAAABACAAAAAMAQAAZHJzL3NoYXBleG1sLnhtbFBLBQYAAAAABgAGAFsB&#10;AAC2AwAAAAA=&#10;">
                          <v:fill on="f" focussize="0,0"/>
                          <v:stroke color="#000000" joinstyle="round" dashstyle="dash" endarrow="block" endarrowwidth="narrow" endarrowlength="long"/>
                          <v:imagedata o:title=""/>
                          <o:lock v:ext="edit" aspectratio="f"/>
                        </v:shape>
                        <v:shape id="自选图形 6111" o:spid="_x0000_s1026" o:spt="32" type="#_x0000_t32" style="position:absolute;left:4689;top:7132;height:1;width:1260;" filled="f" stroked="t" coordsize="21600,21600" o:gfxdata="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hGecvQAA&#10;ANsAAAAPAAAAAAAAAAEAIAAAACIAAABkcnMvZG93bnJldi54bWxQSwECFAAUAAAACACHTuJAMy8F&#10;njsAAAA5AAAAEAAAAAAAAAABACAAAAAMAQAAZHJzL3NoYXBleG1sLnhtbFBLBQYAAAAABgAGAFsB&#10;AAC2AwAAAAA=&#10;">
                          <v:fill on="f" focussize="0,0"/>
                          <v:stroke color="#000000" joinstyle="round" dashstyle="dash" endarrow="block" endarrowwidth="narrow" endarrowlength="long"/>
                          <v:imagedata o:title=""/>
                          <o:lock v:ext="edit" aspectratio="f"/>
                        </v:shape>
                        <v:shape id="自选图形 6112" o:spid="_x0000_s1026" o:spt="32" type="#_x0000_t32" style="position:absolute;left:4689;top:8069;height:1;width:1260;" filled="f" stroked="t" coordsize="21600,21600" o:gfxdata="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HIwge8AAAA&#10;2wAAAA8AAAAAAAAAAQAgAAAAIgAAAGRycy9kb3ducmV2LnhtbFBLAQIUABQAAAAIAIdO4kAzLwWe&#10;OwAAADkAAAAQAAAAAAAAAAEAIAAAAAsBAABkcnMvc2hhcGV4bWwueG1sUEsFBgAAAAAGAAYAWwEA&#10;ALUDAAAAAA==&#10;">
                          <v:fill on="f" focussize="0,0"/>
                          <v:stroke color="#000000" joinstyle="round" dashstyle="dash" endarrow="block" endarrowwidth="narrow" endarrowlength="long"/>
                          <v:imagedata o:title=""/>
                          <o:lock v:ext="edit" aspectratio="f"/>
                        </v:shape>
                        <v:shape id="自选图形 6113" o:spid="_x0000_s1026" o:spt="32" type="#_x0000_t32" style="position:absolute;left:3812;top:5636;height:396;width:1;" filled="f" stroked="t" coordsize="21600,21600" o:gfxdata="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t2a8twAAANsAAAAP&#10;AAAAAAAAAAEAIAAAACIAAABkcnMvZG93bnJldi54bWxQSwECFAAUAAAACACHTuJAMy8FnjsAAAA5&#10;AAAAEAAAAAAAAAABACAAAAAGAQAAZHJzL3NoYXBleG1sLnhtbFBLBQYAAAAABgAGAFsBAACwAwAA&#10;AAA=&#10;">
                          <v:fill on="f" focussize="0,0"/>
                          <v:stroke color="#000000" joinstyle="round" endarrow="block" endarrowwidth="narrow" endarrowlength="long"/>
                          <v:imagedata o:title=""/>
                          <o:lock v:ext="edit" aspectratio="f"/>
                        </v:shape>
                        <v:shape id="自选图形 6114" o:spid="_x0000_s1026" o:spt="32" type="#_x0000_t32" style="position:absolute;left:3812;top:6477;height:432;width:1;" filled="f" stroked="t" coordsize="21600,21600" o:gfxdata="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7wye8AAAA&#10;2wAAAA8AAAAAAAAAAQAgAAAAIgAAAGRycy9kb3ducmV2LnhtbFBLAQIUABQAAAAIAIdO4kAzLwWe&#10;OwAAADkAAAAQAAAAAAAAAAEAIAAAAAsBAABkcnMvc2hhcGV4bWwueG1sUEsFBgAAAAAGAAYAWwEA&#10;ALUDAAAAAA==&#10;">
                          <v:fill on="f" focussize="0,0"/>
                          <v:stroke color="#000000" joinstyle="round" endarrow="block" endarrowwidth="narrow" endarrowlength="long"/>
                          <v:imagedata o:title=""/>
                          <o:lock v:ext="edit" aspectratio="f"/>
                        </v:shape>
                        <v:shape id="自选图形 6115" o:spid="_x0000_s1026" o:spt="32" type="#_x0000_t32" style="position:absolute;left:3812;top:7354;height:492;width:1;" filled="f" stroked="t" coordsize="21600,21600" o:gfxdata="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IxxnHtwAAANsAAAAP&#10;AAAAAAAAAAEAIAAAACIAAABkcnMvZG93bnJldi54bWxQSwECFAAUAAAACACHTuJAMy8FnjsAAAA5&#10;AAAAEAAAAAAAAAABACAAAAAGAQAAZHJzL3NoYXBleG1sLnhtbFBLBQYAAAAABgAGAFsBAACwAwAA&#10;AAA=&#10;">
                          <v:fill on="f" focussize="0,0"/>
                          <v:stroke color="#000000" joinstyle="round" endarrow="block" endarrowwidth="narrow" endarrowlength="long"/>
                          <v:imagedata o:title=""/>
                          <o:lock v:ext="edit" aspectratio="f"/>
                        </v:shape>
                        <v:shape id="自选图形 6116" o:spid="_x0000_s1026" o:spt="32" type="#_x0000_t32" style="position:absolute;left:3812;top:8291;height:465;width:1;" filled="f" stroked="t" coordsize="21600,21600" o:gfxdata="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LvFy8AAAA&#10;2wAAAA8AAAAAAAAAAQAgAAAAIgAAAGRycy9kb3ducmV2LnhtbFBLAQIUABQAAAAIAIdO4kAzLwWe&#10;OwAAADkAAAAQAAAAAAAAAAEAIAAAAAsBAABkcnMvc2hhcGV4bWwueG1sUEsFBgAAAAAGAAYAWwEA&#10;ALUDAAAAAA==&#10;">
                          <v:fill on="f" focussize="0,0"/>
                          <v:stroke color="#000000" joinstyle="round" endarrow="block" endarrowwidth="narrow" endarrowlength="long"/>
                          <v:imagedata o:title=""/>
                          <o:lock v:ext="edit" aspectratio="f"/>
                        </v:shape>
                      </v:group>
                      <w10:wrap type="none"/>
                      <w10:anchorlock/>
                    </v:group>
                  </w:pict>
                </mc:Fallback>
              </mc:AlternateContent>
            </w:r>
          </w:p>
          <w:p w14:paraId="7F0B82EC">
            <w:pPr>
              <w:spacing w:line="360" w:lineRule="auto"/>
              <w:ind w:firstLine="480" w:firstLineChars="200"/>
              <w:jc w:val="center"/>
              <w:rPr>
                <w:color w:val="auto"/>
                <w:sz w:val="24"/>
                <w:highlight w:val="none"/>
              </w:rPr>
            </w:pPr>
            <w:r>
              <w:rPr>
                <w:rFonts w:hAnsi="黑体" w:eastAsia="黑体"/>
                <w:color w:val="auto"/>
                <w:sz w:val="24"/>
                <w:szCs w:val="24"/>
                <w:highlight w:val="none"/>
              </w:rPr>
              <w:t>图</w:t>
            </w:r>
            <w:r>
              <w:rPr>
                <w:rFonts w:hint="eastAsia" w:hAnsi="黑体" w:eastAsia="黑体"/>
                <w:color w:val="auto"/>
                <w:sz w:val="24"/>
                <w:szCs w:val="24"/>
                <w:highlight w:val="none"/>
                <w:lang w:val="en-US" w:eastAsia="zh-CN"/>
              </w:rPr>
              <w:t>2-2</w:t>
            </w:r>
            <w:r>
              <w:rPr>
                <w:rFonts w:hAnsi="黑体" w:eastAsia="黑体"/>
                <w:color w:val="auto"/>
                <w:sz w:val="24"/>
                <w:szCs w:val="24"/>
                <w:highlight w:val="none"/>
              </w:rPr>
              <w:t xml:space="preserve"> 项目施工期工艺流程及产污环节图</w:t>
            </w:r>
          </w:p>
          <w:p w14:paraId="745EDE55">
            <w:pPr>
              <w:spacing w:line="360" w:lineRule="auto"/>
              <w:ind w:firstLine="482" w:firstLineChars="200"/>
              <w:rPr>
                <w:b/>
                <w:color w:val="auto"/>
                <w:sz w:val="24"/>
                <w:highlight w:val="none"/>
              </w:rPr>
            </w:pPr>
            <w:r>
              <w:rPr>
                <w:rFonts w:hint="eastAsia"/>
                <w:b/>
                <w:color w:val="auto"/>
                <w:sz w:val="24"/>
                <w:highlight w:val="none"/>
              </w:rPr>
              <w:t>产污环节及排放情况：</w:t>
            </w:r>
          </w:p>
          <w:p w14:paraId="274D9724">
            <w:pPr>
              <w:spacing w:line="360" w:lineRule="auto"/>
              <w:ind w:firstLine="480" w:firstLineChars="200"/>
              <w:rPr>
                <w:color w:val="auto"/>
                <w:sz w:val="24"/>
                <w:highlight w:val="none"/>
              </w:rPr>
            </w:pPr>
            <w:r>
              <w:rPr>
                <w:rFonts w:hint="eastAsia"/>
                <w:color w:val="auto"/>
                <w:sz w:val="24"/>
                <w:highlight w:val="none"/>
              </w:rPr>
              <w:t>（1）废气</w:t>
            </w:r>
          </w:p>
          <w:p w14:paraId="31DE23B9">
            <w:pPr>
              <w:spacing w:line="360" w:lineRule="auto"/>
              <w:ind w:firstLine="480"/>
              <w:rPr>
                <w:color w:val="auto"/>
                <w:sz w:val="24"/>
                <w:szCs w:val="24"/>
                <w:highlight w:val="none"/>
              </w:rPr>
            </w:pPr>
            <w:r>
              <w:rPr>
                <w:rFonts w:hAnsi="宋体"/>
                <w:color w:val="auto"/>
                <w:sz w:val="24"/>
                <w:szCs w:val="24"/>
                <w:highlight w:val="none"/>
              </w:rPr>
              <w:t>项目施工期产生的废气主要有扬尘、施工机械产生的尾气</w:t>
            </w:r>
            <w:r>
              <w:rPr>
                <w:rFonts w:hint="eastAsia" w:hAnsi="宋体"/>
                <w:color w:val="auto"/>
                <w:sz w:val="24"/>
                <w:szCs w:val="24"/>
                <w:highlight w:val="none"/>
              </w:rPr>
              <w:t>、主体工程产生的焊接废气、装饰工程散发的有机废气</w:t>
            </w:r>
            <w:r>
              <w:rPr>
                <w:rFonts w:hAnsi="宋体"/>
                <w:color w:val="auto"/>
                <w:sz w:val="24"/>
                <w:szCs w:val="24"/>
                <w:highlight w:val="none"/>
              </w:rPr>
              <w:t>。</w:t>
            </w:r>
          </w:p>
          <w:p w14:paraId="44251B69">
            <w:pPr>
              <w:spacing w:line="360" w:lineRule="auto"/>
              <w:ind w:firstLine="480"/>
              <w:rPr>
                <w:color w:val="auto"/>
                <w:sz w:val="24"/>
                <w:szCs w:val="24"/>
                <w:highlight w:val="none"/>
              </w:rPr>
            </w:pPr>
            <w:r>
              <w:rPr>
                <w:rFonts w:hint="eastAsia" w:hAnsi="宋体"/>
                <w:color w:val="auto"/>
                <w:sz w:val="24"/>
                <w:szCs w:val="24"/>
                <w:highlight w:val="none"/>
              </w:rPr>
              <w:t>1）</w:t>
            </w:r>
            <w:r>
              <w:rPr>
                <w:rFonts w:hAnsi="宋体"/>
                <w:color w:val="auto"/>
                <w:sz w:val="24"/>
                <w:szCs w:val="24"/>
                <w:highlight w:val="none"/>
              </w:rPr>
              <w:t>施工扬尘主要产生在以下环节：</w:t>
            </w:r>
          </w:p>
          <w:p w14:paraId="447C621C">
            <w:pPr>
              <w:spacing w:line="360" w:lineRule="auto"/>
              <w:ind w:firstLine="480"/>
              <w:rPr>
                <w:color w:val="auto"/>
                <w:sz w:val="24"/>
                <w:szCs w:val="24"/>
                <w:highlight w:val="none"/>
              </w:rPr>
            </w:pPr>
            <w:r>
              <w:rPr>
                <w:rFonts w:hAnsi="宋体"/>
                <w:color w:val="auto"/>
                <w:sz w:val="24"/>
                <w:szCs w:val="24"/>
                <w:highlight w:val="none"/>
              </w:rPr>
              <w:t>①施工机械挖土时的扬尘；</w:t>
            </w:r>
          </w:p>
          <w:p w14:paraId="3D32AFBA">
            <w:pPr>
              <w:spacing w:line="360" w:lineRule="auto"/>
              <w:ind w:firstLine="480"/>
              <w:rPr>
                <w:color w:val="auto"/>
                <w:sz w:val="24"/>
                <w:szCs w:val="24"/>
                <w:highlight w:val="none"/>
              </w:rPr>
            </w:pPr>
            <w:r>
              <w:rPr>
                <w:rFonts w:hAnsi="宋体"/>
                <w:color w:val="auto"/>
                <w:sz w:val="24"/>
                <w:szCs w:val="24"/>
                <w:highlight w:val="none"/>
              </w:rPr>
              <w:t>②施工材料、弃土堆放时产生的扬尘；</w:t>
            </w:r>
          </w:p>
          <w:p w14:paraId="717B2724">
            <w:pPr>
              <w:spacing w:line="360" w:lineRule="auto"/>
              <w:ind w:firstLine="480"/>
              <w:rPr>
                <w:color w:val="auto"/>
                <w:sz w:val="24"/>
                <w:szCs w:val="24"/>
                <w:highlight w:val="none"/>
              </w:rPr>
            </w:pPr>
            <w:r>
              <w:rPr>
                <w:rFonts w:hAnsi="宋体"/>
                <w:color w:val="auto"/>
                <w:sz w:val="24"/>
                <w:szCs w:val="24"/>
                <w:highlight w:val="none"/>
              </w:rPr>
              <w:t>③土方运输过程中的扬尘。</w:t>
            </w:r>
          </w:p>
          <w:p w14:paraId="66CAD16E">
            <w:pPr>
              <w:spacing w:line="360" w:lineRule="auto"/>
              <w:ind w:firstLine="480"/>
              <w:rPr>
                <w:rFonts w:hAnsi="宋体"/>
                <w:color w:val="auto"/>
                <w:sz w:val="24"/>
                <w:szCs w:val="24"/>
                <w:highlight w:val="none"/>
              </w:rPr>
            </w:pPr>
            <w:r>
              <w:rPr>
                <w:rFonts w:hint="eastAsia" w:hAnsi="宋体"/>
                <w:color w:val="auto"/>
                <w:sz w:val="24"/>
                <w:szCs w:val="24"/>
                <w:highlight w:val="none"/>
              </w:rPr>
              <w:t>2）</w:t>
            </w:r>
            <w:r>
              <w:rPr>
                <w:rFonts w:hAnsi="宋体"/>
                <w:color w:val="auto"/>
                <w:sz w:val="24"/>
                <w:szCs w:val="24"/>
                <w:highlight w:val="none"/>
              </w:rPr>
              <w:t>施工期间汽车尾气来源于运输车辆、各类以燃油为动力的工程机械在场地开挖、场地平整、物料运输等施工作业时产生的尾气，排放的主要污染物为</w:t>
            </w:r>
            <w:r>
              <w:rPr>
                <w:color w:val="auto"/>
                <w:sz w:val="24"/>
                <w:szCs w:val="24"/>
                <w:highlight w:val="none"/>
              </w:rPr>
              <w:t>CO</w:t>
            </w:r>
            <w:r>
              <w:rPr>
                <w:rFonts w:hAnsi="宋体"/>
                <w:color w:val="auto"/>
                <w:sz w:val="24"/>
                <w:szCs w:val="24"/>
                <w:highlight w:val="none"/>
              </w:rPr>
              <w:t>、</w:t>
            </w:r>
            <w:r>
              <w:rPr>
                <w:color w:val="auto"/>
                <w:sz w:val="24"/>
                <w:szCs w:val="24"/>
                <w:highlight w:val="none"/>
              </w:rPr>
              <w:t>NOx</w:t>
            </w:r>
            <w:r>
              <w:rPr>
                <w:rFonts w:hAnsi="宋体"/>
                <w:color w:val="auto"/>
                <w:sz w:val="24"/>
                <w:szCs w:val="24"/>
                <w:highlight w:val="none"/>
              </w:rPr>
              <w:t>、</w:t>
            </w:r>
            <w:r>
              <w:rPr>
                <w:color w:val="auto"/>
                <w:sz w:val="24"/>
                <w:szCs w:val="24"/>
                <w:highlight w:val="none"/>
              </w:rPr>
              <w:t>烃化物</w:t>
            </w:r>
            <w:r>
              <w:rPr>
                <w:rFonts w:hAnsi="宋体"/>
                <w:color w:val="auto"/>
                <w:sz w:val="24"/>
                <w:szCs w:val="24"/>
                <w:highlight w:val="none"/>
              </w:rPr>
              <w:t>。</w:t>
            </w:r>
          </w:p>
          <w:p w14:paraId="12DC5167">
            <w:pPr>
              <w:spacing w:line="360" w:lineRule="auto"/>
              <w:ind w:firstLine="480" w:firstLineChars="200"/>
              <w:rPr>
                <w:b/>
                <w:color w:val="auto"/>
                <w:sz w:val="24"/>
                <w:highlight w:val="none"/>
              </w:rPr>
            </w:pPr>
            <w:r>
              <w:rPr>
                <w:color w:val="auto"/>
                <w:sz w:val="24"/>
                <w:szCs w:val="24"/>
                <w:highlight w:val="none"/>
              </w:rPr>
              <w:t>3</w:t>
            </w:r>
            <w:r>
              <w:rPr>
                <w:rFonts w:hint="eastAsia" w:ascii="宋体" w:hAnsi="宋体"/>
                <w:color w:val="auto"/>
                <w:sz w:val="24"/>
                <w:szCs w:val="24"/>
                <w:highlight w:val="none"/>
              </w:rPr>
              <w:t>）</w:t>
            </w:r>
            <w:r>
              <w:rPr>
                <w:rFonts w:hint="eastAsia"/>
                <w:color w:val="auto"/>
                <w:sz w:val="24"/>
                <w:highlight w:val="none"/>
              </w:rPr>
              <w:t>焊接采用氩弧焊，产生臭氧、氮氧化物废气污染物，焊接时长较短，废气产生量小。</w:t>
            </w:r>
          </w:p>
          <w:p w14:paraId="292887B8">
            <w:pPr>
              <w:spacing w:line="360" w:lineRule="auto"/>
              <w:ind w:firstLine="480" w:firstLineChars="200"/>
              <w:rPr>
                <w:rFonts w:hAnsi="宋体"/>
                <w:color w:val="auto"/>
                <w:sz w:val="24"/>
                <w:szCs w:val="24"/>
                <w:highlight w:val="none"/>
              </w:rPr>
            </w:pPr>
            <w:r>
              <w:rPr>
                <w:rFonts w:hint="eastAsia"/>
                <w:color w:val="auto"/>
                <w:sz w:val="24"/>
                <w:highlight w:val="none"/>
              </w:rPr>
              <w:t>4）</w:t>
            </w:r>
            <w:r>
              <w:rPr>
                <w:rFonts w:hAnsi="宋体"/>
                <w:color w:val="auto"/>
                <w:sz w:val="24"/>
                <w:szCs w:val="24"/>
                <w:highlight w:val="none"/>
              </w:rPr>
              <w:t>随装饰材料而异，重点控制苯系物污染。</w:t>
            </w:r>
          </w:p>
          <w:p w14:paraId="7F6DD185">
            <w:pPr>
              <w:spacing w:line="360" w:lineRule="auto"/>
              <w:ind w:firstLine="480" w:firstLineChars="200"/>
              <w:rPr>
                <w:color w:val="auto"/>
                <w:sz w:val="24"/>
                <w:highlight w:val="none"/>
              </w:rPr>
            </w:pPr>
            <w:r>
              <w:rPr>
                <w:rFonts w:hint="eastAsia" w:hAnsi="宋体"/>
                <w:color w:val="auto"/>
                <w:sz w:val="24"/>
                <w:szCs w:val="24"/>
                <w:highlight w:val="none"/>
              </w:rPr>
              <w:t>5）设备管道安装阶段使用氮气对管道进行吹扫置换，清除内部杂质灰尘，并抽真空，废气主要为氮气、颗粒物；管道气压试验采用压缩空气，该过程无废气产生。</w:t>
            </w:r>
          </w:p>
          <w:p w14:paraId="601C609B">
            <w:pPr>
              <w:spacing w:line="360" w:lineRule="auto"/>
              <w:ind w:firstLine="480" w:firstLineChars="200"/>
              <w:rPr>
                <w:color w:val="auto"/>
                <w:sz w:val="24"/>
                <w:highlight w:val="none"/>
              </w:rPr>
            </w:pPr>
            <w:r>
              <w:rPr>
                <w:rFonts w:hint="eastAsia"/>
                <w:color w:val="auto"/>
                <w:sz w:val="24"/>
                <w:highlight w:val="none"/>
              </w:rPr>
              <w:t>（2）废水</w:t>
            </w:r>
          </w:p>
          <w:p w14:paraId="73765567">
            <w:pPr>
              <w:spacing w:line="360" w:lineRule="auto"/>
              <w:ind w:firstLine="480" w:firstLineChars="200"/>
              <w:rPr>
                <w:color w:val="auto"/>
                <w:sz w:val="24"/>
                <w:highlight w:val="none"/>
              </w:rPr>
            </w:pPr>
            <w:r>
              <w:rPr>
                <w:color w:val="auto"/>
                <w:sz w:val="24"/>
                <w:highlight w:val="none"/>
              </w:rPr>
              <w:t>本工程施工期废水主要为施工人员产生的生活污水及建筑施工废水，施工人员借用园区内公用厕所如厕，厂区不设卫生间，厂区内不产生污染物。施工废水主要是混凝土养护废水以及设备工具清洗水等，主要含SS和石油类等。施工废水其产生量较小，按</w:t>
            </w:r>
            <w:r>
              <w:rPr>
                <w:rFonts w:hint="eastAsia"/>
                <w:color w:val="auto"/>
                <w:sz w:val="24"/>
                <w:highlight w:val="none"/>
              </w:rPr>
              <w:t>2</w:t>
            </w:r>
            <w:r>
              <w:rPr>
                <w:color w:val="auto"/>
                <w:sz w:val="24"/>
                <w:highlight w:val="none"/>
              </w:rPr>
              <w:t>m</w:t>
            </w:r>
            <w:r>
              <w:rPr>
                <w:color w:val="auto"/>
                <w:sz w:val="24"/>
                <w:highlight w:val="none"/>
                <w:vertAlign w:val="superscript"/>
              </w:rPr>
              <w:t>3</w:t>
            </w:r>
            <w:r>
              <w:rPr>
                <w:color w:val="auto"/>
                <w:sz w:val="24"/>
                <w:highlight w:val="none"/>
              </w:rPr>
              <w:t>/d计，水的消耗率以20%计，则施工废水产生量约</w:t>
            </w:r>
            <w:r>
              <w:rPr>
                <w:rFonts w:hint="eastAsia"/>
                <w:color w:val="auto"/>
                <w:sz w:val="24"/>
                <w:highlight w:val="none"/>
              </w:rPr>
              <w:t>1.6</w:t>
            </w:r>
            <w:r>
              <w:rPr>
                <w:color w:val="auto"/>
                <w:sz w:val="24"/>
                <w:highlight w:val="none"/>
              </w:rPr>
              <w:t>m</w:t>
            </w:r>
            <w:r>
              <w:rPr>
                <w:color w:val="auto"/>
                <w:sz w:val="24"/>
                <w:highlight w:val="none"/>
                <w:vertAlign w:val="superscript"/>
              </w:rPr>
              <w:t>3</w:t>
            </w:r>
            <w:r>
              <w:rPr>
                <w:color w:val="auto"/>
                <w:sz w:val="24"/>
                <w:highlight w:val="none"/>
              </w:rPr>
              <w:t>/d。建筑施工废水产生量较少，沉淀后回用。</w:t>
            </w:r>
          </w:p>
          <w:p w14:paraId="691559D4">
            <w:pPr>
              <w:spacing w:line="360" w:lineRule="auto"/>
              <w:ind w:firstLine="480" w:firstLineChars="200"/>
              <w:rPr>
                <w:color w:val="auto"/>
                <w:sz w:val="24"/>
                <w:highlight w:val="none"/>
              </w:rPr>
            </w:pPr>
            <w:r>
              <w:rPr>
                <w:rFonts w:hint="eastAsia"/>
                <w:color w:val="auto"/>
                <w:sz w:val="24"/>
                <w:highlight w:val="none"/>
              </w:rPr>
              <w:t>（3）噪声</w:t>
            </w:r>
          </w:p>
          <w:p w14:paraId="3EA14C0D">
            <w:pPr>
              <w:spacing w:line="360" w:lineRule="auto"/>
              <w:ind w:firstLine="480" w:firstLineChars="200"/>
              <w:rPr>
                <w:rFonts w:hint="eastAsia" w:eastAsia="宋体"/>
                <w:color w:val="auto"/>
                <w:sz w:val="24"/>
                <w:highlight w:val="none"/>
                <w:lang w:eastAsia="zh-CN"/>
              </w:rPr>
            </w:pPr>
            <w:r>
              <w:rPr>
                <w:color w:val="auto"/>
                <w:sz w:val="24"/>
                <w:highlight w:val="none"/>
              </w:rPr>
              <w:t>噪声污染是施工期的主要环境问题。施工期的噪声污染可以分为四个阶段：土方工程、基础工程、结构工程及装修阶段</w:t>
            </w:r>
            <w:r>
              <w:rPr>
                <w:rFonts w:hint="eastAsia"/>
                <w:color w:val="auto"/>
                <w:sz w:val="24"/>
                <w:highlight w:val="none"/>
                <w:lang w:eastAsia="zh-CN"/>
              </w:rPr>
              <w:t>。</w:t>
            </w:r>
          </w:p>
          <w:p w14:paraId="6151490E">
            <w:pPr>
              <w:spacing w:line="360" w:lineRule="auto"/>
              <w:ind w:firstLine="480" w:firstLineChars="200"/>
              <w:rPr>
                <w:color w:val="auto"/>
                <w:sz w:val="24"/>
                <w:highlight w:val="none"/>
              </w:rPr>
            </w:pPr>
            <w:r>
              <w:rPr>
                <w:rFonts w:hint="eastAsia"/>
                <w:color w:val="auto"/>
                <w:sz w:val="24"/>
                <w:highlight w:val="none"/>
              </w:rPr>
              <w:t>（4）固体废物</w:t>
            </w:r>
          </w:p>
          <w:p w14:paraId="049560D4">
            <w:pPr>
              <w:spacing w:line="360" w:lineRule="auto"/>
              <w:ind w:firstLine="480" w:firstLineChars="200"/>
              <w:rPr>
                <w:color w:val="auto"/>
                <w:sz w:val="24"/>
                <w:highlight w:val="none"/>
              </w:rPr>
            </w:pPr>
            <w:r>
              <w:rPr>
                <w:bCs/>
                <w:color w:val="auto"/>
                <w:sz w:val="24"/>
                <w:highlight w:val="none"/>
              </w:rPr>
              <w:t>施工期的固废主要有施工人员产生的生活垃圾、各种建筑垃圾等。</w:t>
            </w:r>
            <w:r>
              <w:rPr>
                <w:rFonts w:hint="eastAsia"/>
                <w:snapToGrid w:val="0"/>
                <w:color w:val="auto"/>
                <w:sz w:val="24"/>
                <w:highlight w:val="none"/>
              </w:rPr>
              <w:t>施工的时间较短，且施工</w:t>
            </w:r>
            <w:r>
              <w:rPr>
                <w:rFonts w:hint="eastAsia"/>
                <w:snapToGrid w:val="0"/>
                <w:color w:val="auto"/>
                <w:sz w:val="24"/>
                <w:highlight w:val="none"/>
                <w:lang w:val="en-US" w:eastAsia="zh-CN"/>
              </w:rPr>
              <w:t>安装</w:t>
            </w:r>
            <w:r>
              <w:rPr>
                <w:rFonts w:hint="eastAsia"/>
                <w:snapToGrid w:val="0"/>
                <w:color w:val="auto"/>
                <w:sz w:val="24"/>
                <w:highlight w:val="none"/>
              </w:rPr>
              <w:t>区域集中在</w:t>
            </w:r>
            <w:r>
              <w:rPr>
                <w:rFonts w:hint="eastAsia"/>
                <w:snapToGrid w:val="0"/>
                <w:color w:val="auto"/>
                <w:sz w:val="24"/>
                <w:highlight w:val="none"/>
                <w:lang w:val="en-US" w:eastAsia="zh-CN"/>
              </w:rPr>
              <w:t>装置区</w:t>
            </w:r>
            <w:r>
              <w:rPr>
                <w:rFonts w:hint="eastAsia"/>
                <w:snapToGrid w:val="0"/>
                <w:color w:val="auto"/>
                <w:sz w:val="24"/>
                <w:highlight w:val="none"/>
              </w:rPr>
              <w:t>内部，对区域环境影响效果不显著。</w:t>
            </w:r>
          </w:p>
          <w:p w14:paraId="341C6D62">
            <w:pPr>
              <w:spacing w:line="360" w:lineRule="auto"/>
              <w:ind w:firstLine="482" w:firstLineChars="200"/>
              <w:rPr>
                <w:b/>
                <w:color w:val="auto"/>
                <w:sz w:val="24"/>
                <w:highlight w:val="none"/>
              </w:rPr>
            </w:pPr>
            <w:r>
              <w:rPr>
                <w:rFonts w:hint="eastAsia"/>
                <w:b/>
                <w:color w:val="auto"/>
                <w:sz w:val="24"/>
                <w:highlight w:val="none"/>
              </w:rPr>
              <w:t>2、运营期工艺流程</w:t>
            </w:r>
          </w:p>
          <w:p w14:paraId="6946B9A0">
            <w:pPr>
              <w:pStyle w:val="52"/>
              <w:adjustRightInd/>
              <w:spacing w:line="360" w:lineRule="auto"/>
              <w:ind w:firstLine="480" w:firstLineChars="200"/>
              <w:rPr>
                <w:rFonts w:hint="default"/>
                <w:color w:val="auto"/>
                <w:highlight w:val="none"/>
                <w:lang w:val="en-US" w:eastAsia="zh-CN"/>
              </w:rPr>
            </w:pPr>
            <w:r>
              <w:rPr>
                <w:rFonts w:hint="eastAsia"/>
                <w:color w:val="auto"/>
                <w:highlight w:val="none"/>
              </w:rPr>
              <w:t>本</w:t>
            </w:r>
            <w:r>
              <w:rPr>
                <w:rFonts w:hint="eastAsia"/>
                <w:color w:val="auto"/>
                <w:highlight w:val="none"/>
                <w:lang w:val="en-US" w:eastAsia="zh-CN"/>
              </w:rPr>
              <w:t>次改建项目新增丙烷充装规模1000吨/年、丁烷充装规模800吨/年，新建1台</w:t>
            </w:r>
            <w:r>
              <w:rPr>
                <w:rFonts w:hint="eastAsia"/>
                <w:color w:val="auto"/>
                <w:sz w:val="24"/>
                <w:szCs w:val="24"/>
                <w:highlight w:val="none"/>
                <w:lang w:val="en-US" w:eastAsia="zh-CN"/>
              </w:rPr>
              <w:t>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highlight w:val="none"/>
                <w:lang w:val="en-US" w:eastAsia="zh-CN"/>
              </w:rPr>
              <w:t>丙烷压力储罐、1台</w:t>
            </w:r>
            <w:r>
              <w:rPr>
                <w:rFonts w:hint="eastAsia"/>
                <w:color w:val="auto"/>
                <w:sz w:val="24"/>
                <w:szCs w:val="24"/>
                <w:highlight w:val="none"/>
                <w:lang w:val="en-US" w:eastAsia="zh-CN"/>
              </w:rPr>
              <w:t>31.5</w:t>
            </w:r>
            <w:r>
              <w:rPr>
                <w:rFonts w:hint="eastAsia"/>
                <w:color w:val="auto"/>
                <w:sz w:val="24"/>
                <w:szCs w:val="24"/>
                <w:highlight w:val="none"/>
                <w:lang w:eastAsia="zh-CN"/>
              </w:rPr>
              <w:t>m</w:t>
            </w:r>
            <w:r>
              <w:rPr>
                <w:rFonts w:hint="eastAsia"/>
                <w:color w:val="auto"/>
                <w:sz w:val="24"/>
                <w:szCs w:val="24"/>
                <w:highlight w:val="none"/>
                <w:vertAlign w:val="superscript"/>
                <w:lang w:val="en-US" w:eastAsia="zh-CN"/>
              </w:rPr>
              <w:t>3</w:t>
            </w:r>
            <w:r>
              <w:rPr>
                <w:rFonts w:hint="eastAsia"/>
                <w:color w:val="auto"/>
                <w:highlight w:val="none"/>
                <w:lang w:val="en-US" w:eastAsia="zh-CN"/>
              </w:rPr>
              <w:t>丁烷压力储罐，新建1条丙烷充装线、1条丁烷充装线及配套设施。</w:t>
            </w:r>
          </w:p>
          <w:p w14:paraId="395141D8">
            <w:pPr>
              <w:pStyle w:val="52"/>
              <w:adjustRightInd/>
              <w:spacing w:line="360" w:lineRule="auto"/>
              <w:ind w:firstLine="480" w:firstLineChars="200"/>
              <w:rPr>
                <w:color w:val="auto"/>
                <w:highlight w:val="none"/>
              </w:rPr>
            </w:pPr>
            <w:r>
              <w:rPr>
                <w:rFonts w:hint="eastAsia"/>
                <w:color w:val="auto"/>
                <w:highlight w:val="none"/>
                <w:lang w:val="en-US" w:eastAsia="zh-CN"/>
              </w:rPr>
              <w:t>本次新增丙烷/丁烷原料由罐车装载运输至厂区后停泊于厂区东北部槽罐车位，通过丙烷/丁烷卸车鹤管连接储罐，开启罐车气相、液相及增压阀以及储罐进液阀和气相阀进行排压，再通过压缩机对罐车进行增压，完成丙烷/丁烷卸车环节；丙烷/丁烷</w:t>
            </w:r>
            <w:r>
              <w:rPr>
                <w:rFonts w:hint="eastAsia"/>
                <w:color w:val="auto"/>
                <w:highlight w:val="none"/>
              </w:rPr>
              <w:t>新钢瓶、返厂钢瓶由气瓶运输车运送至厂区后停泊于装卸车位，均使用气罐叉车卸下，新钢瓶使用气冷式无油真空泵抽真空并完成氮气置换后待充装，返厂钢瓶经过检查、检测后，保留符合充装条件的钢瓶，并转移至充装间以待充装。</w:t>
            </w:r>
          </w:p>
          <w:p w14:paraId="0E3F754C">
            <w:pPr>
              <w:pStyle w:val="52"/>
              <w:adjustRightInd/>
              <w:spacing w:line="360" w:lineRule="auto"/>
              <w:ind w:firstLine="480" w:firstLineChars="200"/>
              <w:rPr>
                <w:color w:val="auto"/>
                <w:highlight w:val="none"/>
              </w:rPr>
            </w:pPr>
            <w:r>
              <w:rPr>
                <w:rFonts w:hint="eastAsia"/>
                <w:color w:val="auto"/>
                <w:highlight w:val="none"/>
                <w:lang w:val="en-US" w:eastAsia="zh-CN"/>
              </w:rPr>
              <w:t>压力</w:t>
            </w:r>
            <w:r>
              <w:rPr>
                <w:rFonts w:hint="eastAsia"/>
                <w:color w:val="auto"/>
                <w:highlight w:val="none"/>
              </w:rPr>
              <w:t>储罐内</w:t>
            </w:r>
            <w:r>
              <w:rPr>
                <w:rFonts w:hint="eastAsia"/>
                <w:color w:val="auto"/>
                <w:highlight w:val="none"/>
                <w:lang w:val="en-US" w:eastAsia="zh-CN"/>
              </w:rPr>
              <w:t>丙烷/丁烷</w:t>
            </w:r>
            <w:r>
              <w:rPr>
                <w:rFonts w:hint="eastAsia"/>
                <w:color w:val="auto"/>
                <w:highlight w:val="none"/>
              </w:rPr>
              <w:t>由</w:t>
            </w:r>
            <w:r>
              <w:rPr>
                <w:rFonts w:hint="eastAsia"/>
                <w:color w:val="auto"/>
                <w:highlight w:val="none"/>
                <w:lang w:val="en-US" w:eastAsia="zh-CN"/>
              </w:rPr>
              <w:t>出料</w:t>
            </w:r>
            <w:r>
              <w:rPr>
                <w:rFonts w:hint="eastAsia"/>
                <w:color w:val="auto"/>
                <w:highlight w:val="none"/>
              </w:rPr>
              <w:t>泵抽出</w:t>
            </w:r>
            <w:r>
              <w:rPr>
                <w:rFonts w:hint="eastAsia"/>
                <w:color w:val="auto"/>
                <w:highlight w:val="none"/>
                <w:lang w:val="en-US" w:eastAsia="zh-CN"/>
              </w:rPr>
              <w:t>后，</w:t>
            </w:r>
            <w:r>
              <w:rPr>
                <w:rFonts w:hint="eastAsia"/>
                <w:color w:val="auto"/>
                <w:highlight w:val="none"/>
              </w:rPr>
              <w:t>通过高压管道输送至</w:t>
            </w:r>
            <w:r>
              <w:rPr>
                <w:rFonts w:hint="eastAsia"/>
                <w:color w:val="auto"/>
                <w:highlight w:val="none"/>
                <w:lang w:val="en-US" w:eastAsia="zh-CN"/>
              </w:rPr>
              <w:t>丙烷/丁烷</w:t>
            </w:r>
            <w:r>
              <w:rPr>
                <w:rFonts w:hint="eastAsia"/>
                <w:color w:val="auto"/>
                <w:highlight w:val="none"/>
              </w:rPr>
              <w:t>充装汇流排；钢瓶阀门与充装汇流排软管接口连接，并使用电子称量设备精准称重。</w:t>
            </w:r>
          </w:p>
          <w:p w14:paraId="281BAF5D">
            <w:pPr>
              <w:pStyle w:val="52"/>
              <w:adjustRightInd/>
              <w:spacing w:line="360" w:lineRule="auto"/>
              <w:ind w:firstLine="480" w:firstLineChars="200"/>
              <w:rPr>
                <w:color w:val="auto"/>
                <w:highlight w:val="none"/>
                <w:u w:val="single"/>
              </w:rPr>
            </w:pPr>
            <w:r>
              <w:rPr>
                <w:rFonts w:hint="eastAsia"/>
                <w:color w:val="auto"/>
                <w:highlight w:val="none"/>
                <w:u w:val="single"/>
              </w:rPr>
              <w:t>运营期每</w:t>
            </w:r>
            <w:r>
              <w:rPr>
                <w:rFonts w:hint="eastAsia"/>
                <w:color w:val="auto"/>
                <w:highlight w:val="none"/>
                <w:u w:val="single"/>
                <w:lang w:val="en-US" w:eastAsia="zh-CN"/>
              </w:rPr>
              <w:t>5~6</w:t>
            </w:r>
            <w:r>
              <w:rPr>
                <w:rFonts w:hint="eastAsia"/>
                <w:color w:val="auto"/>
                <w:highlight w:val="none"/>
                <w:u w:val="single"/>
              </w:rPr>
              <w:t>年开展1次设备检修，检修前使用氮气对设备和管道进行吹扫</w:t>
            </w:r>
            <w:r>
              <w:rPr>
                <w:rFonts w:hint="eastAsia"/>
                <w:color w:val="auto"/>
                <w:highlight w:val="none"/>
                <w:u w:val="single"/>
                <w:lang w:val="en-US" w:eastAsia="zh-CN"/>
              </w:rPr>
              <w:t>1~2次后</w:t>
            </w:r>
            <w:r>
              <w:rPr>
                <w:rFonts w:hint="eastAsia"/>
                <w:color w:val="auto"/>
                <w:highlight w:val="none"/>
                <w:u w:val="single"/>
              </w:rPr>
              <w:t>将内部</w:t>
            </w:r>
            <w:r>
              <w:rPr>
                <w:rFonts w:hint="eastAsia"/>
                <w:color w:val="auto"/>
                <w:highlight w:val="none"/>
                <w:u w:val="single"/>
                <w:lang w:val="en-US" w:eastAsia="zh-CN"/>
              </w:rPr>
              <w:t>丙烷/丁烷</w:t>
            </w:r>
            <w:r>
              <w:rPr>
                <w:rFonts w:hint="eastAsia"/>
                <w:color w:val="auto"/>
                <w:highlight w:val="none"/>
                <w:u w:val="single"/>
              </w:rPr>
              <w:t>全部置换并抽真空</w:t>
            </w:r>
            <w:r>
              <w:rPr>
                <w:rFonts w:hint="eastAsia"/>
                <w:color w:val="auto"/>
                <w:highlight w:val="none"/>
                <w:u w:val="single"/>
                <w:lang w:eastAsia="zh-CN"/>
              </w:rPr>
              <w:t>，</w:t>
            </w:r>
            <w:r>
              <w:rPr>
                <w:rFonts w:hint="eastAsia"/>
                <w:color w:val="auto"/>
                <w:highlight w:val="none"/>
                <w:u w:val="single"/>
                <w:lang w:val="en-US" w:eastAsia="zh-CN"/>
              </w:rPr>
              <w:t>再使用高压水枪对罐内进行冲洗，产生的储罐冲洗废液中含部分罐底残液</w:t>
            </w:r>
            <w:r>
              <w:rPr>
                <w:rFonts w:hint="eastAsia"/>
                <w:color w:val="auto"/>
                <w:highlight w:val="none"/>
                <w:u w:val="single"/>
              </w:rPr>
              <w:t>；检修后再次使用氮气对设备和管道进行吹扫，清除管道内</w:t>
            </w:r>
            <w:r>
              <w:rPr>
                <w:rFonts w:hint="eastAsia"/>
                <w:color w:val="auto"/>
                <w:highlight w:val="none"/>
                <w:u w:val="single"/>
                <w:lang w:val="en-US" w:eastAsia="zh-CN"/>
              </w:rPr>
              <w:t>丙烷/丁烷</w:t>
            </w:r>
            <w:r>
              <w:rPr>
                <w:rFonts w:hint="eastAsia"/>
                <w:color w:val="auto"/>
                <w:highlight w:val="none"/>
                <w:u w:val="single"/>
              </w:rPr>
              <w:t>、空气及杂质，吹扫完成后管道可保持清洁状态，</w:t>
            </w:r>
            <w:r>
              <w:rPr>
                <w:rFonts w:hint="eastAsia"/>
                <w:color w:val="auto"/>
                <w:highlight w:val="none"/>
                <w:u w:val="single"/>
                <w:lang w:val="en-US" w:eastAsia="zh-CN"/>
              </w:rPr>
              <w:t>管道</w:t>
            </w:r>
            <w:r>
              <w:rPr>
                <w:rFonts w:hint="eastAsia"/>
                <w:color w:val="auto"/>
                <w:highlight w:val="none"/>
                <w:u w:val="single"/>
              </w:rPr>
              <w:t>无需再清洗。运营期设备检修环节</w:t>
            </w:r>
            <w:r>
              <w:rPr>
                <w:rFonts w:hint="eastAsia"/>
                <w:color w:val="auto"/>
                <w:highlight w:val="none"/>
                <w:u w:val="single"/>
                <w:lang w:val="en-US" w:eastAsia="zh-CN"/>
              </w:rPr>
              <w:t>涉及储罐冲洗废液，根据建设单位提供的设计资料，委托有资质的第三方公司对丙烷、丁烷储罐进行检维修清洗作业，罐内冲洗废液产生量约6m</w:t>
            </w:r>
            <w:r>
              <w:rPr>
                <w:rFonts w:hint="eastAsia"/>
                <w:color w:val="auto"/>
                <w:highlight w:val="none"/>
                <w:u w:val="single"/>
                <w:vertAlign w:val="superscript"/>
                <w:lang w:val="en-US" w:eastAsia="zh-CN"/>
              </w:rPr>
              <w:t>3</w:t>
            </w:r>
            <w:r>
              <w:rPr>
                <w:rFonts w:hint="eastAsia"/>
                <w:color w:val="auto"/>
                <w:highlight w:val="none"/>
                <w:u w:val="single"/>
                <w:lang w:val="en-US" w:eastAsia="zh-CN"/>
              </w:rPr>
              <w:t>/次，产生的储罐冲洗废液直接由有资质的第三方检修单位直接带走处理，不在厂区内暂存</w:t>
            </w:r>
            <w:r>
              <w:rPr>
                <w:rFonts w:hint="eastAsia"/>
                <w:color w:val="auto"/>
                <w:highlight w:val="none"/>
                <w:u w:val="single"/>
              </w:rPr>
              <w:t>。</w:t>
            </w:r>
          </w:p>
          <w:p w14:paraId="08EAF027">
            <w:pPr>
              <w:pStyle w:val="52"/>
              <w:adjustRightInd/>
              <w:spacing w:line="360" w:lineRule="auto"/>
              <w:ind w:firstLine="482" w:firstLineChars="200"/>
              <w:rPr>
                <w:b/>
                <w:color w:val="auto"/>
                <w:highlight w:val="none"/>
              </w:rPr>
            </w:pPr>
            <w:r>
              <w:rPr>
                <w:rFonts w:hint="eastAsia"/>
                <w:b/>
                <w:color w:val="auto"/>
                <w:highlight w:val="none"/>
              </w:rPr>
              <w:t>（1）整体储运工艺流程</w:t>
            </w:r>
          </w:p>
          <w:p w14:paraId="1656A527">
            <w:pPr>
              <w:pStyle w:val="52"/>
              <w:adjustRightInd/>
              <w:spacing w:line="360" w:lineRule="auto"/>
              <w:ind w:firstLine="480" w:firstLineChars="200"/>
              <w:rPr>
                <w:rFonts w:hint="eastAsia"/>
                <w:color w:val="auto"/>
                <w:highlight w:val="none"/>
              </w:rPr>
            </w:pPr>
            <w:r>
              <w:rPr>
                <w:rFonts w:hint="eastAsia"/>
                <w:color w:val="auto"/>
                <w:highlight w:val="none"/>
              </w:rPr>
              <w:t>本项目</w:t>
            </w:r>
            <w:r>
              <w:rPr>
                <w:rFonts w:hint="eastAsia"/>
                <w:color w:val="auto"/>
                <w:highlight w:val="none"/>
                <w:lang w:val="en-US" w:eastAsia="zh-CN"/>
              </w:rPr>
              <w:t>丙烷/丁烷</w:t>
            </w:r>
            <w:r>
              <w:rPr>
                <w:rFonts w:hint="eastAsia"/>
                <w:color w:val="auto"/>
                <w:highlight w:val="none"/>
              </w:rPr>
              <w:t>整体储运工艺流程示意图如下图3所示。</w:t>
            </w:r>
          </w:p>
          <w:p w14:paraId="6F3716AE">
            <w:pPr>
              <w:pStyle w:val="52"/>
              <w:adjustRightInd/>
              <w:spacing w:line="360" w:lineRule="auto"/>
              <w:ind w:firstLine="480" w:firstLineChars="200"/>
              <w:rPr>
                <w:rFonts w:hint="eastAsia"/>
                <w:color w:val="auto"/>
                <w:highlight w:val="none"/>
              </w:rPr>
            </w:pPr>
          </w:p>
          <w:p w14:paraId="5B78C078">
            <w:pPr>
              <w:pStyle w:val="52"/>
              <w:adjustRightInd/>
              <w:spacing w:line="360" w:lineRule="auto"/>
              <w:ind w:firstLine="480" w:firstLineChars="200"/>
              <w:rPr>
                <w:rFonts w:hint="eastAsia"/>
                <w:color w:val="auto"/>
                <w:highlight w:val="none"/>
              </w:rPr>
            </w:pPr>
          </w:p>
          <w:p w14:paraId="479052B5">
            <w:pPr>
              <w:pStyle w:val="52"/>
              <w:adjustRightInd/>
              <w:spacing w:line="360" w:lineRule="auto"/>
              <w:ind w:firstLine="480" w:firstLineChars="200"/>
              <w:rPr>
                <w:rFonts w:hint="eastAsia"/>
                <w:color w:val="auto"/>
                <w:highlight w:val="none"/>
              </w:rPr>
            </w:pPr>
          </w:p>
          <w:p w14:paraId="68704F96">
            <w:pPr>
              <w:pStyle w:val="52"/>
              <w:adjustRightInd/>
              <w:spacing w:line="360" w:lineRule="auto"/>
              <w:ind w:firstLine="480" w:firstLineChars="200"/>
              <w:rPr>
                <w:rFonts w:hint="eastAsia"/>
                <w:color w:val="auto"/>
                <w:highlight w:val="none"/>
              </w:rPr>
            </w:pPr>
          </w:p>
          <w:p w14:paraId="38B33D74">
            <w:pPr>
              <w:pStyle w:val="52"/>
              <w:adjustRightInd/>
              <w:spacing w:line="360" w:lineRule="auto"/>
              <w:ind w:firstLine="480" w:firstLineChars="200"/>
              <w:rPr>
                <w:rFonts w:hint="eastAsia"/>
                <w:color w:val="auto"/>
                <w:highlight w:val="none"/>
              </w:rPr>
            </w:pPr>
          </w:p>
          <w:p w14:paraId="1BDF7DCB">
            <w:pPr>
              <w:pStyle w:val="52"/>
              <w:adjustRightInd/>
              <w:spacing w:line="360" w:lineRule="auto"/>
              <w:ind w:firstLine="480" w:firstLineChars="200"/>
              <w:rPr>
                <w:rFonts w:hint="eastAsia"/>
                <w:color w:val="auto"/>
                <w:highlight w:val="none"/>
              </w:rPr>
            </w:pPr>
          </w:p>
          <w:p w14:paraId="4CA1C9C8">
            <w:pPr>
              <w:pStyle w:val="52"/>
              <w:adjustRightInd/>
              <w:spacing w:line="360" w:lineRule="auto"/>
              <w:ind w:firstLine="480" w:firstLineChars="200"/>
              <w:rPr>
                <w:rFonts w:hint="eastAsia"/>
                <w:color w:val="auto"/>
                <w:highlight w:val="none"/>
              </w:rPr>
            </w:pPr>
          </w:p>
          <w:p w14:paraId="7DFAC55D">
            <w:pPr>
              <w:pStyle w:val="52"/>
              <w:adjustRightInd/>
              <w:spacing w:line="360" w:lineRule="auto"/>
              <w:ind w:firstLine="480" w:firstLineChars="200"/>
              <w:rPr>
                <w:rFonts w:hint="eastAsia"/>
                <w:color w:val="auto"/>
                <w:highlight w:val="none"/>
              </w:rPr>
            </w:pPr>
          </w:p>
          <w:p w14:paraId="79DFB674">
            <w:pPr>
              <w:pStyle w:val="52"/>
              <w:adjustRightInd/>
              <w:spacing w:line="360" w:lineRule="auto"/>
              <w:rPr>
                <w:rFonts w:hint="eastAsia"/>
                <w:color w:val="auto"/>
                <w:highlight w:val="none"/>
              </w:rPr>
            </w:pPr>
          </w:p>
          <w:p w14:paraId="288C1CF8">
            <w:pPr>
              <w:adjustRightInd w:val="0"/>
              <w:spacing w:line="360" w:lineRule="auto"/>
              <w:rPr>
                <w:rFonts w:hAnsi="宋体"/>
                <w:color w:val="auto"/>
                <w:sz w:val="24"/>
                <w:highlight w:val="none"/>
              </w:rPr>
            </w:pPr>
            <w:r>
              <w:rPr>
                <w:rFonts w:hAnsi="宋体"/>
                <w:color w:val="auto"/>
                <w:sz w:val="24"/>
                <w:highlight w:val="none"/>
              </w:rPr>
              <mc:AlternateContent>
                <mc:Choice Requires="wpc">
                  <w:drawing>
                    <wp:inline distT="0" distB="0" distL="114300" distR="114300">
                      <wp:extent cx="5219065" cy="4022090"/>
                      <wp:effectExtent l="0" t="0" r="0" b="0"/>
                      <wp:docPr id="67" name="画布 61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6" name="组合 6285"/>
                              <wpg:cNvGrpSpPr/>
                              <wpg:grpSpPr>
                                <a:xfrm>
                                  <a:off x="247015" y="916940"/>
                                  <a:ext cx="4658995" cy="2393950"/>
                                  <a:chOff x="2574" y="5352"/>
                                  <a:chExt cx="7337" cy="3770"/>
                                </a:xfrm>
                              </wpg:grpSpPr>
                              <wps:wsp>
                                <wps:cNvPr id="44" name="矩形 6119"/>
                                <wps:cNvSpPr/>
                                <wps:spPr>
                                  <a:xfrm>
                                    <a:off x="6525" y="5352"/>
                                    <a:ext cx="1195" cy="46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A4D3CD">
                                      <w:pPr>
                                        <w:jc w:val="center"/>
                                      </w:pPr>
                                      <w:r>
                                        <w:t>气体卸车</w:t>
                                      </w:r>
                                    </w:p>
                                  </w:txbxContent>
                                </wps:txbx>
                                <wps:bodyPr upright="1"/>
                              </wps:wsp>
                              <wps:wsp>
                                <wps:cNvPr id="45" name="矩形 6120"/>
                                <wps:cNvSpPr/>
                                <wps:spPr>
                                  <a:xfrm>
                                    <a:off x="6525" y="6425"/>
                                    <a:ext cx="1196" cy="46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5A1795">
                                      <w:pPr>
                                        <w:jc w:val="center"/>
                                        <w:rPr>
                                          <w:rFonts w:hint="default" w:eastAsia="宋体"/>
                                          <w:lang w:val="en-US" w:eastAsia="zh-CN"/>
                                        </w:rPr>
                                      </w:pPr>
                                      <w:r>
                                        <w:rPr>
                                          <w:rFonts w:hint="eastAsia"/>
                                          <w:lang w:val="en-US" w:eastAsia="zh-CN"/>
                                        </w:rPr>
                                        <w:t>气体储存</w:t>
                                      </w:r>
                                    </w:p>
                                  </w:txbxContent>
                                </wps:txbx>
                                <wps:bodyPr upright="1"/>
                              </wps:wsp>
                              <wps:wsp>
                                <wps:cNvPr id="47" name="矩形 6122"/>
                                <wps:cNvSpPr/>
                                <wps:spPr>
                                  <a:xfrm>
                                    <a:off x="6525" y="7537"/>
                                    <a:ext cx="1196" cy="46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875503A">
                                      <w:pPr>
                                        <w:jc w:val="center"/>
                                      </w:pPr>
                                      <w:r>
                                        <w:t>压力充装</w:t>
                                      </w:r>
                                    </w:p>
                                  </w:txbxContent>
                                </wps:txbx>
                                <wps:bodyPr upright="1"/>
                              </wps:wsp>
                              <wps:wsp>
                                <wps:cNvPr id="48" name="矩形 6123"/>
                                <wps:cNvSpPr/>
                                <wps:spPr>
                                  <a:xfrm>
                                    <a:off x="6525" y="8660"/>
                                    <a:ext cx="1196" cy="46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485F18">
                                      <w:pPr>
                                        <w:jc w:val="center"/>
                                      </w:pPr>
                                      <w:r>
                                        <w:t>装车</w:t>
                                      </w:r>
                                    </w:p>
                                  </w:txbxContent>
                                </wps:txbx>
                                <wps:bodyPr upright="1"/>
                              </wps:wsp>
                              <wps:wsp>
                                <wps:cNvPr id="49" name="自选图形 6124"/>
                                <wps:cNvCnPr/>
                                <wps:spPr>
                                  <a:xfrm>
                                    <a:off x="7123" y="5815"/>
                                    <a:ext cx="1" cy="610"/>
                                  </a:xfrm>
                                  <a:prstGeom prst="straightConnector1">
                                    <a:avLst/>
                                  </a:prstGeom>
                                  <a:ln w="9525" cap="flat" cmpd="sng">
                                    <a:solidFill>
                                      <a:srgbClr val="000000"/>
                                    </a:solidFill>
                                    <a:prstDash val="solid"/>
                                    <a:headEnd type="none" w="med" len="med"/>
                                    <a:tailEnd type="triangle" w="sm" len="med"/>
                                  </a:ln>
                                </wps:spPr>
                                <wps:bodyPr/>
                              </wps:wsp>
                              <wps:wsp>
                                <wps:cNvPr id="51" name="自选图形 6126"/>
                                <wps:cNvCnPr>
                                  <a:stCxn id="45" idx="2"/>
                                  <a:endCxn id="47" idx="0"/>
                                </wps:cNvCnPr>
                                <wps:spPr>
                                  <a:xfrm>
                                    <a:off x="7123" y="6887"/>
                                    <a:ext cx="0" cy="650"/>
                                  </a:xfrm>
                                  <a:prstGeom prst="straightConnector1">
                                    <a:avLst/>
                                  </a:prstGeom>
                                  <a:ln w="9525" cap="flat" cmpd="sng">
                                    <a:solidFill>
                                      <a:srgbClr val="000000"/>
                                    </a:solidFill>
                                    <a:prstDash val="solid"/>
                                    <a:headEnd type="none" w="med" len="med"/>
                                    <a:tailEnd type="triangle" w="sm" len="med"/>
                                  </a:ln>
                                </wps:spPr>
                                <wps:bodyPr/>
                              </wps:wsp>
                              <wps:wsp>
                                <wps:cNvPr id="52" name="自选图形 6127"/>
                                <wps:cNvCnPr>
                                  <a:stCxn id="47" idx="2"/>
                                  <a:endCxn id="48" idx="0"/>
                                </wps:cNvCnPr>
                                <wps:spPr>
                                  <a:xfrm>
                                    <a:off x="7123" y="7999"/>
                                    <a:ext cx="0" cy="661"/>
                                  </a:xfrm>
                                  <a:prstGeom prst="straightConnector1">
                                    <a:avLst/>
                                  </a:prstGeom>
                                  <a:ln w="9525" cap="flat" cmpd="sng">
                                    <a:solidFill>
                                      <a:srgbClr val="000000"/>
                                    </a:solidFill>
                                    <a:prstDash val="solid"/>
                                    <a:headEnd type="none" w="med" len="med"/>
                                    <a:tailEnd type="triangle" w="sm" len="med"/>
                                  </a:ln>
                                </wps:spPr>
                                <wps:bodyPr/>
                              </wps:wsp>
                              <wps:wsp>
                                <wps:cNvPr id="53" name="文本框 6128"/>
                                <wps:cNvSpPr txBox="1"/>
                                <wps:spPr>
                                  <a:xfrm>
                                    <a:off x="8308" y="5352"/>
                                    <a:ext cx="1603" cy="463"/>
                                  </a:xfrm>
                                  <a:prstGeom prst="rect">
                                    <a:avLst/>
                                  </a:prstGeom>
                                  <a:solidFill>
                                    <a:srgbClr val="FFFFFF"/>
                                  </a:solidFill>
                                  <a:ln>
                                    <a:noFill/>
                                  </a:ln>
                                </wps:spPr>
                                <wps:txbx>
                                  <w:txbxContent>
                                    <w:p w14:paraId="11930AF2">
                                      <w:pPr>
                                        <w:rPr>
                                          <w:sz w:val="15"/>
                                          <w:szCs w:val="15"/>
                                        </w:rPr>
                                      </w:pPr>
                                      <w:r>
                                        <w:rPr>
                                          <w:rFonts w:hint="eastAsia"/>
                                          <w:sz w:val="15"/>
                                          <w:szCs w:val="15"/>
                                        </w:rPr>
                                        <w:t>N噪声</w:t>
                                      </w:r>
                                    </w:p>
                                  </w:txbxContent>
                                </wps:txbx>
                                <wps:bodyPr upright="1"/>
                              </wps:wsp>
                              <wps:wsp>
                                <wps:cNvPr id="54" name="自选图形 6129"/>
                                <wps:cNvCnPr>
                                  <a:stCxn id="55" idx="3"/>
                                  <a:endCxn id="47" idx="1"/>
                                </wps:cNvCnPr>
                                <wps:spPr>
                                  <a:xfrm>
                                    <a:off x="5592" y="7760"/>
                                    <a:ext cx="933" cy="8"/>
                                  </a:xfrm>
                                  <a:prstGeom prst="straightConnector1">
                                    <a:avLst/>
                                  </a:prstGeom>
                                  <a:ln w="9525" cap="flat" cmpd="sng">
                                    <a:solidFill>
                                      <a:srgbClr val="000000"/>
                                    </a:solidFill>
                                    <a:prstDash val="solid"/>
                                    <a:headEnd type="none" w="med" len="med"/>
                                    <a:tailEnd type="triangle" w="sm" len="med"/>
                                  </a:ln>
                                </wps:spPr>
                                <wps:bodyPr/>
                              </wps:wsp>
                              <wps:wsp>
                                <wps:cNvPr id="55" name="矩形 6130"/>
                                <wps:cNvSpPr/>
                                <wps:spPr>
                                  <a:xfrm>
                                    <a:off x="4265" y="7363"/>
                                    <a:ext cx="1327" cy="793"/>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0DDD0A">
                                      <w:r>
                                        <w:t>来瓶检测、氮气置换</w:t>
                                      </w:r>
                                    </w:p>
                                  </w:txbxContent>
                                </wps:txbx>
                                <wps:bodyPr upright="1"/>
                              </wps:wsp>
                              <wps:wsp>
                                <wps:cNvPr id="56" name="文本框 6131"/>
                                <wps:cNvSpPr txBox="1"/>
                                <wps:spPr>
                                  <a:xfrm>
                                    <a:off x="5639" y="7236"/>
                                    <a:ext cx="842" cy="457"/>
                                  </a:xfrm>
                                  <a:prstGeom prst="rect">
                                    <a:avLst/>
                                  </a:prstGeom>
                                  <a:solidFill>
                                    <a:srgbClr val="FFFFFF"/>
                                  </a:solidFill>
                                  <a:ln>
                                    <a:noFill/>
                                  </a:ln>
                                </wps:spPr>
                                <wps:txbx>
                                  <w:txbxContent>
                                    <w:p w14:paraId="001DCF93">
                                      <w:pPr>
                                        <w:jc w:val="center"/>
                                        <w:rPr>
                                          <w:sz w:val="15"/>
                                          <w:szCs w:val="15"/>
                                        </w:rPr>
                                      </w:pPr>
                                      <w:r>
                                        <w:rPr>
                                          <w:sz w:val="15"/>
                                          <w:szCs w:val="15"/>
                                        </w:rPr>
                                        <w:t>钢瓶</w:t>
                                      </w:r>
                                    </w:p>
                                  </w:txbxContent>
                                </wps:txbx>
                                <wps:bodyPr upright="1"/>
                              </wps:wsp>
                              <wps:wsp>
                                <wps:cNvPr id="58" name="文本框 6133"/>
                                <wps:cNvSpPr txBox="1"/>
                                <wps:spPr>
                                  <a:xfrm>
                                    <a:off x="4068" y="5944"/>
                                    <a:ext cx="1706" cy="875"/>
                                  </a:xfrm>
                                  <a:prstGeom prst="rect">
                                    <a:avLst/>
                                  </a:prstGeom>
                                  <a:solidFill>
                                    <a:srgbClr val="FFFFFF"/>
                                  </a:solidFill>
                                  <a:ln>
                                    <a:noFill/>
                                  </a:ln>
                                </wps:spPr>
                                <wps:txbx>
                                  <w:txbxContent>
                                    <w:p w14:paraId="17FE99A1">
                                      <w:pPr>
                                        <w:jc w:val="center"/>
                                        <w:rPr>
                                          <w:sz w:val="15"/>
                                          <w:szCs w:val="15"/>
                                        </w:rPr>
                                      </w:pPr>
                                      <w:r>
                                        <w:rPr>
                                          <w:rFonts w:hint="eastAsia"/>
                                          <w:sz w:val="15"/>
                                          <w:szCs w:val="15"/>
                                        </w:rPr>
                                        <w:t>N真空泵噪声</w:t>
                                      </w:r>
                                    </w:p>
                                    <w:p w14:paraId="23A82768">
                                      <w:pPr>
                                        <w:jc w:val="center"/>
                                        <w:rPr>
                                          <w:sz w:val="15"/>
                                          <w:szCs w:val="15"/>
                                        </w:rPr>
                                      </w:pPr>
                                      <w:r>
                                        <w:rPr>
                                          <w:rFonts w:hint="eastAsia"/>
                                          <w:sz w:val="15"/>
                                          <w:szCs w:val="15"/>
                                        </w:rPr>
                                        <w:t>G氮气</w:t>
                                      </w:r>
                                    </w:p>
                                  </w:txbxContent>
                                </wps:txbx>
                                <wps:bodyPr upright="1"/>
                              </wps:wsp>
                              <wps:wsp>
                                <wps:cNvPr id="59" name="自选图形 6134"/>
                                <wps:cNvCnPr>
                                  <a:stCxn id="44" idx="3"/>
                                  <a:endCxn id="53" idx="1"/>
                                </wps:cNvCnPr>
                                <wps:spPr>
                                  <a:xfrm>
                                    <a:off x="7720" y="5584"/>
                                    <a:ext cx="588" cy="0"/>
                                  </a:xfrm>
                                  <a:prstGeom prst="straightConnector1">
                                    <a:avLst/>
                                  </a:prstGeom>
                                  <a:ln w="9525" cap="flat" cmpd="sng">
                                    <a:solidFill>
                                      <a:srgbClr val="000000"/>
                                    </a:solidFill>
                                    <a:prstDash val="dash"/>
                                    <a:headEnd type="none" w="med" len="med"/>
                                    <a:tailEnd type="triangle" w="sm" len="med"/>
                                  </a:ln>
                                </wps:spPr>
                                <wps:bodyPr/>
                              </wps:wsp>
                              <wps:wsp>
                                <wps:cNvPr id="61" name="文本框 6136"/>
                                <wps:cNvSpPr txBox="1"/>
                                <wps:spPr>
                                  <a:xfrm>
                                    <a:off x="8456" y="8660"/>
                                    <a:ext cx="1148" cy="462"/>
                                  </a:xfrm>
                                  <a:prstGeom prst="rect">
                                    <a:avLst/>
                                  </a:prstGeom>
                                  <a:solidFill>
                                    <a:srgbClr val="FFFFFF"/>
                                  </a:solidFill>
                                  <a:ln>
                                    <a:noFill/>
                                  </a:ln>
                                </wps:spPr>
                                <wps:txbx>
                                  <w:txbxContent>
                                    <w:p w14:paraId="4D82C5FA">
                                      <w:pPr>
                                        <w:rPr>
                                          <w:sz w:val="15"/>
                                          <w:szCs w:val="15"/>
                                        </w:rPr>
                                      </w:pPr>
                                      <w:r>
                                        <w:rPr>
                                          <w:rFonts w:hint="eastAsia"/>
                                          <w:sz w:val="15"/>
                                          <w:szCs w:val="15"/>
                                        </w:rPr>
                                        <w:t>N运输噪声</w:t>
                                      </w:r>
                                    </w:p>
                                  </w:txbxContent>
                                </wps:txbx>
                                <wps:bodyPr upright="1"/>
                              </wps:wsp>
                              <wps:wsp>
                                <wps:cNvPr id="62" name="自选图形 6137"/>
                                <wps:cNvCnPr>
                                  <a:stCxn id="48" idx="3"/>
                                  <a:endCxn id="61" idx="1"/>
                                </wps:cNvCnPr>
                                <wps:spPr>
                                  <a:xfrm>
                                    <a:off x="7721" y="8891"/>
                                    <a:ext cx="735" cy="0"/>
                                  </a:xfrm>
                                  <a:prstGeom prst="straightConnector1">
                                    <a:avLst/>
                                  </a:prstGeom>
                                  <a:ln w="9525" cap="flat" cmpd="sng">
                                    <a:solidFill>
                                      <a:srgbClr val="000000"/>
                                    </a:solidFill>
                                    <a:prstDash val="dash"/>
                                    <a:headEnd type="none" w="med" len="med"/>
                                    <a:tailEnd type="triangle" w="sm" len="med"/>
                                  </a:ln>
                                </wps:spPr>
                                <wps:bodyPr/>
                              </wps:wsp>
                              <wps:wsp>
                                <wps:cNvPr id="63" name="自选图形 6138"/>
                                <wps:cNvCnPr>
                                  <a:stCxn id="55" idx="0"/>
                                  <a:endCxn id="58" idx="2"/>
                                </wps:cNvCnPr>
                                <wps:spPr>
                                  <a:xfrm flipH="1" flipV="1">
                                    <a:off x="4921" y="6819"/>
                                    <a:ext cx="8" cy="544"/>
                                  </a:xfrm>
                                  <a:prstGeom prst="straightConnector1">
                                    <a:avLst/>
                                  </a:prstGeom>
                                  <a:ln w="9525" cap="flat" cmpd="sng">
                                    <a:solidFill>
                                      <a:srgbClr val="000000"/>
                                    </a:solidFill>
                                    <a:prstDash val="dash"/>
                                    <a:headEnd type="none" w="med" len="med"/>
                                    <a:tailEnd type="triangle" w="sm" len="med"/>
                                  </a:ln>
                                </wps:spPr>
                                <wps:bodyPr/>
                              </wps:wsp>
                              <wps:wsp>
                                <wps:cNvPr id="64" name="文本框 6208"/>
                                <wps:cNvSpPr txBox="1"/>
                                <wps:spPr>
                                  <a:xfrm>
                                    <a:off x="2574" y="7522"/>
                                    <a:ext cx="842" cy="462"/>
                                  </a:xfrm>
                                  <a:prstGeom prst="rect">
                                    <a:avLst/>
                                  </a:prstGeom>
                                  <a:solidFill>
                                    <a:srgbClr val="FFFFFF"/>
                                  </a:solidFill>
                                  <a:ln>
                                    <a:noFill/>
                                  </a:ln>
                                </wps:spPr>
                                <wps:txbx>
                                  <w:txbxContent>
                                    <w:p w14:paraId="6FB687E3">
                                      <w:pPr>
                                        <w:jc w:val="center"/>
                                        <w:rPr>
                                          <w:sz w:val="15"/>
                                          <w:szCs w:val="15"/>
                                        </w:rPr>
                                      </w:pPr>
                                      <w:r>
                                        <w:rPr>
                                          <w:sz w:val="15"/>
                                          <w:szCs w:val="15"/>
                                        </w:rPr>
                                        <w:t>氮气</w:t>
                                      </w:r>
                                    </w:p>
                                  </w:txbxContent>
                                </wps:txbx>
                                <wps:bodyPr upright="1"/>
                              </wps:wsp>
                              <wps:wsp>
                                <wps:cNvPr id="65" name="自选图形 6209"/>
                                <wps:cNvCnPr>
                                  <a:stCxn id="64" idx="3"/>
                                  <a:endCxn id="55" idx="1"/>
                                </wps:cNvCnPr>
                                <wps:spPr>
                                  <a:xfrm>
                                    <a:off x="3416" y="7753"/>
                                    <a:ext cx="849" cy="7"/>
                                  </a:xfrm>
                                  <a:prstGeom prst="straightConnector1">
                                    <a:avLst/>
                                  </a:prstGeom>
                                  <a:ln w="9525" cap="flat" cmpd="sng">
                                    <a:solidFill>
                                      <a:srgbClr val="000000"/>
                                    </a:solidFill>
                                    <a:prstDash val="solid"/>
                                    <a:headEnd type="none" w="med" len="med"/>
                                    <a:tailEnd type="triangle" w="sm" len="med"/>
                                  </a:ln>
                                </wps:spPr>
                                <wps:bodyPr/>
                              </wps:wsp>
                            </wpg:wgp>
                          </wpc:wpc>
                        </a:graphicData>
                      </a:graphic>
                    </wp:inline>
                  </w:drawing>
                </mc:Choice>
                <mc:Fallback>
                  <w:pict>
                    <v:group id="画布 6117" o:spid="_x0000_s1026" o:spt="203" style="height:316.7pt;width:410.95pt;" coordsize="5219065,4022090" editas="canvas" o:gfxdata="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">
                      <o:lock v:ext="edit" aspectratio="f"/>
                      <v:shape id="画布 6117" o:spid="_x0000_s1026" style="position:absolute;left:0;top:0;height:4022090;width:5219065;" filled="f" stroked="f" coordsize="21600,21600" o:gfxdata="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">
                        <v:fill on="f" focussize="0,0"/>
                        <v:stroke on="f"/>
                        <v:imagedata o:title=""/>
                        <o:lock v:ext="edit" aspectratio="t"/>
                      </v:shape>
                      <v:group id="组合 6285" o:spid="_x0000_s1026" o:spt="203" style="position:absolute;left:247015;top:916940;height:2393950;width:4658995;" coordorigin="2574,5352" coordsize="7337,3770" o:gfxdata="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">
                        <o:lock v:ext="edit" aspectratio="f"/>
                        <v:rect id="矩形 6119" o:spid="_x0000_s1026" o:spt="1" style="position:absolute;left:6525;top:5352;height:463;width:1195;" fillcolor="#FFFFFF" filled="t" stroked="t" coordsize="21600,21600" o:gfxdata="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RQ3j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6BA4D3CD">
                                <w:pPr>
                                  <w:jc w:val="center"/>
                                </w:pPr>
                                <w:r>
                                  <w:t>气体卸车</w:t>
                                </w:r>
                              </w:p>
                            </w:txbxContent>
                          </v:textbox>
                        </v:rect>
                        <v:rect id="矩形 6120" o:spid="_x0000_s1026" o:spt="1" style="position:absolute;left:6525;top:6425;height:462;width:1196;" fillcolor="#FFFFFF" filled="t" stroked="t" coordsize="21600,21600" o:gfxdata="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WJIU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D5A1795">
                                <w:pPr>
                                  <w:jc w:val="center"/>
                                  <w:rPr>
                                    <w:rFonts w:hint="default" w:eastAsia="宋体"/>
                                    <w:lang w:val="en-US" w:eastAsia="zh-CN"/>
                                  </w:rPr>
                                </w:pPr>
                                <w:r>
                                  <w:rPr>
                                    <w:rFonts w:hint="eastAsia"/>
                                    <w:lang w:val="en-US" w:eastAsia="zh-CN"/>
                                  </w:rPr>
                                  <w:t>气体储存</w:t>
                                </w:r>
                              </w:p>
                            </w:txbxContent>
                          </v:textbox>
                        </v:rect>
                        <v:rect id="矩形 6122" o:spid="_x0000_s1026" o:spt="1" style="position:absolute;left:6525;top:7537;height:462;width:1196;" fillcolor="#FFFFFF" filled="t" stroked="t" coordsize="21600,21600" o:gfxdata="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xqn4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2875503A">
                                <w:pPr>
                                  <w:jc w:val="center"/>
                                </w:pPr>
                                <w:r>
                                  <w:t>压力充装</w:t>
                                </w:r>
                              </w:p>
                            </w:txbxContent>
                          </v:textbox>
                        </v:rect>
                        <v:rect id="矩形 6123" o:spid="_x0000_s1026" o:spt="1" style="position:absolute;left:6525;top:8660;height:462;width:1196;" fillcolor="#FFFFFF" filled="t" stroked="t" coordsize="21600,21600" o:gfxdata="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WT2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1485F18">
                                <w:pPr>
                                  <w:jc w:val="center"/>
                                </w:pPr>
                                <w:r>
                                  <w:t>装车</w:t>
                                </w:r>
                              </w:p>
                            </w:txbxContent>
                          </v:textbox>
                        </v:rect>
                        <v:shape id="自选图形 6124" o:spid="_x0000_s1026" o:spt="32" type="#_x0000_t32" style="position:absolute;left:7123;top:5815;height:610;width:1;" filled="f" stroked="t" coordsize="21600,21600" o:gfxdata="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dRgg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shape id="自选图形 6126" o:spid="_x0000_s1026" o:spt="32" type="#_x0000_t32" style="position:absolute;left:7123;top:6887;height:650;width:0;" filled="f" stroked="t" coordsize="21600,21600" o:gfxdata="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Lagvu/&#10;AAAA2wAAAA8AAAAAAAAAAQAgAAAAIgAAAGRycy9kb3ducmV2LnhtbFBLAQIUABQAAAAIAIdO4kAz&#10;LwWeOwAAADkAAAAQAAAAAAAAAAEAIAAAAA4BAABkcnMvc2hhcGV4bWwueG1sUEsFBgAAAAAGAAYA&#10;WwEAALgDAAAAAA==&#10;">
                          <v:fill on="f" focussize="0,0"/>
                          <v:stroke color="#000000" joinstyle="round" endarrow="block" endarrowwidth="narrow"/>
                          <v:imagedata o:title=""/>
                          <o:lock v:ext="edit" aspectratio="f"/>
                        </v:shape>
                        <v:shape id="自选图形 6127" o:spid="_x0000_s1026" o:spt="32" type="#_x0000_t32" style="position:absolute;left:7123;top:7999;height:661;width:0;" filled="f" stroked="t" coordsize="21600,21600" o:gfxdata="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CByM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shape id="文本框 6128" o:spid="_x0000_s1026" o:spt="202" type="#_x0000_t202" style="position:absolute;left:8308;top:5352;height:463;width:1603;" fillcolor="#FFFFFF" filled="t" stroked="f" coordsize="21600,21600" o:gfxdata="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9OqPxbgAAADbAAAA&#10;DwAAAAAAAAABACAAAAAiAAAAZHJzL2Rvd25yZXYueG1sUEsBAhQAFAAAAAgAh07iQDMvBZ47AAAA&#10;OQAAABAAAAAAAAAAAQAgAAAABwEAAGRycy9zaGFwZXhtbC54bWxQSwUGAAAAAAYABgBbAQAAsQMA&#10;AAAA&#10;">
                          <v:fill on="t" focussize="0,0"/>
                          <v:stroke on="f"/>
                          <v:imagedata o:title=""/>
                          <o:lock v:ext="edit" aspectratio="f"/>
                          <v:textbox>
                            <w:txbxContent>
                              <w:p w14:paraId="11930AF2">
                                <w:pPr>
                                  <w:rPr>
                                    <w:sz w:val="15"/>
                                    <w:szCs w:val="15"/>
                                  </w:rPr>
                                </w:pPr>
                                <w:r>
                                  <w:rPr>
                                    <w:rFonts w:hint="eastAsia"/>
                                    <w:sz w:val="15"/>
                                    <w:szCs w:val="15"/>
                                  </w:rPr>
                                  <w:t>N噪声</w:t>
                                </w:r>
                              </w:p>
                            </w:txbxContent>
                          </v:textbox>
                        </v:shape>
                        <v:shape id="自选图形 6129" o:spid="_x0000_s1026" o:spt="32" type="#_x0000_t32" style="position:absolute;left:5592;top:7760;height:8;width:933;" filled="f" stroked="t" coordsize="21600,21600" o:gfxdata="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rSFjvQAA&#10;ANsAAAAPAAAAAAAAAAEAIAAAACIAAABkcnMvZG93bnJldi54bWxQSwECFAAUAAAACACHTuJAMy8F&#10;njsAAAA5AAAAEAAAAAAAAAABACAAAAAMAQAAZHJzL3NoYXBleG1sLnhtbFBLBQYAAAAABgAGAFsB&#10;AAC2AwAAAAA=&#10;">
                          <v:fill on="f" focussize="0,0"/>
                          <v:stroke color="#000000" joinstyle="round" endarrow="block" endarrowwidth="narrow"/>
                          <v:imagedata o:title=""/>
                          <o:lock v:ext="edit" aspectratio="f"/>
                        </v:shape>
                        <v:rect id="矩形 6130" o:spid="_x0000_s1026" o:spt="1" style="position:absolute;left:4265;top:7363;height:793;width:1327;" fillcolor="#FFFFFF" filled="t" stroked="t" coordsize="21600,21600" o:gfxdata="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4EEy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90DDD0A">
                                <w:r>
                                  <w:t>来瓶检测、氮气置换</w:t>
                                </w:r>
                              </w:p>
                            </w:txbxContent>
                          </v:textbox>
                        </v:rect>
                        <v:shape id="文本框 6131" o:spid="_x0000_s1026" o:spt="202" type="#_x0000_t202" style="position:absolute;left:5639;top:7236;height:457;width:842;" fillcolor="#FFFFFF" filled="t" stroked="f" coordsize="21600,21600" o:gfxdata="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SdLF2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001DCF93">
                                <w:pPr>
                                  <w:jc w:val="center"/>
                                  <w:rPr>
                                    <w:sz w:val="15"/>
                                    <w:szCs w:val="15"/>
                                  </w:rPr>
                                </w:pPr>
                                <w:r>
                                  <w:rPr>
                                    <w:sz w:val="15"/>
                                    <w:szCs w:val="15"/>
                                  </w:rPr>
                                  <w:t>钢瓶</w:t>
                                </w:r>
                              </w:p>
                            </w:txbxContent>
                          </v:textbox>
                        </v:shape>
                        <v:shape id="文本框 6133" o:spid="_x0000_s1026" o:spt="202" type="#_x0000_t202" style="position:absolute;left:4068;top:5944;height:875;width:1706;" fillcolor="#FFFFFF" filled="t" stroked="f" coordsize="21600,21600" o:gfxdata="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pOHbS2AAAA2wAAAA8A&#10;AAAAAAAAAQAgAAAAIgAAAGRycy9kb3ducmV2LnhtbFBLAQIUABQAAAAIAIdO4kAzLwWeOwAAADkA&#10;AAAQAAAAAAAAAAEAIAAAAAUBAABkcnMvc2hhcGV4bWwueG1sUEsFBgAAAAAGAAYAWwEAAK8DAAAA&#10;AA==&#10;">
                          <v:fill on="t" focussize="0,0"/>
                          <v:stroke on="f"/>
                          <v:imagedata o:title=""/>
                          <o:lock v:ext="edit" aspectratio="f"/>
                          <v:textbox>
                            <w:txbxContent>
                              <w:p w14:paraId="17FE99A1">
                                <w:pPr>
                                  <w:jc w:val="center"/>
                                  <w:rPr>
                                    <w:sz w:val="15"/>
                                    <w:szCs w:val="15"/>
                                  </w:rPr>
                                </w:pPr>
                                <w:r>
                                  <w:rPr>
                                    <w:rFonts w:hint="eastAsia"/>
                                    <w:sz w:val="15"/>
                                    <w:szCs w:val="15"/>
                                  </w:rPr>
                                  <w:t>N真空泵噪声</w:t>
                                </w:r>
                              </w:p>
                              <w:p w14:paraId="23A82768">
                                <w:pPr>
                                  <w:jc w:val="center"/>
                                  <w:rPr>
                                    <w:sz w:val="15"/>
                                    <w:szCs w:val="15"/>
                                  </w:rPr>
                                </w:pPr>
                                <w:r>
                                  <w:rPr>
                                    <w:rFonts w:hint="eastAsia"/>
                                    <w:sz w:val="15"/>
                                    <w:szCs w:val="15"/>
                                  </w:rPr>
                                  <w:t>G氮气</w:t>
                                </w:r>
                              </w:p>
                            </w:txbxContent>
                          </v:textbox>
                        </v:shape>
                        <v:shape id="自选图形 6134" o:spid="_x0000_s1026" o:spt="32" type="#_x0000_t32" style="position:absolute;left:7720;top:5584;height:0;width:588;" filled="f" stroked="t" coordsize="21600,21600" o:gfxdata="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eMKR74A&#10;AADbAAAADwAAAAAAAAABACAAAAAiAAAAZHJzL2Rvd25yZXYueG1sUEsBAhQAFAAAAAgAh07iQDMv&#10;BZ47AAAAOQAAABAAAAAAAAAAAQAgAAAADQEAAGRycy9zaGFwZXhtbC54bWxQSwUGAAAAAAYABgBb&#10;AQAAtwMAAAAA&#10;">
                          <v:fill on="f" focussize="0,0"/>
                          <v:stroke color="#000000" joinstyle="round" dashstyle="dash" endarrow="block" endarrowwidth="narrow"/>
                          <v:imagedata o:title=""/>
                          <o:lock v:ext="edit" aspectratio="f"/>
                        </v:shape>
                        <v:shape id="文本框 6136" o:spid="_x0000_s1026" o:spt="202" type="#_x0000_t202" style="position:absolute;left:8456;top:8660;height:462;width:1148;" fillcolor="#FFFFFF" filled="t" stroked="f" coordsize="21600,21600" o:gfxdata="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UYfpS8AAAA&#10;2w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4D82C5FA">
                                <w:pPr>
                                  <w:rPr>
                                    <w:sz w:val="15"/>
                                    <w:szCs w:val="15"/>
                                  </w:rPr>
                                </w:pPr>
                                <w:r>
                                  <w:rPr>
                                    <w:rFonts w:hint="eastAsia"/>
                                    <w:sz w:val="15"/>
                                    <w:szCs w:val="15"/>
                                  </w:rPr>
                                  <w:t>N运输噪声</w:t>
                                </w:r>
                              </w:p>
                            </w:txbxContent>
                          </v:textbox>
                        </v:shape>
                        <v:shape id="自选图形 6137" o:spid="_x0000_s1026" o:spt="32" type="#_x0000_t32" style="position:absolute;left:7721;top:8891;height:0;width:735;" filled="f" stroked="t" coordsize="21600,21600" o:gfxdata="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rUou8AAAA&#10;2wAAAA8AAAAAAAAAAQAgAAAAIgAAAGRycy9kb3ducmV2LnhtbFBLAQIUABQAAAAIAIdO4kAzLwWe&#10;OwAAADkAAAAQAAAAAAAAAAEAIAAAAAsBAABkcnMvc2hhcGV4bWwueG1sUEsFBgAAAAAGAAYAWwEA&#10;ALUDAAAAAA==&#10;">
                          <v:fill on="f" focussize="0,0"/>
                          <v:stroke color="#000000" joinstyle="round" dashstyle="dash" endarrow="block" endarrowwidth="narrow"/>
                          <v:imagedata o:title=""/>
                          <o:lock v:ext="edit" aspectratio="f"/>
                        </v:shape>
                        <v:shape id="自选图形 6138" o:spid="_x0000_s1026" o:spt="32" type="#_x0000_t32" style="position:absolute;left:4921;top:6819;flip:x y;height:544;width:8;" filled="f" stroked="t" coordsize="21600,21600" o:gfxdata="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VCrvQAA&#10;ANsAAAAPAAAAAAAAAAEAIAAAACIAAABkcnMvZG93bnJldi54bWxQSwECFAAUAAAACACHTuJAMy8F&#10;njsAAAA5AAAAEAAAAAAAAAABACAAAAAMAQAAZHJzL3NoYXBleG1sLnhtbFBLBQYAAAAABgAGAFsB&#10;AAC2AwAAAAA=&#10;">
                          <v:fill on="f" focussize="0,0"/>
                          <v:stroke color="#000000" joinstyle="round" dashstyle="dash" endarrow="block" endarrowwidth="narrow"/>
                          <v:imagedata o:title=""/>
                          <o:lock v:ext="edit" aspectratio="f"/>
                        </v:shape>
                        <v:shape id="文本框 6208" o:spid="_x0000_s1026" o:spt="202" type="#_x0000_t202" style="position:absolute;left:2574;top:7522;height:462;width:842;" fillcolor="#FFFFFF" filled="t" stroked="f" coordsize="21600,21600" o:gfxdata="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Vv3Qy5AAAA2wAA&#10;AA8AAAAAAAAAAQAgAAAAIgAAAGRycy9kb3ducmV2LnhtbFBLAQIUABQAAAAIAIdO4kAzLwWeOwAA&#10;ADkAAAAQAAAAAAAAAAEAIAAAAAgBAABkcnMvc2hhcGV4bWwueG1sUEsFBgAAAAAGAAYAWwEAALID&#10;AAAAAA==&#10;">
                          <v:fill on="t" focussize="0,0"/>
                          <v:stroke on="f"/>
                          <v:imagedata o:title=""/>
                          <o:lock v:ext="edit" aspectratio="f"/>
                          <v:textbox>
                            <w:txbxContent>
                              <w:p w14:paraId="6FB687E3">
                                <w:pPr>
                                  <w:jc w:val="center"/>
                                  <w:rPr>
                                    <w:sz w:val="15"/>
                                    <w:szCs w:val="15"/>
                                  </w:rPr>
                                </w:pPr>
                                <w:r>
                                  <w:rPr>
                                    <w:sz w:val="15"/>
                                    <w:szCs w:val="15"/>
                                  </w:rPr>
                                  <w:t>氮气</w:t>
                                </w:r>
                              </w:p>
                            </w:txbxContent>
                          </v:textbox>
                        </v:shape>
                        <v:shape id="自选图形 6209" o:spid="_x0000_s1026" o:spt="32" type="#_x0000_t32" style="position:absolute;left:3416;top:7753;height:7;width:849;" filled="f" stroked="t" coordsize="21600,21600" o:gfxdata="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41ORb4A&#10;AADbAAAADwAAAAAAAAABACAAAAAiAAAAZHJzL2Rvd25yZXYueG1sUEsBAhQAFAAAAAgAh07iQDMv&#10;BZ47AAAAOQAAABAAAAAAAAAAAQAgAAAADQEAAGRycy9zaGFwZXhtbC54bWxQSwUGAAAAAAYABgBb&#10;AQAAtwMAAAAA&#10;">
                          <v:fill on="f" focussize="0,0"/>
                          <v:stroke color="#000000" joinstyle="round" endarrow="block" endarrowwidth="narrow"/>
                          <v:imagedata o:title=""/>
                          <o:lock v:ext="edit" aspectratio="f"/>
                        </v:shape>
                      </v:group>
                      <w10:wrap type="none"/>
                      <w10:anchorlock/>
                    </v:group>
                  </w:pict>
                </mc:Fallback>
              </mc:AlternateContent>
            </w:r>
          </w:p>
          <w:p w14:paraId="68F2DC58">
            <w:pPr>
              <w:autoSpaceDE w:val="0"/>
              <w:autoSpaceDN w:val="0"/>
              <w:adjustRightInd w:val="0"/>
              <w:snapToGrid w:val="0"/>
              <w:jc w:val="center"/>
              <w:rPr>
                <w:rFonts w:hAnsi="宋体"/>
                <w:color w:val="auto"/>
                <w:szCs w:val="21"/>
                <w:highlight w:val="none"/>
              </w:rPr>
            </w:pPr>
            <w:r>
              <w:rPr>
                <w:rFonts w:hint="eastAsia" w:hAnsi="黑体" w:eastAsia="黑体"/>
                <w:color w:val="auto"/>
                <w:sz w:val="24"/>
                <w:szCs w:val="24"/>
                <w:highlight w:val="none"/>
              </w:rPr>
              <w:t>图</w:t>
            </w:r>
            <w:r>
              <w:rPr>
                <w:rFonts w:hint="eastAsia" w:hAnsi="黑体" w:eastAsia="黑体"/>
                <w:color w:val="auto"/>
                <w:sz w:val="24"/>
                <w:szCs w:val="24"/>
                <w:highlight w:val="none"/>
                <w:lang w:val="en-US" w:eastAsia="zh-CN"/>
              </w:rPr>
              <w:t>2-3</w:t>
            </w:r>
            <w:r>
              <w:rPr>
                <w:rFonts w:hAnsi="黑体" w:eastAsia="黑体"/>
                <w:color w:val="auto"/>
                <w:sz w:val="24"/>
                <w:szCs w:val="24"/>
                <w:highlight w:val="none"/>
              </w:rPr>
              <w:t xml:space="preserve"> 整体</w:t>
            </w:r>
            <w:r>
              <w:rPr>
                <w:rFonts w:hint="eastAsia" w:hAnsi="黑体" w:eastAsia="黑体"/>
                <w:color w:val="auto"/>
                <w:sz w:val="24"/>
                <w:szCs w:val="24"/>
                <w:highlight w:val="none"/>
              </w:rPr>
              <w:t>储运工艺流程图及产污环节</w:t>
            </w:r>
          </w:p>
          <w:p w14:paraId="75D011FF">
            <w:pPr>
              <w:adjustRightInd w:val="0"/>
              <w:spacing w:line="360" w:lineRule="auto"/>
              <w:ind w:firstLine="482" w:firstLineChars="200"/>
              <w:rPr>
                <w:rFonts w:hAnsi="宋体"/>
                <w:b/>
                <w:color w:val="auto"/>
                <w:sz w:val="24"/>
                <w:highlight w:val="none"/>
              </w:rPr>
            </w:pPr>
            <w:r>
              <w:rPr>
                <w:rFonts w:hAnsi="宋体"/>
                <w:b/>
                <w:color w:val="auto"/>
                <w:sz w:val="24"/>
                <w:highlight w:val="none"/>
              </w:rPr>
              <w:t>工艺流程说明：</w:t>
            </w:r>
          </w:p>
          <w:p w14:paraId="3C84FE64">
            <w:pPr>
              <w:adjustRightInd w:val="0"/>
              <w:spacing w:line="360" w:lineRule="auto"/>
              <w:ind w:firstLine="480" w:firstLineChars="200"/>
              <w:rPr>
                <w:rFonts w:hAnsi="宋体"/>
                <w:color w:val="auto"/>
                <w:sz w:val="24"/>
                <w:highlight w:val="none"/>
              </w:rPr>
            </w:pPr>
            <w:r>
              <w:rPr>
                <w:rFonts w:hAnsi="宋体"/>
                <w:color w:val="auto"/>
                <w:sz w:val="24"/>
                <w:highlight w:val="none"/>
              </w:rPr>
              <w:t>①</w:t>
            </w:r>
            <w:r>
              <w:rPr>
                <w:rFonts w:hint="eastAsia" w:hAnsi="宋体"/>
                <w:color w:val="auto"/>
                <w:sz w:val="24"/>
                <w:highlight w:val="none"/>
                <w:lang w:val="en-US" w:eastAsia="zh-CN"/>
              </w:rPr>
              <w:t>丙烷/丁烷</w:t>
            </w:r>
            <w:r>
              <w:rPr>
                <w:rFonts w:hAnsi="宋体"/>
                <w:color w:val="auto"/>
                <w:sz w:val="24"/>
                <w:highlight w:val="none"/>
              </w:rPr>
              <w:t>气体卸车</w:t>
            </w:r>
          </w:p>
          <w:p w14:paraId="1F9C67EE">
            <w:pPr>
              <w:adjustRightInd w:val="0"/>
              <w:spacing w:line="360" w:lineRule="auto"/>
              <w:ind w:firstLine="480" w:firstLineChars="200"/>
              <w:rPr>
                <w:rFonts w:hint="default" w:hAnsi="宋体" w:eastAsia="宋体"/>
                <w:color w:val="auto"/>
                <w:sz w:val="24"/>
                <w:highlight w:val="none"/>
                <w:lang w:val="en-US" w:eastAsia="zh-CN"/>
              </w:rPr>
            </w:pPr>
            <w:r>
              <w:rPr>
                <w:rFonts w:hint="eastAsia" w:hAnsi="宋体"/>
                <w:color w:val="auto"/>
                <w:sz w:val="24"/>
                <w:highlight w:val="none"/>
                <w:lang w:val="en-US" w:eastAsia="zh-CN"/>
              </w:rPr>
              <w:t>外购丙烷/丁烷通过槽罐车运至厂区内。槽罐车在</w:t>
            </w:r>
            <w:r>
              <w:rPr>
                <w:rFonts w:hint="eastAsia" w:hAnsi="宋体"/>
                <w:color w:val="auto"/>
                <w:sz w:val="24"/>
                <w:highlight w:val="none"/>
              </w:rPr>
              <w:t>槽罐卸车位通过卸车鹤管连接到储罐，液相管连接槽</w:t>
            </w:r>
            <w:r>
              <w:rPr>
                <w:rFonts w:hint="eastAsia" w:hAnsi="宋体"/>
                <w:color w:val="auto"/>
                <w:sz w:val="24"/>
                <w:highlight w:val="none"/>
                <w:lang w:val="en-US" w:eastAsia="zh-CN"/>
              </w:rPr>
              <w:t>罐</w:t>
            </w:r>
            <w:r>
              <w:rPr>
                <w:rFonts w:hint="eastAsia" w:hAnsi="宋体"/>
                <w:color w:val="auto"/>
                <w:sz w:val="24"/>
                <w:highlight w:val="none"/>
              </w:rPr>
              <w:t>车底部及</w:t>
            </w:r>
            <w:r>
              <w:rPr>
                <w:rFonts w:hint="eastAsia" w:hAnsi="宋体"/>
                <w:color w:val="auto"/>
                <w:sz w:val="24"/>
                <w:highlight w:val="none"/>
                <w:lang w:val="en-US" w:eastAsia="zh-CN"/>
              </w:rPr>
              <w:t>丙烷/丁烷</w:t>
            </w:r>
            <w:r>
              <w:rPr>
                <w:rFonts w:hint="eastAsia" w:hAnsi="宋体"/>
                <w:color w:val="auto"/>
                <w:sz w:val="24"/>
                <w:highlight w:val="none"/>
              </w:rPr>
              <w:t>储罐底部，</w:t>
            </w:r>
            <w:r>
              <w:rPr>
                <w:rFonts w:hint="eastAsia" w:hAnsi="宋体"/>
                <w:color w:val="auto"/>
                <w:sz w:val="24"/>
                <w:highlight w:val="none"/>
                <w:lang w:val="en-US" w:eastAsia="zh-CN"/>
              </w:rPr>
              <w:t>气相平衡管连接槽罐车、压缩机及储罐顶部，</w:t>
            </w:r>
            <w:r>
              <w:rPr>
                <w:rFonts w:hint="eastAsia" w:hAnsi="宋体"/>
                <w:color w:val="auto"/>
                <w:sz w:val="24"/>
                <w:highlight w:val="none"/>
              </w:rPr>
              <w:t>进行气相平衡</w:t>
            </w:r>
            <w:r>
              <w:rPr>
                <w:rFonts w:hint="eastAsia" w:hAnsi="宋体"/>
                <w:color w:val="auto"/>
                <w:sz w:val="24"/>
                <w:highlight w:val="none"/>
                <w:lang w:val="en-US" w:eastAsia="zh-CN"/>
              </w:rPr>
              <w:t>。卸车时，打开槽罐车的气相阀和增压阀，同步打开储罐气相阀，储罐顶部气相进入压缩机后完成排压，启动压缩机对进入的气相增压，当压力升至1.7MPa（丙烷）、0.8MPa（丁烷）时，再将罐车及储罐液相阀全部打开，增压气通过卸车鹤管气相管回流进槽罐车，槽罐车内丙烷/丁烷液态气形成压差后采用下进液式进入储罐，完成卸车。卸车完成后立即关闭槽罐车及储罐气液阀等阀门，最后断开卸车鹤管。</w:t>
            </w:r>
          </w:p>
          <w:p w14:paraId="0C819943">
            <w:pPr>
              <w:adjustRightInd w:val="0"/>
              <w:spacing w:line="360" w:lineRule="auto"/>
              <w:ind w:firstLine="480" w:firstLineChars="200"/>
              <w:rPr>
                <w:rFonts w:hAnsi="宋体"/>
                <w:color w:val="auto"/>
                <w:sz w:val="24"/>
                <w:highlight w:val="none"/>
              </w:rPr>
            </w:pPr>
            <w:r>
              <w:rPr>
                <w:rFonts w:hint="eastAsia" w:hAnsi="宋体"/>
                <w:color w:val="auto"/>
                <w:sz w:val="24"/>
                <w:highlight w:val="none"/>
                <w:lang w:val="en-US" w:eastAsia="zh-CN"/>
              </w:rPr>
              <w:t>产排污分析：卸车前，不涉及吹扫置换环节，不考虑置换废气；</w:t>
            </w:r>
            <w:r>
              <w:rPr>
                <w:rFonts w:hint="eastAsia" w:hAnsi="宋体"/>
                <w:color w:val="auto"/>
                <w:sz w:val="24"/>
                <w:highlight w:val="none"/>
              </w:rPr>
              <w:t>卸车过程中通过气相平衡管连接槽车及储罐顶部，进行气相平衡，储罐顶部气相</w:t>
            </w:r>
            <w:r>
              <w:rPr>
                <w:rFonts w:hint="eastAsia" w:hAnsi="宋体"/>
                <w:color w:val="auto"/>
                <w:sz w:val="24"/>
                <w:highlight w:val="none"/>
                <w:lang w:val="en-US" w:eastAsia="zh-CN"/>
              </w:rPr>
              <w:t>经压缩机增压后</w:t>
            </w:r>
            <w:r>
              <w:rPr>
                <w:rFonts w:hint="eastAsia" w:hAnsi="宋体"/>
                <w:color w:val="auto"/>
                <w:sz w:val="24"/>
                <w:highlight w:val="none"/>
              </w:rPr>
              <w:t>回流进槽车，卸车过程中无废气排放。</w:t>
            </w:r>
          </w:p>
          <w:p w14:paraId="664C9D94">
            <w:pPr>
              <w:adjustRightInd w:val="0"/>
              <w:spacing w:line="360" w:lineRule="auto"/>
              <w:ind w:firstLine="480" w:firstLineChars="200"/>
              <w:rPr>
                <w:rFonts w:hAnsi="宋体"/>
                <w:color w:val="auto"/>
                <w:sz w:val="24"/>
                <w:highlight w:val="none"/>
              </w:rPr>
            </w:pPr>
            <w:r>
              <w:rPr>
                <w:rFonts w:hint="eastAsia" w:hAnsi="宋体"/>
                <w:color w:val="auto"/>
                <w:sz w:val="24"/>
                <w:highlight w:val="none"/>
              </w:rPr>
              <w:t>②存储：</w:t>
            </w:r>
            <w:r>
              <w:rPr>
                <w:rFonts w:hint="eastAsia" w:hAnsi="宋体"/>
                <w:color w:val="auto"/>
                <w:sz w:val="24"/>
                <w:highlight w:val="none"/>
                <w:lang w:val="en-US" w:eastAsia="zh-CN"/>
              </w:rPr>
              <w:t>丙烷/丁烷</w:t>
            </w:r>
            <w:r>
              <w:rPr>
                <w:rFonts w:hint="eastAsia" w:hAnsi="宋体"/>
                <w:color w:val="auto"/>
                <w:sz w:val="24"/>
                <w:highlight w:val="none"/>
              </w:rPr>
              <w:t>卸车后由</w:t>
            </w:r>
            <w:r>
              <w:rPr>
                <w:rFonts w:hint="eastAsia" w:hAnsi="宋体"/>
                <w:color w:val="auto"/>
                <w:sz w:val="24"/>
                <w:highlight w:val="none"/>
                <w:lang w:val="en-US" w:eastAsia="zh-CN"/>
              </w:rPr>
              <w:t>丙烷/丁烷压力</w:t>
            </w:r>
            <w:r>
              <w:rPr>
                <w:rFonts w:hint="eastAsia" w:hAnsi="宋体"/>
                <w:color w:val="auto"/>
                <w:sz w:val="24"/>
                <w:highlight w:val="none"/>
              </w:rPr>
              <w:t>储罐存储，待使用。</w:t>
            </w:r>
          </w:p>
          <w:p w14:paraId="3BCA5BA8">
            <w:pPr>
              <w:adjustRightInd w:val="0"/>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丙烷压力</w:t>
            </w:r>
            <w:r>
              <w:rPr>
                <w:rFonts w:hint="default" w:ascii="Times New Roman" w:hAnsi="Times New Roman" w:cs="Times New Roman"/>
                <w:color w:val="auto"/>
                <w:sz w:val="24"/>
                <w:highlight w:val="none"/>
              </w:rPr>
              <w:t>储罐存储时，储罐设计温度为-20~50℃，设计压力为1.77MPa（工作温度-19~50℃，工作压力1.61MPa），储罐结构为单层承压罐。</w:t>
            </w:r>
            <w:r>
              <w:rPr>
                <w:rFonts w:hint="default" w:ascii="Times New Roman" w:hAnsi="Times New Roman" w:cs="Times New Roman"/>
                <w:color w:val="auto"/>
                <w:sz w:val="24"/>
                <w:highlight w:val="none"/>
                <w:lang w:val="en-US" w:eastAsia="zh-CN"/>
              </w:rPr>
              <w:t>丁烷压力</w:t>
            </w:r>
            <w:r>
              <w:rPr>
                <w:rFonts w:hint="default" w:ascii="Times New Roman" w:hAnsi="Times New Roman" w:cs="Times New Roman"/>
                <w:color w:val="auto"/>
                <w:sz w:val="24"/>
                <w:highlight w:val="none"/>
              </w:rPr>
              <w:t>储罐存储时，储罐设计温度为-20~50℃，设计压力为</w:t>
            </w:r>
            <w:r>
              <w:rPr>
                <w:rFonts w:hint="default" w:ascii="Times New Roman" w:hAnsi="Times New Roman" w:cs="Times New Roman"/>
                <w:color w:val="auto"/>
                <w:sz w:val="24"/>
                <w:highlight w:val="none"/>
                <w:lang w:val="en-US" w:eastAsia="zh-CN"/>
              </w:rPr>
              <w:t>0.9</w:t>
            </w:r>
            <w:r>
              <w:rPr>
                <w:rFonts w:hint="default" w:ascii="Times New Roman" w:hAnsi="Times New Roman" w:cs="Times New Roman"/>
                <w:color w:val="auto"/>
                <w:sz w:val="24"/>
                <w:highlight w:val="none"/>
              </w:rPr>
              <w:t>MPa（工作温度-19~50℃，工作压力</w:t>
            </w:r>
            <w:r>
              <w:rPr>
                <w:rFonts w:hint="default" w:ascii="Times New Roman" w:hAnsi="Times New Roman" w:cs="Times New Roman"/>
                <w:color w:val="auto"/>
                <w:sz w:val="24"/>
                <w:highlight w:val="none"/>
                <w:lang w:val="en-US" w:eastAsia="zh-CN"/>
              </w:rPr>
              <w:t>0.78</w:t>
            </w:r>
            <w:r>
              <w:rPr>
                <w:rFonts w:hint="default" w:ascii="Times New Roman" w:hAnsi="Times New Roman" w:cs="Times New Roman"/>
                <w:color w:val="auto"/>
                <w:sz w:val="24"/>
                <w:highlight w:val="none"/>
              </w:rPr>
              <w:t>MPa），储罐结构为单层承压罐。</w:t>
            </w:r>
          </w:p>
          <w:p w14:paraId="6689C8CB">
            <w:pPr>
              <w:adjustRightInd w:val="0"/>
              <w:spacing w:line="360" w:lineRule="auto"/>
              <w:ind w:firstLine="480" w:firstLineChars="200"/>
              <w:rPr>
                <w:rFonts w:hAnsi="宋体"/>
                <w:color w:val="auto"/>
                <w:sz w:val="24"/>
                <w:highlight w:val="none"/>
              </w:rPr>
            </w:pPr>
            <w:r>
              <w:rPr>
                <w:rFonts w:hint="eastAsia" w:hAnsi="宋体"/>
                <w:color w:val="auto"/>
                <w:sz w:val="24"/>
                <w:highlight w:val="none"/>
                <w:lang w:val="en-US" w:eastAsia="zh-CN"/>
              </w:rPr>
              <w:t>压力</w:t>
            </w:r>
            <w:r>
              <w:rPr>
                <w:rFonts w:hint="eastAsia" w:hAnsi="宋体"/>
                <w:color w:val="auto"/>
                <w:sz w:val="24"/>
                <w:highlight w:val="none"/>
              </w:rPr>
              <w:t>储罐内气体压力超过罐内允许压力值时，超压阀被顶开，偶有超压废气产生，维持罐内压力，由于储罐容积小，超压废气可忽略不计。新增丙烷、丁烷储罐安全阀出口管</w:t>
            </w:r>
            <w:r>
              <w:rPr>
                <w:rFonts w:hint="eastAsia" w:hAnsi="宋体"/>
                <w:color w:val="auto"/>
                <w:sz w:val="24"/>
                <w:highlight w:val="none"/>
                <w:lang w:eastAsia="zh-CN"/>
              </w:rPr>
              <w:t>（</w:t>
            </w:r>
            <w:r>
              <w:rPr>
                <w:rFonts w:hint="eastAsia" w:hAnsi="宋体"/>
                <w:color w:val="auto"/>
                <w:sz w:val="24"/>
                <w:highlight w:val="none"/>
              </w:rPr>
              <w:t>就地放空</w:t>
            </w:r>
            <w:r>
              <w:rPr>
                <w:rFonts w:hint="eastAsia" w:hAnsi="宋体"/>
                <w:color w:val="auto"/>
                <w:sz w:val="24"/>
                <w:highlight w:val="none"/>
                <w:lang w:eastAsia="zh-CN"/>
              </w:rPr>
              <w:t>）</w:t>
            </w:r>
            <w:r>
              <w:rPr>
                <w:rFonts w:hint="eastAsia" w:hAnsi="宋体"/>
                <w:color w:val="auto"/>
                <w:sz w:val="24"/>
                <w:highlight w:val="none"/>
              </w:rPr>
              <w:t>，排气管口</w:t>
            </w:r>
            <w:r>
              <w:rPr>
                <w:rFonts w:hint="eastAsia" w:hAnsi="宋体"/>
                <w:color w:val="auto"/>
                <w:sz w:val="24"/>
                <w:highlight w:val="none"/>
                <w:lang w:val="en-US" w:eastAsia="zh-CN"/>
              </w:rPr>
              <w:t>设置在对应储罐顶部（</w:t>
            </w:r>
            <w:r>
              <w:rPr>
                <w:rFonts w:hint="eastAsia" w:hAnsi="宋体"/>
                <w:color w:val="auto"/>
                <w:sz w:val="24"/>
                <w:highlight w:val="none"/>
              </w:rPr>
              <w:t>8m范围内储罐</w:t>
            </w:r>
            <w:r>
              <w:rPr>
                <w:rFonts w:hint="eastAsia" w:hAnsi="宋体"/>
                <w:color w:val="auto"/>
                <w:sz w:val="24"/>
                <w:highlight w:val="none"/>
                <w:lang w:val="en-US" w:eastAsia="zh-CN"/>
              </w:rPr>
              <w:t>高度均一致）</w:t>
            </w:r>
            <w:r>
              <w:rPr>
                <w:rFonts w:hint="eastAsia" w:hAnsi="宋体"/>
                <w:color w:val="auto"/>
                <w:sz w:val="24"/>
                <w:highlight w:val="none"/>
              </w:rPr>
              <w:t>平台3m以上</w:t>
            </w:r>
            <w:r>
              <w:rPr>
                <w:rFonts w:hint="eastAsia" w:hAnsi="宋体"/>
                <w:color w:val="auto"/>
                <w:sz w:val="24"/>
                <w:highlight w:val="none"/>
                <w:lang w:eastAsia="zh-CN"/>
              </w:rPr>
              <w:t>，</w:t>
            </w:r>
            <w:r>
              <w:rPr>
                <w:rFonts w:hint="eastAsia" w:hAnsi="宋体"/>
                <w:color w:val="auto"/>
                <w:sz w:val="24"/>
                <w:highlight w:val="none"/>
                <w:lang w:val="en-US" w:eastAsia="zh-CN"/>
              </w:rPr>
              <w:t>丙烷/丁烷超压废气引入丙烷/丁烷储罐顶部</w:t>
            </w:r>
            <w:r>
              <w:rPr>
                <w:rFonts w:hint="eastAsia" w:hAnsi="宋体"/>
                <w:color w:val="auto"/>
                <w:sz w:val="24"/>
                <w:highlight w:val="none"/>
              </w:rPr>
              <w:t>安全阀出口管就地放空。</w:t>
            </w:r>
          </w:p>
          <w:p w14:paraId="20F795BC">
            <w:pPr>
              <w:adjustRightInd w:val="0"/>
              <w:spacing w:line="360" w:lineRule="auto"/>
              <w:ind w:firstLine="480" w:firstLineChars="200"/>
              <w:rPr>
                <w:color w:val="auto"/>
                <w:sz w:val="24"/>
                <w:szCs w:val="24"/>
                <w:highlight w:val="none"/>
              </w:rPr>
            </w:pPr>
            <w:r>
              <w:rPr>
                <w:rFonts w:hint="eastAsia" w:hAnsi="宋体"/>
                <w:color w:val="auto"/>
                <w:sz w:val="24"/>
                <w:highlight w:val="none"/>
              </w:rPr>
              <w:t>③</w:t>
            </w:r>
            <w:r>
              <w:rPr>
                <w:rFonts w:hint="eastAsia"/>
                <w:color w:val="auto"/>
                <w:sz w:val="24"/>
                <w:szCs w:val="24"/>
                <w:highlight w:val="none"/>
              </w:rPr>
              <w:t>充装前进行来瓶检测、氮气置换</w:t>
            </w:r>
          </w:p>
          <w:p w14:paraId="4A091B8D">
            <w:pPr>
              <w:adjustRightInd w:val="0"/>
              <w:spacing w:line="360" w:lineRule="auto"/>
              <w:ind w:firstLine="480" w:firstLineChars="200"/>
              <w:rPr>
                <w:rFonts w:hAnsi="宋体"/>
                <w:color w:val="auto"/>
                <w:sz w:val="24"/>
                <w:highlight w:val="none"/>
              </w:rPr>
            </w:pPr>
            <w:r>
              <w:rPr>
                <w:rFonts w:hint="eastAsia"/>
                <w:color w:val="auto"/>
                <w:sz w:val="24"/>
                <w:szCs w:val="24"/>
                <w:highlight w:val="none"/>
              </w:rPr>
              <w:t>新钢瓶：来厂后，</w:t>
            </w:r>
            <w:r>
              <w:rPr>
                <w:rFonts w:hint="eastAsia"/>
                <w:color w:val="auto"/>
                <w:sz w:val="24"/>
                <w:szCs w:val="24"/>
                <w:highlight w:val="none"/>
                <w:lang w:val="en-US" w:eastAsia="zh-CN"/>
              </w:rPr>
              <w:t>依托厂区现有</w:t>
            </w:r>
            <w:r>
              <w:rPr>
                <w:rFonts w:hint="eastAsia"/>
                <w:color w:val="auto"/>
                <w:sz w:val="24"/>
                <w:szCs w:val="24"/>
                <w:highlight w:val="none"/>
              </w:rPr>
              <w:t>气冷式无油真空泵抽真空，然后使用氮气置换2次，再抽真空后，方可投入充装间使用；</w:t>
            </w:r>
          </w:p>
          <w:p w14:paraId="37355715">
            <w:pPr>
              <w:spacing w:line="360" w:lineRule="auto"/>
              <w:ind w:firstLine="480" w:firstLineChars="200"/>
              <w:rPr>
                <w:color w:val="auto"/>
                <w:sz w:val="24"/>
                <w:szCs w:val="24"/>
                <w:highlight w:val="none"/>
              </w:rPr>
            </w:pPr>
            <w:r>
              <w:rPr>
                <w:rFonts w:hint="eastAsia"/>
                <w:color w:val="auto"/>
                <w:sz w:val="24"/>
                <w:szCs w:val="24"/>
                <w:highlight w:val="none"/>
              </w:rPr>
              <w:t>返厂钢瓶：先检查钢瓶生产厂家及标识，若是厂内钢瓶，运用检测设备对钢瓶内气相成分及压力进行检测，符合充装条件的投入充装间使用，不符合充装条件的返回钢瓶厂家处理；若非厂内钢瓶及破损钢瓶不投入使用，并返回钢瓶厂家处理。</w:t>
            </w:r>
          </w:p>
          <w:p w14:paraId="75E3F5BD">
            <w:pPr>
              <w:spacing w:line="360" w:lineRule="auto"/>
              <w:ind w:firstLine="480" w:firstLineChars="200"/>
              <w:rPr>
                <w:rFonts w:hint="eastAsia" w:hAnsi="宋体"/>
                <w:color w:val="auto"/>
                <w:sz w:val="24"/>
                <w:highlight w:val="none"/>
              </w:rPr>
            </w:pPr>
            <w:r>
              <w:rPr>
                <w:rFonts w:hint="eastAsia"/>
                <w:color w:val="auto"/>
                <w:sz w:val="24"/>
                <w:szCs w:val="24"/>
                <w:highlight w:val="none"/>
                <w:lang w:val="en-US" w:eastAsia="zh-CN"/>
              </w:rPr>
              <w:t>④</w:t>
            </w:r>
            <w:r>
              <w:rPr>
                <w:rFonts w:hint="eastAsia" w:hAnsi="宋体"/>
                <w:color w:val="auto"/>
                <w:sz w:val="24"/>
                <w:highlight w:val="none"/>
              </w:rPr>
              <w:t>充装</w:t>
            </w:r>
          </w:p>
          <w:p w14:paraId="58545135">
            <w:pPr>
              <w:spacing w:line="360" w:lineRule="auto"/>
              <w:ind w:firstLine="480" w:firstLineChars="200"/>
              <w:rPr>
                <w:rFonts w:hint="default" w:hAnsi="宋体" w:eastAsia="宋体"/>
                <w:color w:val="auto"/>
                <w:sz w:val="24"/>
                <w:highlight w:val="none"/>
                <w:lang w:val="en-US" w:eastAsia="zh-CN"/>
              </w:rPr>
            </w:pPr>
            <w:r>
              <w:rPr>
                <w:rFonts w:hint="eastAsia" w:hAnsi="宋体"/>
                <w:color w:val="auto"/>
                <w:sz w:val="24"/>
                <w:highlight w:val="none"/>
                <w:lang w:val="en-US" w:eastAsia="zh-CN"/>
              </w:rPr>
              <w:t>充装前，首先将钢瓶摆放在充装工位的充装电子秤上，去皮，然后将钢瓶接嘴与充装汇流排充装角阀连接，根据钢瓶容积及充装系数设定称重报警值；充装时，打开钢瓶和充装汇流排角阀，慢慢开启总阀门，丙烷/丁烷通过输送管道自储罐进入充装汇流排（工作压力1.2MPa~1.6MPa）；充装过程同步观察钢瓶状况，待称重报警值响起时，立即关闭总阀、钢瓶角阀和汇流排角阀，断开汇流排。完成充装后得到充装成品丙烷/丁烷气瓶，部分暂存于车间待当日出厂，少部分暂存于库棚（甲类）内待出售。</w:t>
            </w:r>
          </w:p>
          <w:p w14:paraId="08C8040A">
            <w:pPr>
              <w:spacing w:line="360" w:lineRule="auto"/>
              <w:ind w:firstLine="480" w:firstLineChars="200"/>
              <w:rPr>
                <w:color w:val="auto"/>
                <w:sz w:val="24"/>
                <w:szCs w:val="24"/>
                <w:highlight w:val="none"/>
              </w:rPr>
            </w:pPr>
            <w:r>
              <w:rPr>
                <w:rFonts w:hint="eastAsia"/>
                <w:color w:val="auto"/>
                <w:sz w:val="24"/>
                <w:szCs w:val="24"/>
                <w:highlight w:val="none"/>
                <w:lang w:val="en-US" w:eastAsia="zh-CN"/>
              </w:rPr>
              <w:t>⑤</w:t>
            </w:r>
            <w:r>
              <w:rPr>
                <w:rFonts w:hint="eastAsia"/>
                <w:color w:val="auto"/>
                <w:sz w:val="24"/>
                <w:szCs w:val="24"/>
                <w:highlight w:val="none"/>
              </w:rPr>
              <w:t>装车：使用气瓶叉车将成品运出车间，于装卸平台装车，送至用户端。</w:t>
            </w:r>
          </w:p>
          <w:p w14:paraId="74A80CCF">
            <w:pPr>
              <w:spacing w:line="360" w:lineRule="auto"/>
              <w:ind w:firstLine="482" w:firstLineChars="200"/>
              <w:rPr>
                <w:rFonts w:hint="eastAsia"/>
                <w:b/>
                <w:color w:val="auto"/>
                <w:sz w:val="24"/>
                <w:szCs w:val="24"/>
                <w:highlight w:val="none"/>
              </w:rPr>
            </w:pPr>
          </w:p>
          <w:p w14:paraId="447ED1EB">
            <w:pPr>
              <w:spacing w:line="360" w:lineRule="auto"/>
              <w:ind w:firstLine="482" w:firstLineChars="200"/>
              <w:rPr>
                <w:rFonts w:hint="eastAsia"/>
                <w:b/>
                <w:color w:val="auto"/>
                <w:sz w:val="24"/>
                <w:szCs w:val="24"/>
                <w:highlight w:val="none"/>
              </w:rPr>
            </w:pPr>
          </w:p>
          <w:p w14:paraId="512409DE">
            <w:pPr>
              <w:spacing w:line="360" w:lineRule="auto"/>
              <w:ind w:firstLine="482" w:firstLineChars="200"/>
              <w:rPr>
                <w:rFonts w:hint="eastAsia"/>
                <w:b/>
                <w:color w:val="auto"/>
                <w:sz w:val="24"/>
                <w:szCs w:val="24"/>
                <w:highlight w:val="none"/>
              </w:rPr>
            </w:pPr>
          </w:p>
          <w:p w14:paraId="39B9F046">
            <w:pPr>
              <w:spacing w:line="360" w:lineRule="auto"/>
              <w:ind w:firstLine="482" w:firstLineChars="200"/>
              <w:rPr>
                <w:rFonts w:hint="eastAsia"/>
                <w:b/>
                <w:color w:val="auto"/>
                <w:sz w:val="24"/>
                <w:szCs w:val="24"/>
                <w:highlight w:val="none"/>
              </w:rPr>
            </w:pPr>
          </w:p>
          <w:p w14:paraId="38A617BA">
            <w:pPr>
              <w:spacing w:line="360" w:lineRule="auto"/>
              <w:ind w:firstLine="482" w:firstLineChars="200"/>
              <w:rPr>
                <w:rFonts w:hint="eastAsia"/>
                <w:b/>
                <w:color w:val="auto"/>
                <w:sz w:val="24"/>
                <w:szCs w:val="24"/>
                <w:highlight w:val="none"/>
              </w:rPr>
            </w:pPr>
          </w:p>
          <w:p w14:paraId="0ED48453">
            <w:pPr>
              <w:spacing w:line="360" w:lineRule="auto"/>
              <w:ind w:firstLine="482" w:firstLineChars="200"/>
              <w:rPr>
                <w:b/>
                <w:color w:val="auto"/>
                <w:sz w:val="24"/>
                <w:szCs w:val="24"/>
                <w:highlight w:val="none"/>
              </w:rPr>
            </w:pPr>
            <w:r>
              <w:rPr>
                <w:rFonts w:hint="eastAsia"/>
                <w:b/>
                <w:color w:val="auto"/>
                <w:sz w:val="24"/>
                <w:szCs w:val="24"/>
                <w:highlight w:val="none"/>
              </w:rPr>
              <w:t>（2）</w:t>
            </w:r>
            <w:r>
              <w:rPr>
                <w:rFonts w:hint="eastAsia"/>
                <w:b/>
                <w:color w:val="auto"/>
                <w:sz w:val="24"/>
                <w:szCs w:val="24"/>
                <w:highlight w:val="none"/>
                <w:lang w:val="en-US" w:eastAsia="zh-CN"/>
              </w:rPr>
              <w:t>丙烷/丁烷</w:t>
            </w:r>
            <w:r>
              <w:rPr>
                <w:rFonts w:hint="eastAsia"/>
                <w:b/>
                <w:color w:val="auto"/>
                <w:sz w:val="24"/>
                <w:szCs w:val="24"/>
                <w:highlight w:val="none"/>
              </w:rPr>
              <w:t>卸车环节工艺</w:t>
            </w:r>
          </w:p>
          <w:p w14:paraId="0D045A9F">
            <w:pPr>
              <w:spacing w:line="360" w:lineRule="auto"/>
              <w:ind w:firstLine="480" w:firstLineChars="200"/>
              <w:rPr>
                <w:color w:val="auto"/>
                <w:sz w:val="24"/>
                <w:szCs w:val="24"/>
                <w:highlight w:val="none"/>
              </w:rPr>
            </w:pPr>
            <w:r>
              <w:rPr>
                <w:rFonts w:hint="eastAsia"/>
                <w:color w:val="auto"/>
                <w:sz w:val="24"/>
                <w:szCs w:val="24"/>
                <w:highlight w:val="none"/>
              </w:rPr>
              <w:t>本项目</w:t>
            </w:r>
            <w:r>
              <w:rPr>
                <w:rFonts w:hint="eastAsia"/>
                <w:color w:val="auto"/>
                <w:sz w:val="24"/>
                <w:szCs w:val="24"/>
                <w:highlight w:val="none"/>
                <w:lang w:val="en-US" w:eastAsia="zh-CN"/>
              </w:rPr>
              <w:t>丙烷/丁烷</w:t>
            </w:r>
            <w:r>
              <w:rPr>
                <w:rFonts w:hint="eastAsia"/>
                <w:color w:val="auto"/>
                <w:sz w:val="24"/>
                <w:szCs w:val="24"/>
                <w:highlight w:val="none"/>
              </w:rPr>
              <w:t>卸车环节工艺及气相平衡如下图</w:t>
            </w:r>
            <w:r>
              <w:rPr>
                <w:rFonts w:hint="eastAsia"/>
                <w:color w:val="auto"/>
                <w:sz w:val="24"/>
                <w:szCs w:val="24"/>
                <w:highlight w:val="none"/>
                <w:lang w:val="en-US" w:eastAsia="zh-CN"/>
              </w:rPr>
              <w:t>2-</w:t>
            </w:r>
            <w:r>
              <w:rPr>
                <w:rFonts w:hint="eastAsia"/>
                <w:color w:val="auto"/>
                <w:sz w:val="24"/>
                <w:szCs w:val="24"/>
                <w:highlight w:val="none"/>
              </w:rPr>
              <w:t>4所示。</w:t>
            </w:r>
          </w:p>
          <w:p w14:paraId="629669F2">
            <w:pPr>
              <w:spacing w:line="360" w:lineRule="auto"/>
              <w:rPr>
                <w:color w:val="auto"/>
                <w:highlight w:val="none"/>
              </w:rPr>
            </w:pPr>
            <w:r>
              <w:rPr>
                <w:color w:val="auto"/>
                <w:highlight w:val="none"/>
              </w:rPr>
              <mc:AlternateContent>
                <mc:Choice Requires="wpc">
                  <w:drawing>
                    <wp:inline distT="0" distB="0" distL="114300" distR="114300">
                      <wp:extent cx="5172075" cy="2995930"/>
                      <wp:effectExtent l="0" t="0" r="0" b="0"/>
                      <wp:docPr id="98" name="画布 61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8" name="自选图形 6141"/>
                              <wps:cNvSpPr/>
                              <wps:spPr>
                                <a:xfrm flipH="1">
                                  <a:off x="58186" y="1081724"/>
                                  <a:ext cx="354143" cy="706784"/>
                                </a:xfrm>
                                <a:prstGeom prst="rtTriangle">
                                  <a:avLst/>
                                </a:prstGeom>
                                <a:noFill/>
                                <a:ln w="9525" cap="flat" cmpd="sng">
                                  <a:solidFill>
                                    <a:srgbClr val="000000"/>
                                  </a:solidFill>
                                  <a:prstDash val="solid"/>
                                  <a:miter/>
                                  <a:headEnd type="none" w="med" len="med"/>
                                  <a:tailEnd type="none" w="med" len="med"/>
                                </a:ln>
                              </wps:spPr>
                              <wps:bodyPr upright="1"/>
                            </wps:wsp>
                            <wpg:wgp>
                              <wpg:cNvPr id="97" name="组合 6142"/>
                              <wpg:cNvGrpSpPr/>
                              <wpg:grpSpPr>
                                <a:xfrm>
                                  <a:off x="299549" y="63925"/>
                                  <a:ext cx="4197283" cy="2740943"/>
                                  <a:chOff x="2774" y="3315"/>
                                  <a:chExt cx="5843" cy="3816"/>
                                </a:xfrm>
                              </wpg:grpSpPr>
                              <wps:wsp>
                                <wps:cNvPr id="69" name="矩形 6143"/>
                                <wps:cNvSpPr/>
                                <wps:spPr>
                                  <a:xfrm>
                                    <a:off x="2931" y="4733"/>
                                    <a:ext cx="1513" cy="983"/>
                                  </a:xfrm>
                                  <a:prstGeom prst="rect">
                                    <a:avLst/>
                                  </a:prstGeom>
                                  <a:noFill/>
                                  <a:ln w="9525" cap="flat" cmpd="sng">
                                    <a:solidFill>
                                      <a:srgbClr val="000000"/>
                                    </a:solidFill>
                                    <a:prstDash val="solid"/>
                                    <a:miter/>
                                    <a:headEnd type="none" w="med" len="med"/>
                                    <a:tailEnd type="none" w="med" len="med"/>
                                  </a:ln>
                                </wps:spPr>
                                <wps:txbx>
                                  <w:txbxContent>
                                    <w:p w14:paraId="40504F08">
                                      <w:pPr>
                                        <w:jc w:val="center"/>
                                      </w:pPr>
                                    </w:p>
                                    <w:p w14:paraId="417FB992">
                                      <w:pPr>
                                        <w:jc w:val="center"/>
                                        <w:rPr>
                                          <w:sz w:val="15"/>
                                          <w:szCs w:val="15"/>
                                        </w:rPr>
                                      </w:pPr>
                                      <w:r>
                                        <w:rPr>
                                          <w:rFonts w:hint="eastAsia"/>
                                          <w:sz w:val="15"/>
                                          <w:szCs w:val="15"/>
                                          <w:lang w:val="en-US" w:eastAsia="zh-CN"/>
                                        </w:rPr>
                                        <w:t>丙烷/丁烷</w:t>
                                      </w:r>
                                      <w:r>
                                        <w:rPr>
                                          <w:sz w:val="15"/>
                                          <w:szCs w:val="15"/>
                                        </w:rPr>
                                        <w:t>罐车</w:t>
                                      </w:r>
                                    </w:p>
                                  </w:txbxContent>
                                </wps:txbx>
                                <wps:bodyPr upright="1"/>
                              </wps:wsp>
                              <wps:wsp>
                                <wps:cNvPr id="70" name="椭圆 6144"/>
                                <wps:cNvSpPr/>
                                <wps:spPr>
                                  <a:xfrm>
                                    <a:off x="2774" y="5716"/>
                                    <a:ext cx="372" cy="337"/>
                                  </a:xfrm>
                                  <a:prstGeom prst="ellipse">
                                    <a:avLst/>
                                  </a:prstGeom>
                                  <a:noFill/>
                                  <a:ln w="9525" cap="flat" cmpd="sng">
                                    <a:solidFill>
                                      <a:srgbClr val="000000"/>
                                    </a:solidFill>
                                    <a:prstDash val="solid"/>
                                    <a:headEnd type="none" w="med" len="med"/>
                                    <a:tailEnd type="none" w="med" len="med"/>
                                  </a:ln>
                                </wps:spPr>
                                <wps:bodyPr upright="1"/>
                              </wps:wsp>
                              <wps:wsp>
                                <wps:cNvPr id="71" name="椭圆 6145"/>
                                <wps:cNvSpPr/>
                                <wps:spPr>
                                  <a:xfrm>
                                    <a:off x="3923" y="5716"/>
                                    <a:ext cx="373" cy="337"/>
                                  </a:xfrm>
                                  <a:prstGeom prst="ellipse">
                                    <a:avLst/>
                                  </a:prstGeom>
                                  <a:noFill/>
                                  <a:ln w="9525" cap="flat" cmpd="sng">
                                    <a:solidFill>
                                      <a:srgbClr val="000000"/>
                                    </a:solidFill>
                                    <a:prstDash val="solid"/>
                                    <a:headEnd type="none" w="med" len="med"/>
                                    <a:tailEnd type="none" w="med" len="med"/>
                                  </a:ln>
                                </wps:spPr>
                                <wps:bodyPr upright="1"/>
                              </wps:wsp>
                              <wps:wsp>
                                <wps:cNvPr id="75" name="矩形 6149"/>
                                <wps:cNvSpPr/>
                                <wps:spPr>
                                  <a:xfrm>
                                    <a:off x="8014" y="4550"/>
                                    <a:ext cx="601" cy="973"/>
                                  </a:xfrm>
                                  <a:prstGeom prst="rect">
                                    <a:avLst/>
                                  </a:prstGeom>
                                  <a:noFill/>
                                  <a:ln w="9525" cap="flat" cmpd="sng">
                                    <a:solidFill>
                                      <a:srgbClr val="000000"/>
                                    </a:solidFill>
                                    <a:prstDash val="solid"/>
                                    <a:miter/>
                                    <a:headEnd type="none" w="med" len="med"/>
                                    <a:tailEnd type="none" w="med" len="med"/>
                                  </a:ln>
                                </wps:spPr>
                                <wps:txbx>
                                  <w:txbxContent>
                                    <w:p w14:paraId="0B878C6C">
                                      <w:pPr>
                                        <w:keepNext w:val="0"/>
                                        <w:keepLines w:val="0"/>
                                        <w:pageBreakBefore w:val="0"/>
                                        <w:widowControl w:val="0"/>
                                        <w:kinsoku/>
                                        <w:wordWrap/>
                                        <w:overflowPunct/>
                                        <w:topLinePunct w:val="0"/>
                                        <w:bidi w:val="0"/>
                                        <w:adjustRightInd/>
                                        <w:snapToGrid/>
                                        <w:spacing w:line="360" w:lineRule="auto"/>
                                        <w:jc w:val="center"/>
                                        <w:textAlignment w:val="auto"/>
                                        <w:rPr>
                                          <w:rFonts w:hint="default" w:eastAsia="宋体"/>
                                          <w:lang w:val="en-US" w:eastAsia="zh-CN"/>
                                        </w:rPr>
                                      </w:pPr>
                                      <w:r>
                                        <w:rPr>
                                          <w:rFonts w:hint="eastAsia"/>
                                          <w:sz w:val="15"/>
                                          <w:szCs w:val="15"/>
                                          <w:lang w:val="en-US" w:eastAsia="zh-CN"/>
                                        </w:rPr>
                                        <w:t>压力储罐</w:t>
                                      </w:r>
                                    </w:p>
                                  </w:txbxContent>
                                </wps:txbx>
                                <wps:bodyPr upright="1"/>
                              </wps:wsp>
                              <wps:wsp>
                                <wps:cNvPr id="76" name="自选图形 6150"/>
                                <wps:cNvSpPr/>
                                <wps:spPr>
                                  <a:xfrm rot="16200000">
                                    <a:off x="8253" y="4187"/>
                                    <a:ext cx="137" cy="589"/>
                                  </a:xfrm>
                                  <a:prstGeom prst="flowChartDelay">
                                    <a:avLst/>
                                  </a:prstGeom>
                                  <a:noFill/>
                                  <a:ln w="9525" cap="flat" cmpd="sng">
                                    <a:solidFill>
                                      <a:srgbClr val="000000"/>
                                    </a:solidFill>
                                    <a:prstDash val="solid"/>
                                    <a:miter/>
                                    <a:headEnd type="none" w="med" len="med"/>
                                    <a:tailEnd type="none" w="med" len="med"/>
                                  </a:ln>
                                </wps:spPr>
                                <wps:bodyPr upright="1"/>
                              </wps:wsp>
                              <wps:wsp>
                                <wps:cNvPr id="77" name="自选图形 6151"/>
                                <wps:cNvSpPr/>
                                <wps:spPr>
                                  <a:xfrm rot="5400000">
                                    <a:off x="8257" y="5293"/>
                                    <a:ext cx="130" cy="589"/>
                                  </a:xfrm>
                                  <a:prstGeom prst="flowChartDelay">
                                    <a:avLst/>
                                  </a:prstGeom>
                                  <a:noFill/>
                                  <a:ln w="9525" cap="flat" cmpd="sng">
                                    <a:solidFill>
                                      <a:srgbClr val="000000"/>
                                    </a:solidFill>
                                    <a:prstDash val="solid"/>
                                    <a:miter/>
                                    <a:headEnd type="none" w="med" len="med"/>
                                    <a:tailEnd type="none" w="med" len="med"/>
                                  </a:ln>
                                </wps:spPr>
                                <wps:bodyPr upright="1"/>
                              </wps:wsp>
                              <wps:wsp>
                                <wps:cNvPr id="78" name="自选图形 6152"/>
                                <wps:cNvCnPr>
                                  <a:endCxn id="77" idx="3"/>
                                </wps:cNvCnPr>
                                <wps:spPr>
                                  <a:xfrm>
                                    <a:off x="4344" y="5427"/>
                                    <a:ext cx="3978" cy="225"/>
                                  </a:xfrm>
                                  <a:prstGeom prst="bentConnector4">
                                    <a:avLst>
                                      <a:gd name="adj1" fmla="val 35559"/>
                                      <a:gd name="adj2" fmla="val 463386"/>
                                    </a:avLst>
                                  </a:prstGeom>
                                  <a:ln w="25400" cap="flat" cmpd="sng">
                                    <a:solidFill>
                                      <a:srgbClr val="000000"/>
                                    </a:solidFill>
                                    <a:prstDash val="solid"/>
                                    <a:miter/>
                                    <a:headEnd type="none" w="med" len="med"/>
                                    <a:tailEnd type="none" w="med" len="med"/>
                                  </a:ln>
                                </wps:spPr>
                                <wps:bodyPr/>
                              </wps:wsp>
                              <wps:wsp>
                                <wps:cNvPr id="80" name="矩形 6154"/>
                                <wps:cNvSpPr/>
                                <wps:spPr>
                                  <a:xfrm>
                                    <a:off x="4913" y="4550"/>
                                    <a:ext cx="361" cy="1303"/>
                                  </a:xfrm>
                                  <a:prstGeom prst="rect">
                                    <a:avLst/>
                                  </a:prstGeom>
                                  <a:noFill/>
                                  <a:ln w="9525" cap="flat" cmpd="sng">
                                    <a:solidFill>
                                      <a:srgbClr val="000000"/>
                                    </a:solidFill>
                                    <a:prstDash val="solid"/>
                                    <a:miter/>
                                    <a:headEnd type="none" w="med" len="med"/>
                                    <a:tailEnd type="none" w="med" len="med"/>
                                  </a:ln>
                                </wps:spPr>
                                <wps:txbx>
                                  <w:txbxContent>
                                    <w:p w14:paraId="1C91D139">
                                      <w:pPr>
                                        <w:rPr>
                                          <w:sz w:val="15"/>
                                          <w:szCs w:val="15"/>
                                        </w:rPr>
                                      </w:pPr>
                                      <w:r>
                                        <w:rPr>
                                          <w:sz w:val="15"/>
                                          <w:szCs w:val="15"/>
                                        </w:rPr>
                                        <w:t>卸</w:t>
                                      </w:r>
                                    </w:p>
                                    <w:p w14:paraId="7AE5EF04">
                                      <w:pPr>
                                        <w:rPr>
                                          <w:sz w:val="15"/>
                                          <w:szCs w:val="15"/>
                                        </w:rPr>
                                      </w:pPr>
                                      <w:r>
                                        <w:rPr>
                                          <w:sz w:val="15"/>
                                          <w:szCs w:val="15"/>
                                        </w:rPr>
                                        <w:t>车鹤管</w:t>
                                      </w:r>
                                    </w:p>
                                  </w:txbxContent>
                                </wps:txbx>
                                <wps:bodyPr upright="1"/>
                              </wps:wsp>
                              <wps:wsp>
                                <wps:cNvPr id="81" name="文本框 6155"/>
                                <wps:cNvSpPr txBox="1"/>
                                <wps:spPr>
                                  <a:xfrm>
                                    <a:off x="6224" y="6772"/>
                                    <a:ext cx="1103" cy="359"/>
                                  </a:xfrm>
                                  <a:prstGeom prst="rect">
                                    <a:avLst/>
                                  </a:prstGeom>
                                  <a:noFill/>
                                  <a:ln>
                                    <a:noFill/>
                                  </a:ln>
                                </wps:spPr>
                                <wps:txbx>
                                  <w:txbxContent>
                                    <w:p w14:paraId="39470CED">
                                      <w:pPr>
                                        <w:rPr>
                                          <w:rFonts w:hint="default" w:eastAsia="宋体"/>
                                          <w:sz w:val="15"/>
                                          <w:szCs w:val="15"/>
                                          <w:lang w:val="en-US" w:eastAsia="zh-CN"/>
                                        </w:rPr>
                                      </w:pPr>
                                      <w:r>
                                        <w:rPr>
                                          <w:sz w:val="15"/>
                                          <w:szCs w:val="15"/>
                                        </w:rPr>
                                        <w:t>液相</w:t>
                                      </w:r>
                                      <w:r>
                                        <w:rPr>
                                          <w:rFonts w:hint="eastAsia"/>
                                          <w:sz w:val="15"/>
                                          <w:szCs w:val="15"/>
                                          <w:lang w:val="en-US" w:eastAsia="zh-CN"/>
                                        </w:rPr>
                                        <w:t>丙烷/丁烷</w:t>
                                      </w:r>
                                    </w:p>
                                  </w:txbxContent>
                                </wps:txbx>
                                <wps:bodyPr upright="1"/>
                              </wps:wsp>
                              <wps:wsp>
                                <wps:cNvPr id="82" name="自选图形 6156"/>
                                <wps:cNvCnPr/>
                                <wps:spPr>
                                  <a:xfrm flipV="1">
                                    <a:off x="4593" y="5563"/>
                                    <a:ext cx="280" cy="2"/>
                                  </a:xfrm>
                                  <a:prstGeom prst="straightConnector1">
                                    <a:avLst/>
                                  </a:prstGeom>
                                  <a:ln w="9525" cap="flat" cmpd="sng">
                                    <a:solidFill>
                                      <a:srgbClr val="000000"/>
                                    </a:solidFill>
                                    <a:prstDash val="solid"/>
                                    <a:headEnd type="none" w="med" len="med"/>
                                    <a:tailEnd type="triangle" w="sm" len="med"/>
                                  </a:ln>
                                </wps:spPr>
                                <wps:bodyPr/>
                              </wps:wsp>
                              <wps:wsp>
                                <wps:cNvPr id="83" name="自选图形 6157"/>
                                <wps:cNvCnPr/>
                                <wps:spPr>
                                  <a:xfrm>
                                    <a:off x="5601" y="5886"/>
                                    <a:ext cx="11" cy="477"/>
                                  </a:xfrm>
                                  <a:prstGeom prst="straightConnector1">
                                    <a:avLst/>
                                  </a:prstGeom>
                                  <a:ln w="9525" cap="flat" cmpd="sng">
                                    <a:solidFill>
                                      <a:srgbClr val="000000"/>
                                    </a:solidFill>
                                    <a:prstDash val="solid"/>
                                    <a:headEnd type="none" w="med" len="med"/>
                                    <a:tailEnd type="triangle" w="sm" len="med"/>
                                  </a:ln>
                                </wps:spPr>
                                <wps:bodyPr/>
                              </wps:wsp>
                              <wps:wsp>
                                <wps:cNvPr id="84" name="自选图形 6158"/>
                                <wps:cNvCnPr/>
                                <wps:spPr>
                                  <a:xfrm flipV="1">
                                    <a:off x="6639" y="6745"/>
                                    <a:ext cx="438" cy="11"/>
                                  </a:xfrm>
                                  <a:prstGeom prst="straightConnector1">
                                    <a:avLst/>
                                  </a:prstGeom>
                                  <a:ln w="9525" cap="flat" cmpd="sng">
                                    <a:solidFill>
                                      <a:srgbClr val="000000"/>
                                    </a:solidFill>
                                    <a:prstDash val="solid"/>
                                    <a:headEnd type="none" w="med" len="med"/>
                                    <a:tailEnd type="triangle" w="sm" len="med"/>
                                  </a:ln>
                                </wps:spPr>
                                <wps:bodyPr/>
                              </wps:wsp>
                              <wps:wsp>
                                <wps:cNvPr id="85" name="文本框 6159"/>
                                <wps:cNvSpPr txBox="1"/>
                                <wps:spPr>
                                  <a:xfrm>
                                    <a:off x="5152" y="5955"/>
                                    <a:ext cx="537" cy="1021"/>
                                  </a:xfrm>
                                  <a:prstGeom prst="rect">
                                    <a:avLst/>
                                  </a:prstGeom>
                                  <a:noFill/>
                                  <a:ln>
                                    <a:noFill/>
                                  </a:ln>
                                </wps:spPr>
                                <wps:txbx>
                                  <w:txbxContent>
                                    <w:p w14:paraId="5815AC7F">
                                      <w:pPr>
                                        <w:rPr>
                                          <w:rFonts w:hint="default" w:eastAsia="宋体"/>
                                          <w:sz w:val="15"/>
                                          <w:szCs w:val="15"/>
                                          <w:lang w:val="en-US" w:eastAsia="zh-CN"/>
                                        </w:rPr>
                                      </w:pPr>
                                      <w:r>
                                        <w:rPr>
                                          <w:sz w:val="15"/>
                                          <w:szCs w:val="15"/>
                                        </w:rPr>
                                        <w:t>液相</w:t>
                                      </w:r>
                                      <w:r>
                                        <w:rPr>
                                          <w:rFonts w:hint="eastAsia"/>
                                          <w:sz w:val="15"/>
                                          <w:szCs w:val="15"/>
                                          <w:lang w:val="en-US" w:eastAsia="zh-CN"/>
                                        </w:rPr>
                                        <w:t>丙烷/丁烷</w:t>
                                      </w:r>
                                    </w:p>
                                  </w:txbxContent>
                                </wps:txbx>
                                <wps:bodyPr vert="eaVert" upright="1"/>
                              </wps:wsp>
                              <wps:wsp>
                                <wps:cNvPr id="89" name="文本框 6163"/>
                                <wps:cNvSpPr txBox="1"/>
                                <wps:spPr>
                                  <a:xfrm>
                                    <a:off x="6850" y="3315"/>
                                    <a:ext cx="1118" cy="360"/>
                                  </a:xfrm>
                                  <a:prstGeom prst="rect">
                                    <a:avLst/>
                                  </a:prstGeom>
                                  <a:noFill/>
                                  <a:ln>
                                    <a:noFill/>
                                  </a:ln>
                                </wps:spPr>
                                <wps:txbx>
                                  <w:txbxContent>
                                    <w:p w14:paraId="186A6A59">
                                      <w:pPr>
                                        <w:jc w:val="center"/>
                                        <w:rPr>
                                          <w:sz w:val="15"/>
                                          <w:szCs w:val="15"/>
                                        </w:rPr>
                                      </w:pPr>
                                      <w:r>
                                        <w:rPr>
                                          <w:sz w:val="15"/>
                                          <w:szCs w:val="15"/>
                                        </w:rPr>
                                        <w:t>储罐</w:t>
                                      </w:r>
                                      <w:r>
                                        <w:rPr>
                                          <w:rFonts w:hint="eastAsia"/>
                                          <w:sz w:val="15"/>
                                          <w:szCs w:val="15"/>
                                        </w:rPr>
                                        <w:t>内气相</w:t>
                                      </w:r>
                                    </w:p>
                                  </w:txbxContent>
                                </wps:txbx>
                                <wps:bodyPr upright="1"/>
                              </wps:wsp>
                              <wps:wsp>
                                <wps:cNvPr id="93" name="自选图形 6167"/>
                                <wps:cNvCnPr/>
                                <wps:spPr>
                                  <a:xfrm flipV="1">
                                    <a:off x="8443" y="5881"/>
                                    <a:ext cx="4" cy="438"/>
                                  </a:xfrm>
                                  <a:prstGeom prst="straightConnector1">
                                    <a:avLst/>
                                  </a:prstGeom>
                                  <a:ln w="9525" cap="flat" cmpd="sng">
                                    <a:solidFill>
                                      <a:srgbClr val="000000"/>
                                    </a:solidFill>
                                    <a:prstDash val="solid"/>
                                    <a:headEnd type="none" w="med" len="med"/>
                                    <a:tailEnd type="triangle" w="sm" len="med"/>
                                  </a:ln>
                                </wps:spPr>
                                <wps:bodyPr/>
                              </wps:wsp>
                              <wps:wsp>
                                <wps:cNvPr id="94" name="自选图形 6168"/>
                                <wps:cNvCnPr/>
                                <wps:spPr>
                                  <a:xfrm flipV="1">
                                    <a:off x="8399" y="4111"/>
                                    <a:ext cx="11" cy="263"/>
                                  </a:xfrm>
                                  <a:prstGeom prst="straightConnector1">
                                    <a:avLst/>
                                  </a:prstGeom>
                                  <a:ln w="9525" cap="flat" cmpd="sng">
                                    <a:solidFill>
                                      <a:srgbClr val="000000"/>
                                    </a:solidFill>
                                    <a:prstDash val="sysDot"/>
                                    <a:headEnd type="none" w="med" len="med"/>
                                    <a:tailEnd type="triangle" w="sm" len="med"/>
                                  </a:ln>
                                </wps:spPr>
                                <wps:bodyPr/>
                              </wps:wsp>
                              <wps:wsp>
                                <wps:cNvPr id="95" name="自选图形 6169"/>
                                <wps:cNvCnPr/>
                                <wps:spPr>
                                  <a:xfrm flipH="1">
                                    <a:off x="6685" y="3541"/>
                                    <a:ext cx="372" cy="1"/>
                                  </a:xfrm>
                                  <a:prstGeom prst="straightConnector1">
                                    <a:avLst/>
                                  </a:prstGeom>
                                  <a:ln w="9525" cap="flat" cmpd="sng">
                                    <a:solidFill>
                                      <a:srgbClr val="000000"/>
                                    </a:solidFill>
                                    <a:prstDash val="sysDot"/>
                                    <a:headEnd type="none" w="med" len="med"/>
                                    <a:tailEnd type="triangle" w="sm" len="med"/>
                                  </a:ln>
                                </wps:spPr>
                                <wps:bodyPr/>
                              </wps:wsp>
                            </wpg:wgp>
                            <wps:wsp>
                              <wps:cNvPr id="206" name="矩形 6154"/>
                              <wps:cNvSpPr/>
                              <wps:spPr>
                                <a:xfrm>
                                  <a:off x="1675130" y="141605"/>
                                  <a:ext cx="561975" cy="288925"/>
                                </a:xfrm>
                                <a:prstGeom prst="rect">
                                  <a:avLst/>
                                </a:prstGeom>
                                <a:noFill/>
                                <a:ln w="9525" cap="flat" cmpd="sng">
                                  <a:solidFill>
                                    <a:srgbClr val="000000"/>
                                  </a:solidFill>
                                  <a:prstDash val="solid"/>
                                  <a:miter/>
                                  <a:headEnd type="none" w="med" len="med"/>
                                  <a:tailEnd type="none" w="med" len="med"/>
                                </a:ln>
                              </wps:spPr>
                              <wps:txbx>
                                <w:txbxContent>
                                  <w:p w14:paraId="1D0F8048">
                                    <w:pPr>
                                      <w:jc w:val="center"/>
                                      <w:rPr>
                                        <w:rFonts w:hint="eastAsia" w:eastAsia="宋体"/>
                                        <w:sz w:val="15"/>
                                        <w:szCs w:val="15"/>
                                        <w:lang w:val="en-US" w:eastAsia="zh-CN"/>
                                      </w:rPr>
                                    </w:pPr>
                                    <w:r>
                                      <w:rPr>
                                        <w:rFonts w:hint="eastAsia"/>
                                        <w:sz w:val="15"/>
                                        <w:szCs w:val="15"/>
                                        <w:lang w:val="en-US" w:eastAsia="zh-CN"/>
                                      </w:rPr>
                                      <w:t>压缩机</w:t>
                                    </w:r>
                                  </w:p>
                                </w:txbxContent>
                              </wps:txbx>
                              <wps:bodyPr upright="1"/>
                            </wps:wsp>
                            <wps:wsp>
                              <wps:cNvPr id="207" name="自选图形 6161"/>
                              <wps:cNvCnPr>
                                <a:stCxn id="206" idx="2"/>
                                <a:endCxn id="80" idx="0"/>
                              </wps:cNvCnPr>
                              <wps:spPr>
                                <a:xfrm>
                                  <a:off x="1956435" y="430530"/>
                                  <a:ext cx="8890" cy="520700"/>
                                </a:xfrm>
                                <a:prstGeom prst="straightConnector1">
                                  <a:avLst/>
                                </a:prstGeom>
                                <a:ln w="9525" cap="rnd" cmpd="sng">
                                  <a:solidFill>
                                    <a:srgbClr val="000000"/>
                                  </a:solidFill>
                                  <a:prstDash val="solid"/>
                                  <a:headEnd type="none" w="med" len="med"/>
                                  <a:tailEnd type="none" w="sm" len="lg"/>
                                </a:ln>
                              </wps:spPr>
                              <wps:bodyPr/>
                            </wps:wsp>
                            <wps:wsp>
                              <wps:cNvPr id="209" name="自选图形 6161"/>
                              <wps:cNvCnPr/>
                              <wps:spPr>
                                <a:xfrm flipH="1">
                                  <a:off x="1875155" y="513080"/>
                                  <a:ext cx="8255" cy="335280"/>
                                </a:xfrm>
                                <a:prstGeom prst="straightConnector1">
                                  <a:avLst/>
                                </a:prstGeom>
                                <a:ln w="9525" cap="rnd" cmpd="sng">
                                  <a:solidFill>
                                    <a:srgbClr val="000000"/>
                                  </a:solidFill>
                                  <a:prstDash val="sysDot"/>
                                  <a:headEnd type="none" w="med" len="med"/>
                                  <a:tailEnd type="triangle" w="sm" len="med"/>
                                </a:ln>
                              </wps:spPr>
                              <wps:bodyPr/>
                            </wps:wsp>
                            <wps:wsp>
                              <wps:cNvPr id="210" name="文本框 6163"/>
                              <wps:cNvSpPr txBox="1"/>
                              <wps:spPr>
                                <a:xfrm>
                                  <a:off x="1387475" y="501015"/>
                                  <a:ext cx="537845" cy="281940"/>
                                </a:xfrm>
                                <a:prstGeom prst="rect">
                                  <a:avLst/>
                                </a:prstGeom>
                                <a:noFill/>
                                <a:ln>
                                  <a:noFill/>
                                </a:ln>
                              </wps:spPr>
                              <wps:txbx>
                                <w:txbxContent>
                                  <w:p w14:paraId="7207C1FC">
                                    <w:pPr>
                                      <w:jc w:val="center"/>
                                      <w:rPr>
                                        <w:rFonts w:hint="eastAsia" w:eastAsia="宋体"/>
                                        <w:sz w:val="15"/>
                                        <w:szCs w:val="15"/>
                                        <w:lang w:val="en-US" w:eastAsia="zh-CN"/>
                                      </w:rPr>
                                    </w:pPr>
                                    <w:r>
                                      <w:rPr>
                                        <w:rFonts w:hint="eastAsia"/>
                                        <w:sz w:val="15"/>
                                        <w:szCs w:val="15"/>
                                        <w:lang w:val="en-US" w:eastAsia="zh-CN"/>
                                      </w:rPr>
                                      <w:t>增压气</w:t>
                                    </w:r>
                                  </w:p>
                                </w:txbxContent>
                              </wps:txbx>
                              <wps:bodyPr upright="1"/>
                            </wps:wsp>
                            <wps:wsp>
                              <wps:cNvPr id="211" name="直接箭头连接符 211"/>
                              <wps:cNvCnPr>
                                <a:endCxn id="206" idx="3"/>
                              </wps:cNvCnPr>
                              <wps:spPr>
                                <a:xfrm flipH="1">
                                  <a:off x="2237105" y="278765"/>
                                  <a:ext cx="2046605" cy="7620"/>
                                </a:xfrm>
                                <a:prstGeom prst="straightConnector1">
                                  <a:avLst/>
                                </a:prstGeom>
                                <a:ln w="9525">
                                  <a:solidFill>
                                    <a:schemeClr val="tx1"/>
                                  </a:solidFill>
                                  <a:tailEnd type="none"/>
                                </a:ln>
                              </wps:spPr>
                              <wps:style>
                                <a:lnRef idx="2">
                                  <a:schemeClr val="accent1"/>
                                </a:lnRef>
                                <a:fillRef idx="0">
                                  <a:srgbClr val="FFFFFF"/>
                                </a:fillRef>
                                <a:effectRef idx="0">
                                  <a:srgbClr val="FFFFFF"/>
                                </a:effectRef>
                                <a:fontRef idx="minor">
                                  <a:schemeClr val="tx1"/>
                                </a:fontRef>
                              </wps:style>
                              <wps:bodyPr/>
                            </wps:wsp>
                            <wps:wsp>
                              <wps:cNvPr id="1" name="自选图形 6161"/>
                              <wps:cNvCnPr/>
                              <wps:spPr>
                                <a:xfrm>
                                  <a:off x="4283075" y="276860"/>
                                  <a:ext cx="1905" cy="571500"/>
                                </a:xfrm>
                                <a:prstGeom prst="straightConnector1">
                                  <a:avLst/>
                                </a:prstGeom>
                                <a:ln w="9525" cap="rnd" cmpd="sng">
                                  <a:solidFill>
                                    <a:srgbClr val="000000"/>
                                  </a:solidFill>
                                  <a:prstDash val="solid"/>
                                  <a:headEnd type="none" w="med" len="med"/>
                                  <a:tailEnd type="none" w="sm" len="lg"/>
                                </a:ln>
                              </wps:spPr>
                              <wps:bodyPr/>
                            </wps:wsp>
                          </wpc:wpc>
                        </a:graphicData>
                      </a:graphic>
                    </wp:inline>
                  </w:drawing>
                </mc:Choice>
                <mc:Fallback>
                  <w:pict>
                    <v:group id="画布 6139" o:spid="_x0000_s1026" o:spt="203" style="height:235.9pt;width:407.25pt;" coordsize="5172075,2995930" editas="canvas" o:gfxdata="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">
                      <o:lock v:ext="edit" aspectratio="f"/>
                      <v:shape id="画布 6139" o:spid="_x0000_s1026" style="position:absolute;left:0;top:0;height:2995930;width:5172075;" filled="f" stroked="f" coordsize="21600,21600" o:gfxdata="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">
                        <v:fill on="f" focussize="0,0"/>
                        <v:stroke on="f"/>
                        <v:imagedata o:title=""/>
                        <o:lock v:ext="edit" aspectratio="t"/>
                      </v:shape>
                      <v:shape id="自选图形 6141" o:spid="_x0000_s1026" o:spt="6" type="#_x0000_t6" style="position:absolute;left:58186;top:1081724;flip:x;height:706784;width:354143;" filled="f" stroked="t" coordsize="21600,21600" o:gfxdata="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ajhfkdYAAAAF&#10;AQAADwAAAAAAAAABACAAAAAiAAAAZHJzL2Rvd25yZXYueG1sUEsBAhQAFAAAAAgAh07iQAlWnfse&#10;AgAAGAQAAA4AAAAAAAAAAQAgAAAAJQEAAGRycy9lMm9Eb2MueG1sUEsFBgAAAAAGAAYAWQEAALUF&#10;AAAAAA==&#10;">
                        <v:fill on="f" focussize="0,0"/>
                        <v:stroke color="#000000" joinstyle="miter"/>
                        <v:imagedata o:title=""/>
                        <o:lock v:ext="edit" aspectratio="f"/>
                      </v:shape>
                      <v:group id="组合 6142" o:spid="_x0000_s1026" o:spt="203" style="position:absolute;left:299549;top:63925;height:2740943;width:4197283;" coordorigin="2774,3315" coordsize="5843,3816" o:gfxdata="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">
                        <o:lock v:ext="edit" aspectratio="f"/>
                        <v:rect id="矩形 6143" o:spid="_x0000_s1026" o:spt="1" style="position:absolute;left:2931;top:4733;height:983;width:1513;" filled="f" stroked="t" coordsize="21600,21600" o:gfxdata="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0vC/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40504F08">
                                <w:pPr>
                                  <w:jc w:val="center"/>
                                </w:pPr>
                              </w:p>
                              <w:p w14:paraId="417FB992">
                                <w:pPr>
                                  <w:jc w:val="center"/>
                                  <w:rPr>
                                    <w:sz w:val="15"/>
                                    <w:szCs w:val="15"/>
                                  </w:rPr>
                                </w:pPr>
                                <w:r>
                                  <w:rPr>
                                    <w:rFonts w:hint="eastAsia"/>
                                    <w:sz w:val="15"/>
                                    <w:szCs w:val="15"/>
                                    <w:lang w:val="en-US" w:eastAsia="zh-CN"/>
                                  </w:rPr>
                                  <w:t>丙烷/丁烷</w:t>
                                </w:r>
                                <w:r>
                                  <w:rPr>
                                    <w:sz w:val="15"/>
                                    <w:szCs w:val="15"/>
                                  </w:rPr>
                                  <w:t>罐车</w:t>
                                </w:r>
                              </w:p>
                            </w:txbxContent>
                          </v:textbox>
                        </v:rect>
                        <v:shape id="椭圆 6144" o:spid="_x0000_s1026" o:spt="3" type="#_x0000_t3" style="position:absolute;left:2774;top:5716;height:337;width:372;" filled="f" stroked="t" coordsize="21600,21600" o:gfxdata="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hN07y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shape>
                        <v:shape id="椭圆 6145" o:spid="_x0000_s1026" o:spt="3" type="#_x0000_t3" style="position:absolute;left:3923;top:5716;height:337;width:373;" filled="f" stroked="t" coordsize="21600,21600" o:gfxdata="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wF2J7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rect id="矩形 6149" o:spid="_x0000_s1026" o:spt="1" style="position:absolute;left:8014;top:4550;height:973;width:601;" filled="f" stroked="t" coordsize="21600,21600" o:gfxdata="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kZsZ7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0B878C6C">
                                <w:pPr>
                                  <w:keepNext w:val="0"/>
                                  <w:keepLines w:val="0"/>
                                  <w:pageBreakBefore w:val="0"/>
                                  <w:widowControl w:val="0"/>
                                  <w:kinsoku/>
                                  <w:wordWrap/>
                                  <w:overflowPunct/>
                                  <w:topLinePunct w:val="0"/>
                                  <w:bidi w:val="0"/>
                                  <w:adjustRightInd/>
                                  <w:snapToGrid/>
                                  <w:spacing w:line="360" w:lineRule="auto"/>
                                  <w:jc w:val="center"/>
                                  <w:textAlignment w:val="auto"/>
                                  <w:rPr>
                                    <w:rFonts w:hint="default" w:eastAsia="宋体"/>
                                    <w:lang w:val="en-US" w:eastAsia="zh-CN"/>
                                  </w:rPr>
                                </w:pPr>
                                <w:r>
                                  <w:rPr>
                                    <w:rFonts w:hint="eastAsia"/>
                                    <w:sz w:val="15"/>
                                    <w:szCs w:val="15"/>
                                    <w:lang w:val="en-US" w:eastAsia="zh-CN"/>
                                  </w:rPr>
                                  <w:t>压力储罐</w:t>
                                </w:r>
                              </w:p>
                            </w:txbxContent>
                          </v:textbox>
                        </v:rect>
                        <v:shape id="自选图形 6150" o:spid="_x0000_s1026" o:spt="135" type="#_x0000_t135" style="position:absolute;left:8253;top:4187;height:589;width:137;rotation:-5898240f;" filled="f" stroked="t" coordsize="21600,21600" o:gfxdata="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0hTS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shape>
                        <v:shape id="自选图形 6151" o:spid="_x0000_s1026" o:spt="135" type="#_x0000_t135" style="position:absolute;left:8257;top:5293;height:589;width:130;rotation:5898240f;" filled="f" stroked="t" coordsize="21600,21600" o:gfxdata="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lKMy/&#10;AAAA2wAAAA8AAAAAAAAAAQAgAAAAIgAAAGRycy9kb3ducmV2LnhtbFBLAQIUABQAAAAIAIdO4kAz&#10;LwWeOwAAADkAAAAQAAAAAAAAAAEAIAAAAA4BAABkcnMvc2hhcGV4bWwueG1sUEsFBgAAAAAGAAYA&#10;WwEAALgDAAAAAA==&#10;">
                          <v:fill on="f" focussize="0,0"/>
                          <v:stroke color="#000000" joinstyle="miter"/>
                          <v:imagedata o:title=""/>
                          <o:lock v:ext="edit" aspectratio="f"/>
                        </v:shape>
                        <v:shape id="自选图形 6152" o:spid="_x0000_s1026" o:spt="35" type="#_x0000_t35" style="position:absolute;left:4344;top:5427;height:225;width:3978;" filled="f" stroked="t" coordsize="21600,21600" o:gfxdata="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YG5DbgAAADbAAAA&#10;DwAAAAAAAAABACAAAAAiAAAAZHJzL2Rvd25yZXYueG1sUEsBAhQAFAAAAAgAh07iQDMvBZ47AAAA&#10;OQAAABAAAAAAAAAAAQAgAAAABwEAAGRycy9zaGFwZXhtbC54bWxQSwUGAAAAAAYABgBbAQAAsQMA&#10;AAAA&#10;" adj="7681,100091">
                          <v:fill on="f" focussize="0,0"/>
                          <v:stroke weight="2pt" color="#000000" joinstyle="miter"/>
                          <v:imagedata o:title=""/>
                          <o:lock v:ext="edit" aspectratio="f"/>
                        </v:shape>
                        <v:rect id="矩形 6154" o:spid="_x0000_s1026" o:spt="1" style="position:absolute;left:4913;top:4550;height:1303;width:361;" filled="f" stroked="t" coordsize="21600,21600" o:gfxdata="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fkv9i5AAAA2wAA&#10;AA8AAAAAAAAAAQAgAAAAIgAAAGRycy9kb3ducmV2LnhtbFBLAQIUABQAAAAIAIdO4kAzLwWeOwAA&#10;ADkAAAAQAAAAAAAAAAEAIAAAAAgBAABkcnMvc2hhcGV4bWwueG1sUEsFBgAAAAAGAAYAWwEAALID&#10;AAAAAA==&#10;">
                          <v:fill on="f" focussize="0,0"/>
                          <v:stroke color="#000000" joinstyle="miter"/>
                          <v:imagedata o:title=""/>
                          <o:lock v:ext="edit" aspectratio="f"/>
                          <v:textbox>
                            <w:txbxContent>
                              <w:p w14:paraId="1C91D139">
                                <w:pPr>
                                  <w:rPr>
                                    <w:sz w:val="15"/>
                                    <w:szCs w:val="15"/>
                                  </w:rPr>
                                </w:pPr>
                                <w:r>
                                  <w:rPr>
                                    <w:sz w:val="15"/>
                                    <w:szCs w:val="15"/>
                                  </w:rPr>
                                  <w:t>卸</w:t>
                                </w:r>
                              </w:p>
                              <w:p w14:paraId="7AE5EF04">
                                <w:pPr>
                                  <w:rPr>
                                    <w:sz w:val="15"/>
                                    <w:szCs w:val="15"/>
                                  </w:rPr>
                                </w:pPr>
                                <w:r>
                                  <w:rPr>
                                    <w:sz w:val="15"/>
                                    <w:szCs w:val="15"/>
                                  </w:rPr>
                                  <w:t>车鹤管</w:t>
                                </w:r>
                              </w:p>
                            </w:txbxContent>
                          </v:textbox>
                        </v:rect>
                        <v:shape id="文本框 6155" o:spid="_x0000_s1026" o:spt="202" type="#_x0000_t202" style="position:absolute;left:6224;top:6772;height:359;width:1103;" filled="f" stroked="f" coordsize="21600,21600" o:gfxdata="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9bb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9470CED">
                                <w:pPr>
                                  <w:rPr>
                                    <w:rFonts w:hint="default" w:eastAsia="宋体"/>
                                    <w:sz w:val="15"/>
                                    <w:szCs w:val="15"/>
                                    <w:lang w:val="en-US" w:eastAsia="zh-CN"/>
                                  </w:rPr>
                                </w:pPr>
                                <w:r>
                                  <w:rPr>
                                    <w:sz w:val="15"/>
                                    <w:szCs w:val="15"/>
                                  </w:rPr>
                                  <w:t>液相</w:t>
                                </w:r>
                                <w:r>
                                  <w:rPr>
                                    <w:rFonts w:hint="eastAsia"/>
                                    <w:sz w:val="15"/>
                                    <w:szCs w:val="15"/>
                                    <w:lang w:val="en-US" w:eastAsia="zh-CN"/>
                                  </w:rPr>
                                  <w:t>丙烷/丁烷</w:t>
                                </w:r>
                              </w:p>
                            </w:txbxContent>
                          </v:textbox>
                        </v:shape>
                        <v:shape id="自选图形 6156" o:spid="_x0000_s1026" o:spt="32" type="#_x0000_t32" style="position:absolute;left:4593;top:5563;flip:y;height:2;width:280;" filled="f" stroked="t" coordsize="21600,21600" o:gfxdata="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kV3ur4A&#10;AADbAAAADwAAAAAAAAABACAAAAAiAAAAZHJzL2Rvd25yZXYueG1sUEsBAhQAFAAAAAgAh07iQDMv&#10;BZ47AAAAOQAAABAAAAAAAAAAAQAgAAAADQEAAGRycy9zaGFwZXhtbC54bWxQSwUGAAAAAAYABgBb&#10;AQAAtwMAAAAA&#10;">
                          <v:fill on="f" focussize="0,0"/>
                          <v:stroke color="#000000" joinstyle="round" endarrow="block" endarrowwidth="narrow"/>
                          <v:imagedata o:title=""/>
                          <o:lock v:ext="edit" aspectratio="f"/>
                        </v:shape>
                        <v:shape id="自选图形 6157" o:spid="_x0000_s1026" o:spt="32" type="#_x0000_t32" style="position:absolute;left:5601;top:5886;height:477;width:11;" filled="f" stroked="t" coordsize="21600,21600" o:gfxdata="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klVC8AAAA&#10;2wAAAA8AAAAAAAAAAQAgAAAAIgAAAGRycy9kb3ducmV2LnhtbFBLAQIUABQAAAAIAIdO4kAzLwWe&#10;OwAAADkAAAAQAAAAAAAAAAEAIAAAAAsBAABkcnMvc2hhcGV4bWwueG1sUEsFBgAAAAAGAAYAWwEA&#10;ALUDAAAAAA==&#10;">
                          <v:fill on="f" focussize="0,0"/>
                          <v:stroke color="#000000" joinstyle="round" endarrow="block" endarrowwidth="narrow"/>
                          <v:imagedata o:title=""/>
                          <o:lock v:ext="edit" aspectratio="f"/>
                        </v:shape>
                        <v:shape id="自选图形 6158" o:spid="_x0000_s1026" o:spt="32" type="#_x0000_t32" style="position:absolute;left:6639;top:6745;flip:y;height:11;width:438;" filled="f" stroked="t" coordsize="21600,21600" o:gfxdata="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BKVb4A&#10;AADbAAAADwAAAAAAAAABACAAAAAiAAAAZHJzL2Rvd25yZXYueG1sUEsBAhQAFAAAAAgAh07iQDMv&#10;BZ47AAAAOQAAABAAAAAAAAAAAQAgAAAADQEAAGRycy9zaGFwZXhtbC54bWxQSwUGAAAAAAYABgBb&#10;AQAAtwMAAAAA&#10;">
                          <v:fill on="f" focussize="0,0"/>
                          <v:stroke color="#000000" joinstyle="round" endarrow="block" endarrowwidth="narrow"/>
                          <v:imagedata o:title=""/>
                          <o:lock v:ext="edit" aspectratio="f"/>
                        </v:shape>
                        <v:shape id="文本框 6159" o:spid="_x0000_s1026" o:spt="202" type="#_x0000_t202" style="position:absolute;left:5152;top:5955;height:1021;width:537;" filled="f" stroked="f" coordsize="21600,21600" o:gfxdata="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wlJsN&#10;wAAAANsAAAAPAAAAAAAAAAEAIAAAACIAAABkcnMvZG93bnJldi54bWxQSwECFAAUAAAACACHTuJA&#10;My8FnjsAAAA5AAAAEAAAAAAAAAABACAAAAAPAQAAZHJzL3NoYXBleG1sLnhtbFBLBQYAAAAABgAG&#10;AFsBAAC5AwAAAAA=&#10;">
                          <v:fill on="f" focussize="0,0"/>
                          <v:stroke on="f"/>
                          <v:imagedata o:title=""/>
                          <o:lock v:ext="edit" aspectratio="f"/>
                          <v:textbox style="layout-flow:vertical-ideographic;">
                            <w:txbxContent>
                              <w:p w14:paraId="5815AC7F">
                                <w:pPr>
                                  <w:rPr>
                                    <w:rFonts w:hint="default" w:eastAsia="宋体"/>
                                    <w:sz w:val="15"/>
                                    <w:szCs w:val="15"/>
                                    <w:lang w:val="en-US" w:eastAsia="zh-CN"/>
                                  </w:rPr>
                                </w:pPr>
                                <w:r>
                                  <w:rPr>
                                    <w:sz w:val="15"/>
                                    <w:szCs w:val="15"/>
                                  </w:rPr>
                                  <w:t>液相</w:t>
                                </w:r>
                                <w:r>
                                  <w:rPr>
                                    <w:rFonts w:hint="eastAsia"/>
                                    <w:sz w:val="15"/>
                                    <w:szCs w:val="15"/>
                                    <w:lang w:val="en-US" w:eastAsia="zh-CN"/>
                                  </w:rPr>
                                  <w:t>丙烷/丁烷</w:t>
                                </w:r>
                              </w:p>
                            </w:txbxContent>
                          </v:textbox>
                        </v:shape>
                        <v:shape id="文本框 6163" o:spid="_x0000_s1026" o:spt="202" type="#_x0000_t202" style="position:absolute;left:6850;top:3315;height:360;width:1118;" filled="f" stroked="f" coordsize="21600,21600" o:gfxdata="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oO67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86A6A59">
                                <w:pPr>
                                  <w:jc w:val="center"/>
                                  <w:rPr>
                                    <w:sz w:val="15"/>
                                    <w:szCs w:val="15"/>
                                  </w:rPr>
                                </w:pPr>
                                <w:r>
                                  <w:rPr>
                                    <w:sz w:val="15"/>
                                    <w:szCs w:val="15"/>
                                  </w:rPr>
                                  <w:t>储罐</w:t>
                                </w:r>
                                <w:r>
                                  <w:rPr>
                                    <w:rFonts w:hint="eastAsia"/>
                                    <w:sz w:val="15"/>
                                    <w:szCs w:val="15"/>
                                  </w:rPr>
                                  <w:t>内气相</w:t>
                                </w:r>
                              </w:p>
                            </w:txbxContent>
                          </v:textbox>
                        </v:shape>
                        <v:shape id="自选图形 6167" o:spid="_x0000_s1026" o:spt="32" type="#_x0000_t32" style="position:absolute;left:8443;top:5881;flip:y;height:438;width:4;" filled="f" stroked="t" coordsize="21600,21600" o:gfxdata="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NBE/L4A&#10;AADbAAAADwAAAAAAAAABACAAAAAiAAAAZHJzL2Rvd25yZXYueG1sUEsBAhQAFAAAAAgAh07iQDMv&#10;BZ47AAAAOQAAABAAAAAAAAAAAQAgAAAADQEAAGRycy9zaGFwZXhtbC54bWxQSwUGAAAAAAYABgBb&#10;AQAAtwMAAAAA&#10;">
                          <v:fill on="f" focussize="0,0"/>
                          <v:stroke color="#000000" joinstyle="round" endarrow="block" endarrowwidth="narrow"/>
                          <v:imagedata o:title=""/>
                          <o:lock v:ext="edit" aspectratio="f"/>
                        </v:shape>
                        <v:shape id="自选图形 6168" o:spid="_x0000_s1026" o:spt="32" type="#_x0000_t32" style="position:absolute;left:8399;top:4111;flip:y;height:263;width:11;" filled="f" stroked="t" coordsize="21600,21600" o:gfxdata="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vQU+LsAAADb&#10;AAAADwAAAAAAAAABACAAAAAiAAAAZHJzL2Rvd25yZXYueG1sUEsBAhQAFAAAAAgAh07iQDMvBZ47&#10;AAAAOQAAABAAAAAAAAAAAQAgAAAACgEAAGRycy9zaGFwZXhtbC54bWxQSwUGAAAAAAYABgBbAQAA&#10;tAMAAAAA&#10;">
                          <v:fill on="f" focussize="0,0"/>
                          <v:stroke color="#000000" joinstyle="round" dashstyle="1 1" endarrow="block" endarrowwidth="narrow"/>
                          <v:imagedata o:title=""/>
                          <o:lock v:ext="edit" aspectratio="f"/>
                        </v:shape>
                        <v:shape id="自选图形 6169" o:spid="_x0000_s1026" o:spt="32" type="#_x0000_t32" style="position:absolute;left:6685;top:3541;flip:x;height:1;width:372;" filled="f" stroked="t" coordsize="21600,21600" o:gfxdata="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bixY7sAAADb&#10;AAAADwAAAAAAAAABACAAAAAiAAAAZHJzL2Rvd25yZXYueG1sUEsBAhQAFAAAAAgAh07iQDMvBZ47&#10;AAAAOQAAABAAAAAAAAAAAQAgAAAACgEAAGRycy9zaGFwZXhtbC54bWxQSwUGAAAAAAYABgBbAQAA&#10;tAMAAAAA&#10;">
                          <v:fill on="f" focussize="0,0"/>
                          <v:stroke color="#000000" joinstyle="round" dashstyle="1 1" endarrow="block" endarrowwidth="narrow"/>
                          <v:imagedata o:title=""/>
                          <o:lock v:ext="edit" aspectratio="f"/>
                        </v:shape>
                      </v:group>
                      <v:rect id="矩形 6154" o:spid="_x0000_s1026" o:spt="1" style="position:absolute;left:1675130;top:141605;height:288925;width:561975;" filled="f" stroked="t" coordsize="21600,21600" o:gfxdata="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iVZMo1QAAAAUBAAAPAAAAAAAAAAEAIAAAACIA&#10;AABkcnMvZG93bnJldi54bWxQSwECFAAUAAAACACHTuJAXf0w8AwCAAAPBAAADgAAAAAAAAABACAA&#10;AAAkAQAAZHJzL2Uyb0RvYy54bWxQSwUGAAAAAAYABgBZAQAAogUAAAAA&#10;">
                        <v:fill on="f" focussize="0,0"/>
                        <v:stroke color="#000000" joinstyle="miter"/>
                        <v:imagedata o:title=""/>
                        <o:lock v:ext="edit" aspectratio="f"/>
                        <v:textbox>
                          <w:txbxContent>
                            <w:p w14:paraId="1D0F8048">
                              <w:pPr>
                                <w:jc w:val="center"/>
                                <w:rPr>
                                  <w:rFonts w:hint="eastAsia" w:eastAsia="宋体"/>
                                  <w:sz w:val="15"/>
                                  <w:szCs w:val="15"/>
                                  <w:lang w:val="en-US" w:eastAsia="zh-CN"/>
                                </w:rPr>
                              </w:pPr>
                              <w:r>
                                <w:rPr>
                                  <w:rFonts w:hint="eastAsia"/>
                                  <w:sz w:val="15"/>
                                  <w:szCs w:val="15"/>
                                  <w:lang w:val="en-US" w:eastAsia="zh-CN"/>
                                </w:rPr>
                                <w:t>压缩机</w:t>
                              </w:r>
                            </w:p>
                          </w:txbxContent>
                        </v:textbox>
                      </v:rect>
                      <v:shape id="自选图形 6161" o:spid="_x0000_s1026" o:spt="32" type="#_x0000_t32" style="position:absolute;left:1956435;top:430530;height:520700;width:8890;" filled="f" stroked="t" coordsize="21600,21600" o:gfxdata="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0piSjYAAAABQEAAA8AAAAAAAAAAQAgAAAAIgAAAGRycy9kb3ducmV2LnhtbFBLAQIUABQAAAAI&#10;AIdO4kDNGk/wJgIAADUEAAAOAAAAAAAAAAEAIAAAACcBAABkcnMvZTJvRG9jLnhtbFBLBQYAAAAA&#10;BgAGAFkBAAC/BQAAAAA=&#10;">
                        <v:fill on="f" focussize="0,0"/>
                        <v:stroke color="#000000" joinstyle="round" endcap="round" endarrowwidth="narrow" endarrowlength="long"/>
                        <v:imagedata o:title=""/>
                        <o:lock v:ext="edit" aspectratio="f"/>
                      </v:shape>
                      <v:shape id="自选图形 6161" o:spid="_x0000_s1026" o:spt="32" type="#_x0000_t32" style="position:absolute;left:1875155;top:513080;flip:x;height:335280;width:8255;" filled="f" stroked="t" coordsize="21600,21600" o:gfxdata="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JylzhTUAAAABQEAAA8AAAAA&#10;AAAAAQAgAAAAIgAAAGRycy9kb3ducmV2LnhtbFBLAQIUABQAAAAIAIdO4kBjMzFJGAIAAAIEAAAO&#10;AAAAAAAAAAEAIAAAACMBAABkcnMvZTJvRG9jLnhtbFBLBQYAAAAABgAGAFkBAACtBQAAAAA=&#10;">
                        <v:fill on="f" focussize="0,0"/>
                        <v:stroke color="#000000" joinstyle="round" dashstyle="1 1" endcap="round" endarrow="block" endarrowwidth="narrow"/>
                        <v:imagedata o:title=""/>
                        <o:lock v:ext="edit" aspectratio="f"/>
                      </v:shape>
                      <v:shape id="文本框 6163" o:spid="_x0000_s1026" o:spt="202" type="#_x0000_t202" style="position:absolute;left:1387475;top:501015;height:281940;width:537845;" filled="f" stroked="f" coordsize="21600,21600" o:gfxdata="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L4eZnUAAAABQEAAA8AAAAAAAAAAQAgAAAAIgAAAGRycy9kb3ducmV2LnhtbFBLAQIUABQA&#10;AAAIAIdO4kATtSGfuwEAAF0DAAAOAAAAAAAAAAEAIAAAACMBAABkcnMvZTJvRG9jLnhtbFBLBQYA&#10;AAAABgAGAFkBAABQBQAAAAA=&#10;">
                        <v:fill on="f" focussize="0,0"/>
                        <v:stroke on="f"/>
                        <v:imagedata o:title=""/>
                        <o:lock v:ext="edit" aspectratio="f"/>
                        <v:textbox>
                          <w:txbxContent>
                            <w:p w14:paraId="7207C1FC">
                              <w:pPr>
                                <w:jc w:val="center"/>
                                <w:rPr>
                                  <w:rFonts w:hint="eastAsia" w:eastAsia="宋体"/>
                                  <w:sz w:val="15"/>
                                  <w:szCs w:val="15"/>
                                  <w:lang w:val="en-US" w:eastAsia="zh-CN"/>
                                </w:rPr>
                              </w:pPr>
                              <w:r>
                                <w:rPr>
                                  <w:rFonts w:hint="eastAsia"/>
                                  <w:sz w:val="15"/>
                                  <w:szCs w:val="15"/>
                                  <w:lang w:val="en-US" w:eastAsia="zh-CN"/>
                                </w:rPr>
                                <w:t>增压气</w:t>
                              </w:r>
                            </w:p>
                          </w:txbxContent>
                        </v:textbox>
                      </v:shape>
                      <v:shape id="_x0000_s1026" o:spid="_x0000_s1026" o:spt="32" type="#_x0000_t32" style="position:absolute;left:2237105;top:278765;flip:x;height:7620;width:2046605;" filled="f" stroked="t" coordsize="21600,21600" o:gfxdata="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C8ZxdQAAAAF&#10;AQAADwAAAAAAAAABACAAAAAiAAAAZHJzL2Rvd25yZXYueG1sUEsBAhQAFAAAAAgAh07iQDSEkxUg&#10;AgAACwQAAA4AAAAAAAAAAQAgAAAAIwEAAGRycy9lMm9Eb2MueG1sUEsFBgAAAAAGAAYAWQEAALUF&#10;AAAAAA==&#10;">
                        <v:fill on="f" focussize="0,0"/>
                        <v:stroke color="#000000 [3213]" joinstyle="round"/>
                        <v:imagedata o:title=""/>
                        <o:lock v:ext="edit" aspectratio="f"/>
                      </v:shape>
                      <v:shape id="自选图形 6161" o:spid="_x0000_s1026" o:spt="32" type="#_x0000_t32" style="position:absolute;left:4283075;top:276860;height:571500;width:1905;" filled="f" stroked="t" coordsize="21600,21600" o:gfxdata="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tKYko2AAAAAUBAAAPAAAAAAAAAAEAIAAAACIA&#10;AABkcnMvZG93bnJldi54bWxQSwECFAAUAAAACACHTuJAYA8jJQkCAADwAwAADgAAAAAAAAABACAA&#10;AAAnAQAAZHJzL2Uyb0RvYy54bWxQSwUGAAAAAAYABgBZAQAAogUAAAAA&#10;">
                        <v:fill on="f" focussize="0,0"/>
                        <v:stroke color="#000000" joinstyle="round" endcap="round" endarrowwidth="narrow" endarrowlength="long"/>
                        <v:imagedata o:title=""/>
                        <o:lock v:ext="edit" aspectratio="f"/>
                      </v:shape>
                      <w10:wrap type="none"/>
                      <w10:anchorlock/>
                    </v:group>
                  </w:pict>
                </mc:Fallback>
              </mc:AlternateContent>
            </w:r>
          </w:p>
          <w:p w14:paraId="741B2B21">
            <w:pPr>
              <w:autoSpaceDE w:val="0"/>
              <w:autoSpaceDN w:val="0"/>
              <w:adjustRightInd w:val="0"/>
              <w:snapToGrid w:val="0"/>
              <w:jc w:val="center"/>
              <w:rPr>
                <w:color w:val="auto"/>
                <w:highlight w:val="none"/>
              </w:rPr>
            </w:pPr>
            <w:r>
              <w:rPr>
                <w:rFonts w:hint="eastAsia" w:hAnsi="黑体" w:eastAsia="黑体"/>
                <w:color w:val="auto"/>
                <w:sz w:val="24"/>
                <w:szCs w:val="24"/>
                <w:highlight w:val="none"/>
              </w:rPr>
              <w:t>图</w:t>
            </w:r>
            <w:r>
              <w:rPr>
                <w:rFonts w:hint="eastAsia" w:hAnsi="黑体" w:eastAsia="黑体"/>
                <w:color w:val="auto"/>
                <w:sz w:val="24"/>
                <w:szCs w:val="24"/>
                <w:highlight w:val="none"/>
                <w:lang w:val="en-US" w:eastAsia="zh-CN"/>
              </w:rPr>
              <w:t>2-4</w:t>
            </w:r>
            <w:r>
              <w:rPr>
                <w:rFonts w:hAnsi="黑体" w:eastAsia="黑体"/>
                <w:color w:val="auto"/>
                <w:sz w:val="24"/>
                <w:szCs w:val="24"/>
                <w:highlight w:val="none"/>
              </w:rPr>
              <w:t xml:space="preserve"> </w:t>
            </w:r>
            <w:r>
              <w:rPr>
                <w:rFonts w:hint="eastAsia" w:hAnsi="黑体" w:eastAsia="黑体"/>
                <w:color w:val="auto"/>
                <w:sz w:val="24"/>
                <w:szCs w:val="24"/>
                <w:highlight w:val="none"/>
                <w:lang w:val="en-US" w:eastAsia="zh-CN"/>
              </w:rPr>
              <w:t>丙烷/丁烷</w:t>
            </w:r>
            <w:r>
              <w:rPr>
                <w:rFonts w:hAnsi="黑体" w:eastAsia="黑体"/>
                <w:color w:val="auto"/>
                <w:sz w:val="24"/>
                <w:szCs w:val="24"/>
                <w:highlight w:val="none"/>
              </w:rPr>
              <w:t>卸车环节工艺及气相平衡</w:t>
            </w:r>
            <w:r>
              <w:rPr>
                <w:rFonts w:hint="eastAsia" w:hAnsi="黑体" w:eastAsia="黑体"/>
                <w:color w:val="auto"/>
                <w:sz w:val="24"/>
                <w:szCs w:val="24"/>
                <w:highlight w:val="none"/>
              </w:rPr>
              <w:t>图</w:t>
            </w:r>
          </w:p>
        </w:tc>
      </w:tr>
      <w:tr w14:paraId="46568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506" w:hRule="atLeast"/>
        </w:trPr>
        <w:tc>
          <w:tcPr>
            <w:tcW w:w="537" w:type="dxa"/>
            <w:vAlign w:val="center"/>
          </w:tcPr>
          <w:p w14:paraId="281F359B">
            <w:pPr>
              <w:widowControl/>
              <w:spacing w:line="360" w:lineRule="auto"/>
              <w:jc w:val="center"/>
              <w:rPr>
                <w:rFonts w:hAnsi="宋体"/>
                <w:color w:val="auto"/>
                <w:kern w:val="0"/>
                <w:sz w:val="24"/>
                <w:highlight w:val="none"/>
              </w:rPr>
            </w:pPr>
            <w:r>
              <w:rPr>
                <w:rFonts w:hAnsi="宋体"/>
                <w:color w:val="auto"/>
                <w:kern w:val="0"/>
                <w:sz w:val="24"/>
                <w:highlight w:val="none"/>
              </w:rPr>
              <w:t>与项目有关的原有环境污染问题</w:t>
            </w:r>
          </w:p>
        </w:tc>
        <w:tc>
          <w:tcPr>
            <w:tcW w:w="8280" w:type="dxa"/>
          </w:tcPr>
          <w:p w14:paraId="56665CD9">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hint="default" w:eastAsia="宋体"/>
                <w:b/>
                <w:bCs/>
                <w:color w:val="auto"/>
                <w:sz w:val="24"/>
                <w:highlight w:val="none"/>
                <w:lang w:val="en-US" w:eastAsia="zh-CN"/>
              </w:rPr>
            </w:pPr>
            <w:r>
              <w:rPr>
                <w:rFonts w:hint="eastAsia"/>
                <w:b/>
                <w:bCs/>
                <w:color w:val="auto"/>
                <w:sz w:val="24"/>
                <w:highlight w:val="none"/>
                <w:lang w:val="en-US" w:eastAsia="zh-CN"/>
              </w:rPr>
              <w:t>1.现有工程环保手续履行情况</w:t>
            </w:r>
          </w:p>
          <w:p w14:paraId="52D4176E">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color w:val="auto"/>
                <w:sz w:val="24"/>
                <w:szCs w:val="24"/>
                <w:highlight w:val="none"/>
              </w:rPr>
            </w:pPr>
            <w:r>
              <w:rPr>
                <w:rFonts w:hint="eastAsia"/>
                <w:color w:val="auto"/>
                <w:sz w:val="24"/>
                <w:szCs w:val="24"/>
                <w:highlight w:val="none"/>
              </w:rPr>
              <w:t>安徽永银科技发展有限公司</w:t>
            </w:r>
            <w:r>
              <w:rPr>
                <w:rFonts w:hint="eastAsia"/>
                <w:color w:val="auto"/>
                <w:sz w:val="24"/>
                <w:szCs w:val="24"/>
                <w:highlight w:val="none"/>
                <w:lang w:val="en-US" w:eastAsia="zh-CN"/>
              </w:rPr>
              <w:t>成立于2023年4月10日，</w:t>
            </w:r>
            <w:r>
              <w:rPr>
                <w:rFonts w:hint="eastAsia"/>
                <w:color w:val="auto"/>
                <w:sz w:val="24"/>
                <w:szCs w:val="24"/>
                <w:highlight w:val="none"/>
              </w:rPr>
              <w:t>主要从事装卸搬运和仓储业中危险化学品仓储，公司位于</w:t>
            </w:r>
            <w:r>
              <w:rPr>
                <w:rFonts w:hint="eastAsia"/>
                <w:color w:val="auto"/>
                <w:sz w:val="24"/>
                <w:szCs w:val="24"/>
                <w:highlight w:val="none"/>
                <w:lang w:eastAsia="zh-CN"/>
              </w:rPr>
              <w:t>安徽省淮南市淮南经济技术开发区长宁路80号</w:t>
            </w:r>
            <w:r>
              <w:rPr>
                <w:rFonts w:hint="eastAsia"/>
                <w:color w:val="auto"/>
                <w:sz w:val="24"/>
                <w:szCs w:val="24"/>
                <w:highlight w:val="none"/>
              </w:rPr>
              <w:t>，2024年2月2日，永银科技取得了厂区地块的《不动产权证》皖（2024）淮南市不动产权第0001087号，宗地面积为15333.3m</w:t>
            </w:r>
            <w:r>
              <w:rPr>
                <w:rFonts w:hint="eastAsia"/>
                <w:color w:val="auto"/>
                <w:sz w:val="24"/>
                <w:szCs w:val="24"/>
                <w:highlight w:val="none"/>
                <w:vertAlign w:val="superscript"/>
              </w:rPr>
              <w:t>2</w:t>
            </w:r>
            <w:r>
              <w:rPr>
                <w:rFonts w:hint="eastAsia"/>
                <w:color w:val="auto"/>
                <w:sz w:val="24"/>
                <w:szCs w:val="24"/>
                <w:highlight w:val="none"/>
              </w:rPr>
              <w:t>，该土地权利人为安徽永银科技发展有限公司。</w:t>
            </w:r>
          </w:p>
          <w:p w14:paraId="6B354342">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color w:val="auto"/>
                <w:sz w:val="24"/>
                <w:szCs w:val="24"/>
                <w:highlight w:val="none"/>
              </w:rPr>
            </w:pPr>
            <w:r>
              <w:rPr>
                <w:rFonts w:hint="eastAsia"/>
                <w:color w:val="auto"/>
                <w:sz w:val="24"/>
                <w:szCs w:val="24"/>
                <w:highlight w:val="none"/>
                <w:lang w:val="en-US" w:eastAsia="zh-CN"/>
              </w:rPr>
              <w:t>厂区现有工程“年产40万瓶乙烯存储充装科技项目”于</w:t>
            </w:r>
            <w:r>
              <w:rPr>
                <w:rFonts w:hint="eastAsia" w:ascii="Times New Roman"/>
                <w:color w:val="auto"/>
                <w:sz w:val="24"/>
                <w:szCs w:val="28"/>
                <w:highlight w:val="none"/>
              </w:rPr>
              <w:t>2023年7月14日取得淮南经济技术开发区生态环境分局下达的《关于安徽永银科技发展有限公司“年产40万瓶气体存储充装科技项目”环境影响报告表的批复》（开环复[2023]12号）</w:t>
            </w:r>
            <w:r>
              <w:rPr>
                <w:rFonts w:hint="eastAsia" w:ascii="Times New Roman"/>
                <w:color w:val="auto"/>
                <w:sz w:val="24"/>
                <w:szCs w:val="28"/>
                <w:highlight w:val="none"/>
                <w:lang w:eastAsia="zh-CN"/>
              </w:rPr>
              <w:t>；</w:t>
            </w:r>
            <w:r>
              <w:rPr>
                <w:rFonts w:hint="eastAsia" w:ascii="Times New Roman"/>
                <w:color w:val="auto"/>
                <w:sz w:val="24"/>
                <w:szCs w:val="28"/>
                <w:highlight w:val="none"/>
                <w:lang w:val="en-US" w:eastAsia="zh-CN"/>
              </w:rPr>
              <w:t>该项目于2024年2月开工建设、2024年8月开始调试，2024年9月开展竣工环境保护验收监测，并</w:t>
            </w:r>
            <w:r>
              <w:rPr>
                <w:rFonts w:hint="eastAsia"/>
                <w:color w:val="auto"/>
                <w:sz w:val="24"/>
                <w:szCs w:val="24"/>
                <w:highlight w:val="none"/>
                <w:lang w:val="en-US" w:eastAsia="zh-CN"/>
              </w:rPr>
              <w:t>于2024年11月中旬完成自主性竣工环境保护验收后正常投运。</w:t>
            </w:r>
          </w:p>
          <w:p w14:paraId="50CC3E65">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eastAsia="宋体"/>
                <w:color w:val="auto"/>
                <w:sz w:val="24"/>
                <w:szCs w:val="24"/>
                <w:highlight w:val="none"/>
                <w:lang w:val="en-US" w:eastAsia="zh-CN"/>
              </w:rPr>
            </w:pPr>
            <w:r>
              <w:rPr>
                <w:rFonts w:hint="eastAsia"/>
                <w:color w:val="auto"/>
                <w:sz w:val="24"/>
                <w:szCs w:val="24"/>
                <w:highlight w:val="none"/>
                <w:lang w:val="en-US" w:eastAsia="zh-CN"/>
              </w:rPr>
              <w:t>现有工程排污许可为登记管理，许可登记编号为91340400MA8QA4L39A001X。</w:t>
            </w:r>
          </w:p>
          <w:p w14:paraId="10296325">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eastAsia="宋体"/>
                <w:color w:val="auto"/>
                <w:sz w:val="24"/>
                <w:highlight w:val="none"/>
                <w:lang w:val="en-US" w:eastAsia="zh-CN"/>
              </w:rPr>
            </w:pPr>
            <w:r>
              <w:rPr>
                <w:rFonts w:hint="eastAsia"/>
                <w:color w:val="auto"/>
                <w:sz w:val="24"/>
                <w:highlight w:val="none"/>
                <w:lang w:val="en-US" w:eastAsia="zh-CN"/>
              </w:rPr>
              <w:t>2024年11月6日完成第一版突发环境事件应急预案备案，备案编号为340402-2024-022-M。</w:t>
            </w:r>
          </w:p>
          <w:p w14:paraId="45DEC388">
            <w:pPr>
              <w:keepNext w:val="0"/>
              <w:keepLines w:val="0"/>
              <w:suppressLineNumbers w:val="0"/>
              <w:tabs>
                <w:tab w:val="left" w:pos="3261"/>
              </w:tabs>
              <w:autoSpaceDE w:val="0"/>
              <w:autoSpaceDN w:val="0"/>
              <w:adjustRightInd w:val="0"/>
              <w:spacing w:before="0" w:beforeAutospacing="0" w:after="0" w:afterAutospacing="0" w:line="360" w:lineRule="auto"/>
              <w:ind w:left="0" w:right="0" w:firstLine="482" w:firstLineChars="200"/>
              <w:jc w:val="left"/>
              <w:rPr>
                <w:rFonts w:hint="default" w:ascii="宋体" w:hAnsi="宋体"/>
                <w:b/>
                <w:color w:val="auto"/>
                <w:kern w:val="0"/>
                <w:sz w:val="24"/>
                <w:szCs w:val="24"/>
                <w:highlight w:val="none"/>
              </w:rPr>
            </w:pPr>
            <w:r>
              <w:rPr>
                <w:rFonts w:hint="default" w:ascii="宋体" w:hAnsi="宋体"/>
                <w:b/>
                <w:color w:val="auto"/>
                <w:sz w:val="24"/>
                <w:szCs w:val="24"/>
                <w:highlight w:val="none"/>
              </w:rPr>
              <w:t>现有工程环保手续履行情况如下表：</w:t>
            </w:r>
          </w:p>
          <w:p w14:paraId="071F971B">
            <w:pPr>
              <w:pStyle w:val="221"/>
              <w:keepNext w:val="0"/>
              <w:keepLines w:val="0"/>
              <w:suppressLineNumbers w:val="0"/>
              <w:spacing w:before="0" w:beforeAutospacing="0" w:after="0" w:afterAutospacing="0"/>
              <w:ind w:left="0" w:right="0"/>
              <w:jc w:val="center"/>
              <w:rPr>
                <w:rFonts w:hint="default" w:eastAsia="黑体" w:cs="Times New Roman"/>
                <w:bCs/>
                <w:color w:val="auto"/>
                <w:szCs w:val="21"/>
                <w:highlight w:val="none"/>
              </w:rPr>
            </w:pPr>
            <w:r>
              <w:rPr>
                <w:rFonts w:hint="default" w:hAnsi="黑体" w:eastAsia="黑体" w:cs="Times New Roman"/>
                <w:color w:val="auto"/>
                <w:highlight w:val="none"/>
              </w:rPr>
              <w:t>表</w:t>
            </w:r>
            <w:r>
              <w:rPr>
                <w:rFonts w:hint="eastAsia" w:eastAsia="黑体" w:cs="Times New Roman"/>
                <w:color w:val="auto"/>
                <w:highlight w:val="none"/>
                <w:lang w:val="en-US" w:eastAsia="zh-CN"/>
              </w:rPr>
              <w:t>2-14</w:t>
            </w:r>
            <w:r>
              <w:rPr>
                <w:rFonts w:hint="default" w:eastAsia="黑体" w:cs="Times New Roman"/>
                <w:color w:val="auto"/>
                <w:highlight w:val="none"/>
              </w:rPr>
              <w:t xml:space="preserve"> </w:t>
            </w:r>
            <w:r>
              <w:rPr>
                <w:rFonts w:hint="default" w:hAnsi="黑体" w:eastAsia="黑体" w:cs="Times New Roman"/>
                <w:color w:val="auto"/>
                <w:highlight w:val="none"/>
              </w:rPr>
              <w:t>现有工程环保手续履行情况一览表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889"/>
              <w:gridCol w:w="779"/>
              <w:gridCol w:w="1116"/>
              <w:gridCol w:w="1317"/>
              <w:gridCol w:w="1833"/>
              <w:gridCol w:w="2127"/>
            </w:tblGrid>
            <w:tr w14:paraId="219B38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551" w:type="pct"/>
                  <w:vMerge w:val="restart"/>
                  <w:vAlign w:val="center"/>
                </w:tcPr>
                <w:p w14:paraId="4A7D1AFF">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项目</w:t>
                  </w:r>
                </w:p>
                <w:p w14:paraId="20E5A644">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名称</w:t>
                  </w:r>
                </w:p>
              </w:tc>
              <w:tc>
                <w:tcPr>
                  <w:tcW w:w="1175" w:type="pct"/>
                  <w:gridSpan w:val="2"/>
                  <w:vAlign w:val="center"/>
                </w:tcPr>
                <w:p w14:paraId="528FF5A9">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环评情况</w:t>
                  </w:r>
                </w:p>
              </w:tc>
              <w:tc>
                <w:tcPr>
                  <w:tcW w:w="816" w:type="pct"/>
                  <w:vAlign w:val="center"/>
                </w:tcPr>
                <w:p w14:paraId="4F476507">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验收情况</w:t>
                  </w:r>
                </w:p>
              </w:tc>
              <w:tc>
                <w:tcPr>
                  <w:tcW w:w="1136" w:type="pct"/>
                  <w:vAlign w:val="center"/>
                </w:tcPr>
                <w:p w14:paraId="7E347402">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应急预案情况</w:t>
                  </w:r>
                </w:p>
              </w:tc>
              <w:tc>
                <w:tcPr>
                  <w:tcW w:w="1319" w:type="pct"/>
                  <w:vAlign w:val="center"/>
                </w:tcPr>
                <w:p w14:paraId="75E1B21F">
                  <w:pPr>
                    <w:keepNext w:val="0"/>
                    <w:keepLines w:val="0"/>
                    <w:suppressLineNumbers w:val="0"/>
                    <w:spacing w:before="0" w:beforeAutospacing="0" w:after="0" w:afterAutospacing="0" w:line="276" w:lineRule="auto"/>
                    <w:ind w:left="0" w:right="0"/>
                    <w:jc w:val="center"/>
                    <w:rPr>
                      <w:rFonts w:hint="default"/>
                      <w:b/>
                      <w:color w:val="auto"/>
                      <w:szCs w:val="21"/>
                      <w:highlight w:val="none"/>
                    </w:rPr>
                  </w:pPr>
                  <w:r>
                    <w:rPr>
                      <w:rFonts w:hint="default"/>
                      <w:b/>
                      <w:color w:val="auto"/>
                      <w:szCs w:val="21"/>
                      <w:highlight w:val="none"/>
                    </w:rPr>
                    <w:t>排污许可证情况</w:t>
                  </w:r>
                </w:p>
              </w:tc>
            </w:tr>
            <w:tr w14:paraId="022431E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551" w:type="pct"/>
                  <w:vMerge w:val="continue"/>
                  <w:vAlign w:val="center"/>
                </w:tcPr>
                <w:p w14:paraId="117DA0B3">
                  <w:pPr>
                    <w:keepNext w:val="0"/>
                    <w:keepLines w:val="0"/>
                    <w:suppressLineNumbers w:val="0"/>
                    <w:spacing w:before="0" w:beforeAutospacing="0" w:after="0" w:afterAutospacing="0" w:line="276" w:lineRule="auto"/>
                    <w:ind w:left="0" w:right="0"/>
                    <w:jc w:val="center"/>
                    <w:rPr>
                      <w:rFonts w:hint="default"/>
                      <w:color w:val="auto"/>
                      <w:szCs w:val="21"/>
                      <w:highlight w:val="none"/>
                    </w:rPr>
                  </w:pPr>
                </w:p>
              </w:tc>
              <w:tc>
                <w:tcPr>
                  <w:tcW w:w="483" w:type="pct"/>
                  <w:vAlign w:val="center"/>
                </w:tcPr>
                <w:p w14:paraId="0118DCC4">
                  <w:pPr>
                    <w:keepNext w:val="0"/>
                    <w:keepLines w:val="0"/>
                    <w:suppressLineNumbers w:val="0"/>
                    <w:spacing w:before="0" w:beforeAutospacing="0" w:after="0" w:afterAutospacing="0" w:line="276" w:lineRule="auto"/>
                    <w:ind w:left="0" w:right="0"/>
                    <w:jc w:val="center"/>
                    <w:rPr>
                      <w:rFonts w:hint="default"/>
                      <w:b/>
                      <w:bCs/>
                      <w:color w:val="auto"/>
                      <w:szCs w:val="21"/>
                      <w:highlight w:val="none"/>
                    </w:rPr>
                  </w:pPr>
                  <w:r>
                    <w:rPr>
                      <w:rFonts w:hint="default"/>
                      <w:b/>
                      <w:bCs/>
                      <w:color w:val="auto"/>
                      <w:szCs w:val="21"/>
                      <w:highlight w:val="none"/>
                    </w:rPr>
                    <w:t>备案</w:t>
                  </w:r>
                </w:p>
              </w:tc>
              <w:tc>
                <w:tcPr>
                  <w:tcW w:w="692" w:type="pct"/>
                  <w:vAlign w:val="center"/>
                </w:tcPr>
                <w:p w14:paraId="79EDEE04">
                  <w:pPr>
                    <w:keepNext w:val="0"/>
                    <w:keepLines w:val="0"/>
                    <w:suppressLineNumbers w:val="0"/>
                    <w:spacing w:before="0" w:beforeAutospacing="0" w:after="0" w:afterAutospacing="0" w:line="276" w:lineRule="auto"/>
                    <w:ind w:left="0" w:right="0"/>
                    <w:jc w:val="center"/>
                    <w:rPr>
                      <w:rFonts w:hint="default"/>
                      <w:b/>
                      <w:bCs/>
                      <w:color w:val="auto"/>
                      <w:szCs w:val="21"/>
                      <w:highlight w:val="none"/>
                    </w:rPr>
                  </w:pPr>
                  <w:r>
                    <w:rPr>
                      <w:rFonts w:hint="default"/>
                      <w:b/>
                      <w:bCs/>
                      <w:color w:val="auto"/>
                      <w:szCs w:val="21"/>
                      <w:highlight w:val="none"/>
                    </w:rPr>
                    <w:t>批复</w:t>
                  </w:r>
                </w:p>
              </w:tc>
              <w:tc>
                <w:tcPr>
                  <w:tcW w:w="816" w:type="pct"/>
                  <w:vAlign w:val="center"/>
                </w:tcPr>
                <w:p w14:paraId="61C9E36D">
                  <w:pPr>
                    <w:keepNext w:val="0"/>
                    <w:keepLines w:val="0"/>
                    <w:suppressLineNumbers w:val="0"/>
                    <w:spacing w:before="0" w:beforeAutospacing="0" w:after="0" w:afterAutospacing="0" w:line="276" w:lineRule="auto"/>
                    <w:ind w:left="0" w:right="0"/>
                    <w:jc w:val="center"/>
                    <w:rPr>
                      <w:rFonts w:hint="eastAsia" w:eastAsia="宋体"/>
                      <w:b/>
                      <w:bCs/>
                      <w:color w:val="auto"/>
                      <w:szCs w:val="21"/>
                      <w:highlight w:val="none"/>
                      <w:lang w:eastAsia="zh-CN"/>
                    </w:rPr>
                  </w:pPr>
                  <w:r>
                    <w:rPr>
                      <w:rFonts w:hint="eastAsia"/>
                      <w:b/>
                      <w:bCs/>
                      <w:color w:val="auto"/>
                      <w:szCs w:val="21"/>
                      <w:highlight w:val="none"/>
                      <w:lang w:val="en-US" w:eastAsia="zh-CN"/>
                    </w:rPr>
                    <w:t>/</w:t>
                  </w:r>
                </w:p>
              </w:tc>
              <w:tc>
                <w:tcPr>
                  <w:tcW w:w="1136" w:type="pct"/>
                  <w:vAlign w:val="center"/>
                </w:tcPr>
                <w:p w14:paraId="4C6B4F61">
                  <w:pPr>
                    <w:keepNext w:val="0"/>
                    <w:keepLines w:val="0"/>
                    <w:suppressLineNumbers w:val="0"/>
                    <w:spacing w:before="0" w:beforeAutospacing="0" w:after="0" w:afterAutospacing="0" w:line="276" w:lineRule="auto"/>
                    <w:ind w:left="0" w:right="0"/>
                    <w:jc w:val="center"/>
                    <w:rPr>
                      <w:rFonts w:hint="default"/>
                      <w:b/>
                      <w:bCs/>
                      <w:color w:val="auto"/>
                      <w:szCs w:val="21"/>
                      <w:highlight w:val="none"/>
                    </w:rPr>
                  </w:pPr>
                  <w:r>
                    <w:rPr>
                      <w:rFonts w:hint="default"/>
                      <w:b/>
                      <w:bCs/>
                      <w:color w:val="auto"/>
                      <w:szCs w:val="21"/>
                      <w:highlight w:val="none"/>
                    </w:rPr>
                    <w:t>备案</w:t>
                  </w:r>
                </w:p>
              </w:tc>
              <w:tc>
                <w:tcPr>
                  <w:tcW w:w="1319" w:type="pct"/>
                  <w:vAlign w:val="center"/>
                </w:tcPr>
                <w:p w14:paraId="1F7E4F45">
                  <w:pPr>
                    <w:keepNext w:val="0"/>
                    <w:keepLines w:val="0"/>
                    <w:suppressLineNumbers w:val="0"/>
                    <w:spacing w:before="0" w:beforeAutospacing="0" w:after="0" w:afterAutospacing="0" w:line="276" w:lineRule="auto"/>
                    <w:ind w:left="0" w:right="0"/>
                    <w:jc w:val="center"/>
                    <w:rPr>
                      <w:rFonts w:hint="default"/>
                      <w:b/>
                      <w:bCs/>
                      <w:color w:val="auto"/>
                      <w:szCs w:val="21"/>
                      <w:highlight w:val="none"/>
                    </w:rPr>
                  </w:pPr>
                  <w:r>
                    <w:rPr>
                      <w:rFonts w:hint="default"/>
                      <w:b/>
                      <w:bCs/>
                      <w:color w:val="auto"/>
                      <w:szCs w:val="21"/>
                      <w:highlight w:val="none"/>
                    </w:rPr>
                    <w:t>编号</w:t>
                  </w:r>
                </w:p>
              </w:tc>
            </w:tr>
            <w:tr w14:paraId="682357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551" w:type="pct"/>
                  <w:vAlign w:val="center"/>
                </w:tcPr>
                <w:p w14:paraId="550376E0">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年产40万瓶乙烯存储充装科技项目</w:t>
                  </w:r>
                </w:p>
              </w:tc>
              <w:tc>
                <w:tcPr>
                  <w:tcW w:w="483" w:type="pct"/>
                  <w:vAlign w:val="center"/>
                </w:tcPr>
                <w:p w14:paraId="3EE3664A">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w:t>
                  </w:r>
                </w:p>
              </w:tc>
              <w:tc>
                <w:tcPr>
                  <w:tcW w:w="692" w:type="pct"/>
                  <w:vAlign w:val="center"/>
                </w:tcPr>
                <w:p w14:paraId="084BEE9E">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开环复[2023]12号</w:t>
                  </w:r>
                </w:p>
              </w:tc>
              <w:tc>
                <w:tcPr>
                  <w:tcW w:w="816" w:type="pct"/>
                  <w:vAlign w:val="center"/>
                </w:tcPr>
                <w:p w14:paraId="60C93929">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default"/>
                      <w:color w:val="auto"/>
                      <w:szCs w:val="21"/>
                      <w:highlight w:val="none"/>
                    </w:rPr>
                    <w:t>20</w:t>
                  </w:r>
                  <w:r>
                    <w:rPr>
                      <w:rFonts w:hint="eastAsia"/>
                      <w:color w:val="auto"/>
                      <w:szCs w:val="21"/>
                      <w:highlight w:val="none"/>
                      <w:lang w:val="en-US" w:eastAsia="zh-CN"/>
                    </w:rPr>
                    <w:t>24</w:t>
                  </w:r>
                  <w:r>
                    <w:rPr>
                      <w:rFonts w:hint="default"/>
                      <w:color w:val="auto"/>
                      <w:szCs w:val="21"/>
                      <w:highlight w:val="none"/>
                    </w:rPr>
                    <w:t>年</w:t>
                  </w:r>
                  <w:r>
                    <w:rPr>
                      <w:rFonts w:hint="eastAsia"/>
                      <w:color w:val="auto"/>
                      <w:szCs w:val="21"/>
                      <w:highlight w:val="none"/>
                      <w:lang w:val="en-US" w:eastAsia="zh-CN"/>
                    </w:rPr>
                    <w:t>11</w:t>
                  </w:r>
                  <w:r>
                    <w:rPr>
                      <w:rFonts w:hint="default"/>
                      <w:color w:val="auto"/>
                      <w:szCs w:val="21"/>
                      <w:highlight w:val="none"/>
                    </w:rPr>
                    <w:t>月</w:t>
                  </w:r>
                  <w:r>
                    <w:rPr>
                      <w:rFonts w:hint="eastAsia"/>
                      <w:color w:val="auto"/>
                      <w:szCs w:val="21"/>
                      <w:highlight w:val="none"/>
                      <w:lang w:val="en-US" w:eastAsia="zh-CN"/>
                    </w:rPr>
                    <w:t>中旬完成竣工环境保护自主验收</w:t>
                  </w:r>
                </w:p>
              </w:tc>
              <w:tc>
                <w:tcPr>
                  <w:tcW w:w="1136" w:type="pct"/>
                  <w:vAlign w:val="center"/>
                </w:tcPr>
                <w:p w14:paraId="773EF1AA">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202</w:t>
                  </w:r>
                  <w:r>
                    <w:rPr>
                      <w:rFonts w:hint="eastAsia"/>
                      <w:color w:val="auto"/>
                      <w:szCs w:val="21"/>
                      <w:highlight w:val="none"/>
                      <w:lang w:val="en-US" w:eastAsia="zh-CN"/>
                    </w:rPr>
                    <w:t>4</w:t>
                  </w:r>
                  <w:r>
                    <w:rPr>
                      <w:rFonts w:hint="default"/>
                      <w:color w:val="auto"/>
                      <w:szCs w:val="21"/>
                      <w:highlight w:val="none"/>
                    </w:rPr>
                    <w:t>年</w:t>
                  </w:r>
                  <w:r>
                    <w:rPr>
                      <w:rFonts w:hint="eastAsia"/>
                      <w:color w:val="auto"/>
                      <w:szCs w:val="21"/>
                      <w:highlight w:val="none"/>
                      <w:lang w:val="en-US" w:eastAsia="zh-CN"/>
                    </w:rPr>
                    <w:t>11</w:t>
                  </w:r>
                  <w:r>
                    <w:rPr>
                      <w:rFonts w:hint="default"/>
                      <w:color w:val="auto"/>
                      <w:szCs w:val="21"/>
                      <w:highlight w:val="none"/>
                    </w:rPr>
                    <w:t>月</w:t>
                  </w:r>
                  <w:r>
                    <w:rPr>
                      <w:rFonts w:hint="eastAsia"/>
                      <w:color w:val="auto"/>
                      <w:szCs w:val="21"/>
                      <w:highlight w:val="none"/>
                      <w:lang w:val="en-US" w:eastAsia="zh-CN"/>
                    </w:rPr>
                    <w:t>6日</w:t>
                  </w:r>
                  <w:r>
                    <w:rPr>
                      <w:rFonts w:hint="default"/>
                      <w:color w:val="auto"/>
                      <w:sz w:val="21"/>
                      <w:szCs w:val="21"/>
                      <w:highlight w:val="none"/>
                    </w:rPr>
                    <w:t>完成应急预案备案，备案</w:t>
                  </w:r>
                  <w:r>
                    <w:rPr>
                      <w:rFonts w:hint="eastAsia"/>
                      <w:color w:val="auto"/>
                      <w:sz w:val="21"/>
                      <w:szCs w:val="21"/>
                      <w:highlight w:val="none"/>
                      <w:lang w:val="en-US" w:eastAsia="zh-CN"/>
                    </w:rPr>
                    <w:t>编号</w:t>
                  </w:r>
                  <w:r>
                    <w:rPr>
                      <w:rFonts w:hint="default"/>
                      <w:color w:val="auto"/>
                      <w:sz w:val="21"/>
                      <w:szCs w:val="21"/>
                      <w:highlight w:val="none"/>
                    </w:rPr>
                    <w:t>为</w:t>
                  </w:r>
                  <w:r>
                    <w:rPr>
                      <w:rFonts w:hint="eastAsia"/>
                      <w:color w:val="auto"/>
                      <w:sz w:val="21"/>
                      <w:szCs w:val="21"/>
                      <w:highlight w:val="none"/>
                      <w:lang w:val="en-US" w:eastAsia="zh-CN"/>
                    </w:rPr>
                    <w:t>340402-2024-022-M</w:t>
                  </w:r>
                </w:p>
              </w:tc>
              <w:tc>
                <w:tcPr>
                  <w:tcW w:w="1319" w:type="pct"/>
                  <w:vAlign w:val="center"/>
                </w:tcPr>
                <w:p w14:paraId="4C947AA9">
                  <w:pPr>
                    <w:keepNext w:val="0"/>
                    <w:keepLines w:val="0"/>
                    <w:suppressLineNumbers w:val="0"/>
                    <w:spacing w:before="0" w:beforeAutospacing="0" w:after="0" w:afterAutospacing="0" w:line="276" w:lineRule="auto"/>
                    <w:ind w:left="0" w:right="0"/>
                    <w:jc w:val="center"/>
                    <w:rPr>
                      <w:rFonts w:hint="eastAsia" w:eastAsia="宋体"/>
                      <w:color w:val="auto"/>
                      <w:szCs w:val="21"/>
                      <w:highlight w:val="none"/>
                      <w:lang w:eastAsia="zh-CN"/>
                    </w:rPr>
                  </w:pPr>
                  <w:r>
                    <w:rPr>
                      <w:rFonts w:hint="eastAsia" w:eastAsia="宋体"/>
                      <w:color w:val="auto"/>
                      <w:szCs w:val="21"/>
                      <w:highlight w:val="none"/>
                      <w:lang w:eastAsia="zh-CN"/>
                    </w:rPr>
                    <w:t>许可登记编号为91340400MA8QA4L39A001X</w:t>
                  </w:r>
                </w:p>
              </w:tc>
            </w:tr>
          </w:tbl>
          <w:p w14:paraId="11EAD464">
            <w:pPr>
              <w:pStyle w:val="11"/>
              <w:keepNext w:val="0"/>
              <w:keepLines w:val="0"/>
              <w:suppressLineNumbers w:val="0"/>
              <w:spacing w:before="0" w:beforeAutospacing="0" w:after="0" w:afterAutospacing="0" w:line="480" w:lineRule="exact"/>
              <w:ind w:left="0" w:leftChars="0" w:right="0" w:firstLine="482" w:firstLineChars="200"/>
              <w:rPr>
                <w:rFonts w:hint="default"/>
                <w:b/>
                <w:color w:val="auto"/>
                <w:sz w:val="24"/>
                <w:highlight w:val="none"/>
              </w:rPr>
            </w:pPr>
            <w:r>
              <w:rPr>
                <w:rFonts w:hint="eastAsia"/>
                <w:b/>
                <w:color w:val="auto"/>
                <w:sz w:val="24"/>
                <w:highlight w:val="none"/>
              </w:rPr>
              <w:t>2</w:t>
            </w:r>
            <w:r>
              <w:rPr>
                <w:rFonts w:hint="eastAsia"/>
                <w:b/>
                <w:color w:val="auto"/>
                <w:sz w:val="24"/>
                <w:highlight w:val="none"/>
                <w:lang w:val="en-US" w:eastAsia="zh-CN"/>
              </w:rPr>
              <w:t>.</w:t>
            </w:r>
            <w:r>
              <w:rPr>
                <w:rFonts w:hint="eastAsia"/>
                <w:b/>
                <w:color w:val="auto"/>
                <w:sz w:val="24"/>
                <w:highlight w:val="none"/>
              </w:rPr>
              <w:t>现有项目污染物排放情况</w:t>
            </w:r>
          </w:p>
          <w:p w14:paraId="7914A52E">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Ansi="宋体"/>
                <w:b w:val="0"/>
                <w:bCs w:val="0"/>
                <w:color w:val="auto"/>
                <w:kern w:val="0"/>
                <w:sz w:val="24"/>
                <w:highlight w:val="none"/>
              </w:rPr>
            </w:pPr>
            <w:r>
              <w:rPr>
                <w:rFonts w:hint="eastAsia"/>
                <w:b w:val="0"/>
                <w:bCs w:val="0"/>
                <w:color w:val="auto"/>
                <w:sz w:val="24"/>
                <w:highlight w:val="none"/>
                <w:lang w:eastAsia="zh-CN"/>
              </w:rPr>
              <w:t>（</w:t>
            </w:r>
            <w:r>
              <w:rPr>
                <w:rFonts w:hint="eastAsia"/>
                <w:b w:val="0"/>
                <w:bCs w:val="0"/>
                <w:color w:val="auto"/>
                <w:sz w:val="24"/>
                <w:highlight w:val="none"/>
                <w:lang w:val="en-US" w:eastAsia="zh-CN"/>
              </w:rPr>
              <w:t>1</w:t>
            </w:r>
            <w:r>
              <w:rPr>
                <w:rFonts w:hint="eastAsia"/>
                <w:b w:val="0"/>
                <w:bCs w:val="0"/>
                <w:color w:val="auto"/>
                <w:sz w:val="24"/>
                <w:highlight w:val="none"/>
                <w:lang w:eastAsia="zh-CN"/>
              </w:rPr>
              <w:t>）</w:t>
            </w:r>
            <w:r>
              <w:rPr>
                <w:rFonts w:hint="eastAsia"/>
                <w:b w:val="0"/>
                <w:bCs w:val="0"/>
                <w:color w:val="auto"/>
                <w:sz w:val="24"/>
                <w:highlight w:val="none"/>
                <w:lang w:val="en-US" w:eastAsia="zh-CN"/>
              </w:rPr>
              <w:t>废水</w:t>
            </w:r>
          </w:p>
          <w:p w14:paraId="3BFD0214">
            <w:pPr>
              <w:pStyle w:val="1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hAnsi="宋体" w:eastAsia="宋体"/>
                <w:b w:val="0"/>
                <w:bCs w:val="0"/>
                <w:color w:val="auto"/>
                <w:kern w:val="0"/>
                <w:sz w:val="24"/>
                <w:highlight w:val="none"/>
                <w:lang w:val="en-US" w:eastAsia="zh-CN"/>
              </w:rPr>
            </w:pPr>
            <w:r>
              <w:rPr>
                <w:rFonts w:hint="eastAsia" w:hAnsi="宋体"/>
                <w:b w:val="0"/>
                <w:bCs w:val="0"/>
                <w:color w:val="auto"/>
                <w:kern w:val="0"/>
                <w:sz w:val="24"/>
                <w:highlight w:val="none"/>
                <w:lang w:val="en-US" w:eastAsia="zh-CN"/>
              </w:rPr>
              <w:t>现有项目运营期</w:t>
            </w:r>
            <w:r>
              <w:rPr>
                <w:rFonts w:hint="eastAsia" w:ascii="Times New Roman" w:hAnsi="宋体"/>
                <w:color w:val="auto"/>
                <w:sz w:val="24"/>
                <w:szCs w:val="24"/>
                <w:highlight w:val="none"/>
              </w:rPr>
              <w:t>生产时无生产废水产生，仅排放生活污水，生活污水经厂区化粪池预处理后排入园区污水管网，接管至淮南经济技术开发区污水处理厂处理。</w:t>
            </w:r>
          </w:p>
          <w:p w14:paraId="21C5B1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val="en-US" w:eastAsia="zh-CN"/>
              </w:rPr>
              <w:t>根据委托安徽澳林检测技术有限公司于2024年9月23日～9月24日对厂区废水总排口验收监测结果，监测结果统计汇总如下：</w:t>
            </w:r>
          </w:p>
          <w:p w14:paraId="1D93177A">
            <w:pPr>
              <w:pStyle w:val="2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黑体" w:cs="Times New Roman"/>
                <w:bCs/>
                <w:color w:val="auto"/>
                <w:szCs w:val="21"/>
                <w:highlight w:val="none"/>
                <w:lang w:val="en-US" w:eastAsia="zh-CN"/>
              </w:rPr>
            </w:pPr>
            <w:r>
              <w:rPr>
                <w:rFonts w:hint="default" w:hAnsi="黑体" w:eastAsia="黑体" w:cs="Times New Roman"/>
                <w:color w:val="auto"/>
                <w:highlight w:val="none"/>
              </w:rPr>
              <w:t>表</w:t>
            </w:r>
            <w:r>
              <w:rPr>
                <w:rFonts w:hint="eastAsia" w:eastAsia="黑体" w:cs="Times New Roman"/>
                <w:color w:val="auto"/>
                <w:highlight w:val="none"/>
                <w:lang w:val="en-US" w:eastAsia="zh-CN"/>
              </w:rPr>
              <w:t>2-15</w:t>
            </w:r>
            <w:r>
              <w:rPr>
                <w:rFonts w:hint="default" w:eastAsia="黑体" w:cs="Times New Roman"/>
                <w:color w:val="auto"/>
                <w:highlight w:val="none"/>
              </w:rPr>
              <w:t xml:space="preserve"> </w:t>
            </w:r>
            <w:r>
              <w:rPr>
                <w:rFonts w:hint="eastAsia" w:hAnsi="黑体" w:eastAsia="黑体" w:cs="Times New Roman"/>
                <w:color w:val="auto"/>
                <w:highlight w:val="none"/>
                <w:lang w:val="en-US" w:eastAsia="zh-CN"/>
              </w:rPr>
              <w:t>厂区废水总排口验收监测结果统计</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3"/>
              <w:gridCol w:w="735"/>
              <w:gridCol w:w="1057"/>
              <w:gridCol w:w="848"/>
              <w:gridCol w:w="1081"/>
              <w:gridCol w:w="1382"/>
              <w:gridCol w:w="1081"/>
              <w:gridCol w:w="1197"/>
            </w:tblGrid>
            <w:tr w14:paraId="031C77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restart"/>
                  <w:vAlign w:val="center"/>
                </w:tcPr>
                <w:p w14:paraId="6F612CE8">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污染源</w:t>
                  </w:r>
                </w:p>
              </w:tc>
              <w:tc>
                <w:tcPr>
                  <w:tcW w:w="455" w:type="pct"/>
                  <w:vMerge w:val="restart"/>
                  <w:vAlign w:val="center"/>
                </w:tcPr>
                <w:p w14:paraId="64C381BA">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监测</w:t>
                  </w:r>
                </w:p>
                <w:p w14:paraId="3C25A021">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日期</w:t>
                  </w:r>
                </w:p>
              </w:tc>
              <w:tc>
                <w:tcPr>
                  <w:tcW w:w="655" w:type="pct"/>
                  <w:vMerge w:val="restart"/>
                  <w:vAlign w:val="center"/>
                </w:tcPr>
                <w:p w14:paraId="0B25CA07">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监测频次</w:t>
                  </w:r>
                </w:p>
              </w:tc>
              <w:tc>
                <w:tcPr>
                  <w:tcW w:w="3465" w:type="pct"/>
                  <w:gridSpan w:val="5"/>
                  <w:vAlign w:val="center"/>
                </w:tcPr>
                <w:p w14:paraId="6D9EB116">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检测结果</w:t>
                  </w:r>
                </w:p>
              </w:tc>
            </w:tr>
            <w:tr w14:paraId="587104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5F1E5E24">
                  <w:pPr>
                    <w:spacing w:line="276" w:lineRule="auto"/>
                    <w:jc w:val="center"/>
                    <w:rPr>
                      <w:rFonts w:ascii="Times New Roman" w:hAnsi="Times New Roman"/>
                      <w:b/>
                      <w:color w:val="auto"/>
                      <w:szCs w:val="21"/>
                      <w:highlight w:val="none"/>
                    </w:rPr>
                  </w:pPr>
                </w:p>
              </w:tc>
              <w:tc>
                <w:tcPr>
                  <w:tcW w:w="455" w:type="pct"/>
                  <w:vMerge w:val="continue"/>
                  <w:vAlign w:val="center"/>
                </w:tcPr>
                <w:p w14:paraId="649107DF">
                  <w:pPr>
                    <w:spacing w:line="276" w:lineRule="auto"/>
                    <w:jc w:val="center"/>
                    <w:rPr>
                      <w:rFonts w:ascii="Times New Roman" w:hAnsi="Times New Roman"/>
                      <w:b/>
                      <w:color w:val="auto"/>
                      <w:szCs w:val="21"/>
                      <w:highlight w:val="none"/>
                    </w:rPr>
                  </w:pPr>
                </w:p>
              </w:tc>
              <w:tc>
                <w:tcPr>
                  <w:tcW w:w="655" w:type="pct"/>
                  <w:vMerge w:val="continue"/>
                  <w:vAlign w:val="center"/>
                </w:tcPr>
                <w:p w14:paraId="135B7D99">
                  <w:pPr>
                    <w:spacing w:line="276" w:lineRule="auto"/>
                    <w:jc w:val="center"/>
                    <w:rPr>
                      <w:rFonts w:ascii="Times New Roman" w:hAnsi="Times New Roman"/>
                      <w:b/>
                      <w:color w:val="auto"/>
                      <w:szCs w:val="21"/>
                      <w:highlight w:val="none"/>
                    </w:rPr>
                  </w:pPr>
                </w:p>
              </w:tc>
              <w:tc>
                <w:tcPr>
                  <w:tcW w:w="525" w:type="pct"/>
                  <w:vAlign w:val="center"/>
                </w:tcPr>
                <w:p w14:paraId="674B6DDC">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pH值（无量纲）</w:t>
                  </w:r>
                </w:p>
              </w:tc>
              <w:tc>
                <w:tcPr>
                  <w:tcW w:w="670" w:type="pct"/>
                  <w:vAlign w:val="center"/>
                </w:tcPr>
                <w:p w14:paraId="2A47FDBC">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化学需氧量（mg/L）</w:t>
                  </w:r>
                </w:p>
              </w:tc>
              <w:tc>
                <w:tcPr>
                  <w:tcW w:w="856" w:type="pct"/>
                  <w:vAlign w:val="center"/>
                </w:tcPr>
                <w:p w14:paraId="554BA002">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五日生化需氧量（mg/L）</w:t>
                  </w:r>
                </w:p>
              </w:tc>
              <w:tc>
                <w:tcPr>
                  <w:tcW w:w="670" w:type="pct"/>
                  <w:vAlign w:val="center"/>
                </w:tcPr>
                <w:p w14:paraId="1FDC56C9">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氨氮（mg/L）</w:t>
                  </w:r>
                </w:p>
              </w:tc>
              <w:tc>
                <w:tcPr>
                  <w:tcW w:w="742" w:type="pct"/>
                  <w:vAlign w:val="center"/>
                </w:tcPr>
                <w:p w14:paraId="758EFBC6">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悬浮物</w:t>
                  </w:r>
                </w:p>
                <w:p w14:paraId="14E702CB">
                  <w:pPr>
                    <w:spacing w:line="276" w:lineRule="auto"/>
                    <w:jc w:val="center"/>
                    <w:rPr>
                      <w:rFonts w:ascii="Times New Roman" w:hAnsi="Times New Roman"/>
                      <w:b/>
                      <w:color w:val="auto"/>
                      <w:szCs w:val="21"/>
                      <w:highlight w:val="none"/>
                    </w:rPr>
                  </w:pPr>
                  <w:r>
                    <w:rPr>
                      <w:rFonts w:ascii="Times New Roman" w:hAnsi="Times New Roman"/>
                      <w:b/>
                      <w:color w:val="auto"/>
                      <w:szCs w:val="21"/>
                      <w:highlight w:val="none"/>
                    </w:rPr>
                    <w:t>（mg/L）</w:t>
                  </w:r>
                </w:p>
              </w:tc>
            </w:tr>
            <w:tr w14:paraId="26CE30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restart"/>
                  <w:vAlign w:val="center"/>
                </w:tcPr>
                <w:p w14:paraId="67469F2B">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废水总排口W</w:t>
                  </w:r>
                  <w:r>
                    <w:rPr>
                      <w:rFonts w:ascii="Times New Roman" w:hAnsi="Times New Roman"/>
                      <w:color w:val="auto"/>
                      <w:szCs w:val="21"/>
                      <w:highlight w:val="none"/>
                      <w:vertAlign w:val="subscript"/>
                    </w:rPr>
                    <w:t>1</w:t>
                  </w:r>
                </w:p>
              </w:tc>
              <w:tc>
                <w:tcPr>
                  <w:tcW w:w="455" w:type="pct"/>
                  <w:vMerge w:val="restart"/>
                  <w:vAlign w:val="center"/>
                </w:tcPr>
                <w:p w14:paraId="1498B909">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2024</w:t>
                  </w:r>
                  <w:r>
                    <w:rPr>
                      <w:rFonts w:hint="eastAsia" w:ascii="Times New Roman" w:hAnsi="Times New Roman"/>
                      <w:color w:val="auto"/>
                      <w:szCs w:val="21"/>
                      <w:highlight w:val="none"/>
                    </w:rPr>
                    <w:t>.09.23</w:t>
                  </w:r>
                </w:p>
              </w:tc>
              <w:tc>
                <w:tcPr>
                  <w:tcW w:w="655" w:type="pct"/>
                  <w:vAlign w:val="center"/>
                </w:tcPr>
                <w:p w14:paraId="0F97B5C7">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第一次</w:t>
                  </w:r>
                </w:p>
              </w:tc>
              <w:tc>
                <w:tcPr>
                  <w:tcW w:w="525" w:type="pct"/>
                  <w:vAlign w:val="center"/>
                </w:tcPr>
                <w:p w14:paraId="1E1601FF">
                  <w:pPr>
                    <w:jc w:val="center"/>
                    <w:rPr>
                      <w:rFonts w:ascii="Times New Roman" w:hAnsi="Times New Roman"/>
                      <w:color w:val="auto"/>
                      <w:szCs w:val="21"/>
                      <w:highlight w:val="none"/>
                    </w:rPr>
                  </w:pPr>
                  <w:r>
                    <w:rPr>
                      <w:rFonts w:hint="eastAsia" w:ascii="Times New Roman" w:hAnsi="Times New Roman"/>
                      <w:color w:val="auto"/>
                      <w:szCs w:val="21"/>
                      <w:highlight w:val="none"/>
                    </w:rPr>
                    <w:t>7.4</w:t>
                  </w:r>
                </w:p>
              </w:tc>
              <w:tc>
                <w:tcPr>
                  <w:tcW w:w="670" w:type="pct"/>
                  <w:vAlign w:val="center"/>
                </w:tcPr>
                <w:p w14:paraId="2FF182D7">
                  <w:pPr>
                    <w:jc w:val="center"/>
                    <w:rPr>
                      <w:rFonts w:ascii="Times New Roman" w:hAnsi="Times New Roman"/>
                      <w:color w:val="auto"/>
                      <w:szCs w:val="21"/>
                      <w:highlight w:val="none"/>
                    </w:rPr>
                  </w:pPr>
                  <w:r>
                    <w:rPr>
                      <w:rFonts w:hint="eastAsia" w:ascii="Times New Roman" w:hAnsi="Times New Roman"/>
                      <w:color w:val="auto"/>
                      <w:szCs w:val="21"/>
                      <w:highlight w:val="none"/>
                    </w:rPr>
                    <w:t>220</w:t>
                  </w:r>
                </w:p>
              </w:tc>
              <w:tc>
                <w:tcPr>
                  <w:tcW w:w="856" w:type="pct"/>
                  <w:vAlign w:val="center"/>
                </w:tcPr>
                <w:p w14:paraId="1ED7AB74">
                  <w:pPr>
                    <w:jc w:val="center"/>
                    <w:rPr>
                      <w:rFonts w:ascii="Times New Roman" w:hAnsi="Times New Roman"/>
                      <w:color w:val="auto"/>
                      <w:szCs w:val="21"/>
                      <w:highlight w:val="none"/>
                    </w:rPr>
                  </w:pPr>
                  <w:r>
                    <w:rPr>
                      <w:rFonts w:hint="eastAsia" w:ascii="Times New Roman" w:hAnsi="Times New Roman"/>
                      <w:color w:val="auto"/>
                      <w:szCs w:val="21"/>
                      <w:highlight w:val="none"/>
                    </w:rPr>
                    <w:t>50.9</w:t>
                  </w:r>
                </w:p>
              </w:tc>
              <w:tc>
                <w:tcPr>
                  <w:tcW w:w="670" w:type="pct"/>
                  <w:vAlign w:val="center"/>
                </w:tcPr>
                <w:p w14:paraId="0631E649">
                  <w:pPr>
                    <w:jc w:val="center"/>
                    <w:rPr>
                      <w:rFonts w:ascii="Times New Roman" w:hAnsi="Times New Roman"/>
                      <w:color w:val="auto"/>
                      <w:szCs w:val="21"/>
                      <w:highlight w:val="none"/>
                    </w:rPr>
                  </w:pPr>
                  <w:r>
                    <w:rPr>
                      <w:rFonts w:hint="eastAsia" w:ascii="Times New Roman" w:hAnsi="Times New Roman"/>
                      <w:color w:val="auto"/>
                      <w:szCs w:val="21"/>
                      <w:highlight w:val="none"/>
                    </w:rPr>
                    <w:t>31.1</w:t>
                  </w:r>
                </w:p>
              </w:tc>
              <w:tc>
                <w:tcPr>
                  <w:tcW w:w="742" w:type="pct"/>
                  <w:vAlign w:val="center"/>
                </w:tcPr>
                <w:p w14:paraId="6EC03AAC">
                  <w:pPr>
                    <w:jc w:val="center"/>
                    <w:rPr>
                      <w:rFonts w:ascii="Times New Roman" w:hAnsi="Times New Roman"/>
                      <w:color w:val="auto"/>
                      <w:szCs w:val="21"/>
                      <w:highlight w:val="none"/>
                    </w:rPr>
                  </w:pPr>
                  <w:r>
                    <w:rPr>
                      <w:rFonts w:hint="eastAsia" w:ascii="Times New Roman" w:hAnsi="Times New Roman"/>
                      <w:color w:val="auto"/>
                      <w:szCs w:val="21"/>
                      <w:highlight w:val="none"/>
                    </w:rPr>
                    <w:t>65</w:t>
                  </w:r>
                </w:p>
              </w:tc>
            </w:tr>
            <w:tr w14:paraId="3967FF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1DEF2ECE">
                  <w:pPr>
                    <w:spacing w:line="276" w:lineRule="auto"/>
                    <w:jc w:val="center"/>
                    <w:rPr>
                      <w:rFonts w:ascii="Times New Roman" w:hAnsi="Times New Roman"/>
                      <w:color w:val="auto"/>
                      <w:szCs w:val="21"/>
                      <w:highlight w:val="none"/>
                    </w:rPr>
                  </w:pPr>
                </w:p>
              </w:tc>
              <w:tc>
                <w:tcPr>
                  <w:tcW w:w="455" w:type="pct"/>
                  <w:vMerge w:val="continue"/>
                  <w:vAlign w:val="center"/>
                </w:tcPr>
                <w:p w14:paraId="25F8455A">
                  <w:pPr>
                    <w:spacing w:line="276" w:lineRule="auto"/>
                    <w:jc w:val="center"/>
                    <w:rPr>
                      <w:rFonts w:ascii="Times New Roman" w:hAnsi="Times New Roman"/>
                      <w:color w:val="auto"/>
                      <w:szCs w:val="21"/>
                      <w:highlight w:val="none"/>
                    </w:rPr>
                  </w:pPr>
                </w:p>
              </w:tc>
              <w:tc>
                <w:tcPr>
                  <w:tcW w:w="655" w:type="pct"/>
                  <w:vAlign w:val="center"/>
                </w:tcPr>
                <w:p w14:paraId="2E2B4464">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第二次</w:t>
                  </w:r>
                </w:p>
              </w:tc>
              <w:tc>
                <w:tcPr>
                  <w:tcW w:w="525" w:type="pct"/>
                  <w:vAlign w:val="center"/>
                </w:tcPr>
                <w:p w14:paraId="36AFFB05">
                  <w:pPr>
                    <w:jc w:val="center"/>
                    <w:rPr>
                      <w:rFonts w:ascii="Times New Roman" w:hAnsi="Times New Roman"/>
                      <w:color w:val="auto"/>
                      <w:szCs w:val="21"/>
                      <w:highlight w:val="none"/>
                    </w:rPr>
                  </w:pPr>
                  <w:r>
                    <w:rPr>
                      <w:rFonts w:hint="eastAsia" w:ascii="Times New Roman" w:hAnsi="Times New Roman"/>
                      <w:color w:val="auto"/>
                      <w:szCs w:val="21"/>
                      <w:highlight w:val="none"/>
                    </w:rPr>
                    <w:t>7.4</w:t>
                  </w:r>
                </w:p>
              </w:tc>
              <w:tc>
                <w:tcPr>
                  <w:tcW w:w="670" w:type="pct"/>
                  <w:vAlign w:val="center"/>
                </w:tcPr>
                <w:p w14:paraId="1C276B33">
                  <w:pPr>
                    <w:jc w:val="center"/>
                    <w:rPr>
                      <w:rFonts w:ascii="Times New Roman" w:hAnsi="Times New Roman"/>
                      <w:color w:val="auto"/>
                      <w:szCs w:val="21"/>
                      <w:highlight w:val="none"/>
                    </w:rPr>
                  </w:pPr>
                  <w:r>
                    <w:rPr>
                      <w:rFonts w:hint="eastAsia" w:ascii="Times New Roman" w:hAnsi="Times New Roman"/>
                      <w:color w:val="auto"/>
                      <w:szCs w:val="21"/>
                      <w:highlight w:val="none"/>
                    </w:rPr>
                    <w:t>226</w:t>
                  </w:r>
                </w:p>
              </w:tc>
              <w:tc>
                <w:tcPr>
                  <w:tcW w:w="856" w:type="pct"/>
                  <w:vAlign w:val="center"/>
                </w:tcPr>
                <w:p w14:paraId="01698649">
                  <w:pPr>
                    <w:jc w:val="center"/>
                    <w:rPr>
                      <w:rFonts w:ascii="Times New Roman" w:hAnsi="Times New Roman"/>
                      <w:color w:val="auto"/>
                      <w:szCs w:val="21"/>
                      <w:highlight w:val="none"/>
                    </w:rPr>
                  </w:pPr>
                  <w:r>
                    <w:rPr>
                      <w:rFonts w:hint="eastAsia" w:ascii="Times New Roman" w:hAnsi="Times New Roman"/>
                      <w:color w:val="auto"/>
                      <w:szCs w:val="21"/>
                      <w:highlight w:val="none"/>
                    </w:rPr>
                    <w:t>54.0</w:t>
                  </w:r>
                </w:p>
              </w:tc>
              <w:tc>
                <w:tcPr>
                  <w:tcW w:w="670" w:type="pct"/>
                  <w:vAlign w:val="center"/>
                </w:tcPr>
                <w:p w14:paraId="502194E3">
                  <w:pPr>
                    <w:jc w:val="center"/>
                    <w:rPr>
                      <w:rFonts w:ascii="Times New Roman" w:hAnsi="Times New Roman"/>
                      <w:color w:val="auto"/>
                      <w:szCs w:val="21"/>
                      <w:highlight w:val="none"/>
                    </w:rPr>
                  </w:pPr>
                  <w:r>
                    <w:rPr>
                      <w:rFonts w:hint="eastAsia" w:ascii="Times New Roman" w:hAnsi="Times New Roman"/>
                      <w:color w:val="auto"/>
                      <w:szCs w:val="21"/>
                      <w:highlight w:val="none"/>
                    </w:rPr>
                    <w:t>32.6</w:t>
                  </w:r>
                </w:p>
              </w:tc>
              <w:tc>
                <w:tcPr>
                  <w:tcW w:w="742" w:type="pct"/>
                  <w:vAlign w:val="center"/>
                </w:tcPr>
                <w:p w14:paraId="41AEF1FD">
                  <w:pPr>
                    <w:jc w:val="center"/>
                    <w:rPr>
                      <w:rFonts w:ascii="Times New Roman" w:hAnsi="Times New Roman"/>
                      <w:color w:val="auto"/>
                      <w:szCs w:val="21"/>
                      <w:highlight w:val="none"/>
                    </w:rPr>
                  </w:pPr>
                  <w:r>
                    <w:rPr>
                      <w:rFonts w:hint="eastAsia" w:ascii="Times New Roman" w:hAnsi="Times New Roman"/>
                      <w:color w:val="auto"/>
                      <w:szCs w:val="21"/>
                      <w:highlight w:val="none"/>
                    </w:rPr>
                    <w:t>71</w:t>
                  </w:r>
                </w:p>
              </w:tc>
            </w:tr>
            <w:tr w14:paraId="133FCB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55BD7E2A">
                  <w:pPr>
                    <w:spacing w:line="276" w:lineRule="auto"/>
                    <w:jc w:val="center"/>
                    <w:rPr>
                      <w:rFonts w:ascii="Times New Roman" w:hAnsi="Times New Roman"/>
                      <w:color w:val="auto"/>
                      <w:szCs w:val="21"/>
                      <w:highlight w:val="none"/>
                    </w:rPr>
                  </w:pPr>
                </w:p>
              </w:tc>
              <w:tc>
                <w:tcPr>
                  <w:tcW w:w="455" w:type="pct"/>
                  <w:vMerge w:val="continue"/>
                  <w:vAlign w:val="center"/>
                </w:tcPr>
                <w:p w14:paraId="6E83E02D">
                  <w:pPr>
                    <w:spacing w:line="276" w:lineRule="auto"/>
                    <w:jc w:val="center"/>
                    <w:rPr>
                      <w:rFonts w:ascii="Times New Roman" w:hAnsi="Times New Roman"/>
                      <w:color w:val="auto"/>
                      <w:szCs w:val="21"/>
                      <w:highlight w:val="none"/>
                    </w:rPr>
                  </w:pPr>
                </w:p>
              </w:tc>
              <w:tc>
                <w:tcPr>
                  <w:tcW w:w="655" w:type="pct"/>
                  <w:vAlign w:val="center"/>
                </w:tcPr>
                <w:p w14:paraId="74C62A8D">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第三次</w:t>
                  </w:r>
                </w:p>
              </w:tc>
              <w:tc>
                <w:tcPr>
                  <w:tcW w:w="525" w:type="pct"/>
                  <w:vAlign w:val="center"/>
                </w:tcPr>
                <w:p w14:paraId="6C49DBCF">
                  <w:pPr>
                    <w:jc w:val="center"/>
                    <w:rPr>
                      <w:rFonts w:ascii="Times New Roman" w:hAnsi="Times New Roman"/>
                      <w:color w:val="auto"/>
                      <w:szCs w:val="21"/>
                      <w:highlight w:val="none"/>
                    </w:rPr>
                  </w:pPr>
                  <w:r>
                    <w:rPr>
                      <w:rFonts w:hint="eastAsia" w:ascii="Times New Roman" w:hAnsi="Times New Roman"/>
                      <w:color w:val="auto"/>
                      <w:szCs w:val="21"/>
                      <w:highlight w:val="none"/>
                    </w:rPr>
                    <w:t>7.4</w:t>
                  </w:r>
                </w:p>
              </w:tc>
              <w:tc>
                <w:tcPr>
                  <w:tcW w:w="670" w:type="pct"/>
                  <w:vAlign w:val="center"/>
                </w:tcPr>
                <w:p w14:paraId="4C2F2DFF">
                  <w:pPr>
                    <w:jc w:val="center"/>
                    <w:rPr>
                      <w:rFonts w:ascii="Times New Roman" w:hAnsi="Times New Roman"/>
                      <w:color w:val="auto"/>
                      <w:szCs w:val="21"/>
                      <w:highlight w:val="none"/>
                    </w:rPr>
                  </w:pPr>
                  <w:r>
                    <w:rPr>
                      <w:rFonts w:hint="eastAsia" w:ascii="Times New Roman" w:hAnsi="Times New Roman"/>
                      <w:color w:val="auto"/>
                      <w:szCs w:val="21"/>
                      <w:highlight w:val="none"/>
                    </w:rPr>
                    <w:t>217</w:t>
                  </w:r>
                </w:p>
              </w:tc>
              <w:tc>
                <w:tcPr>
                  <w:tcW w:w="856" w:type="pct"/>
                  <w:vAlign w:val="center"/>
                </w:tcPr>
                <w:p w14:paraId="192C2321">
                  <w:pPr>
                    <w:jc w:val="center"/>
                    <w:rPr>
                      <w:rFonts w:ascii="Times New Roman" w:hAnsi="Times New Roman"/>
                      <w:color w:val="auto"/>
                      <w:szCs w:val="21"/>
                      <w:highlight w:val="none"/>
                    </w:rPr>
                  </w:pPr>
                  <w:r>
                    <w:rPr>
                      <w:rFonts w:hint="eastAsia" w:ascii="Times New Roman" w:hAnsi="Times New Roman"/>
                      <w:color w:val="auto"/>
                      <w:szCs w:val="21"/>
                      <w:highlight w:val="none"/>
                    </w:rPr>
                    <w:t>49.8</w:t>
                  </w:r>
                </w:p>
              </w:tc>
              <w:tc>
                <w:tcPr>
                  <w:tcW w:w="670" w:type="pct"/>
                  <w:vAlign w:val="center"/>
                </w:tcPr>
                <w:p w14:paraId="6F5CF891">
                  <w:pPr>
                    <w:jc w:val="center"/>
                    <w:rPr>
                      <w:rFonts w:ascii="Times New Roman" w:hAnsi="Times New Roman"/>
                      <w:color w:val="auto"/>
                      <w:szCs w:val="21"/>
                      <w:highlight w:val="none"/>
                    </w:rPr>
                  </w:pPr>
                  <w:r>
                    <w:rPr>
                      <w:rFonts w:hint="eastAsia" w:ascii="Times New Roman" w:hAnsi="Times New Roman"/>
                      <w:color w:val="auto"/>
                      <w:szCs w:val="21"/>
                      <w:highlight w:val="none"/>
                    </w:rPr>
                    <w:t>32.0</w:t>
                  </w:r>
                </w:p>
              </w:tc>
              <w:tc>
                <w:tcPr>
                  <w:tcW w:w="742" w:type="pct"/>
                  <w:vAlign w:val="center"/>
                </w:tcPr>
                <w:p w14:paraId="77170F4D">
                  <w:pPr>
                    <w:jc w:val="center"/>
                    <w:rPr>
                      <w:rFonts w:ascii="Times New Roman" w:hAnsi="Times New Roman"/>
                      <w:color w:val="auto"/>
                      <w:szCs w:val="21"/>
                      <w:highlight w:val="none"/>
                    </w:rPr>
                  </w:pPr>
                  <w:r>
                    <w:rPr>
                      <w:rFonts w:hint="eastAsia" w:ascii="Times New Roman" w:hAnsi="Times New Roman"/>
                      <w:color w:val="auto"/>
                      <w:szCs w:val="21"/>
                      <w:highlight w:val="none"/>
                    </w:rPr>
                    <w:t>68</w:t>
                  </w:r>
                </w:p>
              </w:tc>
            </w:tr>
            <w:tr w14:paraId="18E00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445A7459">
                  <w:pPr>
                    <w:spacing w:line="276" w:lineRule="auto"/>
                    <w:jc w:val="center"/>
                    <w:rPr>
                      <w:rFonts w:ascii="Times New Roman" w:hAnsi="Times New Roman"/>
                      <w:color w:val="auto"/>
                      <w:szCs w:val="21"/>
                      <w:highlight w:val="none"/>
                    </w:rPr>
                  </w:pPr>
                </w:p>
              </w:tc>
              <w:tc>
                <w:tcPr>
                  <w:tcW w:w="455" w:type="pct"/>
                  <w:vMerge w:val="continue"/>
                  <w:vAlign w:val="center"/>
                </w:tcPr>
                <w:p w14:paraId="548B5E40">
                  <w:pPr>
                    <w:spacing w:line="276" w:lineRule="auto"/>
                    <w:jc w:val="center"/>
                    <w:rPr>
                      <w:rFonts w:ascii="Times New Roman" w:hAnsi="Times New Roman"/>
                      <w:color w:val="auto"/>
                      <w:szCs w:val="21"/>
                      <w:highlight w:val="none"/>
                    </w:rPr>
                  </w:pPr>
                </w:p>
              </w:tc>
              <w:tc>
                <w:tcPr>
                  <w:tcW w:w="655" w:type="pct"/>
                  <w:vAlign w:val="center"/>
                </w:tcPr>
                <w:p w14:paraId="73A7C4CC">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第四次</w:t>
                  </w:r>
                </w:p>
              </w:tc>
              <w:tc>
                <w:tcPr>
                  <w:tcW w:w="525" w:type="pct"/>
                  <w:vAlign w:val="center"/>
                </w:tcPr>
                <w:p w14:paraId="4063229B">
                  <w:pPr>
                    <w:jc w:val="center"/>
                    <w:rPr>
                      <w:rFonts w:ascii="Times New Roman" w:hAnsi="Times New Roman"/>
                      <w:color w:val="auto"/>
                      <w:szCs w:val="21"/>
                      <w:highlight w:val="none"/>
                    </w:rPr>
                  </w:pPr>
                  <w:r>
                    <w:rPr>
                      <w:rFonts w:hint="eastAsia" w:ascii="Times New Roman" w:hAnsi="Times New Roman"/>
                      <w:color w:val="auto"/>
                      <w:szCs w:val="21"/>
                      <w:highlight w:val="none"/>
                    </w:rPr>
                    <w:t>7.2</w:t>
                  </w:r>
                </w:p>
              </w:tc>
              <w:tc>
                <w:tcPr>
                  <w:tcW w:w="670" w:type="pct"/>
                  <w:vAlign w:val="center"/>
                </w:tcPr>
                <w:p w14:paraId="33A9A3B5">
                  <w:pPr>
                    <w:jc w:val="center"/>
                    <w:rPr>
                      <w:rFonts w:ascii="Times New Roman" w:hAnsi="Times New Roman"/>
                      <w:color w:val="auto"/>
                      <w:szCs w:val="21"/>
                      <w:highlight w:val="none"/>
                    </w:rPr>
                  </w:pPr>
                  <w:r>
                    <w:rPr>
                      <w:rFonts w:hint="eastAsia" w:ascii="Times New Roman" w:hAnsi="Times New Roman"/>
                      <w:color w:val="auto"/>
                      <w:szCs w:val="21"/>
                      <w:highlight w:val="none"/>
                    </w:rPr>
                    <w:t>227</w:t>
                  </w:r>
                </w:p>
              </w:tc>
              <w:tc>
                <w:tcPr>
                  <w:tcW w:w="856" w:type="pct"/>
                  <w:vAlign w:val="center"/>
                </w:tcPr>
                <w:p w14:paraId="6A76B567">
                  <w:pPr>
                    <w:jc w:val="center"/>
                    <w:rPr>
                      <w:rFonts w:ascii="Times New Roman" w:hAnsi="Times New Roman"/>
                      <w:color w:val="auto"/>
                      <w:szCs w:val="21"/>
                      <w:highlight w:val="none"/>
                    </w:rPr>
                  </w:pPr>
                  <w:r>
                    <w:rPr>
                      <w:rFonts w:hint="eastAsia" w:ascii="Times New Roman" w:hAnsi="Times New Roman"/>
                      <w:color w:val="auto"/>
                      <w:szCs w:val="21"/>
                      <w:highlight w:val="none"/>
                    </w:rPr>
                    <w:t>46.6</w:t>
                  </w:r>
                </w:p>
              </w:tc>
              <w:tc>
                <w:tcPr>
                  <w:tcW w:w="670" w:type="pct"/>
                  <w:vAlign w:val="center"/>
                </w:tcPr>
                <w:p w14:paraId="29B4BB71">
                  <w:pPr>
                    <w:jc w:val="center"/>
                    <w:rPr>
                      <w:rFonts w:ascii="Times New Roman" w:hAnsi="Times New Roman"/>
                      <w:color w:val="auto"/>
                      <w:szCs w:val="21"/>
                      <w:highlight w:val="none"/>
                    </w:rPr>
                  </w:pPr>
                  <w:r>
                    <w:rPr>
                      <w:rFonts w:hint="eastAsia" w:ascii="Times New Roman" w:hAnsi="Times New Roman"/>
                      <w:color w:val="auto"/>
                      <w:szCs w:val="21"/>
                      <w:highlight w:val="none"/>
                    </w:rPr>
                    <w:t>31.6</w:t>
                  </w:r>
                </w:p>
              </w:tc>
              <w:tc>
                <w:tcPr>
                  <w:tcW w:w="742" w:type="pct"/>
                  <w:vAlign w:val="center"/>
                </w:tcPr>
                <w:p w14:paraId="5E23AB0C">
                  <w:pPr>
                    <w:jc w:val="center"/>
                    <w:rPr>
                      <w:rFonts w:ascii="Times New Roman" w:hAnsi="Times New Roman"/>
                      <w:color w:val="auto"/>
                      <w:szCs w:val="21"/>
                      <w:highlight w:val="none"/>
                    </w:rPr>
                  </w:pPr>
                  <w:r>
                    <w:rPr>
                      <w:rFonts w:hint="eastAsia" w:ascii="Times New Roman" w:hAnsi="Times New Roman"/>
                      <w:color w:val="auto"/>
                      <w:szCs w:val="21"/>
                      <w:highlight w:val="none"/>
                    </w:rPr>
                    <w:t>63</w:t>
                  </w:r>
                </w:p>
              </w:tc>
            </w:tr>
            <w:tr w14:paraId="70C72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293CDF73">
                  <w:pPr>
                    <w:spacing w:line="276" w:lineRule="auto"/>
                    <w:jc w:val="center"/>
                    <w:rPr>
                      <w:rFonts w:ascii="Times New Roman" w:hAnsi="Times New Roman"/>
                      <w:color w:val="auto"/>
                      <w:szCs w:val="21"/>
                      <w:highlight w:val="none"/>
                    </w:rPr>
                  </w:pPr>
                </w:p>
              </w:tc>
              <w:tc>
                <w:tcPr>
                  <w:tcW w:w="455" w:type="pct"/>
                  <w:vMerge w:val="restart"/>
                  <w:vAlign w:val="center"/>
                </w:tcPr>
                <w:p w14:paraId="38380678">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2024.</w:t>
                  </w:r>
                  <w:r>
                    <w:rPr>
                      <w:rFonts w:hint="eastAsia" w:ascii="Times New Roman" w:hAnsi="Times New Roman"/>
                      <w:color w:val="auto"/>
                      <w:szCs w:val="21"/>
                      <w:highlight w:val="none"/>
                    </w:rPr>
                    <w:t>09.24</w:t>
                  </w:r>
                </w:p>
              </w:tc>
              <w:tc>
                <w:tcPr>
                  <w:tcW w:w="655" w:type="pct"/>
                  <w:vAlign w:val="center"/>
                </w:tcPr>
                <w:p w14:paraId="5E873828">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第一次</w:t>
                  </w:r>
                </w:p>
              </w:tc>
              <w:tc>
                <w:tcPr>
                  <w:tcW w:w="525" w:type="pct"/>
                  <w:vAlign w:val="center"/>
                </w:tcPr>
                <w:p w14:paraId="2094B7D9">
                  <w:pPr>
                    <w:jc w:val="center"/>
                    <w:rPr>
                      <w:rFonts w:ascii="Times New Roman" w:hAnsi="Times New Roman"/>
                      <w:color w:val="auto"/>
                      <w:szCs w:val="21"/>
                      <w:highlight w:val="none"/>
                    </w:rPr>
                  </w:pPr>
                  <w:r>
                    <w:rPr>
                      <w:rFonts w:hint="eastAsia" w:ascii="Times New Roman" w:hAnsi="Times New Roman"/>
                      <w:color w:val="auto"/>
                      <w:szCs w:val="21"/>
                      <w:highlight w:val="none"/>
                    </w:rPr>
                    <w:t>7.2</w:t>
                  </w:r>
                </w:p>
              </w:tc>
              <w:tc>
                <w:tcPr>
                  <w:tcW w:w="670" w:type="pct"/>
                  <w:vAlign w:val="center"/>
                </w:tcPr>
                <w:p w14:paraId="55C1BD62">
                  <w:pPr>
                    <w:jc w:val="center"/>
                    <w:rPr>
                      <w:rFonts w:ascii="Times New Roman" w:hAnsi="Times New Roman"/>
                      <w:color w:val="auto"/>
                      <w:szCs w:val="21"/>
                      <w:highlight w:val="none"/>
                    </w:rPr>
                  </w:pPr>
                  <w:r>
                    <w:rPr>
                      <w:rFonts w:hint="eastAsia" w:ascii="Times New Roman" w:hAnsi="Times New Roman"/>
                      <w:color w:val="auto"/>
                      <w:szCs w:val="21"/>
                      <w:highlight w:val="none"/>
                    </w:rPr>
                    <w:t>79</w:t>
                  </w:r>
                </w:p>
              </w:tc>
              <w:tc>
                <w:tcPr>
                  <w:tcW w:w="856" w:type="pct"/>
                  <w:vAlign w:val="center"/>
                </w:tcPr>
                <w:p w14:paraId="27D184AE">
                  <w:pPr>
                    <w:jc w:val="center"/>
                    <w:rPr>
                      <w:rFonts w:ascii="Times New Roman" w:hAnsi="Times New Roman"/>
                      <w:color w:val="auto"/>
                      <w:szCs w:val="21"/>
                      <w:highlight w:val="none"/>
                    </w:rPr>
                  </w:pPr>
                  <w:r>
                    <w:rPr>
                      <w:rFonts w:hint="eastAsia" w:ascii="Times New Roman" w:hAnsi="Times New Roman"/>
                      <w:color w:val="auto"/>
                      <w:szCs w:val="21"/>
                      <w:highlight w:val="none"/>
                    </w:rPr>
                    <w:t>20.2</w:t>
                  </w:r>
                </w:p>
              </w:tc>
              <w:tc>
                <w:tcPr>
                  <w:tcW w:w="670" w:type="pct"/>
                  <w:vAlign w:val="center"/>
                </w:tcPr>
                <w:p w14:paraId="147AC81C">
                  <w:pPr>
                    <w:jc w:val="center"/>
                    <w:rPr>
                      <w:rFonts w:ascii="Times New Roman" w:hAnsi="Times New Roman"/>
                      <w:color w:val="auto"/>
                      <w:szCs w:val="21"/>
                      <w:highlight w:val="none"/>
                    </w:rPr>
                  </w:pPr>
                  <w:r>
                    <w:rPr>
                      <w:rFonts w:hint="eastAsia" w:ascii="Times New Roman" w:hAnsi="Times New Roman"/>
                      <w:color w:val="auto"/>
                      <w:szCs w:val="21"/>
                      <w:highlight w:val="none"/>
                    </w:rPr>
                    <w:t>20.8</w:t>
                  </w:r>
                </w:p>
              </w:tc>
              <w:tc>
                <w:tcPr>
                  <w:tcW w:w="742" w:type="pct"/>
                  <w:vAlign w:val="center"/>
                </w:tcPr>
                <w:p w14:paraId="1CCC7D89">
                  <w:pPr>
                    <w:jc w:val="center"/>
                    <w:rPr>
                      <w:rFonts w:ascii="Times New Roman" w:hAnsi="Times New Roman"/>
                      <w:color w:val="auto"/>
                      <w:szCs w:val="21"/>
                      <w:highlight w:val="none"/>
                    </w:rPr>
                  </w:pPr>
                  <w:r>
                    <w:rPr>
                      <w:rFonts w:hint="eastAsia" w:ascii="Times New Roman" w:hAnsi="Times New Roman"/>
                      <w:color w:val="auto"/>
                      <w:szCs w:val="21"/>
                      <w:highlight w:val="none"/>
                    </w:rPr>
                    <w:t>55</w:t>
                  </w:r>
                </w:p>
              </w:tc>
            </w:tr>
            <w:tr w14:paraId="0BE056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58AE204B">
                  <w:pPr>
                    <w:spacing w:line="276" w:lineRule="auto"/>
                    <w:jc w:val="center"/>
                    <w:rPr>
                      <w:rFonts w:ascii="Times New Roman" w:hAnsi="Times New Roman"/>
                      <w:color w:val="auto"/>
                      <w:szCs w:val="21"/>
                      <w:highlight w:val="none"/>
                    </w:rPr>
                  </w:pPr>
                </w:p>
              </w:tc>
              <w:tc>
                <w:tcPr>
                  <w:tcW w:w="455" w:type="pct"/>
                  <w:vMerge w:val="continue"/>
                  <w:vAlign w:val="center"/>
                </w:tcPr>
                <w:p w14:paraId="67A27123">
                  <w:pPr>
                    <w:spacing w:line="276" w:lineRule="auto"/>
                    <w:jc w:val="center"/>
                    <w:rPr>
                      <w:rFonts w:ascii="Times New Roman" w:hAnsi="Times New Roman"/>
                      <w:color w:val="auto"/>
                      <w:szCs w:val="21"/>
                      <w:highlight w:val="none"/>
                    </w:rPr>
                  </w:pPr>
                </w:p>
              </w:tc>
              <w:tc>
                <w:tcPr>
                  <w:tcW w:w="655" w:type="pct"/>
                  <w:vAlign w:val="center"/>
                </w:tcPr>
                <w:p w14:paraId="2FBA8CCE">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第二次</w:t>
                  </w:r>
                </w:p>
              </w:tc>
              <w:tc>
                <w:tcPr>
                  <w:tcW w:w="525" w:type="pct"/>
                  <w:vAlign w:val="center"/>
                </w:tcPr>
                <w:p w14:paraId="27EFCB14">
                  <w:pPr>
                    <w:jc w:val="center"/>
                    <w:rPr>
                      <w:rFonts w:ascii="Times New Roman" w:hAnsi="Times New Roman"/>
                      <w:color w:val="auto"/>
                      <w:szCs w:val="21"/>
                      <w:highlight w:val="none"/>
                    </w:rPr>
                  </w:pPr>
                  <w:r>
                    <w:rPr>
                      <w:rFonts w:hint="eastAsia" w:ascii="Times New Roman" w:hAnsi="Times New Roman"/>
                      <w:color w:val="auto"/>
                      <w:szCs w:val="21"/>
                      <w:highlight w:val="none"/>
                    </w:rPr>
                    <w:t>7.3</w:t>
                  </w:r>
                </w:p>
              </w:tc>
              <w:tc>
                <w:tcPr>
                  <w:tcW w:w="670" w:type="pct"/>
                  <w:vAlign w:val="center"/>
                </w:tcPr>
                <w:p w14:paraId="50A94C50">
                  <w:pPr>
                    <w:jc w:val="center"/>
                    <w:rPr>
                      <w:rFonts w:ascii="Times New Roman" w:hAnsi="Times New Roman"/>
                      <w:color w:val="auto"/>
                      <w:szCs w:val="21"/>
                      <w:highlight w:val="none"/>
                    </w:rPr>
                  </w:pPr>
                  <w:r>
                    <w:rPr>
                      <w:rFonts w:hint="eastAsia" w:ascii="Times New Roman" w:hAnsi="Times New Roman"/>
                      <w:color w:val="auto"/>
                      <w:szCs w:val="21"/>
                      <w:highlight w:val="none"/>
                    </w:rPr>
                    <w:t>86</w:t>
                  </w:r>
                </w:p>
              </w:tc>
              <w:tc>
                <w:tcPr>
                  <w:tcW w:w="856" w:type="pct"/>
                  <w:vAlign w:val="center"/>
                </w:tcPr>
                <w:p w14:paraId="5706D44C">
                  <w:pPr>
                    <w:jc w:val="center"/>
                    <w:rPr>
                      <w:rFonts w:ascii="Times New Roman" w:hAnsi="Times New Roman"/>
                      <w:color w:val="auto"/>
                      <w:szCs w:val="21"/>
                      <w:highlight w:val="none"/>
                    </w:rPr>
                  </w:pPr>
                  <w:r>
                    <w:rPr>
                      <w:rFonts w:hint="eastAsia" w:ascii="Times New Roman" w:hAnsi="Times New Roman"/>
                      <w:color w:val="auto"/>
                      <w:szCs w:val="21"/>
                      <w:highlight w:val="none"/>
                    </w:rPr>
                    <w:t>21.9</w:t>
                  </w:r>
                </w:p>
              </w:tc>
              <w:tc>
                <w:tcPr>
                  <w:tcW w:w="670" w:type="pct"/>
                  <w:vAlign w:val="center"/>
                </w:tcPr>
                <w:p w14:paraId="265F7321">
                  <w:pPr>
                    <w:jc w:val="center"/>
                    <w:rPr>
                      <w:rFonts w:ascii="Times New Roman" w:hAnsi="Times New Roman"/>
                      <w:color w:val="auto"/>
                      <w:szCs w:val="21"/>
                      <w:highlight w:val="none"/>
                    </w:rPr>
                  </w:pPr>
                  <w:r>
                    <w:rPr>
                      <w:rFonts w:hint="eastAsia" w:ascii="Times New Roman" w:hAnsi="Times New Roman"/>
                      <w:color w:val="auto"/>
                      <w:szCs w:val="21"/>
                      <w:highlight w:val="none"/>
                    </w:rPr>
                    <w:t>21.8</w:t>
                  </w:r>
                </w:p>
              </w:tc>
              <w:tc>
                <w:tcPr>
                  <w:tcW w:w="742" w:type="pct"/>
                  <w:vAlign w:val="center"/>
                </w:tcPr>
                <w:p w14:paraId="363F0973">
                  <w:pPr>
                    <w:jc w:val="center"/>
                    <w:rPr>
                      <w:rFonts w:ascii="Times New Roman" w:hAnsi="Times New Roman"/>
                      <w:color w:val="auto"/>
                      <w:szCs w:val="21"/>
                      <w:highlight w:val="none"/>
                    </w:rPr>
                  </w:pPr>
                  <w:r>
                    <w:rPr>
                      <w:rFonts w:hint="eastAsia" w:ascii="Times New Roman" w:hAnsi="Times New Roman"/>
                      <w:color w:val="auto"/>
                      <w:szCs w:val="21"/>
                      <w:highlight w:val="none"/>
                    </w:rPr>
                    <w:t>50</w:t>
                  </w:r>
                </w:p>
              </w:tc>
            </w:tr>
            <w:tr w14:paraId="6AF613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1F8D5A58">
                  <w:pPr>
                    <w:spacing w:line="276" w:lineRule="auto"/>
                    <w:jc w:val="center"/>
                    <w:rPr>
                      <w:rFonts w:ascii="Times New Roman" w:hAnsi="Times New Roman"/>
                      <w:color w:val="auto"/>
                      <w:szCs w:val="21"/>
                      <w:highlight w:val="none"/>
                    </w:rPr>
                  </w:pPr>
                </w:p>
              </w:tc>
              <w:tc>
                <w:tcPr>
                  <w:tcW w:w="455" w:type="pct"/>
                  <w:vMerge w:val="continue"/>
                  <w:vAlign w:val="center"/>
                </w:tcPr>
                <w:p w14:paraId="134BD2EC">
                  <w:pPr>
                    <w:spacing w:line="276" w:lineRule="auto"/>
                    <w:jc w:val="center"/>
                    <w:rPr>
                      <w:rFonts w:ascii="Times New Roman" w:hAnsi="Times New Roman"/>
                      <w:color w:val="auto"/>
                      <w:szCs w:val="21"/>
                      <w:highlight w:val="none"/>
                    </w:rPr>
                  </w:pPr>
                </w:p>
              </w:tc>
              <w:tc>
                <w:tcPr>
                  <w:tcW w:w="655" w:type="pct"/>
                  <w:vAlign w:val="center"/>
                </w:tcPr>
                <w:p w14:paraId="07F02D26">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第三次</w:t>
                  </w:r>
                </w:p>
              </w:tc>
              <w:tc>
                <w:tcPr>
                  <w:tcW w:w="525" w:type="pct"/>
                  <w:vAlign w:val="center"/>
                </w:tcPr>
                <w:p w14:paraId="54FE643A">
                  <w:pPr>
                    <w:jc w:val="center"/>
                    <w:rPr>
                      <w:rFonts w:ascii="Times New Roman" w:hAnsi="Times New Roman"/>
                      <w:color w:val="auto"/>
                      <w:szCs w:val="21"/>
                      <w:highlight w:val="none"/>
                    </w:rPr>
                  </w:pPr>
                  <w:r>
                    <w:rPr>
                      <w:rFonts w:hint="eastAsia" w:ascii="Times New Roman" w:hAnsi="Times New Roman"/>
                      <w:color w:val="auto"/>
                      <w:szCs w:val="21"/>
                      <w:highlight w:val="none"/>
                    </w:rPr>
                    <w:t>7.2</w:t>
                  </w:r>
                </w:p>
              </w:tc>
              <w:tc>
                <w:tcPr>
                  <w:tcW w:w="670" w:type="pct"/>
                  <w:vAlign w:val="center"/>
                </w:tcPr>
                <w:p w14:paraId="415C45B6">
                  <w:pPr>
                    <w:jc w:val="center"/>
                    <w:rPr>
                      <w:rFonts w:ascii="Times New Roman" w:hAnsi="Times New Roman"/>
                      <w:color w:val="auto"/>
                      <w:szCs w:val="21"/>
                      <w:highlight w:val="none"/>
                    </w:rPr>
                  </w:pPr>
                  <w:r>
                    <w:rPr>
                      <w:rFonts w:hint="eastAsia" w:ascii="Times New Roman" w:hAnsi="Times New Roman"/>
                      <w:color w:val="auto"/>
                      <w:szCs w:val="21"/>
                      <w:highlight w:val="none"/>
                    </w:rPr>
                    <w:t>74</w:t>
                  </w:r>
                </w:p>
              </w:tc>
              <w:tc>
                <w:tcPr>
                  <w:tcW w:w="856" w:type="pct"/>
                  <w:vAlign w:val="center"/>
                </w:tcPr>
                <w:p w14:paraId="6DF2D465">
                  <w:pPr>
                    <w:jc w:val="center"/>
                    <w:rPr>
                      <w:rFonts w:ascii="Times New Roman" w:hAnsi="Times New Roman"/>
                      <w:color w:val="auto"/>
                      <w:szCs w:val="21"/>
                      <w:highlight w:val="none"/>
                    </w:rPr>
                  </w:pPr>
                  <w:r>
                    <w:rPr>
                      <w:rFonts w:hint="eastAsia" w:ascii="Times New Roman" w:hAnsi="Times New Roman"/>
                      <w:color w:val="auto"/>
                      <w:szCs w:val="21"/>
                      <w:highlight w:val="none"/>
                    </w:rPr>
                    <w:t>19.3</w:t>
                  </w:r>
                </w:p>
              </w:tc>
              <w:tc>
                <w:tcPr>
                  <w:tcW w:w="670" w:type="pct"/>
                  <w:vAlign w:val="center"/>
                </w:tcPr>
                <w:p w14:paraId="2189FF8D">
                  <w:pPr>
                    <w:jc w:val="center"/>
                    <w:rPr>
                      <w:rFonts w:ascii="Times New Roman" w:hAnsi="Times New Roman"/>
                      <w:color w:val="auto"/>
                      <w:szCs w:val="21"/>
                      <w:highlight w:val="none"/>
                    </w:rPr>
                  </w:pPr>
                  <w:r>
                    <w:rPr>
                      <w:rFonts w:hint="eastAsia" w:ascii="Times New Roman" w:hAnsi="Times New Roman"/>
                      <w:color w:val="auto"/>
                      <w:szCs w:val="21"/>
                      <w:highlight w:val="none"/>
                    </w:rPr>
                    <w:t>20.2</w:t>
                  </w:r>
                </w:p>
              </w:tc>
              <w:tc>
                <w:tcPr>
                  <w:tcW w:w="742" w:type="pct"/>
                  <w:vAlign w:val="center"/>
                </w:tcPr>
                <w:p w14:paraId="7F2C107B">
                  <w:pPr>
                    <w:jc w:val="center"/>
                    <w:rPr>
                      <w:rFonts w:ascii="Times New Roman" w:hAnsi="Times New Roman"/>
                      <w:color w:val="auto"/>
                      <w:szCs w:val="21"/>
                      <w:highlight w:val="none"/>
                    </w:rPr>
                  </w:pPr>
                  <w:r>
                    <w:rPr>
                      <w:rFonts w:hint="eastAsia" w:ascii="Times New Roman" w:hAnsi="Times New Roman"/>
                      <w:color w:val="auto"/>
                      <w:szCs w:val="21"/>
                      <w:highlight w:val="none"/>
                    </w:rPr>
                    <w:t>61</w:t>
                  </w:r>
                </w:p>
              </w:tc>
            </w:tr>
            <w:tr w14:paraId="5E33C8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Merge w:val="continue"/>
                  <w:vAlign w:val="center"/>
                </w:tcPr>
                <w:p w14:paraId="083E2C5E">
                  <w:pPr>
                    <w:spacing w:line="276" w:lineRule="auto"/>
                    <w:jc w:val="center"/>
                    <w:rPr>
                      <w:rFonts w:ascii="Times New Roman" w:hAnsi="Times New Roman"/>
                      <w:color w:val="auto"/>
                      <w:szCs w:val="21"/>
                      <w:highlight w:val="none"/>
                    </w:rPr>
                  </w:pPr>
                </w:p>
              </w:tc>
              <w:tc>
                <w:tcPr>
                  <w:tcW w:w="455" w:type="pct"/>
                  <w:vMerge w:val="continue"/>
                  <w:vAlign w:val="center"/>
                </w:tcPr>
                <w:p w14:paraId="781305EF">
                  <w:pPr>
                    <w:spacing w:line="276" w:lineRule="auto"/>
                    <w:jc w:val="center"/>
                    <w:rPr>
                      <w:rFonts w:ascii="Times New Roman" w:hAnsi="Times New Roman"/>
                      <w:color w:val="auto"/>
                      <w:szCs w:val="21"/>
                      <w:highlight w:val="none"/>
                    </w:rPr>
                  </w:pPr>
                </w:p>
              </w:tc>
              <w:tc>
                <w:tcPr>
                  <w:tcW w:w="655" w:type="pct"/>
                  <w:vAlign w:val="center"/>
                </w:tcPr>
                <w:p w14:paraId="41B73DD1">
                  <w:pPr>
                    <w:spacing w:line="276" w:lineRule="auto"/>
                    <w:jc w:val="center"/>
                    <w:rPr>
                      <w:rFonts w:ascii="Times New Roman" w:hAnsi="Times New Roman"/>
                      <w:color w:val="auto"/>
                      <w:szCs w:val="21"/>
                      <w:highlight w:val="none"/>
                    </w:rPr>
                  </w:pPr>
                  <w:r>
                    <w:rPr>
                      <w:rFonts w:ascii="Times New Roman" w:hAnsi="Times New Roman"/>
                      <w:color w:val="auto"/>
                      <w:szCs w:val="21"/>
                      <w:highlight w:val="none"/>
                    </w:rPr>
                    <w:t>第四次</w:t>
                  </w:r>
                </w:p>
              </w:tc>
              <w:tc>
                <w:tcPr>
                  <w:tcW w:w="525" w:type="pct"/>
                  <w:vAlign w:val="center"/>
                </w:tcPr>
                <w:p w14:paraId="46AA9543">
                  <w:pPr>
                    <w:jc w:val="center"/>
                    <w:rPr>
                      <w:rFonts w:ascii="Times New Roman" w:hAnsi="Times New Roman"/>
                      <w:color w:val="auto"/>
                      <w:szCs w:val="21"/>
                      <w:highlight w:val="none"/>
                    </w:rPr>
                  </w:pPr>
                  <w:r>
                    <w:rPr>
                      <w:rFonts w:hint="eastAsia" w:ascii="Times New Roman" w:hAnsi="Times New Roman"/>
                      <w:color w:val="auto"/>
                      <w:szCs w:val="21"/>
                      <w:highlight w:val="none"/>
                    </w:rPr>
                    <w:t>7.2</w:t>
                  </w:r>
                </w:p>
              </w:tc>
              <w:tc>
                <w:tcPr>
                  <w:tcW w:w="670" w:type="pct"/>
                  <w:vAlign w:val="center"/>
                </w:tcPr>
                <w:p w14:paraId="05783D5F">
                  <w:pPr>
                    <w:jc w:val="center"/>
                    <w:rPr>
                      <w:rFonts w:ascii="Times New Roman" w:hAnsi="Times New Roman"/>
                      <w:color w:val="auto"/>
                      <w:szCs w:val="21"/>
                      <w:highlight w:val="none"/>
                    </w:rPr>
                  </w:pPr>
                  <w:r>
                    <w:rPr>
                      <w:rFonts w:hint="eastAsia" w:ascii="Times New Roman" w:hAnsi="Times New Roman"/>
                      <w:color w:val="auto"/>
                      <w:szCs w:val="21"/>
                      <w:highlight w:val="none"/>
                    </w:rPr>
                    <w:t>86</w:t>
                  </w:r>
                </w:p>
              </w:tc>
              <w:tc>
                <w:tcPr>
                  <w:tcW w:w="856" w:type="pct"/>
                  <w:vAlign w:val="center"/>
                </w:tcPr>
                <w:p w14:paraId="2E3EF911">
                  <w:pPr>
                    <w:jc w:val="center"/>
                    <w:rPr>
                      <w:rFonts w:ascii="Times New Roman" w:hAnsi="Times New Roman"/>
                      <w:color w:val="auto"/>
                      <w:szCs w:val="21"/>
                      <w:highlight w:val="none"/>
                    </w:rPr>
                  </w:pPr>
                  <w:r>
                    <w:rPr>
                      <w:rFonts w:hint="eastAsia" w:ascii="Times New Roman" w:hAnsi="Times New Roman"/>
                      <w:color w:val="auto"/>
                      <w:szCs w:val="21"/>
                      <w:highlight w:val="none"/>
                    </w:rPr>
                    <w:t>22.5</w:t>
                  </w:r>
                </w:p>
              </w:tc>
              <w:tc>
                <w:tcPr>
                  <w:tcW w:w="670" w:type="pct"/>
                  <w:vAlign w:val="center"/>
                </w:tcPr>
                <w:p w14:paraId="40DE99BC">
                  <w:pPr>
                    <w:jc w:val="center"/>
                    <w:rPr>
                      <w:rFonts w:ascii="Times New Roman" w:hAnsi="Times New Roman"/>
                      <w:color w:val="auto"/>
                      <w:szCs w:val="21"/>
                      <w:highlight w:val="none"/>
                    </w:rPr>
                  </w:pPr>
                  <w:r>
                    <w:rPr>
                      <w:rFonts w:hint="eastAsia" w:ascii="Times New Roman" w:hAnsi="Times New Roman"/>
                      <w:color w:val="auto"/>
                      <w:szCs w:val="21"/>
                      <w:highlight w:val="none"/>
                    </w:rPr>
                    <w:t>21.9</w:t>
                  </w:r>
                </w:p>
              </w:tc>
              <w:tc>
                <w:tcPr>
                  <w:tcW w:w="742" w:type="pct"/>
                  <w:vAlign w:val="center"/>
                </w:tcPr>
                <w:p w14:paraId="43687FA6">
                  <w:pPr>
                    <w:jc w:val="center"/>
                    <w:rPr>
                      <w:rFonts w:ascii="Times New Roman" w:hAnsi="Times New Roman"/>
                      <w:color w:val="auto"/>
                      <w:szCs w:val="21"/>
                      <w:highlight w:val="none"/>
                    </w:rPr>
                  </w:pPr>
                  <w:r>
                    <w:rPr>
                      <w:rFonts w:hint="eastAsia" w:ascii="Times New Roman" w:hAnsi="Times New Roman"/>
                      <w:color w:val="auto"/>
                      <w:szCs w:val="21"/>
                      <w:highlight w:val="none"/>
                    </w:rPr>
                    <w:t>56</w:t>
                  </w:r>
                </w:p>
              </w:tc>
            </w:tr>
          </w:tbl>
          <w:p w14:paraId="59054B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val="0"/>
                <w:bCs w:val="0"/>
                <w:color w:val="auto"/>
                <w:sz w:val="24"/>
                <w:highlight w:val="none"/>
                <w:lang w:eastAsia="zh-CN"/>
              </w:rPr>
            </w:pPr>
            <w:r>
              <w:rPr>
                <w:rFonts w:hint="eastAsia" w:ascii="Times New Roman" w:hAnsi="宋体"/>
                <w:bCs/>
                <w:color w:val="auto"/>
                <w:sz w:val="24"/>
                <w:szCs w:val="24"/>
                <w:highlight w:val="none"/>
                <w:lang w:val="en-US" w:eastAsia="zh-CN"/>
              </w:rPr>
              <w:t>由上表可知，</w:t>
            </w:r>
            <w:r>
              <w:rPr>
                <w:rFonts w:hint="eastAsia" w:ascii="Times New Roman" w:hAnsi="宋体"/>
                <w:bCs/>
                <w:color w:val="auto"/>
                <w:sz w:val="24"/>
                <w:szCs w:val="24"/>
                <w:highlight w:val="none"/>
              </w:rPr>
              <w:t>生活污水经化粪池预处理后出水中化学需氧量（COD</w:t>
            </w:r>
            <w:r>
              <w:rPr>
                <w:rFonts w:hint="eastAsia" w:ascii="Times New Roman" w:hAnsi="宋体"/>
                <w:bCs/>
                <w:color w:val="auto"/>
                <w:sz w:val="24"/>
                <w:szCs w:val="24"/>
                <w:highlight w:val="none"/>
                <w:vertAlign w:val="subscript"/>
              </w:rPr>
              <w:t>Cr</w:t>
            </w:r>
            <w:r>
              <w:rPr>
                <w:rFonts w:hint="eastAsia" w:ascii="Times New Roman" w:hAnsi="宋体"/>
                <w:bCs/>
                <w:color w:val="auto"/>
                <w:sz w:val="24"/>
                <w:szCs w:val="24"/>
                <w:highlight w:val="none"/>
              </w:rPr>
              <w:t>）</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SS浓度</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五日生化需氧量（BOD</w:t>
            </w:r>
            <w:r>
              <w:rPr>
                <w:rFonts w:hint="eastAsia" w:ascii="Times New Roman" w:hAnsi="宋体"/>
                <w:bCs/>
                <w:color w:val="auto"/>
                <w:sz w:val="24"/>
                <w:szCs w:val="24"/>
                <w:highlight w:val="none"/>
                <w:vertAlign w:val="subscript"/>
              </w:rPr>
              <w:t>5</w:t>
            </w:r>
            <w:r>
              <w:rPr>
                <w:rFonts w:hint="eastAsia" w:ascii="Times New Roman" w:hAnsi="宋体"/>
                <w:bCs/>
                <w:color w:val="auto"/>
                <w:sz w:val="24"/>
                <w:szCs w:val="24"/>
                <w:highlight w:val="none"/>
              </w:rPr>
              <w:t>）</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氨氮（NH</w:t>
            </w:r>
            <w:r>
              <w:rPr>
                <w:rFonts w:hint="eastAsia" w:ascii="Times New Roman" w:hAnsi="宋体"/>
                <w:bCs/>
                <w:color w:val="auto"/>
                <w:sz w:val="24"/>
                <w:szCs w:val="24"/>
                <w:highlight w:val="none"/>
                <w:vertAlign w:val="subscript"/>
              </w:rPr>
              <w:t>3</w:t>
            </w:r>
            <w:r>
              <w:rPr>
                <w:rFonts w:hint="eastAsia" w:ascii="Times New Roman" w:hAnsi="宋体"/>
                <w:bCs/>
                <w:color w:val="auto"/>
                <w:sz w:val="24"/>
                <w:szCs w:val="24"/>
                <w:highlight w:val="none"/>
              </w:rPr>
              <w:t>-N）浓度</w:t>
            </w:r>
            <w:r>
              <w:rPr>
                <w:rFonts w:hint="eastAsia" w:ascii="Times New Roman" w:hAnsi="宋体"/>
                <w:bCs/>
                <w:color w:val="auto"/>
                <w:sz w:val="24"/>
                <w:szCs w:val="24"/>
                <w:highlight w:val="none"/>
                <w:lang w:val="en-US" w:eastAsia="zh-CN"/>
              </w:rPr>
              <w:t>均</w:t>
            </w:r>
            <w:r>
              <w:rPr>
                <w:rFonts w:hint="eastAsia" w:ascii="Times New Roman" w:hAnsi="宋体"/>
                <w:bCs/>
                <w:color w:val="auto"/>
                <w:sz w:val="24"/>
                <w:szCs w:val="24"/>
                <w:highlight w:val="none"/>
              </w:rPr>
              <w:t>满足</w:t>
            </w:r>
            <w:r>
              <w:rPr>
                <w:rFonts w:hint="eastAsia" w:ascii="Times New Roman"/>
                <w:color w:val="auto"/>
                <w:sz w:val="24"/>
                <w:szCs w:val="24"/>
                <w:highlight w:val="none"/>
              </w:rPr>
              <w:t>淮南经济技术开发区污水处理厂接管限值</w:t>
            </w:r>
            <w:r>
              <w:rPr>
                <w:rFonts w:ascii="Times New Roman" w:hAnsi="宋体"/>
                <w:bCs/>
                <w:color w:val="auto"/>
                <w:sz w:val="24"/>
                <w:szCs w:val="24"/>
                <w:highlight w:val="none"/>
              </w:rPr>
              <w:t>（</w:t>
            </w:r>
            <w:r>
              <w:rPr>
                <w:rFonts w:hint="eastAsia" w:ascii="Times New Roman" w:hAnsi="宋体"/>
                <w:bCs/>
                <w:color w:val="auto"/>
                <w:sz w:val="24"/>
                <w:szCs w:val="24"/>
                <w:highlight w:val="none"/>
              </w:rPr>
              <w:t>COD</w:t>
            </w:r>
            <w:r>
              <w:rPr>
                <w:rFonts w:hint="eastAsia" w:ascii="Times New Roman" w:hAnsi="宋体"/>
                <w:bCs/>
                <w:color w:val="auto"/>
                <w:sz w:val="24"/>
                <w:szCs w:val="24"/>
                <w:highlight w:val="none"/>
                <w:vertAlign w:val="subscript"/>
              </w:rPr>
              <w:t>Cr</w:t>
            </w:r>
            <w:r>
              <w:rPr>
                <w:rFonts w:hint="eastAsia" w:ascii="Times New Roman" w:hAnsi="宋体"/>
                <w:bCs/>
                <w:color w:val="auto"/>
                <w:sz w:val="24"/>
                <w:szCs w:val="24"/>
                <w:highlight w:val="none"/>
              </w:rPr>
              <w:t>380mg/L</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SS200mg/L</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BOD</w:t>
            </w:r>
            <w:r>
              <w:rPr>
                <w:rFonts w:hint="eastAsia" w:ascii="Times New Roman" w:hAnsi="宋体"/>
                <w:bCs/>
                <w:color w:val="auto"/>
                <w:sz w:val="24"/>
                <w:szCs w:val="24"/>
                <w:highlight w:val="none"/>
                <w:vertAlign w:val="subscript"/>
              </w:rPr>
              <w:t>5</w:t>
            </w:r>
            <w:r>
              <w:rPr>
                <w:rFonts w:hint="eastAsia" w:ascii="Times New Roman" w:hAnsi="宋体"/>
                <w:bCs/>
                <w:color w:val="auto"/>
                <w:sz w:val="24"/>
                <w:szCs w:val="24"/>
                <w:highlight w:val="none"/>
              </w:rPr>
              <w:t>80mg/L</w:t>
            </w:r>
            <w:r>
              <w:rPr>
                <w:rFonts w:hint="eastAsia" w:ascii="Times New Roman" w:hAnsi="宋体"/>
                <w:bCs/>
                <w:color w:val="auto"/>
                <w:sz w:val="24"/>
                <w:szCs w:val="24"/>
                <w:highlight w:val="none"/>
                <w:lang w:eastAsia="zh-CN"/>
              </w:rPr>
              <w:t>、</w:t>
            </w:r>
            <w:r>
              <w:rPr>
                <w:rFonts w:hint="eastAsia" w:ascii="Times New Roman" w:hAnsi="宋体"/>
                <w:bCs/>
                <w:color w:val="auto"/>
                <w:sz w:val="24"/>
                <w:szCs w:val="24"/>
                <w:highlight w:val="none"/>
              </w:rPr>
              <w:t>NH</w:t>
            </w:r>
            <w:r>
              <w:rPr>
                <w:rFonts w:hint="eastAsia" w:ascii="Times New Roman" w:hAnsi="宋体"/>
                <w:bCs/>
                <w:color w:val="auto"/>
                <w:sz w:val="24"/>
                <w:szCs w:val="24"/>
                <w:highlight w:val="none"/>
                <w:vertAlign w:val="subscript"/>
              </w:rPr>
              <w:t>3</w:t>
            </w:r>
            <w:r>
              <w:rPr>
                <w:rFonts w:hint="eastAsia" w:ascii="Times New Roman" w:hAnsi="宋体"/>
                <w:bCs/>
                <w:color w:val="auto"/>
                <w:sz w:val="24"/>
                <w:szCs w:val="24"/>
                <w:highlight w:val="none"/>
              </w:rPr>
              <w:t>-N35mg/L</w:t>
            </w:r>
            <w:r>
              <w:rPr>
                <w:rFonts w:ascii="Times New Roman" w:hAnsi="宋体"/>
                <w:bCs/>
                <w:color w:val="auto"/>
                <w:sz w:val="24"/>
                <w:szCs w:val="24"/>
                <w:highlight w:val="none"/>
              </w:rPr>
              <w:t>）要求</w:t>
            </w:r>
            <w:r>
              <w:rPr>
                <w:rFonts w:hint="eastAsia" w:ascii="Times New Roman" w:hAnsi="宋体"/>
                <w:bCs/>
                <w:color w:val="auto"/>
                <w:sz w:val="24"/>
                <w:szCs w:val="24"/>
                <w:highlight w:val="none"/>
                <w:lang w:eastAsia="zh-CN"/>
              </w:rPr>
              <w:t>。</w:t>
            </w:r>
          </w:p>
          <w:p w14:paraId="7E78B0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b w:val="0"/>
                <w:bCs w:val="0"/>
                <w:color w:val="auto"/>
                <w:sz w:val="24"/>
                <w:highlight w:val="none"/>
                <w:lang w:val="en-US" w:eastAsia="zh-CN"/>
              </w:rPr>
            </w:pPr>
            <w:r>
              <w:rPr>
                <w:rFonts w:hint="eastAsia"/>
                <w:b w:val="0"/>
                <w:bCs w:val="0"/>
                <w:color w:val="auto"/>
                <w:sz w:val="24"/>
                <w:highlight w:val="none"/>
                <w:lang w:eastAsia="zh-CN"/>
              </w:rPr>
              <w:t>（</w:t>
            </w:r>
            <w:r>
              <w:rPr>
                <w:rFonts w:hint="eastAsia"/>
                <w:b w:val="0"/>
                <w:bCs w:val="0"/>
                <w:color w:val="auto"/>
                <w:sz w:val="24"/>
                <w:highlight w:val="none"/>
                <w:lang w:val="en-US" w:eastAsia="zh-CN"/>
              </w:rPr>
              <w:t>2</w:t>
            </w:r>
            <w:r>
              <w:rPr>
                <w:rFonts w:hint="eastAsia"/>
                <w:b w:val="0"/>
                <w:bCs w:val="0"/>
                <w:color w:val="auto"/>
                <w:sz w:val="24"/>
                <w:highlight w:val="none"/>
                <w:lang w:eastAsia="zh-CN"/>
              </w:rPr>
              <w:t>）</w:t>
            </w:r>
            <w:r>
              <w:rPr>
                <w:rFonts w:hint="eastAsia"/>
                <w:b w:val="0"/>
                <w:bCs w:val="0"/>
                <w:color w:val="auto"/>
                <w:sz w:val="24"/>
                <w:highlight w:val="none"/>
                <w:lang w:val="en-US" w:eastAsia="zh-CN"/>
              </w:rPr>
              <w:t>废气</w:t>
            </w:r>
          </w:p>
          <w:p w14:paraId="0CDEA8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b w:val="0"/>
                <w:bCs w:val="0"/>
                <w:color w:val="auto"/>
                <w:sz w:val="24"/>
                <w:highlight w:val="none"/>
                <w:lang w:val="en-US" w:eastAsia="zh-CN"/>
              </w:rPr>
            </w:pPr>
            <w:r>
              <w:rPr>
                <w:rFonts w:hint="eastAsia"/>
                <w:b w:val="0"/>
                <w:bCs w:val="0"/>
                <w:color w:val="auto"/>
                <w:sz w:val="24"/>
                <w:highlight w:val="none"/>
                <w:lang w:val="en-US" w:eastAsia="zh-CN"/>
              </w:rPr>
              <w:t>现有</w:t>
            </w:r>
            <w:r>
              <w:rPr>
                <w:rFonts w:hint="eastAsia"/>
                <w:b w:val="0"/>
                <w:bCs w:val="0"/>
                <w:color w:val="auto"/>
                <w:sz w:val="24"/>
                <w:highlight w:val="none"/>
              </w:rPr>
              <w:t>项目运营期不涉及废气产生及排放，乙烯卸车环节采用气相平衡管进行装卸；储罐、充装设备及管线采用设备密封。</w:t>
            </w:r>
          </w:p>
          <w:p w14:paraId="54E1FB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b w:val="0"/>
                <w:bCs/>
                <w:color w:val="auto"/>
                <w:sz w:val="24"/>
                <w:highlight w:val="none"/>
                <w:lang w:val="en-US" w:eastAsia="zh-CN"/>
              </w:rPr>
            </w:pPr>
            <w:r>
              <w:rPr>
                <w:rFonts w:hint="eastAsia"/>
                <w:b w:val="0"/>
                <w:bCs/>
                <w:color w:val="auto"/>
                <w:sz w:val="24"/>
                <w:highlight w:val="none"/>
                <w:lang w:eastAsia="zh-CN"/>
              </w:rPr>
              <w:t>（</w:t>
            </w:r>
            <w:r>
              <w:rPr>
                <w:rFonts w:hint="eastAsia"/>
                <w:b w:val="0"/>
                <w:bCs/>
                <w:color w:val="auto"/>
                <w:sz w:val="24"/>
                <w:highlight w:val="none"/>
                <w:lang w:val="en-US" w:eastAsia="zh-CN"/>
              </w:rPr>
              <w:t>3</w:t>
            </w:r>
            <w:r>
              <w:rPr>
                <w:rFonts w:hint="eastAsia"/>
                <w:b w:val="0"/>
                <w:bCs/>
                <w:color w:val="auto"/>
                <w:sz w:val="24"/>
                <w:highlight w:val="none"/>
                <w:lang w:eastAsia="zh-CN"/>
              </w:rPr>
              <w:t>）</w:t>
            </w:r>
            <w:r>
              <w:rPr>
                <w:rFonts w:hint="eastAsia"/>
                <w:b w:val="0"/>
                <w:bCs/>
                <w:color w:val="auto"/>
                <w:sz w:val="24"/>
                <w:highlight w:val="none"/>
                <w:lang w:val="en-US" w:eastAsia="zh-CN"/>
              </w:rPr>
              <w:t>噪声</w:t>
            </w:r>
          </w:p>
          <w:p w14:paraId="070678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val="0"/>
                <w:bCs/>
                <w:color w:val="auto"/>
                <w:sz w:val="24"/>
                <w:highlight w:val="none"/>
                <w:lang w:eastAsia="zh-CN"/>
              </w:rPr>
            </w:pPr>
            <w:r>
              <w:rPr>
                <w:rFonts w:hint="eastAsia" w:ascii="Times New Roman" w:hAnsi="宋体"/>
                <w:bCs/>
                <w:color w:val="auto"/>
                <w:sz w:val="24"/>
                <w:szCs w:val="24"/>
                <w:highlight w:val="none"/>
                <w:lang w:val="en-US" w:eastAsia="zh-CN"/>
              </w:rPr>
              <w:t>根据委托</w:t>
            </w:r>
            <w:r>
              <w:rPr>
                <w:rFonts w:hint="eastAsia" w:ascii="Times New Roman" w:hAnsi="宋体"/>
                <w:bCs/>
                <w:color w:val="auto"/>
                <w:sz w:val="24"/>
                <w:szCs w:val="24"/>
                <w:highlight w:val="none"/>
              </w:rPr>
              <w:t>安徽澳林检测技术有限公司于2024年9月23日~9月24日对项目进行噪声</w:t>
            </w:r>
            <w:r>
              <w:rPr>
                <w:rFonts w:hint="eastAsia" w:ascii="Times New Roman" w:hAnsi="宋体"/>
                <w:bCs/>
                <w:color w:val="auto"/>
                <w:sz w:val="24"/>
                <w:szCs w:val="24"/>
                <w:highlight w:val="none"/>
                <w:lang w:val="en-US" w:eastAsia="zh-CN"/>
              </w:rPr>
              <w:t>验收</w:t>
            </w:r>
            <w:r>
              <w:rPr>
                <w:rFonts w:hint="eastAsia"/>
                <w:b w:val="0"/>
                <w:bCs w:val="0"/>
                <w:color w:val="auto"/>
                <w:sz w:val="24"/>
                <w:highlight w:val="none"/>
                <w:lang w:val="en-US" w:eastAsia="zh-CN"/>
              </w:rPr>
              <w:t>结果，监测结果统计汇总如下：</w:t>
            </w:r>
          </w:p>
          <w:p w14:paraId="55ECE639">
            <w:pPr>
              <w:pStyle w:val="221"/>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黑体" w:cs="Times New Roman"/>
                <w:bCs/>
                <w:color w:val="auto"/>
                <w:szCs w:val="21"/>
                <w:highlight w:val="none"/>
                <w:lang w:val="en-US" w:eastAsia="zh-CN"/>
              </w:rPr>
            </w:pPr>
            <w:r>
              <w:rPr>
                <w:rFonts w:hint="default" w:hAnsi="黑体" w:eastAsia="黑体" w:cs="Times New Roman"/>
                <w:color w:val="auto"/>
                <w:highlight w:val="none"/>
              </w:rPr>
              <w:t>表</w:t>
            </w:r>
            <w:r>
              <w:rPr>
                <w:rFonts w:hint="eastAsia" w:eastAsia="黑体" w:cs="Times New Roman"/>
                <w:color w:val="auto"/>
                <w:highlight w:val="none"/>
                <w:lang w:val="en-US" w:eastAsia="zh-CN"/>
              </w:rPr>
              <w:t>2-16</w:t>
            </w:r>
            <w:r>
              <w:rPr>
                <w:rFonts w:hint="default" w:eastAsia="黑体" w:cs="Times New Roman"/>
                <w:color w:val="auto"/>
                <w:highlight w:val="none"/>
              </w:rPr>
              <w:t xml:space="preserve"> </w:t>
            </w:r>
            <w:r>
              <w:rPr>
                <w:rFonts w:hint="eastAsia" w:eastAsia="黑体" w:cs="Times New Roman"/>
                <w:color w:val="auto"/>
                <w:highlight w:val="none"/>
                <w:lang w:val="en-US" w:eastAsia="zh-CN"/>
              </w:rPr>
              <w:t>厂界噪声</w:t>
            </w:r>
            <w:r>
              <w:rPr>
                <w:rFonts w:hint="eastAsia" w:hAnsi="黑体" w:eastAsia="黑体" w:cs="Times New Roman"/>
                <w:color w:val="auto"/>
                <w:highlight w:val="none"/>
                <w:lang w:val="en-US" w:eastAsia="zh-CN"/>
              </w:rPr>
              <w:t>验收监测结果统计</w:t>
            </w:r>
          </w:p>
          <w:tbl>
            <w:tblPr>
              <w:tblStyle w:val="3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553"/>
              <w:gridCol w:w="2756"/>
              <w:gridCol w:w="2755"/>
            </w:tblGrid>
            <w:tr w14:paraId="391207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583" w:type="pct"/>
                  <w:vMerge w:val="restart"/>
                  <w:tcBorders>
                    <w:top w:val="single" w:color="000000" w:sz="12" w:space="0"/>
                    <w:left w:val="nil"/>
                    <w:bottom w:val="single" w:color="000000" w:sz="4" w:space="0"/>
                    <w:right w:val="single" w:color="000000" w:sz="4" w:space="0"/>
                  </w:tcBorders>
                  <w:vAlign w:val="center"/>
                </w:tcPr>
                <w:p w14:paraId="439EC3F2">
                  <w:pPr>
                    <w:spacing w:line="273" w:lineRule="auto"/>
                    <w:jc w:val="center"/>
                    <w:rPr>
                      <w:rFonts w:ascii="Times New Roman" w:hAnsi="Times New Roman"/>
                      <w:b/>
                      <w:bCs/>
                      <w:color w:val="auto"/>
                      <w:szCs w:val="21"/>
                      <w:highlight w:val="none"/>
                    </w:rPr>
                  </w:pPr>
                  <w:r>
                    <w:rPr>
                      <w:rFonts w:ascii="宋体" w:hAnsi="宋体"/>
                      <w:b/>
                      <w:bCs/>
                      <w:color w:val="auto"/>
                      <w:highlight w:val="none"/>
                    </w:rPr>
                    <w:t>监测点位</w:t>
                  </w:r>
                </w:p>
              </w:tc>
              <w:tc>
                <w:tcPr>
                  <w:tcW w:w="1709" w:type="pct"/>
                  <w:tcBorders>
                    <w:top w:val="single" w:color="000000" w:sz="12" w:space="0"/>
                    <w:left w:val="single" w:color="000000" w:sz="4" w:space="0"/>
                    <w:bottom w:val="single" w:color="000000" w:sz="4" w:space="0"/>
                    <w:right w:val="single" w:color="000000" w:sz="4" w:space="0"/>
                  </w:tcBorders>
                  <w:vAlign w:val="center"/>
                </w:tcPr>
                <w:p w14:paraId="2335EB0D">
                  <w:pPr>
                    <w:spacing w:line="273" w:lineRule="auto"/>
                    <w:jc w:val="center"/>
                    <w:rPr>
                      <w:rFonts w:ascii="Times New Roman" w:hAnsi="Times New Roman"/>
                      <w:b/>
                      <w:bCs/>
                      <w:color w:val="auto"/>
                      <w:szCs w:val="21"/>
                      <w:highlight w:val="none"/>
                    </w:rPr>
                  </w:pPr>
                  <w:r>
                    <w:rPr>
                      <w:rFonts w:ascii="Times New Roman" w:hAnsi="Times New Roman"/>
                      <w:b/>
                      <w:bCs/>
                      <w:color w:val="auto"/>
                      <w:highlight w:val="none"/>
                    </w:rPr>
                    <w:t>2024.</w:t>
                  </w:r>
                  <w:r>
                    <w:rPr>
                      <w:rFonts w:hint="eastAsia" w:ascii="Times New Roman" w:hAnsi="Times New Roman"/>
                      <w:b/>
                      <w:bCs/>
                      <w:color w:val="auto"/>
                      <w:highlight w:val="none"/>
                    </w:rPr>
                    <w:t>09</w:t>
                  </w:r>
                  <w:r>
                    <w:rPr>
                      <w:rFonts w:ascii="Times New Roman" w:hAnsi="Times New Roman"/>
                      <w:b/>
                      <w:bCs/>
                      <w:color w:val="auto"/>
                      <w:highlight w:val="none"/>
                    </w:rPr>
                    <w:t>.</w:t>
                  </w:r>
                  <w:r>
                    <w:rPr>
                      <w:rFonts w:hint="eastAsia" w:ascii="Times New Roman" w:hAnsi="Times New Roman"/>
                      <w:b/>
                      <w:bCs/>
                      <w:color w:val="auto"/>
                      <w:highlight w:val="none"/>
                    </w:rPr>
                    <w:t>23</w:t>
                  </w:r>
                </w:p>
              </w:tc>
              <w:tc>
                <w:tcPr>
                  <w:tcW w:w="1709" w:type="pct"/>
                  <w:tcBorders>
                    <w:top w:val="single" w:color="000000" w:sz="12" w:space="0"/>
                    <w:left w:val="single" w:color="000000" w:sz="4" w:space="0"/>
                    <w:bottom w:val="single" w:color="000000" w:sz="4" w:space="0"/>
                    <w:right w:val="nil"/>
                  </w:tcBorders>
                </w:tcPr>
                <w:p w14:paraId="12E77D4B">
                  <w:pPr>
                    <w:spacing w:line="273" w:lineRule="auto"/>
                    <w:jc w:val="center"/>
                    <w:rPr>
                      <w:rFonts w:ascii="Times New Roman" w:hAnsi="Times New Roman"/>
                      <w:b/>
                      <w:bCs/>
                      <w:color w:val="auto"/>
                      <w:szCs w:val="21"/>
                      <w:highlight w:val="none"/>
                    </w:rPr>
                  </w:pPr>
                  <w:r>
                    <w:rPr>
                      <w:rFonts w:ascii="Times New Roman" w:hAnsi="Times New Roman"/>
                      <w:b/>
                      <w:bCs/>
                      <w:color w:val="auto"/>
                      <w:highlight w:val="none"/>
                    </w:rPr>
                    <w:t>2024.0</w:t>
                  </w:r>
                  <w:r>
                    <w:rPr>
                      <w:rFonts w:hint="eastAsia" w:ascii="Times New Roman" w:hAnsi="Times New Roman"/>
                      <w:b/>
                      <w:bCs/>
                      <w:color w:val="auto"/>
                      <w:highlight w:val="none"/>
                    </w:rPr>
                    <w:t>9</w:t>
                  </w:r>
                  <w:r>
                    <w:rPr>
                      <w:rFonts w:ascii="Times New Roman" w:hAnsi="Times New Roman"/>
                      <w:b/>
                      <w:bCs/>
                      <w:color w:val="auto"/>
                      <w:highlight w:val="none"/>
                    </w:rPr>
                    <w:t>.</w:t>
                  </w:r>
                  <w:r>
                    <w:rPr>
                      <w:rFonts w:hint="eastAsia" w:ascii="Times New Roman" w:hAnsi="Times New Roman"/>
                      <w:b/>
                      <w:bCs/>
                      <w:color w:val="auto"/>
                      <w:highlight w:val="none"/>
                    </w:rPr>
                    <w:t>24</w:t>
                  </w:r>
                </w:p>
              </w:tc>
            </w:tr>
            <w:tr w14:paraId="316B24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3" w:hRule="atLeast"/>
                <w:jc w:val="center"/>
              </w:trPr>
              <w:tc>
                <w:tcPr>
                  <w:tcW w:w="2804" w:type="dxa"/>
                  <w:vMerge w:val="continue"/>
                  <w:tcBorders>
                    <w:top w:val="single" w:color="000000" w:sz="12" w:space="0"/>
                    <w:left w:val="nil"/>
                    <w:bottom w:val="single" w:color="000000" w:sz="4" w:space="0"/>
                    <w:right w:val="single" w:color="000000" w:sz="4" w:space="0"/>
                  </w:tcBorders>
                  <w:vAlign w:val="center"/>
                </w:tcPr>
                <w:p w14:paraId="1AA47CCF">
                  <w:pPr>
                    <w:widowControl/>
                    <w:jc w:val="left"/>
                    <w:rPr>
                      <w:rFonts w:ascii="Times New Roman" w:hAnsi="Times New Roman"/>
                      <w:b/>
                      <w:bCs/>
                      <w:color w:val="auto"/>
                      <w:szCs w:val="21"/>
                      <w:highlight w:val="none"/>
                    </w:rPr>
                  </w:pPr>
                </w:p>
              </w:tc>
              <w:tc>
                <w:tcPr>
                  <w:tcW w:w="1709" w:type="pct"/>
                  <w:tcBorders>
                    <w:top w:val="single" w:color="000000" w:sz="4" w:space="0"/>
                    <w:left w:val="single" w:color="000000" w:sz="4" w:space="0"/>
                    <w:bottom w:val="single" w:color="000000" w:sz="4" w:space="0"/>
                    <w:right w:val="single" w:color="000000" w:sz="4" w:space="0"/>
                  </w:tcBorders>
                  <w:vAlign w:val="center"/>
                </w:tcPr>
                <w:p w14:paraId="61B6F4E6">
                  <w:pPr>
                    <w:spacing w:line="273" w:lineRule="auto"/>
                    <w:jc w:val="center"/>
                    <w:rPr>
                      <w:rFonts w:ascii="Times New Roman" w:hAnsi="Times New Roman"/>
                      <w:b/>
                      <w:color w:val="auto"/>
                      <w:szCs w:val="21"/>
                      <w:highlight w:val="none"/>
                    </w:rPr>
                  </w:pPr>
                  <w:r>
                    <w:rPr>
                      <w:rFonts w:ascii="宋体" w:hAnsi="宋体"/>
                      <w:b/>
                      <w:color w:val="auto"/>
                      <w:highlight w:val="none"/>
                    </w:rPr>
                    <w:t>昼间（</w:t>
                  </w:r>
                  <w:r>
                    <w:rPr>
                      <w:rFonts w:ascii="Times New Roman" w:hAnsi="Times New Roman"/>
                      <w:b/>
                      <w:color w:val="auto"/>
                      <w:highlight w:val="none"/>
                    </w:rPr>
                    <w:t>1</w:t>
                  </w:r>
                  <w:r>
                    <w:rPr>
                      <w:rFonts w:hint="eastAsia" w:ascii="Times New Roman" w:hAnsi="Times New Roman"/>
                      <w:b/>
                      <w:color w:val="auto"/>
                      <w:highlight w:val="none"/>
                    </w:rPr>
                    <w:t>0</w:t>
                  </w:r>
                  <w:r>
                    <w:rPr>
                      <w:rFonts w:ascii="Times New Roman" w:hAnsi="Times New Roman"/>
                      <w:b/>
                      <w:color w:val="auto"/>
                      <w:highlight w:val="none"/>
                    </w:rPr>
                    <w:t>:00~1</w:t>
                  </w:r>
                  <w:r>
                    <w:rPr>
                      <w:rFonts w:hint="eastAsia" w:ascii="Times New Roman" w:hAnsi="Times New Roman"/>
                      <w:b/>
                      <w:color w:val="auto"/>
                      <w:highlight w:val="none"/>
                    </w:rPr>
                    <w:t>1</w:t>
                  </w:r>
                  <w:r>
                    <w:rPr>
                      <w:rFonts w:ascii="Times New Roman" w:hAnsi="Times New Roman"/>
                      <w:b/>
                      <w:color w:val="auto"/>
                      <w:highlight w:val="none"/>
                    </w:rPr>
                    <w:t>:00</w:t>
                  </w:r>
                  <w:r>
                    <w:rPr>
                      <w:rFonts w:ascii="宋体" w:hAnsi="宋体"/>
                      <w:b/>
                      <w:color w:val="auto"/>
                      <w:highlight w:val="none"/>
                    </w:rPr>
                    <w:t>）</w:t>
                  </w:r>
                </w:p>
              </w:tc>
              <w:tc>
                <w:tcPr>
                  <w:tcW w:w="1709" w:type="pct"/>
                  <w:tcBorders>
                    <w:top w:val="single" w:color="000000" w:sz="4" w:space="0"/>
                    <w:left w:val="single" w:color="000000" w:sz="4" w:space="0"/>
                    <w:bottom w:val="single" w:color="000000" w:sz="4" w:space="0"/>
                    <w:right w:val="nil"/>
                  </w:tcBorders>
                  <w:vAlign w:val="center"/>
                </w:tcPr>
                <w:p w14:paraId="2EDBBEC0">
                  <w:pPr>
                    <w:spacing w:line="273" w:lineRule="auto"/>
                    <w:jc w:val="center"/>
                    <w:rPr>
                      <w:rFonts w:ascii="Times New Roman" w:hAnsi="Times New Roman"/>
                      <w:b/>
                      <w:color w:val="auto"/>
                      <w:szCs w:val="21"/>
                      <w:highlight w:val="none"/>
                    </w:rPr>
                  </w:pPr>
                  <w:r>
                    <w:rPr>
                      <w:rFonts w:ascii="宋体" w:hAnsi="宋体"/>
                      <w:b/>
                      <w:color w:val="auto"/>
                      <w:highlight w:val="none"/>
                    </w:rPr>
                    <w:t>昼间（</w:t>
                  </w:r>
                  <w:r>
                    <w:rPr>
                      <w:rFonts w:hint="eastAsia" w:ascii="Times New Roman" w:hAnsi="Times New Roman"/>
                      <w:b/>
                      <w:color w:val="auto"/>
                      <w:highlight w:val="none"/>
                    </w:rPr>
                    <w:t>10</w:t>
                  </w:r>
                  <w:r>
                    <w:rPr>
                      <w:rFonts w:ascii="Times New Roman" w:hAnsi="Times New Roman"/>
                      <w:b/>
                      <w:color w:val="auto"/>
                      <w:highlight w:val="none"/>
                    </w:rPr>
                    <w:t>:00~</w:t>
                  </w:r>
                  <w:r>
                    <w:rPr>
                      <w:rFonts w:hint="eastAsia" w:ascii="Times New Roman" w:hAnsi="Times New Roman"/>
                      <w:b/>
                      <w:color w:val="auto"/>
                      <w:highlight w:val="none"/>
                    </w:rPr>
                    <w:t>11</w:t>
                  </w:r>
                  <w:r>
                    <w:rPr>
                      <w:rFonts w:ascii="Times New Roman" w:hAnsi="Times New Roman"/>
                      <w:b/>
                      <w:color w:val="auto"/>
                      <w:highlight w:val="none"/>
                    </w:rPr>
                    <w:t>:00</w:t>
                  </w:r>
                  <w:r>
                    <w:rPr>
                      <w:rFonts w:ascii="宋体" w:hAnsi="宋体"/>
                      <w:b/>
                      <w:color w:val="auto"/>
                      <w:highlight w:val="none"/>
                    </w:rPr>
                    <w:t>）</w:t>
                  </w:r>
                </w:p>
              </w:tc>
            </w:tr>
            <w:tr w14:paraId="1D10A5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1583" w:type="pct"/>
                  <w:tcBorders>
                    <w:top w:val="single" w:color="000000" w:sz="4" w:space="0"/>
                    <w:left w:val="nil"/>
                    <w:bottom w:val="single" w:color="000000" w:sz="4" w:space="0"/>
                    <w:right w:val="single" w:color="000000" w:sz="4" w:space="0"/>
                  </w:tcBorders>
                  <w:vAlign w:val="center"/>
                </w:tcPr>
                <w:p w14:paraId="35CBE6D1">
                  <w:pPr>
                    <w:adjustRightInd w:val="0"/>
                    <w:snapToGrid w:val="0"/>
                    <w:spacing w:line="273" w:lineRule="auto"/>
                    <w:jc w:val="center"/>
                    <w:rPr>
                      <w:rFonts w:ascii="Times New Roman" w:hAnsi="Times New Roman"/>
                      <w:color w:val="auto"/>
                      <w:sz w:val="22"/>
                      <w:highlight w:val="none"/>
                    </w:rPr>
                  </w:pPr>
                  <w:r>
                    <w:rPr>
                      <w:rFonts w:ascii="宋体" w:hAnsi="宋体"/>
                      <w:color w:val="auto"/>
                      <w:highlight w:val="none"/>
                    </w:rPr>
                    <w:t>东厂界</w:t>
                  </w:r>
                  <w:r>
                    <w:rPr>
                      <w:rFonts w:ascii="Times New Roman" w:hAnsi="Times New Roman"/>
                      <w:color w:val="auto"/>
                      <w:highlight w:val="none"/>
                    </w:rPr>
                    <w:t>N</w:t>
                  </w:r>
                  <w:r>
                    <w:rPr>
                      <w:rFonts w:ascii="Times New Roman" w:hAnsi="Times New Roman"/>
                      <w:color w:val="auto"/>
                      <w:highlight w:val="none"/>
                      <w:vertAlign w:val="subscript"/>
                    </w:rPr>
                    <w:t>1</w:t>
                  </w:r>
                </w:p>
              </w:tc>
              <w:tc>
                <w:tcPr>
                  <w:tcW w:w="1709" w:type="pct"/>
                  <w:tcBorders>
                    <w:top w:val="single" w:color="000000" w:sz="4" w:space="0"/>
                    <w:left w:val="single" w:color="000000" w:sz="4" w:space="0"/>
                    <w:bottom w:val="single" w:color="000000" w:sz="4" w:space="0"/>
                    <w:right w:val="single" w:color="000000" w:sz="4" w:space="0"/>
                  </w:tcBorders>
                  <w:vAlign w:val="center"/>
                </w:tcPr>
                <w:p w14:paraId="7AA935C0">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49</w:t>
                  </w:r>
                </w:p>
              </w:tc>
              <w:tc>
                <w:tcPr>
                  <w:tcW w:w="1709" w:type="pct"/>
                  <w:tcBorders>
                    <w:top w:val="single" w:color="000000" w:sz="4" w:space="0"/>
                    <w:left w:val="single" w:color="000000" w:sz="4" w:space="0"/>
                    <w:bottom w:val="single" w:color="000000" w:sz="4" w:space="0"/>
                    <w:right w:val="nil"/>
                  </w:tcBorders>
                  <w:vAlign w:val="center"/>
                </w:tcPr>
                <w:p w14:paraId="0A08B5B4">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58</w:t>
                  </w:r>
                </w:p>
              </w:tc>
            </w:tr>
            <w:tr w14:paraId="54A43F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583" w:type="pct"/>
                  <w:tcBorders>
                    <w:top w:val="single" w:color="000000" w:sz="4" w:space="0"/>
                    <w:left w:val="nil"/>
                    <w:bottom w:val="single" w:color="000000" w:sz="4" w:space="0"/>
                    <w:right w:val="single" w:color="000000" w:sz="4" w:space="0"/>
                  </w:tcBorders>
                  <w:vAlign w:val="center"/>
                </w:tcPr>
                <w:p w14:paraId="4F151FEE">
                  <w:pPr>
                    <w:adjustRightInd w:val="0"/>
                    <w:snapToGrid w:val="0"/>
                    <w:spacing w:line="273" w:lineRule="auto"/>
                    <w:jc w:val="center"/>
                    <w:rPr>
                      <w:rFonts w:ascii="Times New Roman" w:hAnsi="Times New Roman"/>
                      <w:color w:val="auto"/>
                      <w:sz w:val="22"/>
                      <w:highlight w:val="none"/>
                    </w:rPr>
                  </w:pPr>
                  <w:r>
                    <w:rPr>
                      <w:rFonts w:ascii="宋体" w:hAnsi="宋体"/>
                      <w:color w:val="auto"/>
                      <w:highlight w:val="none"/>
                    </w:rPr>
                    <w:t>南厂界</w:t>
                  </w:r>
                  <w:r>
                    <w:rPr>
                      <w:rFonts w:ascii="Times New Roman" w:hAnsi="Times New Roman"/>
                      <w:color w:val="auto"/>
                      <w:highlight w:val="none"/>
                    </w:rPr>
                    <w:t>N</w:t>
                  </w:r>
                  <w:r>
                    <w:rPr>
                      <w:rFonts w:ascii="Times New Roman" w:hAnsi="Times New Roman"/>
                      <w:color w:val="auto"/>
                      <w:highlight w:val="none"/>
                      <w:vertAlign w:val="subscript"/>
                    </w:rPr>
                    <w:t>2</w:t>
                  </w:r>
                </w:p>
              </w:tc>
              <w:tc>
                <w:tcPr>
                  <w:tcW w:w="1709" w:type="pct"/>
                  <w:tcBorders>
                    <w:top w:val="single" w:color="000000" w:sz="4" w:space="0"/>
                    <w:left w:val="single" w:color="000000" w:sz="4" w:space="0"/>
                    <w:bottom w:val="single" w:color="000000" w:sz="4" w:space="0"/>
                    <w:right w:val="single" w:color="000000" w:sz="4" w:space="0"/>
                  </w:tcBorders>
                  <w:vAlign w:val="center"/>
                </w:tcPr>
                <w:p w14:paraId="5D55FC50">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53</w:t>
                  </w:r>
                </w:p>
              </w:tc>
              <w:tc>
                <w:tcPr>
                  <w:tcW w:w="1709" w:type="pct"/>
                  <w:tcBorders>
                    <w:top w:val="single" w:color="000000" w:sz="4" w:space="0"/>
                    <w:left w:val="single" w:color="000000" w:sz="4" w:space="0"/>
                    <w:bottom w:val="single" w:color="000000" w:sz="4" w:space="0"/>
                    <w:right w:val="nil"/>
                  </w:tcBorders>
                  <w:vAlign w:val="center"/>
                </w:tcPr>
                <w:p w14:paraId="17173415">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50</w:t>
                  </w:r>
                </w:p>
              </w:tc>
            </w:tr>
            <w:tr w14:paraId="43B58C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583" w:type="pct"/>
                  <w:tcBorders>
                    <w:top w:val="single" w:color="000000" w:sz="4" w:space="0"/>
                    <w:left w:val="nil"/>
                    <w:bottom w:val="single" w:color="000000" w:sz="4" w:space="0"/>
                    <w:right w:val="single" w:color="000000" w:sz="4" w:space="0"/>
                  </w:tcBorders>
                  <w:vAlign w:val="center"/>
                </w:tcPr>
                <w:p w14:paraId="4D95C5A8">
                  <w:pPr>
                    <w:adjustRightInd w:val="0"/>
                    <w:snapToGrid w:val="0"/>
                    <w:spacing w:line="273" w:lineRule="auto"/>
                    <w:jc w:val="center"/>
                    <w:rPr>
                      <w:rFonts w:ascii="Times New Roman" w:hAnsi="Times New Roman"/>
                      <w:color w:val="auto"/>
                      <w:sz w:val="22"/>
                      <w:highlight w:val="none"/>
                    </w:rPr>
                  </w:pPr>
                  <w:r>
                    <w:rPr>
                      <w:rFonts w:ascii="宋体" w:hAnsi="宋体"/>
                      <w:color w:val="auto"/>
                      <w:highlight w:val="none"/>
                    </w:rPr>
                    <w:t>西厂界</w:t>
                  </w:r>
                  <w:r>
                    <w:rPr>
                      <w:rFonts w:ascii="Times New Roman" w:hAnsi="Times New Roman"/>
                      <w:color w:val="auto"/>
                      <w:highlight w:val="none"/>
                    </w:rPr>
                    <w:t>N</w:t>
                  </w:r>
                  <w:r>
                    <w:rPr>
                      <w:rFonts w:ascii="Times New Roman" w:hAnsi="Times New Roman"/>
                      <w:color w:val="auto"/>
                      <w:highlight w:val="none"/>
                      <w:vertAlign w:val="subscript"/>
                    </w:rPr>
                    <w:t>3</w:t>
                  </w:r>
                </w:p>
              </w:tc>
              <w:tc>
                <w:tcPr>
                  <w:tcW w:w="1709" w:type="pct"/>
                  <w:tcBorders>
                    <w:top w:val="single" w:color="000000" w:sz="4" w:space="0"/>
                    <w:left w:val="single" w:color="000000" w:sz="4" w:space="0"/>
                    <w:bottom w:val="single" w:color="000000" w:sz="4" w:space="0"/>
                    <w:right w:val="single" w:color="000000" w:sz="4" w:space="0"/>
                  </w:tcBorders>
                  <w:vAlign w:val="center"/>
                </w:tcPr>
                <w:p w14:paraId="36A3D7CA">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59</w:t>
                  </w:r>
                </w:p>
              </w:tc>
              <w:tc>
                <w:tcPr>
                  <w:tcW w:w="1709" w:type="pct"/>
                  <w:tcBorders>
                    <w:top w:val="single" w:color="000000" w:sz="4" w:space="0"/>
                    <w:left w:val="single" w:color="000000" w:sz="4" w:space="0"/>
                    <w:bottom w:val="single" w:color="000000" w:sz="4" w:space="0"/>
                    <w:right w:val="nil"/>
                  </w:tcBorders>
                  <w:vAlign w:val="center"/>
                </w:tcPr>
                <w:p w14:paraId="553ABC42">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59</w:t>
                  </w:r>
                </w:p>
              </w:tc>
            </w:tr>
            <w:tr w14:paraId="677914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1583" w:type="pct"/>
                  <w:tcBorders>
                    <w:top w:val="single" w:color="000000" w:sz="4" w:space="0"/>
                    <w:left w:val="nil"/>
                    <w:bottom w:val="single" w:color="000000" w:sz="12" w:space="0"/>
                    <w:right w:val="single" w:color="000000" w:sz="4" w:space="0"/>
                  </w:tcBorders>
                  <w:vAlign w:val="center"/>
                </w:tcPr>
                <w:p w14:paraId="0BF4765E">
                  <w:pPr>
                    <w:adjustRightInd w:val="0"/>
                    <w:snapToGrid w:val="0"/>
                    <w:spacing w:line="273" w:lineRule="auto"/>
                    <w:jc w:val="center"/>
                    <w:rPr>
                      <w:rFonts w:ascii="Times New Roman" w:hAnsi="Times New Roman"/>
                      <w:color w:val="auto"/>
                      <w:sz w:val="22"/>
                      <w:highlight w:val="none"/>
                    </w:rPr>
                  </w:pPr>
                  <w:r>
                    <w:rPr>
                      <w:rFonts w:ascii="宋体" w:hAnsi="宋体"/>
                      <w:color w:val="auto"/>
                      <w:highlight w:val="none"/>
                    </w:rPr>
                    <w:t>北厂界</w:t>
                  </w:r>
                  <w:r>
                    <w:rPr>
                      <w:rFonts w:ascii="Times New Roman" w:hAnsi="Times New Roman"/>
                      <w:color w:val="auto"/>
                      <w:highlight w:val="none"/>
                    </w:rPr>
                    <w:t>N</w:t>
                  </w:r>
                  <w:r>
                    <w:rPr>
                      <w:rFonts w:ascii="Times New Roman" w:hAnsi="Times New Roman"/>
                      <w:color w:val="auto"/>
                      <w:highlight w:val="none"/>
                      <w:vertAlign w:val="subscript"/>
                    </w:rPr>
                    <w:t>4</w:t>
                  </w:r>
                </w:p>
              </w:tc>
              <w:tc>
                <w:tcPr>
                  <w:tcW w:w="1709" w:type="pct"/>
                  <w:tcBorders>
                    <w:top w:val="single" w:color="000000" w:sz="4" w:space="0"/>
                    <w:left w:val="single" w:color="000000" w:sz="4" w:space="0"/>
                    <w:bottom w:val="single" w:color="000000" w:sz="12" w:space="0"/>
                    <w:right w:val="single" w:color="000000" w:sz="4" w:space="0"/>
                  </w:tcBorders>
                  <w:vAlign w:val="center"/>
                </w:tcPr>
                <w:p w14:paraId="26355DA5">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57</w:t>
                  </w:r>
                </w:p>
              </w:tc>
              <w:tc>
                <w:tcPr>
                  <w:tcW w:w="1709" w:type="pct"/>
                  <w:tcBorders>
                    <w:top w:val="single" w:color="000000" w:sz="4" w:space="0"/>
                    <w:left w:val="single" w:color="000000" w:sz="4" w:space="0"/>
                    <w:bottom w:val="single" w:color="000000" w:sz="12" w:space="0"/>
                    <w:right w:val="nil"/>
                  </w:tcBorders>
                  <w:vAlign w:val="center"/>
                </w:tcPr>
                <w:p w14:paraId="368E8CF5">
                  <w:pPr>
                    <w:spacing w:line="273" w:lineRule="auto"/>
                    <w:jc w:val="center"/>
                    <w:rPr>
                      <w:rFonts w:ascii="Times New Roman" w:hAnsi="Times New Roman"/>
                      <w:color w:val="auto"/>
                      <w:szCs w:val="21"/>
                      <w:highlight w:val="none"/>
                    </w:rPr>
                  </w:pPr>
                  <w:r>
                    <w:rPr>
                      <w:rFonts w:hint="eastAsia" w:ascii="Times New Roman" w:hAnsi="Times New Roman"/>
                      <w:color w:val="auto"/>
                      <w:szCs w:val="21"/>
                      <w:highlight w:val="none"/>
                    </w:rPr>
                    <w:t>52</w:t>
                  </w:r>
                </w:p>
              </w:tc>
            </w:tr>
          </w:tbl>
          <w:p w14:paraId="7D295C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color w:val="auto"/>
                <w:sz w:val="24"/>
                <w:highlight w:val="none"/>
                <w:lang w:val="en-US" w:eastAsia="zh-CN"/>
              </w:rPr>
            </w:pPr>
            <w:r>
              <w:rPr>
                <w:rFonts w:hint="eastAsia"/>
                <w:b w:val="0"/>
                <w:bCs/>
                <w:color w:val="auto"/>
                <w:sz w:val="24"/>
                <w:highlight w:val="none"/>
                <w:lang w:val="en-US" w:eastAsia="zh-CN"/>
              </w:rPr>
              <w:t>由上表可知，</w:t>
            </w:r>
            <w:r>
              <w:rPr>
                <w:rFonts w:hint="eastAsia" w:ascii="Times New Roman" w:hAnsi="宋体"/>
                <w:b w:val="0"/>
                <w:bCs/>
                <w:color w:val="auto"/>
                <w:sz w:val="24"/>
                <w:szCs w:val="24"/>
                <w:highlight w:val="none"/>
              </w:rPr>
              <w:t>项目四周各厂界昼间噪声监测值均满足</w:t>
            </w:r>
            <w:r>
              <w:rPr>
                <w:rFonts w:ascii="Times New Roman" w:hAnsi="宋体"/>
                <w:b w:val="0"/>
                <w:bCs/>
                <w:color w:val="auto"/>
                <w:sz w:val="24"/>
                <w:szCs w:val="24"/>
                <w:highlight w:val="none"/>
              </w:rPr>
              <w:t>《</w:t>
            </w:r>
            <w:r>
              <w:rPr>
                <w:b w:val="0"/>
                <w:bCs/>
                <w:color w:val="auto"/>
                <w:sz w:val="24"/>
                <w:highlight w:val="none"/>
              </w:rPr>
              <w:t>工业企业厂界环境噪声排放标准</w:t>
            </w:r>
            <w:r>
              <w:rPr>
                <w:rFonts w:ascii="Times New Roman" w:hAnsi="宋体"/>
                <w:b w:val="0"/>
                <w:bCs/>
                <w:color w:val="auto"/>
                <w:sz w:val="24"/>
                <w:szCs w:val="24"/>
                <w:highlight w:val="none"/>
              </w:rPr>
              <w:t>》</w:t>
            </w:r>
            <w:r>
              <w:rPr>
                <w:rFonts w:ascii="Times New Roman" w:hAnsi="宋体"/>
                <w:bCs/>
                <w:color w:val="auto"/>
                <w:sz w:val="24"/>
                <w:szCs w:val="24"/>
                <w:highlight w:val="none"/>
              </w:rPr>
              <w:t>（GB12348-2008）中的</w:t>
            </w:r>
            <w:r>
              <w:rPr>
                <w:rFonts w:hint="eastAsia" w:ascii="Times New Roman" w:hAnsi="宋体"/>
                <w:bCs/>
                <w:color w:val="auto"/>
                <w:sz w:val="24"/>
                <w:szCs w:val="24"/>
                <w:highlight w:val="none"/>
              </w:rPr>
              <w:t>3类</w:t>
            </w:r>
            <w:r>
              <w:rPr>
                <w:rFonts w:ascii="Times New Roman" w:hAnsi="宋体"/>
                <w:bCs/>
                <w:color w:val="auto"/>
                <w:sz w:val="24"/>
                <w:szCs w:val="24"/>
                <w:highlight w:val="none"/>
              </w:rPr>
              <w:t>噪声排放限值（昼间：</w:t>
            </w:r>
            <w:r>
              <w:rPr>
                <w:rFonts w:hint="eastAsia" w:ascii="Times New Roman" w:hAnsi="宋体"/>
                <w:bCs/>
                <w:color w:val="auto"/>
                <w:sz w:val="24"/>
                <w:szCs w:val="24"/>
                <w:highlight w:val="none"/>
              </w:rPr>
              <w:t>65dB（A）</w:t>
            </w:r>
            <w:r>
              <w:rPr>
                <w:rFonts w:ascii="Times New Roman" w:hAnsi="宋体"/>
                <w:bCs/>
                <w:color w:val="auto"/>
                <w:sz w:val="24"/>
                <w:szCs w:val="24"/>
                <w:highlight w:val="none"/>
              </w:rPr>
              <w:t>）</w:t>
            </w:r>
            <w:r>
              <w:rPr>
                <w:rFonts w:hint="eastAsia" w:ascii="Times New Roman" w:hAnsi="宋体"/>
                <w:bCs/>
                <w:color w:val="auto"/>
                <w:sz w:val="24"/>
                <w:szCs w:val="24"/>
                <w:highlight w:val="none"/>
              </w:rPr>
              <w:t>要求</w:t>
            </w:r>
            <w:r>
              <w:rPr>
                <w:rFonts w:hint="eastAsia" w:ascii="Times New Roman" w:hAnsi="宋体"/>
                <w:bCs/>
                <w:color w:val="auto"/>
                <w:sz w:val="24"/>
                <w:szCs w:val="24"/>
                <w:highlight w:val="none"/>
                <w:lang w:eastAsia="zh-CN"/>
              </w:rPr>
              <w:t>。</w:t>
            </w:r>
          </w:p>
          <w:p w14:paraId="0F0DA9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b w:val="0"/>
                <w:bCs/>
                <w:color w:val="auto"/>
                <w:sz w:val="24"/>
                <w:highlight w:val="none"/>
                <w:lang w:val="en-US" w:eastAsia="zh-CN"/>
              </w:rPr>
            </w:pPr>
            <w:r>
              <w:rPr>
                <w:rFonts w:hint="eastAsia"/>
                <w:b w:val="0"/>
                <w:bCs/>
                <w:color w:val="auto"/>
                <w:sz w:val="24"/>
                <w:highlight w:val="none"/>
                <w:lang w:eastAsia="zh-CN"/>
              </w:rPr>
              <w:t>（</w:t>
            </w:r>
            <w:r>
              <w:rPr>
                <w:rFonts w:hint="eastAsia"/>
                <w:b w:val="0"/>
                <w:bCs/>
                <w:color w:val="auto"/>
                <w:sz w:val="24"/>
                <w:highlight w:val="none"/>
                <w:lang w:val="en-US" w:eastAsia="zh-CN"/>
              </w:rPr>
              <w:t>4</w:t>
            </w:r>
            <w:r>
              <w:rPr>
                <w:rFonts w:hint="eastAsia"/>
                <w:b w:val="0"/>
                <w:bCs/>
                <w:color w:val="auto"/>
                <w:sz w:val="24"/>
                <w:highlight w:val="none"/>
                <w:lang w:eastAsia="zh-CN"/>
              </w:rPr>
              <w:t>）</w:t>
            </w:r>
            <w:r>
              <w:rPr>
                <w:rFonts w:hint="eastAsia"/>
                <w:b w:val="0"/>
                <w:bCs/>
                <w:color w:val="auto"/>
                <w:sz w:val="24"/>
                <w:highlight w:val="none"/>
                <w:lang w:val="en-US" w:eastAsia="zh-CN"/>
              </w:rPr>
              <w:t>固废</w:t>
            </w:r>
          </w:p>
          <w:p w14:paraId="60299D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b w:val="0"/>
                <w:bCs/>
                <w:color w:val="auto"/>
                <w:sz w:val="24"/>
                <w:highlight w:val="none"/>
              </w:rPr>
            </w:pPr>
            <w:r>
              <w:rPr>
                <w:rFonts w:hint="eastAsia"/>
                <w:b w:val="0"/>
                <w:bCs/>
                <w:color w:val="auto"/>
                <w:sz w:val="24"/>
                <w:highlight w:val="none"/>
                <w:lang w:val="en-US" w:eastAsia="zh-CN"/>
              </w:rPr>
              <w:t>现有工程固体废物主要为生活垃圾。</w:t>
            </w:r>
          </w:p>
          <w:p w14:paraId="28C26AE8">
            <w:pPr>
              <w:pStyle w:val="11"/>
              <w:keepNext w:val="0"/>
              <w:keepLines w:val="0"/>
              <w:suppressLineNumbers w:val="0"/>
              <w:spacing w:before="0" w:beforeAutospacing="0" w:after="0" w:afterAutospacing="0" w:line="360" w:lineRule="auto"/>
              <w:ind w:left="0" w:leftChars="0" w:right="0" w:firstLine="482" w:firstLineChars="200"/>
              <w:rPr>
                <w:rFonts w:hint="default"/>
                <w:b/>
                <w:color w:val="auto"/>
                <w:kern w:val="0"/>
                <w:sz w:val="24"/>
                <w:highlight w:val="none"/>
              </w:rPr>
            </w:pPr>
            <w:r>
              <w:rPr>
                <w:rFonts w:hint="eastAsia"/>
                <w:b/>
                <w:color w:val="auto"/>
                <w:kern w:val="0"/>
                <w:sz w:val="24"/>
                <w:highlight w:val="none"/>
              </w:rPr>
              <w:t>3</w:t>
            </w:r>
            <w:r>
              <w:rPr>
                <w:rFonts w:hint="eastAsia"/>
                <w:b/>
                <w:color w:val="auto"/>
                <w:kern w:val="0"/>
                <w:sz w:val="24"/>
                <w:highlight w:val="none"/>
                <w:lang w:val="en-US" w:eastAsia="zh-CN"/>
              </w:rPr>
              <w:t>.</w:t>
            </w:r>
            <w:r>
              <w:rPr>
                <w:rFonts w:hint="eastAsia"/>
                <w:b/>
                <w:color w:val="auto"/>
                <w:kern w:val="0"/>
                <w:sz w:val="24"/>
                <w:highlight w:val="none"/>
              </w:rPr>
              <w:t>现有工程污染物实际排放总量</w:t>
            </w:r>
          </w:p>
          <w:p w14:paraId="249C37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val="0"/>
                <w:bCs/>
                <w:color w:val="auto"/>
                <w:sz w:val="24"/>
                <w:highlight w:val="none"/>
                <w:lang w:val="en-US" w:eastAsia="zh-CN"/>
              </w:rPr>
            </w:pPr>
            <w:r>
              <w:rPr>
                <w:rFonts w:hint="eastAsia"/>
                <w:b w:val="0"/>
                <w:bCs/>
                <w:color w:val="auto"/>
                <w:sz w:val="24"/>
                <w:highlight w:val="none"/>
                <w:lang w:val="en-US" w:eastAsia="zh-CN"/>
              </w:rPr>
              <w:t>根据建设单位提供的《</w:t>
            </w:r>
            <w:r>
              <w:rPr>
                <w:rFonts w:hint="eastAsia"/>
                <w:color w:val="auto"/>
                <w:sz w:val="24"/>
                <w:szCs w:val="24"/>
                <w:highlight w:val="none"/>
                <w:lang w:val="en-US" w:eastAsia="zh-CN"/>
              </w:rPr>
              <w:t>年产40万瓶乙烯存储充装科技项目竣工环境保护验收报告</w:t>
            </w:r>
            <w:r>
              <w:rPr>
                <w:rFonts w:hint="eastAsia"/>
                <w:b w:val="0"/>
                <w:bCs/>
                <w:color w:val="auto"/>
                <w:sz w:val="24"/>
                <w:highlight w:val="none"/>
                <w:lang w:val="en-US" w:eastAsia="zh-CN"/>
              </w:rPr>
              <w:t>》，现有项目不涉及废气排放，废水主要为生活污水，固体废物主要为生活垃圾。现有工程主要污染物排放情况汇总如下：</w:t>
            </w:r>
          </w:p>
          <w:p w14:paraId="4C7CA348">
            <w:pPr>
              <w:pStyle w:val="11"/>
              <w:keepNext w:val="0"/>
              <w:keepLines w:val="0"/>
              <w:suppressLineNumbers w:val="0"/>
              <w:spacing w:before="0" w:beforeAutospacing="0" w:after="0" w:afterAutospacing="0" w:line="360" w:lineRule="auto"/>
              <w:ind w:left="0" w:leftChars="0" w:right="0" w:firstLine="480" w:firstLineChars="200"/>
              <w:jc w:val="center"/>
              <w:rPr>
                <w:rFonts w:hint="default"/>
                <w:color w:val="auto"/>
                <w:kern w:val="0"/>
                <w:sz w:val="24"/>
                <w:highlight w:val="none"/>
              </w:rPr>
            </w:pPr>
            <w:r>
              <w:rPr>
                <w:rFonts w:hint="eastAsia" w:hAnsi="黑体" w:eastAsia="黑体"/>
                <w:color w:val="auto"/>
                <w:sz w:val="24"/>
                <w:highlight w:val="none"/>
              </w:rPr>
              <w:t>表</w:t>
            </w:r>
            <w:r>
              <w:rPr>
                <w:rFonts w:hint="eastAsia" w:hAnsi="黑体" w:eastAsia="黑体"/>
                <w:color w:val="auto"/>
                <w:sz w:val="24"/>
                <w:highlight w:val="none"/>
                <w:lang w:val="en-US" w:eastAsia="zh-CN"/>
              </w:rPr>
              <w:t xml:space="preserve">2-17 </w:t>
            </w:r>
            <w:r>
              <w:rPr>
                <w:rFonts w:hint="default" w:hAnsi="黑体" w:eastAsia="黑体"/>
                <w:color w:val="auto"/>
                <w:sz w:val="24"/>
                <w:highlight w:val="none"/>
              </w:rPr>
              <w:t>现有项目</w:t>
            </w:r>
            <w:r>
              <w:rPr>
                <w:rFonts w:hint="eastAsia" w:hAnsi="黑体" w:eastAsia="黑体"/>
                <w:color w:val="auto"/>
                <w:sz w:val="24"/>
                <w:highlight w:val="none"/>
                <w:lang w:val="en-US" w:eastAsia="zh-CN"/>
              </w:rPr>
              <w:t>主要</w:t>
            </w:r>
            <w:r>
              <w:rPr>
                <w:rFonts w:hint="eastAsia" w:hAnsi="黑体" w:eastAsia="黑体"/>
                <w:color w:val="auto"/>
                <w:sz w:val="24"/>
                <w:highlight w:val="none"/>
              </w:rPr>
              <w:t>污染物</w:t>
            </w:r>
            <w:r>
              <w:rPr>
                <w:rFonts w:hint="default" w:hAnsi="黑体" w:eastAsia="黑体"/>
                <w:color w:val="auto"/>
                <w:sz w:val="24"/>
                <w:highlight w:val="none"/>
              </w:rPr>
              <w:t>排放情况</w:t>
            </w:r>
            <w:r>
              <w:rPr>
                <w:rFonts w:hint="eastAsia" w:hAnsi="黑体" w:eastAsia="黑体"/>
                <w:color w:val="auto"/>
                <w:sz w:val="24"/>
                <w:highlight w:val="none"/>
              </w:rPr>
              <w:t>一览表</w:t>
            </w:r>
          </w:p>
          <w:tbl>
            <w:tblPr>
              <w:tblStyle w:val="37"/>
              <w:tblW w:w="7980"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93"/>
              <w:gridCol w:w="1350"/>
              <w:gridCol w:w="2034"/>
              <w:gridCol w:w="1816"/>
              <w:gridCol w:w="1987"/>
            </w:tblGrid>
            <w:tr w14:paraId="50D637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793" w:type="dxa"/>
                  <w:vAlign w:val="center"/>
                </w:tcPr>
                <w:p w14:paraId="5F32384C">
                  <w:pPr>
                    <w:pStyle w:val="11"/>
                    <w:keepNext w:val="0"/>
                    <w:keepLines w:val="0"/>
                    <w:suppressLineNumbers w:val="0"/>
                    <w:spacing w:before="0" w:beforeAutospacing="0" w:after="0" w:afterAutospacing="0" w:line="276" w:lineRule="auto"/>
                    <w:ind w:left="0" w:leftChars="0" w:right="0"/>
                    <w:jc w:val="center"/>
                    <w:rPr>
                      <w:rFonts w:hint="default"/>
                      <w:b/>
                      <w:color w:val="auto"/>
                      <w:kern w:val="0"/>
                      <w:szCs w:val="21"/>
                      <w:highlight w:val="none"/>
                    </w:rPr>
                  </w:pPr>
                  <w:r>
                    <w:rPr>
                      <w:rFonts w:hint="eastAsia"/>
                      <w:b/>
                      <w:color w:val="auto"/>
                      <w:kern w:val="0"/>
                      <w:szCs w:val="21"/>
                      <w:highlight w:val="none"/>
                    </w:rPr>
                    <w:t>类别</w:t>
                  </w:r>
                </w:p>
              </w:tc>
              <w:tc>
                <w:tcPr>
                  <w:tcW w:w="1350" w:type="dxa"/>
                  <w:vAlign w:val="center"/>
                </w:tcPr>
                <w:p w14:paraId="6D53BDDA">
                  <w:pPr>
                    <w:pStyle w:val="11"/>
                    <w:keepNext w:val="0"/>
                    <w:keepLines w:val="0"/>
                    <w:suppressLineNumbers w:val="0"/>
                    <w:spacing w:before="0" w:beforeAutospacing="0" w:after="0" w:afterAutospacing="0" w:line="276" w:lineRule="auto"/>
                    <w:ind w:left="0" w:leftChars="0" w:right="0"/>
                    <w:jc w:val="center"/>
                    <w:rPr>
                      <w:rFonts w:hint="default"/>
                      <w:b/>
                      <w:color w:val="auto"/>
                      <w:kern w:val="0"/>
                      <w:szCs w:val="21"/>
                      <w:highlight w:val="none"/>
                    </w:rPr>
                  </w:pPr>
                  <w:r>
                    <w:rPr>
                      <w:rFonts w:hint="eastAsia"/>
                      <w:b/>
                      <w:color w:val="auto"/>
                      <w:kern w:val="0"/>
                      <w:szCs w:val="21"/>
                      <w:highlight w:val="none"/>
                    </w:rPr>
                    <w:t>污染物名称</w:t>
                  </w:r>
                </w:p>
              </w:tc>
              <w:tc>
                <w:tcPr>
                  <w:tcW w:w="2034" w:type="dxa"/>
                  <w:vAlign w:val="center"/>
                </w:tcPr>
                <w:p w14:paraId="7C30B48B">
                  <w:pPr>
                    <w:pStyle w:val="11"/>
                    <w:keepNext w:val="0"/>
                    <w:keepLines w:val="0"/>
                    <w:suppressLineNumbers w:val="0"/>
                    <w:spacing w:before="0" w:beforeAutospacing="0" w:after="0" w:afterAutospacing="0" w:line="276" w:lineRule="auto"/>
                    <w:ind w:left="0" w:leftChars="0" w:right="0"/>
                    <w:jc w:val="center"/>
                    <w:rPr>
                      <w:rFonts w:hint="eastAsia"/>
                      <w:b/>
                      <w:color w:val="auto"/>
                      <w:kern w:val="0"/>
                      <w:szCs w:val="21"/>
                      <w:highlight w:val="none"/>
                    </w:rPr>
                  </w:pPr>
                  <w:r>
                    <w:rPr>
                      <w:rFonts w:hint="eastAsia"/>
                      <w:b/>
                      <w:color w:val="auto"/>
                      <w:kern w:val="0"/>
                      <w:szCs w:val="21"/>
                      <w:highlight w:val="none"/>
                    </w:rPr>
                    <w:t>排放量</w:t>
                  </w:r>
                </w:p>
                <w:p w14:paraId="18BD59B2">
                  <w:pPr>
                    <w:pStyle w:val="11"/>
                    <w:keepNext w:val="0"/>
                    <w:keepLines w:val="0"/>
                    <w:suppressLineNumbers w:val="0"/>
                    <w:spacing w:before="0" w:beforeAutospacing="0" w:after="0" w:afterAutospacing="0" w:line="276" w:lineRule="auto"/>
                    <w:ind w:left="0" w:leftChars="0" w:right="0"/>
                    <w:jc w:val="center"/>
                    <w:rPr>
                      <w:rFonts w:hint="eastAsia"/>
                      <w:b/>
                      <w:color w:val="auto"/>
                      <w:kern w:val="0"/>
                      <w:szCs w:val="21"/>
                      <w:highlight w:val="none"/>
                    </w:rPr>
                  </w:pPr>
                  <w:r>
                    <w:rPr>
                      <w:rFonts w:hint="eastAsia"/>
                      <w:b/>
                      <w:color w:val="auto"/>
                      <w:kern w:val="0"/>
                      <w:szCs w:val="21"/>
                      <w:highlight w:val="none"/>
                    </w:rPr>
                    <w:t>（固废产生量）</w:t>
                  </w:r>
                </w:p>
                <w:p w14:paraId="1478F9E7">
                  <w:pPr>
                    <w:pStyle w:val="11"/>
                    <w:keepNext w:val="0"/>
                    <w:keepLines w:val="0"/>
                    <w:suppressLineNumbers w:val="0"/>
                    <w:spacing w:before="0" w:beforeAutospacing="0" w:after="0" w:afterAutospacing="0" w:line="276" w:lineRule="auto"/>
                    <w:ind w:left="0" w:leftChars="0" w:right="0"/>
                    <w:jc w:val="center"/>
                    <w:rPr>
                      <w:rFonts w:hint="default"/>
                      <w:b/>
                      <w:color w:val="auto"/>
                      <w:kern w:val="0"/>
                      <w:szCs w:val="21"/>
                      <w:highlight w:val="none"/>
                    </w:rPr>
                  </w:pPr>
                  <w:r>
                    <w:rPr>
                      <w:rFonts w:hint="eastAsia"/>
                      <w:b/>
                      <w:color w:val="auto"/>
                      <w:kern w:val="0"/>
                      <w:szCs w:val="21"/>
                      <w:highlight w:val="none"/>
                    </w:rPr>
                    <w:t>t/a</w:t>
                  </w:r>
                </w:p>
              </w:tc>
              <w:tc>
                <w:tcPr>
                  <w:tcW w:w="1816" w:type="dxa"/>
                  <w:vAlign w:val="center"/>
                </w:tcPr>
                <w:p w14:paraId="60F79ED5">
                  <w:pPr>
                    <w:pStyle w:val="11"/>
                    <w:keepNext w:val="0"/>
                    <w:keepLines w:val="0"/>
                    <w:suppressLineNumbers w:val="0"/>
                    <w:spacing w:before="0" w:beforeAutospacing="0" w:after="0" w:afterAutospacing="0" w:line="276" w:lineRule="auto"/>
                    <w:ind w:left="0" w:leftChars="0" w:right="0"/>
                    <w:jc w:val="center"/>
                    <w:rPr>
                      <w:rFonts w:hint="eastAsia"/>
                      <w:b/>
                      <w:color w:val="auto"/>
                      <w:kern w:val="0"/>
                      <w:szCs w:val="21"/>
                      <w:highlight w:val="none"/>
                    </w:rPr>
                  </w:pPr>
                  <w:r>
                    <w:rPr>
                      <w:rFonts w:hint="eastAsia"/>
                      <w:b/>
                      <w:color w:val="auto"/>
                      <w:kern w:val="0"/>
                      <w:szCs w:val="21"/>
                      <w:highlight w:val="none"/>
                    </w:rPr>
                    <w:t>环评核算</w:t>
                  </w:r>
                  <w:r>
                    <w:rPr>
                      <w:rFonts w:hint="eastAsia"/>
                      <w:b/>
                      <w:color w:val="auto"/>
                      <w:kern w:val="0"/>
                      <w:szCs w:val="21"/>
                      <w:highlight w:val="none"/>
                      <w:lang w:val="en-US" w:eastAsia="zh-CN"/>
                    </w:rPr>
                    <w:t>排放</w:t>
                  </w:r>
                  <w:r>
                    <w:rPr>
                      <w:rFonts w:hint="eastAsia"/>
                      <w:b/>
                      <w:color w:val="auto"/>
                      <w:kern w:val="0"/>
                      <w:szCs w:val="21"/>
                      <w:highlight w:val="none"/>
                    </w:rPr>
                    <w:t>量</w:t>
                  </w:r>
                </w:p>
                <w:p w14:paraId="3C9F27A2">
                  <w:pPr>
                    <w:pStyle w:val="11"/>
                    <w:keepNext w:val="0"/>
                    <w:keepLines w:val="0"/>
                    <w:suppressLineNumbers w:val="0"/>
                    <w:spacing w:before="0" w:beforeAutospacing="0" w:after="0" w:afterAutospacing="0" w:line="276" w:lineRule="auto"/>
                    <w:ind w:left="0" w:leftChars="0" w:right="0"/>
                    <w:jc w:val="center"/>
                    <w:rPr>
                      <w:rFonts w:hint="default"/>
                      <w:b/>
                      <w:color w:val="auto"/>
                      <w:kern w:val="0"/>
                      <w:szCs w:val="21"/>
                      <w:highlight w:val="none"/>
                    </w:rPr>
                  </w:pPr>
                  <w:r>
                    <w:rPr>
                      <w:rFonts w:hint="eastAsia"/>
                      <w:b/>
                      <w:color w:val="auto"/>
                      <w:kern w:val="0"/>
                      <w:szCs w:val="21"/>
                      <w:highlight w:val="none"/>
                    </w:rPr>
                    <w:t>t/a</w:t>
                  </w:r>
                </w:p>
              </w:tc>
              <w:tc>
                <w:tcPr>
                  <w:tcW w:w="1987" w:type="dxa"/>
                  <w:vAlign w:val="center"/>
                </w:tcPr>
                <w:p w14:paraId="0E221542">
                  <w:pPr>
                    <w:pStyle w:val="11"/>
                    <w:keepNext w:val="0"/>
                    <w:keepLines w:val="0"/>
                    <w:suppressLineNumbers w:val="0"/>
                    <w:spacing w:before="0" w:beforeAutospacing="0" w:after="0" w:afterAutospacing="0" w:line="276" w:lineRule="auto"/>
                    <w:ind w:left="0" w:leftChars="0" w:right="0"/>
                    <w:jc w:val="center"/>
                    <w:rPr>
                      <w:rFonts w:hint="default"/>
                      <w:b/>
                      <w:color w:val="auto"/>
                      <w:kern w:val="0"/>
                      <w:szCs w:val="21"/>
                      <w:highlight w:val="none"/>
                    </w:rPr>
                  </w:pPr>
                  <w:r>
                    <w:rPr>
                      <w:rFonts w:hint="eastAsia"/>
                      <w:b/>
                      <w:color w:val="auto"/>
                      <w:kern w:val="0"/>
                      <w:szCs w:val="21"/>
                      <w:highlight w:val="none"/>
                    </w:rPr>
                    <w:t>备注</w:t>
                  </w:r>
                </w:p>
              </w:tc>
            </w:tr>
            <w:tr w14:paraId="19FE0A4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6" w:hRule="atLeast"/>
                <w:jc w:val="center"/>
              </w:trPr>
              <w:tc>
                <w:tcPr>
                  <w:tcW w:w="793" w:type="dxa"/>
                  <w:vMerge w:val="restart"/>
                  <w:vAlign w:val="center"/>
                </w:tcPr>
                <w:p w14:paraId="06325B91">
                  <w:pPr>
                    <w:pStyle w:val="11"/>
                    <w:keepNext w:val="0"/>
                    <w:keepLines w:val="0"/>
                    <w:suppressLineNumbers w:val="0"/>
                    <w:spacing w:before="0" w:beforeAutospacing="0" w:after="0" w:afterAutospacing="0" w:line="276" w:lineRule="auto"/>
                    <w:ind w:left="0" w:leftChars="0" w:right="0"/>
                    <w:jc w:val="center"/>
                    <w:rPr>
                      <w:rFonts w:hint="default"/>
                      <w:color w:val="auto"/>
                      <w:kern w:val="0"/>
                      <w:szCs w:val="21"/>
                      <w:highlight w:val="none"/>
                    </w:rPr>
                  </w:pPr>
                  <w:r>
                    <w:rPr>
                      <w:rFonts w:hint="eastAsia"/>
                      <w:color w:val="auto"/>
                      <w:kern w:val="0"/>
                      <w:szCs w:val="21"/>
                      <w:highlight w:val="none"/>
                    </w:rPr>
                    <w:t>废水</w:t>
                  </w:r>
                </w:p>
              </w:tc>
              <w:tc>
                <w:tcPr>
                  <w:tcW w:w="1350" w:type="dxa"/>
                  <w:vAlign w:val="center"/>
                </w:tcPr>
                <w:p w14:paraId="21DBF0F7">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rPr>
                    <w:t>COD</w:t>
                  </w:r>
                  <w:r>
                    <w:rPr>
                      <w:rFonts w:hint="eastAsia"/>
                      <w:color w:val="auto"/>
                      <w:kern w:val="0"/>
                      <w:szCs w:val="21"/>
                      <w:highlight w:val="none"/>
                      <w:vertAlign w:val="subscript"/>
                      <w:lang w:val="en-US" w:eastAsia="zh-CN"/>
                    </w:rPr>
                    <w:t>Cr</w:t>
                  </w:r>
                </w:p>
              </w:tc>
              <w:tc>
                <w:tcPr>
                  <w:tcW w:w="2034" w:type="dxa"/>
                  <w:vAlign w:val="center"/>
                </w:tcPr>
                <w:p w14:paraId="5B5F3FAF">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0.022</w:t>
                  </w:r>
                </w:p>
              </w:tc>
              <w:tc>
                <w:tcPr>
                  <w:tcW w:w="1816" w:type="dxa"/>
                  <w:vAlign w:val="center"/>
                </w:tcPr>
                <w:p w14:paraId="23C2D800">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0.030</w:t>
                  </w:r>
                </w:p>
              </w:tc>
              <w:tc>
                <w:tcPr>
                  <w:tcW w:w="1987" w:type="dxa"/>
                  <w:vAlign w:val="center"/>
                </w:tcPr>
                <w:p w14:paraId="77441C89">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符合环评核算要求</w:t>
                  </w:r>
                </w:p>
              </w:tc>
            </w:tr>
            <w:tr w14:paraId="5BAB19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40" w:hRule="atLeast"/>
                <w:jc w:val="center"/>
              </w:trPr>
              <w:tc>
                <w:tcPr>
                  <w:tcW w:w="793" w:type="dxa"/>
                  <w:vMerge w:val="continue"/>
                  <w:vAlign w:val="center"/>
                </w:tcPr>
                <w:p w14:paraId="50584CE1">
                  <w:pPr>
                    <w:pStyle w:val="11"/>
                    <w:keepNext w:val="0"/>
                    <w:keepLines w:val="0"/>
                    <w:suppressLineNumbers w:val="0"/>
                    <w:spacing w:before="0" w:beforeAutospacing="0" w:after="0" w:afterAutospacing="0" w:line="276" w:lineRule="auto"/>
                    <w:ind w:left="0" w:leftChars="0" w:right="0"/>
                    <w:jc w:val="center"/>
                    <w:rPr>
                      <w:rFonts w:hint="default"/>
                      <w:color w:val="auto"/>
                      <w:kern w:val="0"/>
                      <w:szCs w:val="21"/>
                      <w:highlight w:val="none"/>
                    </w:rPr>
                  </w:pPr>
                </w:p>
              </w:tc>
              <w:tc>
                <w:tcPr>
                  <w:tcW w:w="1350" w:type="dxa"/>
                  <w:vAlign w:val="center"/>
                </w:tcPr>
                <w:p w14:paraId="207EB382">
                  <w:pPr>
                    <w:pStyle w:val="11"/>
                    <w:keepNext w:val="0"/>
                    <w:keepLines w:val="0"/>
                    <w:suppressLineNumbers w:val="0"/>
                    <w:spacing w:before="0" w:beforeAutospacing="0" w:after="0" w:afterAutospacing="0" w:line="276" w:lineRule="auto"/>
                    <w:ind w:left="0" w:leftChars="0" w:right="0"/>
                    <w:jc w:val="center"/>
                    <w:rPr>
                      <w:rFonts w:hint="default"/>
                      <w:color w:val="auto"/>
                      <w:kern w:val="0"/>
                      <w:szCs w:val="21"/>
                      <w:highlight w:val="none"/>
                    </w:rPr>
                  </w:pPr>
                  <w:r>
                    <w:rPr>
                      <w:rFonts w:hint="eastAsia"/>
                      <w:color w:val="auto"/>
                      <w:kern w:val="0"/>
                      <w:szCs w:val="21"/>
                      <w:highlight w:val="none"/>
                    </w:rPr>
                    <w:t>NH</w:t>
                  </w:r>
                  <w:r>
                    <w:rPr>
                      <w:rFonts w:hint="eastAsia"/>
                      <w:color w:val="auto"/>
                      <w:kern w:val="0"/>
                      <w:szCs w:val="21"/>
                      <w:highlight w:val="none"/>
                      <w:vertAlign w:val="subscript"/>
                    </w:rPr>
                    <w:t>3</w:t>
                  </w:r>
                  <w:r>
                    <w:rPr>
                      <w:rFonts w:hint="eastAsia"/>
                      <w:color w:val="auto"/>
                      <w:kern w:val="0"/>
                      <w:szCs w:val="21"/>
                      <w:highlight w:val="none"/>
                    </w:rPr>
                    <w:t>-N</w:t>
                  </w:r>
                </w:p>
              </w:tc>
              <w:tc>
                <w:tcPr>
                  <w:tcW w:w="2034" w:type="dxa"/>
                  <w:vAlign w:val="center"/>
                </w:tcPr>
                <w:p w14:paraId="4729C2C2">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0.002</w:t>
                  </w:r>
                </w:p>
              </w:tc>
              <w:tc>
                <w:tcPr>
                  <w:tcW w:w="1816" w:type="dxa"/>
                  <w:vAlign w:val="center"/>
                </w:tcPr>
                <w:p w14:paraId="6775486E">
                  <w:pPr>
                    <w:pStyle w:val="11"/>
                    <w:keepNext w:val="0"/>
                    <w:keepLines w:val="0"/>
                    <w:suppressLineNumbers w:val="0"/>
                    <w:spacing w:before="0" w:beforeAutospacing="0" w:after="0" w:afterAutospacing="0" w:line="276" w:lineRule="auto"/>
                    <w:ind w:left="0" w:leftChars="0" w:right="0"/>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0.003</w:t>
                  </w:r>
                </w:p>
              </w:tc>
              <w:tc>
                <w:tcPr>
                  <w:tcW w:w="1987" w:type="dxa"/>
                  <w:vAlign w:val="center"/>
                </w:tcPr>
                <w:p w14:paraId="265A3014">
                  <w:pPr>
                    <w:pStyle w:val="11"/>
                    <w:keepNext w:val="0"/>
                    <w:keepLines w:val="0"/>
                    <w:suppressLineNumbers w:val="0"/>
                    <w:spacing w:before="0" w:beforeAutospacing="0" w:after="0" w:afterAutospacing="0" w:line="276" w:lineRule="auto"/>
                    <w:ind w:left="0" w:leftChars="0" w:right="0"/>
                    <w:jc w:val="center"/>
                    <w:rPr>
                      <w:rFonts w:hint="eastAsia" w:eastAsia="宋体"/>
                      <w:color w:val="auto"/>
                      <w:kern w:val="0"/>
                      <w:szCs w:val="21"/>
                      <w:highlight w:val="none"/>
                      <w:lang w:val="en-US" w:eastAsia="zh-CN"/>
                    </w:rPr>
                  </w:pPr>
                  <w:r>
                    <w:rPr>
                      <w:rFonts w:hint="eastAsia"/>
                      <w:color w:val="auto"/>
                      <w:kern w:val="0"/>
                      <w:szCs w:val="21"/>
                      <w:highlight w:val="none"/>
                      <w:lang w:val="en-US" w:eastAsia="zh-CN"/>
                    </w:rPr>
                    <w:t>符合环评核算要求</w:t>
                  </w:r>
                </w:p>
              </w:tc>
            </w:tr>
          </w:tbl>
          <w:p w14:paraId="4340234F">
            <w:pPr>
              <w:pStyle w:val="11"/>
              <w:keepNext w:val="0"/>
              <w:keepLines w:val="0"/>
              <w:suppressLineNumbers w:val="0"/>
              <w:spacing w:before="0" w:beforeAutospacing="0" w:after="0" w:afterAutospacing="0" w:line="360" w:lineRule="auto"/>
              <w:ind w:left="0" w:leftChars="0" w:right="0" w:firstLine="482" w:firstLineChars="200"/>
              <w:rPr>
                <w:rFonts w:hint="default"/>
                <w:b/>
                <w:color w:val="auto"/>
                <w:kern w:val="0"/>
                <w:sz w:val="24"/>
                <w:highlight w:val="none"/>
              </w:rPr>
            </w:pPr>
            <w:r>
              <w:rPr>
                <w:rFonts w:hint="eastAsia"/>
                <w:b/>
                <w:color w:val="auto"/>
                <w:kern w:val="0"/>
                <w:sz w:val="24"/>
                <w:highlight w:val="none"/>
              </w:rPr>
              <w:t>4</w:t>
            </w:r>
            <w:r>
              <w:rPr>
                <w:rFonts w:hint="eastAsia"/>
                <w:b/>
                <w:color w:val="auto"/>
                <w:kern w:val="0"/>
                <w:sz w:val="24"/>
                <w:highlight w:val="none"/>
                <w:lang w:val="en-US" w:eastAsia="zh-CN"/>
              </w:rPr>
              <w:t>.</w:t>
            </w:r>
            <w:r>
              <w:rPr>
                <w:rFonts w:hint="eastAsia"/>
                <w:b/>
                <w:color w:val="auto"/>
                <w:kern w:val="0"/>
                <w:sz w:val="24"/>
                <w:highlight w:val="none"/>
              </w:rPr>
              <w:t>现有项目排污许可执行情况</w:t>
            </w:r>
          </w:p>
          <w:p w14:paraId="1EF533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val="0"/>
                <w:bCs/>
                <w:color w:val="auto"/>
                <w:sz w:val="24"/>
                <w:highlight w:val="none"/>
                <w:lang w:val="en-US" w:eastAsia="zh-CN"/>
              </w:rPr>
            </w:pPr>
            <w:r>
              <w:rPr>
                <w:rFonts w:hint="eastAsia"/>
                <w:b w:val="0"/>
                <w:bCs/>
                <w:color w:val="auto"/>
                <w:sz w:val="24"/>
                <w:highlight w:val="none"/>
                <w:lang w:val="en-US" w:eastAsia="zh-CN"/>
              </w:rPr>
              <w:t>现有项目排污许可类别为登记管理，2024年已取得登记回执，登记编号为</w:t>
            </w:r>
            <w:r>
              <w:rPr>
                <w:rFonts w:ascii="Times New Roman" w:hAnsi="Times New Roman"/>
                <w:b w:val="0"/>
                <w:bCs/>
                <w:color w:val="auto"/>
                <w:sz w:val="24"/>
                <w:szCs w:val="28"/>
                <w:highlight w:val="none"/>
              </w:rPr>
              <w:t>91340400MA8QA4L39A001X</w:t>
            </w:r>
            <w:r>
              <w:rPr>
                <w:rFonts w:ascii="Times New Roman" w:hAnsi="Times New Roman"/>
                <w:b w:val="0"/>
                <w:bCs/>
                <w:color w:val="auto"/>
                <w:sz w:val="24"/>
                <w:highlight w:val="none"/>
              </w:rPr>
              <w:t>。</w:t>
            </w:r>
            <w:r>
              <w:rPr>
                <w:rFonts w:hint="eastAsia" w:ascii="Times New Roman" w:hAnsi="Times New Roman"/>
                <w:b w:val="0"/>
                <w:bCs/>
                <w:color w:val="auto"/>
                <w:sz w:val="24"/>
                <w:highlight w:val="none"/>
                <w:lang w:val="en-US" w:eastAsia="zh-CN"/>
              </w:rPr>
              <w:t>排污登记申请以来，</w:t>
            </w:r>
            <w:r>
              <w:rPr>
                <w:rFonts w:hint="eastAsia"/>
                <w:b w:val="0"/>
                <w:bCs/>
                <w:color w:val="auto"/>
                <w:kern w:val="0"/>
                <w:sz w:val="24"/>
                <w:highlight w:val="none"/>
              </w:rPr>
              <w:t>企业无严重环保失信严重环境违法行为</w:t>
            </w:r>
            <w:r>
              <w:rPr>
                <w:rFonts w:hint="eastAsia"/>
                <w:b w:val="0"/>
                <w:bCs/>
                <w:color w:val="auto"/>
                <w:kern w:val="0"/>
                <w:sz w:val="24"/>
                <w:highlight w:val="none"/>
                <w:lang w:eastAsia="zh-CN"/>
              </w:rPr>
              <w:t>。</w:t>
            </w:r>
          </w:p>
          <w:p w14:paraId="6C63839F">
            <w:pPr>
              <w:spacing w:line="360" w:lineRule="auto"/>
              <w:ind w:firstLine="482" w:firstLineChars="200"/>
              <w:rPr>
                <w:b/>
                <w:color w:val="auto"/>
                <w:sz w:val="24"/>
                <w:highlight w:val="none"/>
              </w:rPr>
            </w:pPr>
            <w:r>
              <w:rPr>
                <w:rFonts w:hint="eastAsia"/>
                <w:b/>
                <w:color w:val="auto"/>
                <w:kern w:val="0"/>
                <w:sz w:val="24"/>
                <w:highlight w:val="none"/>
              </w:rPr>
              <w:t>5</w:t>
            </w:r>
            <w:r>
              <w:rPr>
                <w:rFonts w:hint="eastAsia"/>
                <w:b/>
                <w:color w:val="auto"/>
                <w:kern w:val="0"/>
                <w:sz w:val="24"/>
                <w:highlight w:val="none"/>
                <w:lang w:val="en-US" w:eastAsia="zh-CN"/>
              </w:rPr>
              <w:t>.</w:t>
            </w:r>
            <w:r>
              <w:rPr>
                <w:rFonts w:hint="eastAsia"/>
                <w:b/>
                <w:color w:val="auto"/>
                <w:kern w:val="0"/>
                <w:sz w:val="24"/>
                <w:highlight w:val="none"/>
              </w:rPr>
              <w:t>现有项目存在的环境问题及整改要求</w:t>
            </w:r>
          </w:p>
          <w:p w14:paraId="60901883">
            <w:pPr>
              <w:spacing w:line="360" w:lineRule="auto"/>
              <w:ind w:firstLine="480" w:firstLineChars="200"/>
              <w:rPr>
                <w:rFonts w:hint="default"/>
                <w:b/>
                <w:color w:val="auto"/>
                <w:sz w:val="24"/>
                <w:highlight w:val="none"/>
                <w:lang w:val="en-US"/>
              </w:rPr>
            </w:pPr>
            <w:r>
              <w:rPr>
                <w:rFonts w:hint="eastAsia" w:hAnsi="宋体"/>
                <w:color w:val="auto"/>
                <w:sz w:val="24"/>
                <w:highlight w:val="none"/>
                <w:lang w:val="en-US" w:eastAsia="zh-CN"/>
              </w:rPr>
              <w:t>根据现场踏勘及调查，现有项目“</w:t>
            </w:r>
            <w:r>
              <w:rPr>
                <w:rFonts w:hint="eastAsia"/>
                <w:color w:val="auto"/>
                <w:sz w:val="24"/>
                <w:szCs w:val="24"/>
                <w:highlight w:val="none"/>
                <w:lang w:val="en-US" w:eastAsia="zh-CN"/>
              </w:rPr>
              <w:t>年产40万瓶乙烯存储充装科技项目</w:t>
            </w:r>
            <w:r>
              <w:rPr>
                <w:rFonts w:hint="eastAsia" w:hAnsi="宋体"/>
                <w:color w:val="auto"/>
                <w:sz w:val="24"/>
                <w:highlight w:val="none"/>
                <w:lang w:val="en-US" w:eastAsia="zh-CN"/>
              </w:rPr>
              <w:t>”实施过程中，严格执行了环境影响评价制度和环保“三同时”制度，已建内容的各项污染物防治措施已按环评及环评批复等相关要求进行了落实并已处于正常运营状态，现有项目环保手续齐全，主要污染物排放可达到相应排放标准；2024年11月中旬，完成了竣工环境保护自主验收。结合国家、地方政策及环保要求，已建工程现状不存在环境问题及整改项。</w:t>
            </w:r>
          </w:p>
          <w:p w14:paraId="4F65A80F">
            <w:pPr>
              <w:spacing w:line="360" w:lineRule="auto"/>
              <w:ind w:firstLine="482" w:firstLineChars="200"/>
              <w:rPr>
                <w:b/>
                <w:color w:val="auto"/>
                <w:sz w:val="24"/>
                <w:highlight w:val="none"/>
              </w:rPr>
            </w:pPr>
          </w:p>
          <w:p w14:paraId="18CB13F3">
            <w:pPr>
              <w:spacing w:line="360" w:lineRule="auto"/>
              <w:ind w:firstLine="482" w:firstLineChars="200"/>
              <w:rPr>
                <w:b/>
                <w:color w:val="auto"/>
                <w:sz w:val="24"/>
                <w:highlight w:val="none"/>
              </w:rPr>
            </w:pPr>
          </w:p>
          <w:p w14:paraId="1384F55E">
            <w:pPr>
              <w:rPr>
                <w:color w:val="auto"/>
                <w:highlight w:val="none"/>
              </w:rPr>
            </w:pPr>
          </w:p>
          <w:p w14:paraId="297136AE">
            <w:pPr>
              <w:pStyle w:val="52"/>
              <w:rPr>
                <w:color w:val="auto"/>
                <w:highlight w:val="none"/>
              </w:rPr>
            </w:pPr>
          </w:p>
          <w:p w14:paraId="3D46DF50">
            <w:pPr>
              <w:pStyle w:val="52"/>
              <w:rPr>
                <w:color w:val="auto"/>
                <w:highlight w:val="none"/>
              </w:rPr>
            </w:pPr>
          </w:p>
          <w:p w14:paraId="66C5A031">
            <w:pPr>
              <w:pStyle w:val="52"/>
              <w:rPr>
                <w:color w:val="auto"/>
                <w:highlight w:val="none"/>
              </w:rPr>
            </w:pPr>
          </w:p>
          <w:p w14:paraId="2E706A27">
            <w:pPr>
              <w:pStyle w:val="52"/>
              <w:rPr>
                <w:color w:val="auto"/>
                <w:highlight w:val="none"/>
              </w:rPr>
            </w:pPr>
          </w:p>
          <w:p w14:paraId="4AC20442">
            <w:pPr>
              <w:pStyle w:val="52"/>
              <w:rPr>
                <w:color w:val="auto"/>
                <w:highlight w:val="none"/>
              </w:rPr>
            </w:pPr>
          </w:p>
          <w:p w14:paraId="27CC27E1">
            <w:pPr>
              <w:pStyle w:val="52"/>
              <w:rPr>
                <w:color w:val="auto"/>
                <w:highlight w:val="none"/>
              </w:rPr>
            </w:pPr>
          </w:p>
          <w:p w14:paraId="05CCFE8A">
            <w:pPr>
              <w:pStyle w:val="52"/>
              <w:rPr>
                <w:color w:val="auto"/>
                <w:highlight w:val="none"/>
              </w:rPr>
            </w:pPr>
          </w:p>
          <w:p w14:paraId="09EDAB88">
            <w:pPr>
              <w:pStyle w:val="52"/>
              <w:rPr>
                <w:color w:val="auto"/>
                <w:highlight w:val="none"/>
              </w:rPr>
            </w:pPr>
          </w:p>
          <w:p w14:paraId="7C02CFCE">
            <w:pPr>
              <w:pStyle w:val="52"/>
              <w:rPr>
                <w:color w:val="auto"/>
                <w:highlight w:val="none"/>
              </w:rPr>
            </w:pPr>
          </w:p>
          <w:p w14:paraId="6A40FC14">
            <w:pPr>
              <w:pStyle w:val="52"/>
              <w:rPr>
                <w:color w:val="auto"/>
                <w:highlight w:val="none"/>
              </w:rPr>
            </w:pPr>
          </w:p>
          <w:p w14:paraId="25282BE1">
            <w:pPr>
              <w:pStyle w:val="52"/>
              <w:rPr>
                <w:color w:val="auto"/>
                <w:highlight w:val="none"/>
              </w:rPr>
            </w:pPr>
          </w:p>
          <w:p w14:paraId="29C0C6A4">
            <w:pPr>
              <w:pStyle w:val="52"/>
              <w:rPr>
                <w:color w:val="auto"/>
                <w:highlight w:val="none"/>
              </w:rPr>
            </w:pPr>
          </w:p>
          <w:p w14:paraId="7408235D">
            <w:pPr>
              <w:pStyle w:val="52"/>
              <w:rPr>
                <w:color w:val="auto"/>
                <w:highlight w:val="none"/>
              </w:rPr>
            </w:pPr>
          </w:p>
          <w:p w14:paraId="11BA77F5">
            <w:pPr>
              <w:pStyle w:val="52"/>
              <w:rPr>
                <w:color w:val="auto"/>
                <w:highlight w:val="none"/>
              </w:rPr>
            </w:pPr>
          </w:p>
          <w:p w14:paraId="3A190F09">
            <w:pPr>
              <w:pStyle w:val="52"/>
              <w:rPr>
                <w:color w:val="auto"/>
                <w:highlight w:val="none"/>
              </w:rPr>
            </w:pPr>
          </w:p>
          <w:p w14:paraId="664493AB">
            <w:pPr>
              <w:pStyle w:val="52"/>
              <w:rPr>
                <w:color w:val="auto"/>
                <w:highlight w:val="none"/>
              </w:rPr>
            </w:pPr>
          </w:p>
          <w:p w14:paraId="64F080DB">
            <w:pPr>
              <w:pStyle w:val="52"/>
              <w:rPr>
                <w:color w:val="auto"/>
                <w:highlight w:val="none"/>
              </w:rPr>
            </w:pPr>
          </w:p>
          <w:p w14:paraId="117DC51B">
            <w:pPr>
              <w:pStyle w:val="52"/>
              <w:rPr>
                <w:color w:val="auto"/>
                <w:highlight w:val="none"/>
              </w:rPr>
            </w:pPr>
          </w:p>
          <w:p w14:paraId="0EBF374F">
            <w:pPr>
              <w:pStyle w:val="52"/>
              <w:rPr>
                <w:color w:val="auto"/>
                <w:highlight w:val="none"/>
              </w:rPr>
            </w:pPr>
          </w:p>
          <w:p w14:paraId="5C88D74C">
            <w:pPr>
              <w:pStyle w:val="52"/>
              <w:rPr>
                <w:color w:val="auto"/>
                <w:highlight w:val="none"/>
              </w:rPr>
            </w:pPr>
          </w:p>
          <w:p w14:paraId="15E1403C">
            <w:pPr>
              <w:pStyle w:val="52"/>
              <w:rPr>
                <w:color w:val="auto"/>
                <w:highlight w:val="none"/>
              </w:rPr>
            </w:pPr>
          </w:p>
          <w:p w14:paraId="19E32814">
            <w:pPr>
              <w:pStyle w:val="52"/>
              <w:rPr>
                <w:color w:val="auto"/>
                <w:highlight w:val="none"/>
              </w:rPr>
            </w:pPr>
          </w:p>
          <w:p w14:paraId="530D6D3E">
            <w:pPr>
              <w:pStyle w:val="52"/>
              <w:rPr>
                <w:color w:val="auto"/>
                <w:highlight w:val="none"/>
              </w:rPr>
            </w:pPr>
          </w:p>
          <w:p w14:paraId="7572E82D">
            <w:pPr>
              <w:pStyle w:val="52"/>
              <w:rPr>
                <w:color w:val="auto"/>
                <w:highlight w:val="none"/>
              </w:rPr>
            </w:pPr>
          </w:p>
          <w:p w14:paraId="4A79107A">
            <w:pPr>
              <w:pStyle w:val="52"/>
              <w:rPr>
                <w:color w:val="auto"/>
                <w:highlight w:val="none"/>
              </w:rPr>
            </w:pPr>
          </w:p>
          <w:p w14:paraId="0D4DE0B3">
            <w:pPr>
              <w:pStyle w:val="52"/>
              <w:rPr>
                <w:color w:val="auto"/>
                <w:highlight w:val="none"/>
              </w:rPr>
            </w:pPr>
          </w:p>
        </w:tc>
      </w:tr>
    </w:tbl>
    <w:p w14:paraId="7B175AD8">
      <w:pPr>
        <w:widowControl/>
        <w:spacing w:line="360" w:lineRule="auto"/>
        <w:jc w:val="center"/>
        <w:rPr>
          <w:rFonts w:hAnsi="宋体"/>
          <w:color w:val="auto"/>
          <w:kern w:val="0"/>
          <w:sz w:val="24"/>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p w14:paraId="2CCBC4AE">
      <w:pPr>
        <w:widowControl/>
        <w:jc w:val="center"/>
        <w:outlineLvl w:val="0"/>
        <w:rPr>
          <w:rFonts w:ascii="宋体" w:hAnsi="宋体"/>
          <w:b/>
          <w:bCs/>
          <w:color w:val="auto"/>
          <w:kern w:val="0"/>
          <w:sz w:val="30"/>
          <w:szCs w:val="30"/>
          <w:highlight w:val="none"/>
        </w:rPr>
      </w:pPr>
      <w:bookmarkStart w:id="9" w:name="_Toc243450252"/>
      <w:bookmarkEnd w:id="9"/>
      <w:bookmarkStart w:id="10" w:name="_Toc89762009"/>
      <w:bookmarkEnd w:id="10"/>
      <w:bookmarkStart w:id="11" w:name="_Toc271726186"/>
      <w:bookmarkEnd w:id="11"/>
      <w:bookmarkStart w:id="12" w:name="_Toc354926675"/>
      <w:bookmarkStart w:id="13" w:name="_Toc306347503"/>
      <w:bookmarkStart w:id="14" w:name="_Toc140651373"/>
      <w:bookmarkStart w:id="15" w:name="_Toc140650606"/>
      <w:r>
        <w:rPr>
          <w:rFonts w:ascii="宋体" w:hAnsi="宋体"/>
          <w:b/>
          <w:bCs/>
          <w:color w:val="auto"/>
          <w:kern w:val="0"/>
          <w:sz w:val="30"/>
          <w:szCs w:val="30"/>
          <w:highlight w:val="none"/>
        </w:rPr>
        <w:t>三</w:t>
      </w:r>
      <w:r>
        <w:rPr>
          <w:rFonts w:hint="eastAsia" w:ascii="宋体" w:hAnsi="宋体"/>
          <w:b/>
          <w:bCs/>
          <w:color w:val="auto"/>
          <w:kern w:val="0"/>
          <w:sz w:val="30"/>
          <w:szCs w:val="30"/>
          <w:highlight w:val="none"/>
        </w:rPr>
        <w:t>、</w:t>
      </w:r>
      <w:r>
        <w:rPr>
          <w:rFonts w:ascii="宋体" w:hAnsi="宋体"/>
          <w:b/>
          <w:bCs/>
          <w:color w:val="auto"/>
          <w:kern w:val="0"/>
          <w:sz w:val="30"/>
          <w:szCs w:val="30"/>
          <w:highlight w:val="none"/>
        </w:rPr>
        <w:t>区域环境质量现状</w:t>
      </w:r>
      <w:bookmarkEnd w:id="12"/>
      <w:bookmarkEnd w:id="13"/>
      <w:r>
        <w:rPr>
          <w:rFonts w:hint="eastAsia" w:ascii="宋体" w:hAnsi="宋体"/>
          <w:b/>
          <w:bCs/>
          <w:color w:val="auto"/>
          <w:kern w:val="0"/>
          <w:sz w:val="30"/>
          <w:szCs w:val="30"/>
          <w:highlight w:val="none"/>
        </w:rPr>
        <w:t>、</w:t>
      </w:r>
      <w:r>
        <w:rPr>
          <w:rFonts w:ascii="宋体" w:hAnsi="宋体"/>
          <w:b/>
          <w:bCs/>
          <w:color w:val="auto"/>
          <w:kern w:val="0"/>
          <w:sz w:val="30"/>
          <w:szCs w:val="30"/>
          <w:highlight w:val="none"/>
        </w:rPr>
        <w:t>环境保护目标及评价标准</w:t>
      </w:r>
      <w:bookmarkEnd w:id="14"/>
      <w:bookmarkEnd w:id="15"/>
    </w:p>
    <w:tbl>
      <w:tblPr>
        <w:tblStyle w:val="36"/>
        <w:tblW w:w="883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34"/>
        <w:gridCol w:w="8297"/>
      </w:tblGrid>
      <w:tr w14:paraId="548ED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0" w:hRule="atLeast"/>
        </w:trPr>
        <w:tc>
          <w:tcPr>
            <w:tcW w:w="534" w:type="dxa"/>
            <w:vAlign w:val="center"/>
          </w:tcPr>
          <w:p w14:paraId="23E4634A">
            <w:pPr>
              <w:spacing w:line="360" w:lineRule="auto"/>
              <w:jc w:val="both"/>
              <w:rPr>
                <w:b/>
                <w:color w:val="auto"/>
                <w:sz w:val="24"/>
                <w:szCs w:val="28"/>
                <w:highlight w:val="none"/>
              </w:rPr>
            </w:pPr>
            <w:r>
              <w:rPr>
                <w:rFonts w:hint="eastAsia" w:hAnsi="宋体"/>
                <w:color w:val="auto"/>
                <w:kern w:val="0"/>
                <w:sz w:val="24"/>
                <w:highlight w:val="none"/>
              </w:rPr>
              <w:t>区域</w:t>
            </w:r>
            <w:r>
              <w:rPr>
                <w:rFonts w:hAnsi="宋体"/>
                <w:color w:val="auto"/>
                <w:kern w:val="0"/>
                <w:sz w:val="24"/>
                <w:highlight w:val="none"/>
              </w:rPr>
              <w:t>环境质量现状</w:t>
            </w:r>
          </w:p>
        </w:tc>
        <w:tc>
          <w:tcPr>
            <w:tcW w:w="8297" w:type="dxa"/>
          </w:tcPr>
          <w:p w14:paraId="3E5C297D">
            <w:pPr>
              <w:spacing w:line="360" w:lineRule="auto"/>
              <w:ind w:firstLine="482" w:firstLineChars="200"/>
              <w:rPr>
                <w:b/>
                <w:color w:val="auto"/>
                <w:sz w:val="24"/>
                <w:szCs w:val="28"/>
                <w:highlight w:val="none"/>
              </w:rPr>
            </w:pPr>
            <w:r>
              <w:rPr>
                <w:b/>
                <w:color w:val="auto"/>
                <w:sz w:val="24"/>
                <w:szCs w:val="28"/>
                <w:highlight w:val="none"/>
              </w:rPr>
              <w:t>一</w:t>
            </w:r>
            <w:r>
              <w:rPr>
                <w:rFonts w:hint="eastAsia"/>
                <w:b/>
                <w:color w:val="auto"/>
                <w:sz w:val="24"/>
                <w:szCs w:val="28"/>
                <w:highlight w:val="none"/>
              </w:rPr>
              <w:t>、环境空气质量现状</w:t>
            </w:r>
          </w:p>
          <w:p w14:paraId="5A3FF5D6">
            <w:pPr>
              <w:adjustRightInd w:val="0"/>
              <w:spacing w:line="360" w:lineRule="auto"/>
              <w:ind w:firstLine="480" w:firstLineChars="200"/>
              <w:jc w:val="left"/>
              <w:rPr>
                <w:rFonts w:hAnsi="宋体"/>
                <w:color w:val="auto"/>
                <w:sz w:val="24"/>
                <w:highlight w:val="none"/>
              </w:rPr>
            </w:pPr>
            <w:r>
              <w:rPr>
                <w:rFonts w:hint="eastAsia" w:hAnsi="宋体"/>
                <w:color w:val="auto"/>
                <w:sz w:val="24"/>
                <w:highlight w:val="none"/>
              </w:rPr>
              <w:t>（1）基本污染物环境质量现状</w:t>
            </w:r>
          </w:p>
          <w:p w14:paraId="1E10285F">
            <w:pPr>
              <w:adjustRightInd w:val="0"/>
              <w:spacing w:line="360" w:lineRule="auto"/>
              <w:ind w:firstLine="480" w:firstLineChars="200"/>
              <w:jc w:val="left"/>
              <w:rPr>
                <w:color w:val="auto"/>
                <w:sz w:val="24"/>
                <w:highlight w:val="none"/>
              </w:rPr>
            </w:pPr>
            <w:r>
              <w:rPr>
                <w:rFonts w:hAnsi="宋体"/>
                <w:color w:val="auto"/>
                <w:sz w:val="24"/>
                <w:highlight w:val="none"/>
              </w:rPr>
              <w:t>本项</w:t>
            </w:r>
            <w:r>
              <w:rPr>
                <w:rFonts w:hAnsi="宋体"/>
                <w:color w:val="auto"/>
                <w:sz w:val="24"/>
                <w:szCs w:val="24"/>
                <w:highlight w:val="none"/>
              </w:rPr>
              <w:t>目位于</w:t>
            </w:r>
            <w:r>
              <w:rPr>
                <w:rFonts w:hint="eastAsia"/>
                <w:color w:val="auto"/>
                <w:sz w:val="24"/>
                <w:highlight w:val="none"/>
                <w:lang w:eastAsia="zh-CN"/>
              </w:rPr>
              <w:t>安徽省淮南市淮南经济技术开发区安徽永银科技发展有限公司（经开区长宁路80号）</w:t>
            </w:r>
            <w:r>
              <w:rPr>
                <w:rFonts w:hAnsi="宋体"/>
                <w:color w:val="auto"/>
                <w:sz w:val="24"/>
                <w:szCs w:val="24"/>
                <w:highlight w:val="none"/>
              </w:rPr>
              <w:t>，</w:t>
            </w:r>
            <w:r>
              <w:rPr>
                <w:rFonts w:hint="default" w:hAnsi="宋体"/>
                <w:color w:val="auto"/>
                <w:sz w:val="24"/>
                <w:szCs w:val="24"/>
                <w:highlight w:val="none"/>
              </w:rPr>
              <w:t>根据</w:t>
            </w:r>
            <w:r>
              <w:rPr>
                <w:rFonts w:hint="eastAsia" w:hAnsi="宋体"/>
                <w:color w:val="auto"/>
                <w:kern w:val="0"/>
                <w:sz w:val="24"/>
                <w:szCs w:val="24"/>
                <w:highlight w:val="none"/>
              </w:rPr>
              <w:t>《20</w:t>
            </w:r>
            <w:r>
              <w:rPr>
                <w:rFonts w:hint="eastAsia" w:hAnsi="宋体"/>
                <w:color w:val="auto"/>
                <w:kern w:val="0"/>
                <w:sz w:val="24"/>
                <w:szCs w:val="24"/>
                <w:highlight w:val="none"/>
                <w:lang w:val="en-US" w:eastAsia="zh-CN"/>
              </w:rPr>
              <w:t>25</w:t>
            </w:r>
            <w:r>
              <w:rPr>
                <w:rFonts w:hint="eastAsia" w:hAnsi="宋体"/>
                <w:color w:val="auto"/>
                <w:kern w:val="0"/>
                <w:sz w:val="24"/>
                <w:szCs w:val="24"/>
                <w:highlight w:val="none"/>
              </w:rPr>
              <w:t>年</w:t>
            </w:r>
            <w:r>
              <w:rPr>
                <w:rFonts w:hint="eastAsia" w:hAnsi="宋体"/>
                <w:color w:val="auto"/>
                <w:kern w:val="0"/>
                <w:sz w:val="24"/>
                <w:szCs w:val="24"/>
                <w:highlight w:val="none"/>
                <w:lang w:val="en-US" w:eastAsia="zh-CN"/>
              </w:rPr>
              <w:t>淮南</w:t>
            </w:r>
            <w:r>
              <w:rPr>
                <w:rFonts w:hint="eastAsia" w:hAnsi="宋体"/>
                <w:color w:val="auto"/>
                <w:kern w:val="0"/>
                <w:sz w:val="24"/>
                <w:szCs w:val="24"/>
                <w:highlight w:val="none"/>
              </w:rPr>
              <w:t>市生态环境质量状况公报》可知，全</w:t>
            </w:r>
            <w:r>
              <w:rPr>
                <w:rFonts w:hint="eastAsia" w:hAnsi="宋体"/>
                <w:color w:val="auto"/>
                <w:kern w:val="0"/>
                <w:sz w:val="24"/>
                <w:szCs w:val="24"/>
                <w:highlight w:val="none"/>
                <w:lang w:val="en-US" w:eastAsia="zh-CN"/>
              </w:rPr>
              <w:t>市年度环境空气</w:t>
            </w:r>
            <w:r>
              <w:rPr>
                <w:rFonts w:hint="eastAsia" w:hAnsi="宋体"/>
                <w:color w:val="auto"/>
                <w:kern w:val="0"/>
                <w:sz w:val="24"/>
                <w:szCs w:val="24"/>
                <w:highlight w:val="none"/>
              </w:rPr>
              <w:t>质量达到优的天数为</w:t>
            </w:r>
            <w:r>
              <w:rPr>
                <w:rFonts w:hint="eastAsia" w:hAnsi="宋体"/>
                <w:color w:val="auto"/>
                <w:kern w:val="0"/>
                <w:sz w:val="24"/>
                <w:szCs w:val="24"/>
                <w:highlight w:val="none"/>
                <w:lang w:val="en-US" w:eastAsia="zh-CN"/>
              </w:rPr>
              <w:t>97</w:t>
            </w:r>
            <w:r>
              <w:rPr>
                <w:rFonts w:hint="eastAsia" w:hAnsi="宋体"/>
                <w:color w:val="auto"/>
                <w:kern w:val="0"/>
                <w:sz w:val="24"/>
                <w:szCs w:val="24"/>
                <w:highlight w:val="none"/>
              </w:rPr>
              <w:t>天，良</w:t>
            </w:r>
            <w:r>
              <w:rPr>
                <w:rFonts w:hint="eastAsia" w:hAnsi="宋体"/>
                <w:color w:val="auto"/>
                <w:kern w:val="0"/>
                <w:sz w:val="24"/>
                <w:szCs w:val="24"/>
                <w:highlight w:val="none"/>
                <w:lang w:val="en-US" w:eastAsia="zh-CN"/>
              </w:rPr>
              <w:t>203</w:t>
            </w:r>
            <w:r>
              <w:rPr>
                <w:rFonts w:hint="eastAsia" w:hAnsi="宋体"/>
                <w:color w:val="auto"/>
                <w:kern w:val="0"/>
                <w:sz w:val="24"/>
                <w:szCs w:val="24"/>
                <w:highlight w:val="none"/>
              </w:rPr>
              <w:t>天</w:t>
            </w:r>
            <w:r>
              <w:rPr>
                <w:rFonts w:hint="eastAsia" w:hAnsi="宋体"/>
                <w:color w:val="auto"/>
                <w:kern w:val="0"/>
                <w:sz w:val="24"/>
                <w:szCs w:val="24"/>
                <w:highlight w:val="none"/>
                <w:lang w:eastAsia="zh-CN"/>
              </w:rPr>
              <w:t>、</w:t>
            </w:r>
            <w:r>
              <w:rPr>
                <w:rFonts w:hint="eastAsia" w:hAnsi="宋体"/>
                <w:color w:val="auto"/>
                <w:kern w:val="0"/>
                <w:sz w:val="24"/>
                <w:szCs w:val="24"/>
                <w:highlight w:val="none"/>
                <w:lang w:val="en-US" w:eastAsia="zh-CN"/>
              </w:rPr>
              <w:t>轻度污染56天、中度6天、重度2天、严重1天（由沙尘引起的重度污染1天，严重污染1天）；全市年度环境空气达标天数比例</w:t>
            </w:r>
            <w:r>
              <w:rPr>
                <w:rFonts w:hint="eastAsia" w:hAnsi="宋体"/>
                <w:color w:val="auto"/>
                <w:kern w:val="0"/>
                <w:sz w:val="24"/>
                <w:szCs w:val="24"/>
                <w:highlight w:val="none"/>
              </w:rPr>
              <w:t>为</w:t>
            </w:r>
            <w:r>
              <w:rPr>
                <w:rFonts w:hint="eastAsia" w:hAnsi="宋体"/>
                <w:color w:val="auto"/>
                <w:kern w:val="0"/>
                <w:sz w:val="24"/>
                <w:szCs w:val="24"/>
                <w:highlight w:val="none"/>
                <w:lang w:val="en-US" w:eastAsia="zh-CN"/>
              </w:rPr>
              <w:t>82.2</w:t>
            </w:r>
            <w:r>
              <w:rPr>
                <w:rFonts w:hint="eastAsia" w:hAnsi="宋体"/>
                <w:color w:val="auto"/>
                <w:kern w:val="0"/>
                <w:sz w:val="24"/>
                <w:szCs w:val="24"/>
                <w:highlight w:val="none"/>
              </w:rPr>
              <w:t>%。全市可吸入颗粒物（PM</w:t>
            </w:r>
            <w:r>
              <w:rPr>
                <w:rFonts w:hint="eastAsia" w:hAnsi="宋体"/>
                <w:color w:val="auto"/>
                <w:kern w:val="0"/>
                <w:sz w:val="24"/>
                <w:szCs w:val="24"/>
                <w:highlight w:val="none"/>
                <w:vertAlign w:val="subscript"/>
              </w:rPr>
              <w:t>10</w:t>
            </w:r>
            <w:r>
              <w:rPr>
                <w:rFonts w:hint="eastAsia" w:hAnsi="宋体"/>
                <w:color w:val="auto"/>
                <w:kern w:val="0"/>
                <w:sz w:val="24"/>
                <w:szCs w:val="24"/>
                <w:highlight w:val="none"/>
              </w:rPr>
              <w:t>）年平均浓度为</w:t>
            </w:r>
            <w:r>
              <w:rPr>
                <w:rFonts w:hint="eastAsia" w:hAnsi="宋体"/>
                <w:color w:val="auto"/>
                <w:kern w:val="0"/>
                <w:sz w:val="24"/>
                <w:szCs w:val="24"/>
                <w:highlight w:val="none"/>
                <w:lang w:val="en-US" w:eastAsia="zh-CN"/>
              </w:rPr>
              <w:t>61</w:t>
            </w:r>
            <w:r>
              <w:rPr>
                <w:rFonts w:hint="eastAsia" w:hAnsi="宋体"/>
                <w:color w:val="auto"/>
                <w:kern w:val="0"/>
                <w:sz w:val="24"/>
                <w:szCs w:val="24"/>
                <w:highlight w:val="none"/>
              </w:rPr>
              <w:t>微克/立方米，与202</w:t>
            </w:r>
            <w:r>
              <w:rPr>
                <w:rFonts w:hint="eastAsia" w:hAnsi="宋体"/>
                <w:color w:val="auto"/>
                <w:kern w:val="0"/>
                <w:sz w:val="24"/>
                <w:szCs w:val="24"/>
                <w:highlight w:val="none"/>
                <w:lang w:val="en-US" w:eastAsia="zh-CN"/>
              </w:rPr>
              <w:t>4</w:t>
            </w:r>
            <w:r>
              <w:rPr>
                <w:rFonts w:hint="eastAsia" w:hAnsi="宋体"/>
                <w:color w:val="auto"/>
                <w:kern w:val="0"/>
                <w:sz w:val="24"/>
                <w:szCs w:val="24"/>
                <w:highlight w:val="none"/>
              </w:rPr>
              <w:t>年</w:t>
            </w:r>
            <w:r>
              <w:rPr>
                <w:rFonts w:hint="eastAsia" w:hAnsi="宋体"/>
                <w:color w:val="auto"/>
                <w:kern w:val="0"/>
                <w:sz w:val="24"/>
                <w:szCs w:val="24"/>
                <w:highlight w:val="none"/>
                <w:lang w:val="en-US" w:eastAsia="zh-CN"/>
              </w:rPr>
              <w:t>相比</w:t>
            </w:r>
            <w:r>
              <w:rPr>
                <w:rFonts w:hint="eastAsia" w:hAnsi="宋体"/>
                <w:color w:val="auto"/>
                <w:kern w:val="0"/>
                <w:sz w:val="24"/>
                <w:szCs w:val="24"/>
                <w:highlight w:val="none"/>
              </w:rPr>
              <w:t>下降</w:t>
            </w:r>
            <w:r>
              <w:rPr>
                <w:rFonts w:hint="eastAsia" w:hAnsi="宋体"/>
                <w:color w:val="auto"/>
                <w:kern w:val="0"/>
                <w:sz w:val="24"/>
                <w:szCs w:val="24"/>
                <w:highlight w:val="none"/>
                <w:lang w:val="en-US" w:eastAsia="zh-CN"/>
              </w:rPr>
              <w:t>6.2个百分点</w:t>
            </w:r>
            <w:r>
              <w:rPr>
                <w:rFonts w:hint="eastAsia" w:hAnsi="宋体"/>
                <w:color w:val="auto"/>
                <w:kern w:val="0"/>
                <w:sz w:val="24"/>
                <w:szCs w:val="24"/>
                <w:highlight w:val="none"/>
              </w:rPr>
              <w:t>。细颗粒物（PM</w:t>
            </w:r>
            <w:r>
              <w:rPr>
                <w:rFonts w:hint="eastAsia" w:hAnsi="宋体"/>
                <w:color w:val="auto"/>
                <w:kern w:val="0"/>
                <w:sz w:val="24"/>
                <w:szCs w:val="24"/>
                <w:highlight w:val="none"/>
                <w:vertAlign w:val="subscript"/>
              </w:rPr>
              <w:t>2.5</w:t>
            </w:r>
            <w:r>
              <w:rPr>
                <w:rFonts w:hint="eastAsia" w:hAnsi="宋体"/>
                <w:color w:val="auto"/>
                <w:kern w:val="0"/>
                <w:sz w:val="24"/>
                <w:szCs w:val="24"/>
                <w:highlight w:val="none"/>
              </w:rPr>
              <w:t>）年均浓度为</w:t>
            </w:r>
            <w:r>
              <w:rPr>
                <w:rFonts w:hint="eastAsia" w:hAnsi="宋体"/>
                <w:color w:val="auto"/>
                <w:kern w:val="0"/>
                <w:sz w:val="24"/>
                <w:szCs w:val="24"/>
                <w:highlight w:val="none"/>
                <w:lang w:val="en-US" w:eastAsia="zh-CN"/>
              </w:rPr>
              <w:t>37.1</w:t>
            </w:r>
            <w:r>
              <w:rPr>
                <w:rFonts w:hint="eastAsia" w:hAnsi="宋体"/>
                <w:color w:val="auto"/>
                <w:kern w:val="0"/>
                <w:sz w:val="24"/>
                <w:szCs w:val="24"/>
                <w:highlight w:val="none"/>
              </w:rPr>
              <w:t>微克/立方米，与20</w:t>
            </w:r>
            <w:r>
              <w:rPr>
                <w:rFonts w:hint="eastAsia" w:hAnsi="宋体"/>
                <w:color w:val="auto"/>
                <w:kern w:val="0"/>
                <w:sz w:val="24"/>
                <w:szCs w:val="24"/>
                <w:highlight w:val="none"/>
                <w:lang w:val="en-US" w:eastAsia="zh-CN"/>
              </w:rPr>
              <w:t>24</w:t>
            </w:r>
            <w:r>
              <w:rPr>
                <w:rFonts w:hint="eastAsia" w:hAnsi="宋体"/>
                <w:color w:val="auto"/>
                <w:kern w:val="0"/>
                <w:sz w:val="24"/>
                <w:szCs w:val="24"/>
                <w:highlight w:val="none"/>
              </w:rPr>
              <w:t>年</w:t>
            </w:r>
            <w:r>
              <w:rPr>
                <w:rFonts w:hint="eastAsia" w:hAnsi="宋体"/>
                <w:color w:val="auto"/>
                <w:kern w:val="0"/>
                <w:sz w:val="24"/>
                <w:szCs w:val="24"/>
                <w:highlight w:val="none"/>
                <w:lang w:val="en-US" w:eastAsia="zh-CN"/>
              </w:rPr>
              <w:t>相比下降了7.25个百分点</w:t>
            </w:r>
            <w:r>
              <w:rPr>
                <w:rFonts w:hint="eastAsia" w:hAnsi="宋体"/>
                <w:color w:val="auto"/>
                <w:kern w:val="0"/>
                <w:sz w:val="24"/>
                <w:szCs w:val="24"/>
                <w:highlight w:val="none"/>
              </w:rPr>
              <w:t>。</w:t>
            </w:r>
          </w:p>
          <w:p w14:paraId="7EA0383C">
            <w:pPr>
              <w:keepNext w:val="0"/>
              <w:keepLines w:val="0"/>
              <w:suppressLineNumbers w:val="0"/>
              <w:adjustRightInd w:val="0"/>
              <w:spacing w:before="0" w:beforeAutospacing="0" w:after="0" w:afterAutospacing="0" w:line="360" w:lineRule="auto"/>
              <w:ind w:left="0" w:right="0" w:firstLine="480" w:firstLineChars="200"/>
              <w:jc w:val="left"/>
              <w:rPr>
                <w:rFonts w:hint="default"/>
                <w:color w:val="auto"/>
                <w:sz w:val="24"/>
                <w:highlight w:val="none"/>
              </w:rPr>
            </w:pPr>
            <w:r>
              <w:rPr>
                <w:rFonts w:hint="default" w:hAnsi="宋体"/>
                <w:color w:val="auto"/>
                <w:sz w:val="24"/>
                <w:highlight w:val="none"/>
              </w:rPr>
              <w:t>项目所在区域空气质量现状评价见下表：</w:t>
            </w:r>
          </w:p>
          <w:p w14:paraId="73F6F35D">
            <w:pPr>
              <w:pStyle w:val="221"/>
              <w:keepNext w:val="0"/>
              <w:keepLines w:val="0"/>
              <w:suppressLineNumbers w:val="0"/>
              <w:spacing w:before="0" w:beforeAutospacing="0" w:after="0" w:afterAutospacing="0"/>
              <w:ind w:left="0" w:right="0"/>
              <w:jc w:val="center"/>
              <w:rPr>
                <w:rFonts w:hint="default" w:eastAsia="黑体" w:cs="Times New Roman"/>
                <w:b/>
                <w:color w:val="auto"/>
                <w:szCs w:val="21"/>
                <w:highlight w:val="none"/>
              </w:rPr>
            </w:pPr>
            <w:r>
              <w:rPr>
                <w:rFonts w:hint="default" w:hAnsi="黑体" w:eastAsia="黑体" w:cs="Times New Roman"/>
                <w:color w:val="auto"/>
                <w:highlight w:val="none"/>
              </w:rPr>
              <w:t>表</w:t>
            </w:r>
            <w:r>
              <w:rPr>
                <w:rFonts w:hint="eastAsia" w:eastAsia="黑体" w:cs="Times New Roman"/>
                <w:color w:val="auto"/>
                <w:highlight w:val="none"/>
                <w:lang w:val="en-US" w:eastAsia="zh-CN"/>
              </w:rPr>
              <w:t>3-1</w:t>
            </w:r>
            <w:r>
              <w:rPr>
                <w:rFonts w:hint="default" w:eastAsia="黑体" w:cs="Times New Roman"/>
                <w:color w:val="auto"/>
                <w:highlight w:val="none"/>
              </w:rPr>
              <w:t xml:space="preserve"> </w:t>
            </w:r>
            <w:r>
              <w:rPr>
                <w:rFonts w:hint="default" w:hAnsi="黑体" w:eastAsia="黑体" w:cs="Times New Roman"/>
                <w:color w:val="auto"/>
                <w:highlight w:val="none"/>
              </w:rPr>
              <w:t>区域空气质量现状评价表</w:t>
            </w:r>
          </w:p>
          <w:tbl>
            <w:tblPr>
              <w:tblStyle w:val="3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97"/>
              <w:gridCol w:w="2861"/>
              <w:gridCol w:w="970"/>
              <w:gridCol w:w="1576"/>
              <w:gridCol w:w="941"/>
              <w:gridCol w:w="1033"/>
            </w:tblGrid>
            <w:tr w14:paraId="0F96EC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vMerge w:val="restart"/>
                  <w:tcBorders>
                    <w:top w:val="single" w:color="auto" w:sz="12" w:space="0"/>
                    <w:left w:val="nil"/>
                    <w:right w:val="single" w:color="auto" w:sz="4" w:space="0"/>
                  </w:tcBorders>
                  <w:vAlign w:val="center"/>
                </w:tcPr>
                <w:p w14:paraId="5449D15E">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r>
                    <w:rPr>
                      <w:rFonts w:hint="eastAsia" w:hAnsi="宋体"/>
                      <w:b/>
                      <w:bCs/>
                      <w:color w:val="auto"/>
                      <w:kern w:val="0"/>
                      <w:szCs w:val="21"/>
                      <w:highlight w:val="none"/>
                    </w:rPr>
                    <w:t>污染物</w:t>
                  </w:r>
                </w:p>
              </w:tc>
              <w:tc>
                <w:tcPr>
                  <w:tcW w:w="1770" w:type="pct"/>
                  <w:vMerge w:val="restart"/>
                  <w:tcBorders>
                    <w:top w:val="single" w:color="auto" w:sz="12" w:space="0"/>
                    <w:left w:val="single" w:color="auto" w:sz="4" w:space="0"/>
                    <w:right w:val="single" w:color="auto" w:sz="4" w:space="0"/>
                  </w:tcBorders>
                  <w:vAlign w:val="center"/>
                </w:tcPr>
                <w:p w14:paraId="630A8C34">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r>
                    <w:rPr>
                      <w:rFonts w:hint="eastAsia" w:hAnsi="宋体"/>
                      <w:b/>
                      <w:bCs/>
                      <w:color w:val="auto"/>
                      <w:kern w:val="0"/>
                      <w:szCs w:val="21"/>
                      <w:highlight w:val="none"/>
                    </w:rPr>
                    <w:t>年评价指标</w:t>
                  </w:r>
                </w:p>
              </w:tc>
              <w:tc>
                <w:tcPr>
                  <w:tcW w:w="600" w:type="pct"/>
                  <w:vMerge w:val="restart"/>
                  <w:tcBorders>
                    <w:top w:val="single" w:color="auto" w:sz="12" w:space="0"/>
                    <w:left w:val="single" w:color="auto" w:sz="4" w:space="0"/>
                    <w:right w:val="single" w:color="auto" w:sz="4" w:space="0"/>
                  </w:tcBorders>
                  <w:vAlign w:val="center"/>
                </w:tcPr>
                <w:p w14:paraId="2DC7C1F1">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r>
                    <w:rPr>
                      <w:rFonts w:hint="eastAsia" w:hAnsi="宋体"/>
                      <w:b/>
                      <w:bCs/>
                      <w:color w:val="auto"/>
                      <w:kern w:val="0"/>
                      <w:szCs w:val="21"/>
                      <w:highlight w:val="none"/>
                    </w:rPr>
                    <w:t>现状浓度</w:t>
                  </w:r>
                </w:p>
                <w:p w14:paraId="756BFC43">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r>
                    <w:rPr>
                      <w:rFonts w:hint="eastAsia" w:hAnsi="宋体"/>
                      <w:b/>
                      <w:bCs/>
                      <w:color w:val="auto"/>
                      <w:kern w:val="0"/>
                      <w:szCs w:val="21"/>
                      <w:highlight w:val="none"/>
                    </w:rPr>
                    <w:t>（</w:t>
                  </w:r>
                  <w:r>
                    <w:rPr>
                      <w:rFonts w:hint="default"/>
                      <w:b/>
                      <w:bCs/>
                      <w:color w:val="auto"/>
                      <w:kern w:val="0"/>
                      <w:szCs w:val="21"/>
                      <w:highlight w:val="none"/>
                    </w:rPr>
                    <w:t>μg/m</w:t>
                  </w:r>
                  <w:r>
                    <w:rPr>
                      <w:rFonts w:hint="default"/>
                      <w:b/>
                      <w:bCs/>
                      <w:color w:val="auto"/>
                      <w:kern w:val="0"/>
                      <w:szCs w:val="21"/>
                      <w:highlight w:val="none"/>
                      <w:vertAlign w:val="superscript"/>
                    </w:rPr>
                    <w:t>3</w:t>
                  </w:r>
                  <w:r>
                    <w:rPr>
                      <w:rFonts w:hint="eastAsia" w:hAnsi="宋体"/>
                      <w:b/>
                      <w:bCs/>
                      <w:color w:val="auto"/>
                      <w:kern w:val="0"/>
                      <w:szCs w:val="21"/>
                      <w:highlight w:val="none"/>
                    </w:rPr>
                    <w:t>）</w:t>
                  </w:r>
                </w:p>
              </w:tc>
              <w:tc>
                <w:tcPr>
                  <w:tcW w:w="2196" w:type="pct"/>
                  <w:gridSpan w:val="3"/>
                  <w:tcBorders>
                    <w:top w:val="single" w:color="auto" w:sz="12" w:space="0"/>
                    <w:left w:val="single" w:color="auto" w:sz="4" w:space="0"/>
                    <w:bottom w:val="single" w:color="auto" w:sz="4" w:space="0"/>
                    <w:right w:val="nil"/>
                  </w:tcBorders>
                  <w:shd w:val="clear" w:color="auto" w:fill="auto"/>
                  <w:vAlign w:val="center"/>
                </w:tcPr>
                <w:p w14:paraId="29E5FB4E">
                  <w:pPr>
                    <w:keepNext w:val="0"/>
                    <w:keepLines w:val="0"/>
                    <w:widowControl/>
                    <w:suppressLineNumbers w:val="0"/>
                    <w:spacing w:before="0" w:beforeAutospacing="0" w:after="0" w:afterAutospacing="0" w:line="276" w:lineRule="auto"/>
                    <w:ind w:left="0" w:leftChars="0" w:right="0" w:rightChars="0"/>
                    <w:jc w:val="center"/>
                    <w:rPr>
                      <w:rFonts w:hint="default" w:hAnsi="宋体"/>
                      <w:b/>
                      <w:bCs/>
                      <w:color w:val="auto"/>
                      <w:kern w:val="0"/>
                      <w:szCs w:val="21"/>
                      <w:highlight w:val="none"/>
                      <w:lang w:val="en-US"/>
                    </w:rPr>
                  </w:pPr>
                  <w:r>
                    <w:rPr>
                      <w:rFonts w:hint="eastAsia" w:hAnsi="宋体"/>
                      <w:b/>
                      <w:bCs/>
                      <w:color w:val="auto"/>
                      <w:kern w:val="0"/>
                      <w:szCs w:val="21"/>
                      <w:highlight w:val="none"/>
                    </w:rPr>
                    <w:t>GB3095-</w:t>
                  </w:r>
                  <w:r>
                    <w:rPr>
                      <w:rFonts w:hint="eastAsia" w:hAnsi="宋体"/>
                      <w:b/>
                      <w:bCs/>
                      <w:color w:val="auto"/>
                      <w:kern w:val="0"/>
                      <w:szCs w:val="21"/>
                      <w:highlight w:val="none"/>
                      <w:lang w:val="en-US" w:eastAsia="zh-CN"/>
                    </w:rPr>
                    <w:t>2026过渡阶段</w:t>
                  </w:r>
                  <w:r>
                    <w:rPr>
                      <w:rFonts w:hint="eastAsia" w:hAnsi="宋体"/>
                      <w:b/>
                      <w:bCs/>
                      <w:color w:val="auto"/>
                      <w:kern w:val="0"/>
                      <w:szCs w:val="21"/>
                      <w:highlight w:val="none"/>
                    </w:rPr>
                    <w:t>二级</w:t>
                  </w:r>
                  <w:r>
                    <w:rPr>
                      <w:rFonts w:hint="eastAsia" w:hAnsi="宋体"/>
                      <w:b/>
                      <w:bCs/>
                      <w:color w:val="auto"/>
                      <w:kern w:val="0"/>
                      <w:szCs w:val="21"/>
                      <w:highlight w:val="none"/>
                      <w:lang w:val="en-US" w:eastAsia="zh-CN"/>
                    </w:rPr>
                    <w:t>浓度限值</w:t>
                  </w:r>
                </w:p>
              </w:tc>
            </w:tr>
            <w:tr w14:paraId="69C04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vMerge w:val="continue"/>
                  <w:tcBorders>
                    <w:left w:val="nil"/>
                    <w:bottom w:val="single" w:color="auto" w:sz="4" w:space="0"/>
                    <w:right w:val="single" w:color="auto" w:sz="4" w:space="0"/>
                  </w:tcBorders>
                  <w:vAlign w:val="center"/>
                </w:tcPr>
                <w:p w14:paraId="068A50FA">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p>
              </w:tc>
              <w:tc>
                <w:tcPr>
                  <w:tcW w:w="1770" w:type="pct"/>
                  <w:vMerge w:val="continue"/>
                  <w:tcBorders>
                    <w:left w:val="single" w:color="auto" w:sz="4" w:space="0"/>
                    <w:bottom w:val="single" w:color="auto" w:sz="4" w:space="0"/>
                    <w:right w:val="single" w:color="auto" w:sz="4" w:space="0"/>
                  </w:tcBorders>
                  <w:vAlign w:val="center"/>
                </w:tcPr>
                <w:p w14:paraId="48E2D1BD">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p>
              </w:tc>
              <w:tc>
                <w:tcPr>
                  <w:tcW w:w="600" w:type="pct"/>
                  <w:vMerge w:val="continue"/>
                  <w:tcBorders>
                    <w:left w:val="single" w:color="auto" w:sz="4" w:space="0"/>
                    <w:bottom w:val="single" w:color="auto" w:sz="4" w:space="0"/>
                    <w:right w:val="single" w:color="auto" w:sz="4" w:space="0"/>
                  </w:tcBorders>
                  <w:vAlign w:val="center"/>
                </w:tcPr>
                <w:p w14:paraId="3A9F1558">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p>
              </w:tc>
              <w:tc>
                <w:tcPr>
                  <w:tcW w:w="975" w:type="pct"/>
                  <w:tcBorders>
                    <w:top w:val="single" w:color="auto" w:sz="12" w:space="0"/>
                    <w:left w:val="single" w:color="auto" w:sz="4" w:space="0"/>
                    <w:bottom w:val="single" w:color="auto" w:sz="4" w:space="0"/>
                    <w:right w:val="nil"/>
                  </w:tcBorders>
                  <w:shd w:val="clear" w:color="auto" w:fill="auto"/>
                  <w:vAlign w:val="center"/>
                </w:tcPr>
                <w:p w14:paraId="4B2848AE">
                  <w:pPr>
                    <w:keepNext w:val="0"/>
                    <w:keepLines w:val="0"/>
                    <w:widowControl/>
                    <w:suppressLineNumbers w:val="0"/>
                    <w:spacing w:before="0" w:beforeAutospacing="0" w:after="0" w:afterAutospacing="0" w:line="276" w:lineRule="auto"/>
                    <w:ind w:left="0" w:right="0"/>
                    <w:jc w:val="center"/>
                    <w:rPr>
                      <w:rFonts w:hint="default"/>
                      <w:b/>
                      <w:bCs/>
                      <w:color w:val="auto"/>
                      <w:kern w:val="0"/>
                      <w:szCs w:val="21"/>
                      <w:highlight w:val="none"/>
                    </w:rPr>
                  </w:pPr>
                  <w:r>
                    <w:rPr>
                      <w:rFonts w:hint="eastAsia" w:hAnsi="宋体"/>
                      <w:b/>
                      <w:bCs/>
                      <w:color w:val="auto"/>
                      <w:kern w:val="0"/>
                      <w:szCs w:val="21"/>
                      <w:highlight w:val="none"/>
                    </w:rPr>
                    <w:t>标准值</w:t>
                  </w:r>
                </w:p>
                <w:p w14:paraId="1BB7162F">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
                      <w:bCs/>
                      <w:color w:val="auto"/>
                      <w:kern w:val="0"/>
                      <w:sz w:val="21"/>
                      <w:szCs w:val="21"/>
                      <w:highlight w:val="none"/>
                      <w:lang w:val="en-US" w:eastAsia="zh-CN" w:bidi="ar-SA"/>
                    </w:rPr>
                  </w:pPr>
                  <w:r>
                    <w:rPr>
                      <w:rFonts w:hint="eastAsia" w:hAnsi="宋体"/>
                      <w:b/>
                      <w:bCs/>
                      <w:color w:val="auto"/>
                      <w:kern w:val="0"/>
                      <w:szCs w:val="21"/>
                      <w:highlight w:val="none"/>
                    </w:rPr>
                    <w:t>（</w:t>
                  </w:r>
                  <w:r>
                    <w:rPr>
                      <w:rFonts w:hint="default"/>
                      <w:b/>
                      <w:bCs/>
                      <w:color w:val="auto"/>
                      <w:kern w:val="0"/>
                      <w:szCs w:val="21"/>
                      <w:highlight w:val="none"/>
                    </w:rPr>
                    <w:t>μg/m</w:t>
                  </w:r>
                  <w:r>
                    <w:rPr>
                      <w:rFonts w:hint="default"/>
                      <w:b/>
                      <w:bCs/>
                      <w:color w:val="auto"/>
                      <w:kern w:val="0"/>
                      <w:szCs w:val="21"/>
                      <w:highlight w:val="none"/>
                      <w:vertAlign w:val="superscript"/>
                    </w:rPr>
                    <w:t>3</w:t>
                  </w:r>
                  <w:r>
                    <w:rPr>
                      <w:rFonts w:hint="eastAsia" w:hAnsi="宋体"/>
                      <w:b/>
                      <w:bCs/>
                      <w:color w:val="auto"/>
                      <w:kern w:val="0"/>
                      <w:szCs w:val="21"/>
                      <w:highlight w:val="none"/>
                    </w:rPr>
                    <w:t>）</w:t>
                  </w:r>
                </w:p>
              </w:tc>
              <w:tc>
                <w:tcPr>
                  <w:tcW w:w="582" w:type="pct"/>
                  <w:tcBorders>
                    <w:top w:val="single" w:color="auto" w:sz="12" w:space="0"/>
                    <w:left w:val="single" w:color="auto" w:sz="4" w:space="0"/>
                    <w:bottom w:val="single" w:color="auto" w:sz="4" w:space="0"/>
                    <w:right w:val="nil"/>
                  </w:tcBorders>
                  <w:shd w:val="clear" w:color="auto" w:fill="auto"/>
                  <w:vAlign w:val="center"/>
                </w:tcPr>
                <w:p w14:paraId="641B70CC">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
                      <w:bCs/>
                      <w:color w:val="auto"/>
                      <w:kern w:val="0"/>
                      <w:sz w:val="21"/>
                      <w:szCs w:val="21"/>
                      <w:highlight w:val="none"/>
                      <w:lang w:val="en-US" w:eastAsia="zh-CN" w:bidi="ar-SA"/>
                    </w:rPr>
                  </w:pPr>
                  <w:r>
                    <w:rPr>
                      <w:rFonts w:hint="eastAsia" w:hAnsi="宋体"/>
                      <w:b/>
                      <w:bCs/>
                      <w:color w:val="auto"/>
                      <w:kern w:val="0"/>
                      <w:szCs w:val="21"/>
                      <w:highlight w:val="none"/>
                    </w:rPr>
                    <w:t>占标率（</w:t>
                  </w:r>
                  <w:r>
                    <w:rPr>
                      <w:rFonts w:hint="default"/>
                      <w:b/>
                      <w:bCs/>
                      <w:color w:val="auto"/>
                      <w:kern w:val="0"/>
                      <w:szCs w:val="21"/>
                      <w:highlight w:val="none"/>
                    </w:rPr>
                    <w:t>%</w:t>
                  </w:r>
                  <w:r>
                    <w:rPr>
                      <w:rFonts w:hint="eastAsia" w:hAnsi="宋体"/>
                      <w:b/>
                      <w:bCs/>
                      <w:color w:val="auto"/>
                      <w:kern w:val="0"/>
                      <w:szCs w:val="21"/>
                      <w:highlight w:val="none"/>
                    </w:rPr>
                    <w:t>）</w:t>
                  </w:r>
                </w:p>
              </w:tc>
              <w:tc>
                <w:tcPr>
                  <w:tcW w:w="638" w:type="pct"/>
                  <w:tcBorders>
                    <w:top w:val="single" w:color="auto" w:sz="12" w:space="0"/>
                    <w:left w:val="single" w:color="auto" w:sz="4" w:space="0"/>
                    <w:bottom w:val="single" w:color="auto" w:sz="4" w:space="0"/>
                    <w:right w:val="nil"/>
                  </w:tcBorders>
                  <w:shd w:val="clear" w:color="auto" w:fill="auto"/>
                  <w:vAlign w:val="center"/>
                </w:tcPr>
                <w:p w14:paraId="476E0A2E">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
                      <w:bCs/>
                      <w:color w:val="auto"/>
                      <w:kern w:val="0"/>
                      <w:sz w:val="21"/>
                      <w:szCs w:val="21"/>
                      <w:highlight w:val="none"/>
                      <w:lang w:val="en-US" w:eastAsia="zh-CN" w:bidi="ar-SA"/>
                    </w:rPr>
                  </w:pPr>
                  <w:r>
                    <w:rPr>
                      <w:rFonts w:hint="eastAsia" w:hAnsi="宋体"/>
                      <w:b/>
                      <w:bCs/>
                      <w:color w:val="auto"/>
                      <w:kern w:val="0"/>
                      <w:szCs w:val="21"/>
                      <w:highlight w:val="none"/>
                    </w:rPr>
                    <w:t>达标情况</w:t>
                  </w:r>
                </w:p>
              </w:tc>
            </w:tr>
            <w:tr w14:paraId="08620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tcBorders>
                    <w:top w:val="single" w:color="auto" w:sz="4" w:space="0"/>
                    <w:left w:val="nil"/>
                    <w:bottom w:val="single" w:color="auto" w:sz="4" w:space="0"/>
                    <w:right w:val="single" w:color="auto" w:sz="4" w:space="0"/>
                  </w:tcBorders>
                  <w:vAlign w:val="center"/>
                </w:tcPr>
                <w:p w14:paraId="5DFB632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SO</w:t>
                  </w:r>
                  <w:r>
                    <w:rPr>
                      <w:rFonts w:hint="default"/>
                      <w:bCs/>
                      <w:color w:val="auto"/>
                      <w:kern w:val="0"/>
                      <w:szCs w:val="21"/>
                      <w:highlight w:val="none"/>
                      <w:vertAlign w:val="subscript"/>
                    </w:rPr>
                    <w:t>2</w:t>
                  </w:r>
                </w:p>
              </w:tc>
              <w:tc>
                <w:tcPr>
                  <w:tcW w:w="1770" w:type="pct"/>
                  <w:tcBorders>
                    <w:top w:val="single" w:color="auto" w:sz="4" w:space="0"/>
                    <w:left w:val="single" w:color="auto" w:sz="4" w:space="0"/>
                    <w:bottom w:val="single" w:color="auto" w:sz="4" w:space="0"/>
                    <w:right w:val="single" w:color="auto" w:sz="4" w:space="0"/>
                  </w:tcBorders>
                  <w:vAlign w:val="center"/>
                </w:tcPr>
                <w:p w14:paraId="33006FA0">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hAnsi="宋体"/>
                      <w:bCs/>
                      <w:color w:val="auto"/>
                      <w:kern w:val="0"/>
                      <w:szCs w:val="21"/>
                      <w:highlight w:val="none"/>
                    </w:rPr>
                    <w:t>年平均质量浓度</w:t>
                  </w:r>
                </w:p>
              </w:tc>
              <w:tc>
                <w:tcPr>
                  <w:tcW w:w="600" w:type="pct"/>
                  <w:tcBorders>
                    <w:top w:val="single" w:color="auto" w:sz="4" w:space="0"/>
                    <w:left w:val="single" w:color="auto" w:sz="4" w:space="0"/>
                    <w:bottom w:val="single" w:color="auto" w:sz="4" w:space="0"/>
                    <w:right w:val="single" w:color="auto" w:sz="4" w:space="0"/>
                  </w:tcBorders>
                  <w:vAlign w:val="center"/>
                </w:tcPr>
                <w:p w14:paraId="76C15158">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7</w:t>
                  </w:r>
                </w:p>
              </w:tc>
              <w:tc>
                <w:tcPr>
                  <w:tcW w:w="975" w:type="pct"/>
                  <w:tcBorders>
                    <w:top w:val="single" w:color="auto" w:sz="4" w:space="0"/>
                    <w:left w:val="single" w:color="auto" w:sz="4" w:space="0"/>
                    <w:bottom w:val="single" w:color="auto" w:sz="4" w:space="0"/>
                    <w:right w:val="nil"/>
                  </w:tcBorders>
                  <w:shd w:val="clear" w:color="auto" w:fill="auto"/>
                  <w:vAlign w:val="center"/>
                </w:tcPr>
                <w:p w14:paraId="1CAF0753">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default"/>
                      <w:bCs/>
                      <w:color w:val="auto"/>
                      <w:kern w:val="0"/>
                      <w:szCs w:val="21"/>
                      <w:highlight w:val="none"/>
                    </w:rPr>
                    <w:t>60</w:t>
                  </w:r>
                </w:p>
              </w:tc>
              <w:tc>
                <w:tcPr>
                  <w:tcW w:w="582" w:type="pct"/>
                  <w:tcBorders>
                    <w:top w:val="single" w:color="auto" w:sz="4" w:space="0"/>
                    <w:left w:val="single" w:color="auto" w:sz="4" w:space="0"/>
                    <w:bottom w:val="single" w:color="auto" w:sz="4" w:space="0"/>
                    <w:right w:val="nil"/>
                  </w:tcBorders>
                  <w:shd w:val="clear" w:color="auto" w:fill="auto"/>
                  <w:vAlign w:val="center"/>
                </w:tcPr>
                <w:p w14:paraId="1FFF3948">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11.7</w:t>
                  </w:r>
                </w:p>
              </w:tc>
              <w:tc>
                <w:tcPr>
                  <w:tcW w:w="638" w:type="pct"/>
                  <w:tcBorders>
                    <w:top w:val="single" w:color="auto" w:sz="4" w:space="0"/>
                    <w:left w:val="single" w:color="auto" w:sz="4" w:space="0"/>
                    <w:bottom w:val="single" w:color="auto" w:sz="4" w:space="0"/>
                    <w:right w:val="nil"/>
                  </w:tcBorders>
                  <w:shd w:val="clear" w:color="auto" w:fill="auto"/>
                  <w:vAlign w:val="center"/>
                </w:tcPr>
                <w:p w14:paraId="1D0C1718">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eastAsia" w:hAnsi="宋体"/>
                      <w:bCs/>
                      <w:color w:val="auto"/>
                      <w:kern w:val="0"/>
                      <w:szCs w:val="21"/>
                      <w:highlight w:val="none"/>
                    </w:rPr>
                    <w:t>达标</w:t>
                  </w:r>
                </w:p>
              </w:tc>
            </w:tr>
            <w:tr w14:paraId="46A504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1" w:hRule="atLeast"/>
              </w:trPr>
              <w:tc>
                <w:tcPr>
                  <w:tcW w:w="432" w:type="pct"/>
                  <w:tcBorders>
                    <w:top w:val="single" w:color="auto" w:sz="4" w:space="0"/>
                    <w:left w:val="nil"/>
                    <w:bottom w:val="single" w:color="auto" w:sz="4" w:space="0"/>
                    <w:right w:val="single" w:color="auto" w:sz="4" w:space="0"/>
                  </w:tcBorders>
                  <w:vAlign w:val="center"/>
                </w:tcPr>
                <w:p w14:paraId="3F07B710">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NO</w:t>
                  </w:r>
                  <w:r>
                    <w:rPr>
                      <w:rFonts w:hint="default"/>
                      <w:bCs/>
                      <w:color w:val="auto"/>
                      <w:kern w:val="0"/>
                      <w:szCs w:val="21"/>
                      <w:highlight w:val="none"/>
                      <w:vertAlign w:val="subscript"/>
                    </w:rPr>
                    <w:t>2</w:t>
                  </w:r>
                </w:p>
              </w:tc>
              <w:tc>
                <w:tcPr>
                  <w:tcW w:w="1770" w:type="pct"/>
                  <w:tcBorders>
                    <w:top w:val="single" w:color="auto" w:sz="4" w:space="0"/>
                    <w:left w:val="single" w:color="auto" w:sz="4" w:space="0"/>
                    <w:bottom w:val="single" w:color="auto" w:sz="4" w:space="0"/>
                    <w:right w:val="single" w:color="auto" w:sz="4" w:space="0"/>
                  </w:tcBorders>
                  <w:vAlign w:val="center"/>
                </w:tcPr>
                <w:p w14:paraId="282E1DC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hAnsi="宋体"/>
                      <w:bCs/>
                      <w:color w:val="auto"/>
                      <w:kern w:val="0"/>
                      <w:szCs w:val="21"/>
                      <w:highlight w:val="none"/>
                    </w:rPr>
                    <w:t>年平均质量浓度</w:t>
                  </w:r>
                </w:p>
              </w:tc>
              <w:tc>
                <w:tcPr>
                  <w:tcW w:w="600" w:type="pct"/>
                  <w:tcBorders>
                    <w:top w:val="single" w:color="auto" w:sz="4" w:space="0"/>
                    <w:left w:val="single" w:color="auto" w:sz="4" w:space="0"/>
                    <w:bottom w:val="single" w:color="auto" w:sz="4" w:space="0"/>
                    <w:right w:val="single" w:color="auto" w:sz="4" w:space="0"/>
                  </w:tcBorders>
                  <w:vAlign w:val="center"/>
                </w:tcPr>
                <w:p w14:paraId="7412363E">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18</w:t>
                  </w:r>
                </w:p>
              </w:tc>
              <w:tc>
                <w:tcPr>
                  <w:tcW w:w="975" w:type="pct"/>
                  <w:tcBorders>
                    <w:top w:val="single" w:color="auto" w:sz="4" w:space="0"/>
                    <w:left w:val="single" w:color="auto" w:sz="4" w:space="0"/>
                    <w:bottom w:val="single" w:color="auto" w:sz="4" w:space="0"/>
                    <w:right w:val="nil"/>
                  </w:tcBorders>
                  <w:shd w:val="clear" w:color="auto" w:fill="auto"/>
                  <w:vAlign w:val="center"/>
                </w:tcPr>
                <w:p w14:paraId="1DA1B7F4">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default"/>
                      <w:bCs/>
                      <w:color w:val="auto"/>
                      <w:kern w:val="0"/>
                      <w:szCs w:val="21"/>
                      <w:highlight w:val="none"/>
                    </w:rPr>
                    <w:t>40</w:t>
                  </w:r>
                </w:p>
              </w:tc>
              <w:tc>
                <w:tcPr>
                  <w:tcW w:w="582" w:type="pct"/>
                  <w:tcBorders>
                    <w:top w:val="single" w:color="auto" w:sz="4" w:space="0"/>
                    <w:left w:val="single" w:color="auto" w:sz="4" w:space="0"/>
                    <w:bottom w:val="single" w:color="auto" w:sz="4" w:space="0"/>
                    <w:right w:val="nil"/>
                  </w:tcBorders>
                  <w:shd w:val="clear" w:color="auto" w:fill="auto"/>
                  <w:vAlign w:val="center"/>
                </w:tcPr>
                <w:p w14:paraId="6E5655B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45</w:t>
                  </w:r>
                </w:p>
              </w:tc>
              <w:tc>
                <w:tcPr>
                  <w:tcW w:w="638" w:type="pct"/>
                  <w:tcBorders>
                    <w:top w:val="single" w:color="auto" w:sz="4" w:space="0"/>
                    <w:left w:val="single" w:color="auto" w:sz="4" w:space="0"/>
                    <w:bottom w:val="single" w:color="auto" w:sz="4" w:space="0"/>
                    <w:right w:val="nil"/>
                  </w:tcBorders>
                  <w:shd w:val="clear" w:color="auto" w:fill="auto"/>
                  <w:vAlign w:val="center"/>
                </w:tcPr>
                <w:p w14:paraId="095C2B74">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eastAsia" w:hAnsi="宋体"/>
                      <w:bCs/>
                      <w:color w:val="auto"/>
                      <w:kern w:val="0"/>
                      <w:szCs w:val="21"/>
                      <w:highlight w:val="none"/>
                    </w:rPr>
                    <w:t>达标</w:t>
                  </w:r>
                </w:p>
              </w:tc>
            </w:tr>
            <w:tr w14:paraId="290E4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tcBorders>
                    <w:top w:val="single" w:color="auto" w:sz="4" w:space="0"/>
                    <w:left w:val="nil"/>
                    <w:bottom w:val="single" w:color="auto" w:sz="4" w:space="0"/>
                    <w:right w:val="single" w:color="auto" w:sz="4" w:space="0"/>
                  </w:tcBorders>
                  <w:vAlign w:val="center"/>
                </w:tcPr>
                <w:p w14:paraId="01A7E88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PM</w:t>
                  </w:r>
                  <w:r>
                    <w:rPr>
                      <w:rFonts w:hint="default"/>
                      <w:bCs/>
                      <w:color w:val="auto"/>
                      <w:kern w:val="0"/>
                      <w:szCs w:val="21"/>
                      <w:highlight w:val="none"/>
                      <w:vertAlign w:val="subscript"/>
                    </w:rPr>
                    <w:t>10</w:t>
                  </w:r>
                </w:p>
              </w:tc>
              <w:tc>
                <w:tcPr>
                  <w:tcW w:w="1770" w:type="pct"/>
                  <w:tcBorders>
                    <w:top w:val="single" w:color="auto" w:sz="4" w:space="0"/>
                    <w:left w:val="single" w:color="auto" w:sz="4" w:space="0"/>
                    <w:bottom w:val="single" w:color="auto" w:sz="4" w:space="0"/>
                    <w:right w:val="single" w:color="auto" w:sz="4" w:space="0"/>
                  </w:tcBorders>
                  <w:vAlign w:val="center"/>
                </w:tcPr>
                <w:p w14:paraId="48823CA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hAnsi="宋体"/>
                      <w:bCs/>
                      <w:color w:val="auto"/>
                      <w:kern w:val="0"/>
                      <w:szCs w:val="21"/>
                      <w:highlight w:val="none"/>
                    </w:rPr>
                    <w:t>年平均质量浓度</w:t>
                  </w:r>
                </w:p>
              </w:tc>
              <w:tc>
                <w:tcPr>
                  <w:tcW w:w="600" w:type="pct"/>
                  <w:tcBorders>
                    <w:top w:val="single" w:color="auto" w:sz="4" w:space="0"/>
                    <w:left w:val="single" w:color="auto" w:sz="4" w:space="0"/>
                    <w:bottom w:val="single" w:color="auto" w:sz="4" w:space="0"/>
                    <w:right w:val="single" w:color="auto" w:sz="4" w:space="0"/>
                  </w:tcBorders>
                  <w:vAlign w:val="center"/>
                </w:tcPr>
                <w:p w14:paraId="0EBD5292">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61</w:t>
                  </w:r>
                </w:p>
              </w:tc>
              <w:tc>
                <w:tcPr>
                  <w:tcW w:w="975" w:type="pct"/>
                  <w:tcBorders>
                    <w:top w:val="single" w:color="auto" w:sz="4" w:space="0"/>
                    <w:left w:val="single" w:color="auto" w:sz="4" w:space="0"/>
                    <w:bottom w:val="single" w:color="auto" w:sz="4" w:space="0"/>
                    <w:right w:val="nil"/>
                  </w:tcBorders>
                  <w:shd w:val="clear" w:color="auto" w:fill="auto"/>
                  <w:vAlign w:val="center"/>
                </w:tcPr>
                <w:p w14:paraId="293B0C28">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szCs w:val="21"/>
                      <w:highlight w:val="none"/>
                      <w:lang w:val="en-US" w:eastAsia="zh-CN"/>
                    </w:rPr>
                    <w:t>60</w:t>
                  </w:r>
                </w:p>
              </w:tc>
              <w:tc>
                <w:tcPr>
                  <w:tcW w:w="582" w:type="pct"/>
                  <w:tcBorders>
                    <w:top w:val="single" w:color="auto" w:sz="4" w:space="0"/>
                    <w:left w:val="single" w:color="auto" w:sz="4" w:space="0"/>
                    <w:bottom w:val="single" w:color="auto" w:sz="4" w:space="0"/>
                    <w:right w:val="nil"/>
                  </w:tcBorders>
                  <w:shd w:val="clear" w:color="auto" w:fill="auto"/>
                  <w:vAlign w:val="center"/>
                </w:tcPr>
                <w:p w14:paraId="44FA6735">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101.7</w:t>
                  </w:r>
                </w:p>
              </w:tc>
              <w:tc>
                <w:tcPr>
                  <w:tcW w:w="638" w:type="pct"/>
                  <w:tcBorders>
                    <w:top w:val="single" w:color="auto" w:sz="4" w:space="0"/>
                    <w:left w:val="single" w:color="auto" w:sz="4" w:space="0"/>
                    <w:bottom w:val="single" w:color="auto" w:sz="4" w:space="0"/>
                    <w:right w:val="nil"/>
                  </w:tcBorders>
                  <w:shd w:val="clear" w:color="auto" w:fill="auto"/>
                  <w:vAlign w:val="center"/>
                </w:tcPr>
                <w:p w14:paraId="3BDC1E14">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szCs w:val="21"/>
                      <w:highlight w:val="none"/>
                      <w:lang w:val="en-US" w:eastAsia="zh-CN"/>
                    </w:rPr>
                    <w:t>不</w:t>
                  </w:r>
                  <w:r>
                    <w:rPr>
                      <w:rFonts w:hint="default"/>
                      <w:bCs/>
                      <w:color w:val="auto"/>
                      <w:kern w:val="0"/>
                      <w:szCs w:val="21"/>
                      <w:highlight w:val="none"/>
                    </w:rPr>
                    <w:t>达标</w:t>
                  </w:r>
                </w:p>
              </w:tc>
            </w:tr>
            <w:tr w14:paraId="2A754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tcBorders>
                    <w:top w:val="single" w:color="auto" w:sz="4" w:space="0"/>
                    <w:left w:val="nil"/>
                    <w:bottom w:val="single" w:color="auto" w:sz="4" w:space="0"/>
                    <w:right w:val="single" w:color="auto" w:sz="4" w:space="0"/>
                  </w:tcBorders>
                  <w:vAlign w:val="center"/>
                </w:tcPr>
                <w:p w14:paraId="2FF2453B">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PM</w:t>
                  </w:r>
                  <w:r>
                    <w:rPr>
                      <w:rFonts w:hint="default"/>
                      <w:bCs/>
                      <w:color w:val="auto"/>
                      <w:kern w:val="0"/>
                      <w:szCs w:val="21"/>
                      <w:highlight w:val="none"/>
                      <w:vertAlign w:val="subscript"/>
                    </w:rPr>
                    <w:t>2.5</w:t>
                  </w:r>
                </w:p>
              </w:tc>
              <w:tc>
                <w:tcPr>
                  <w:tcW w:w="1770" w:type="pct"/>
                  <w:tcBorders>
                    <w:top w:val="single" w:color="auto" w:sz="4" w:space="0"/>
                    <w:left w:val="single" w:color="auto" w:sz="4" w:space="0"/>
                    <w:bottom w:val="single" w:color="auto" w:sz="4" w:space="0"/>
                    <w:right w:val="single" w:color="auto" w:sz="4" w:space="0"/>
                  </w:tcBorders>
                  <w:vAlign w:val="center"/>
                </w:tcPr>
                <w:p w14:paraId="5991E12C">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hAnsi="宋体"/>
                      <w:bCs/>
                      <w:color w:val="auto"/>
                      <w:kern w:val="0"/>
                      <w:szCs w:val="21"/>
                      <w:highlight w:val="none"/>
                    </w:rPr>
                    <w:t>年平均质量浓度</w:t>
                  </w:r>
                </w:p>
              </w:tc>
              <w:tc>
                <w:tcPr>
                  <w:tcW w:w="600" w:type="pct"/>
                  <w:tcBorders>
                    <w:top w:val="single" w:color="auto" w:sz="4" w:space="0"/>
                    <w:left w:val="single" w:color="auto" w:sz="4" w:space="0"/>
                    <w:bottom w:val="single" w:color="auto" w:sz="4" w:space="0"/>
                    <w:right w:val="single" w:color="auto" w:sz="4" w:space="0"/>
                  </w:tcBorders>
                  <w:vAlign w:val="center"/>
                </w:tcPr>
                <w:p w14:paraId="0D93B985">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37.1</w:t>
                  </w:r>
                </w:p>
              </w:tc>
              <w:tc>
                <w:tcPr>
                  <w:tcW w:w="975" w:type="pct"/>
                  <w:tcBorders>
                    <w:top w:val="single" w:color="auto" w:sz="4" w:space="0"/>
                    <w:left w:val="single" w:color="auto" w:sz="4" w:space="0"/>
                    <w:bottom w:val="single" w:color="auto" w:sz="4" w:space="0"/>
                    <w:right w:val="nil"/>
                  </w:tcBorders>
                  <w:shd w:val="clear" w:color="auto" w:fill="auto"/>
                  <w:vAlign w:val="center"/>
                </w:tcPr>
                <w:p w14:paraId="0987FC82">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bCs/>
                      <w:color w:val="auto"/>
                      <w:kern w:val="0"/>
                      <w:szCs w:val="21"/>
                      <w:highlight w:val="none"/>
                      <w:lang w:val="en-US" w:eastAsia="zh-CN"/>
                    </w:rPr>
                    <w:t>30</w:t>
                  </w:r>
                </w:p>
              </w:tc>
              <w:tc>
                <w:tcPr>
                  <w:tcW w:w="582" w:type="pct"/>
                  <w:tcBorders>
                    <w:top w:val="single" w:color="auto" w:sz="4" w:space="0"/>
                    <w:left w:val="single" w:color="auto" w:sz="4" w:space="0"/>
                    <w:bottom w:val="single" w:color="auto" w:sz="4" w:space="0"/>
                    <w:right w:val="nil"/>
                  </w:tcBorders>
                  <w:shd w:val="clear" w:color="auto" w:fill="auto"/>
                  <w:vAlign w:val="center"/>
                </w:tcPr>
                <w:p w14:paraId="0284C666">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123.7</w:t>
                  </w:r>
                </w:p>
              </w:tc>
              <w:tc>
                <w:tcPr>
                  <w:tcW w:w="638" w:type="pct"/>
                  <w:tcBorders>
                    <w:top w:val="single" w:color="auto" w:sz="4" w:space="0"/>
                    <w:left w:val="single" w:color="auto" w:sz="4" w:space="0"/>
                    <w:bottom w:val="single" w:color="auto" w:sz="4" w:space="0"/>
                    <w:right w:val="nil"/>
                  </w:tcBorders>
                  <w:shd w:val="clear" w:color="auto" w:fill="auto"/>
                  <w:vAlign w:val="center"/>
                </w:tcPr>
                <w:p w14:paraId="0D2F39AF">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eastAsia"/>
                      <w:bCs/>
                      <w:color w:val="auto"/>
                      <w:kern w:val="0"/>
                      <w:szCs w:val="21"/>
                      <w:highlight w:val="none"/>
                      <w:lang w:val="en-US" w:eastAsia="zh-CN"/>
                    </w:rPr>
                    <w:t>不达标</w:t>
                  </w:r>
                </w:p>
              </w:tc>
            </w:tr>
            <w:tr w14:paraId="65DC2F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c>
                <w:tcPr>
                  <w:tcW w:w="432" w:type="pct"/>
                  <w:tcBorders>
                    <w:top w:val="single" w:color="auto" w:sz="4" w:space="0"/>
                    <w:left w:val="nil"/>
                    <w:bottom w:val="single" w:color="auto" w:sz="4" w:space="0"/>
                    <w:right w:val="single" w:color="auto" w:sz="4" w:space="0"/>
                  </w:tcBorders>
                  <w:vAlign w:val="center"/>
                </w:tcPr>
                <w:p w14:paraId="70451F14">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CO</w:t>
                  </w:r>
                </w:p>
              </w:tc>
              <w:tc>
                <w:tcPr>
                  <w:tcW w:w="1770" w:type="pct"/>
                  <w:tcBorders>
                    <w:top w:val="single" w:color="auto" w:sz="4" w:space="0"/>
                    <w:left w:val="single" w:color="auto" w:sz="4" w:space="0"/>
                    <w:bottom w:val="single" w:color="auto" w:sz="4" w:space="0"/>
                    <w:right w:val="single" w:color="auto" w:sz="4" w:space="0"/>
                  </w:tcBorders>
                  <w:vAlign w:val="center"/>
                </w:tcPr>
                <w:p w14:paraId="4C2BC8E8">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hAnsi="宋体"/>
                      <w:bCs/>
                      <w:color w:val="auto"/>
                      <w:kern w:val="0"/>
                      <w:szCs w:val="21"/>
                      <w:highlight w:val="none"/>
                    </w:rPr>
                    <w:t>第</w:t>
                  </w:r>
                  <w:r>
                    <w:rPr>
                      <w:rFonts w:hint="default"/>
                      <w:bCs/>
                      <w:color w:val="auto"/>
                      <w:kern w:val="0"/>
                      <w:szCs w:val="21"/>
                      <w:highlight w:val="none"/>
                    </w:rPr>
                    <w:t>95</w:t>
                  </w:r>
                  <w:r>
                    <w:rPr>
                      <w:rFonts w:hint="eastAsia" w:hAnsi="宋体"/>
                      <w:bCs/>
                      <w:color w:val="auto"/>
                      <w:kern w:val="0"/>
                      <w:szCs w:val="21"/>
                      <w:highlight w:val="none"/>
                    </w:rPr>
                    <w:t>百分位数日平均质量浓度</w:t>
                  </w:r>
                </w:p>
              </w:tc>
              <w:tc>
                <w:tcPr>
                  <w:tcW w:w="600" w:type="pct"/>
                  <w:tcBorders>
                    <w:top w:val="single" w:color="auto" w:sz="4" w:space="0"/>
                    <w:left w:val="single" w:color="auto" w:sz="4" w:space="0"/>
                    <w:bottom w:val="single" w:color="auto" w:sz="4" w:space="0"/>
                    <w:right w:val="single" w:color="auto" w:sz="4" w:space="0"/>
                  </w:tcBorders>
                  <w:vAlign w:val="center"/>
                </w:tcPr>
                <w:p w14:paraId="654D9799">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800</w:t>
                  </w:r>
                </w:p>
              </w:tc>
              <w:tc>
                <w:tcPr>
                  <w:tcW w:w="975" w:type="pct"/>
                  <w:tcBorders>
                    <w:top w:val="single" w:color="auto" w:sz="4" w:space="0"/>
                    <w:left w:val="single" w:color="auto" w:sz="4" w:space="0"/>
                    <w:bottom w:val="single" w:color="auto" w:sz="4" w:space="0"/>
                    <w:right w:val="nil"/>
                  </w:tcBorders>
                  <w:shd w:val="clear" w:color="auto" w:fill="auto"/>
                  <w:vAlign w:val="center"/>
                </w:tcPr>
                <w:p w14:paraId="552672DA">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default"/>
                      <w:bCs/>
                      <w:color w:val="auto"/>
                      <w:kern w:val="0"/>
                      <w:szCs w:val="21"/>
                      <w:highlight w:val="none"/>
                    </w:rPr>
                    <w:t>4000</w:t>
                  </w:r>
                </w:p>
              </w:tc>
              <w:tc>
                <w:tcPr>
                  <w:tcW w:w="582" w:type="pct"/>
                  <w:tcBorders>
                    <w:top w:val="single" w:color="auto" w:sz="4" w:space="0"/>
                    <w:left w:val="single" w:color="auto" w:sz="4" w:space="0"/>
                    <w:bottom w:val="single" w:color="auto" w:sz="4" w:space="0"/>
                    <w:right w:val="nil"/>
                  </w:tcBorders>
                  <w:shd w:val="clear" w:color="auto" w:fill="auto"/>
                  <w:vAlign w:val="center"/>
                </w:tcPr>
                <w:p w14:paraId="6F89FDA1">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20</w:t>
                  </w:r>
                </w:p>
              </w:tc>
              <w:tc>
                <w:tcPr>
                  <w:tcW w:w="638" w:type="pct"/>
                  <w:tcBorders>
                    <w:top w:val="single" w:color="auto" w:sz="4" w:space="0"/>
                    <w:left w:val="single" w:color="auto" w:sz="4" w:space="0"/>
                    <w:bottom w:val="single" w:color="auto" w:sz="4" w:space="0"/>
                    <w:right w:val="nil"/>
                  </w:tcBorders>
                  <w:shd w:val="clear" w:color="auto" w:fill="auto"/>
                  <w:vAlign w:val="center"/>
                </w:tcPr>
                <w:p w14:paraId="2E3CDF20">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eastAsia" w:hAnsi="宋体"/>
                      <w:bCs/>
                      <w:color w:val="auto"/>
                      <w:kern w:val="0"/>
                      <w:szCs w:val="21"/>
                      <w:highlight w:val="none"/>
                    </w:rPr>
                    <w:t>达标</w:t>
                  </w:r>
                </w:p>
              </w:tc>
            </w:tr>
            <w:tr w14:paraId="4AD19E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432" w:type="pct"/>
                  <w:tcBorders>
                    <w:top w:val="single" w:color="auto" w:sz="4" w:space="0"/>
                    <w:left w:val="nil"/>
                    <w:bottom w:val="single" w:color="auto" w:sz="12" w:space="0"/>
                    <w:right w:val="single" w:color="auto" w:sz="4" w:space="0"/>
                  </w:tcBorders>
                  <w:vAlign w:val="center"/>
                </w:tcPr>
                <w:p w14:paraId="226480B2">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O</w:t>
                  </w:r>
                  <w:r>
                    <w:rPr>
                      <w:rFonts w:hint="default"/>
                      <w:bCs/>
                      <w:color w:val="auto"/>
                      <w:kern w:val="0"/>
                      <w:szCs w:val="21"/>
                      <w:highlight w:val="none"/>
                      <w:vertAlign w:val="subscript"/>
                    </w:rPr>
                    <w:t>3</w:t>
                  </w:r>
                </w:p>
              </w:tc>
              <w:tc>
                <w:tcPr>
                  <w:tcW w:w="1770" w:type="pct"/>
                  <w:tcBorders>
                    <w:top w:val="single" w:color="auto" w:sz="4" w:space="0"/>
                    <w:left w:val="single" w:color="auto" w:sz="4" w:space="0"/>
                    <w:bottom w:val="single" w:color="auto" w:sz="12" w:space="0"/>
                    <w:right w:val="single" w:color="auto" w:sz="4" w:space="0"/>
                  </w:tcBorders>
                  <w:vAlign w:val="center"/>
                </w:tcPr>
                <w:p w14:paraId="5886C64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bCs/>
                      <w:color w:val="auto"/>
                      <w:szCs w:val="21"/>
                      <w:highlight w:val="none"/>
                    </w:rPr>
                    <w:t>第</w:t>
                  </w:r>
                  <w:r>
                    <w:rPr>
                      <w:rFonts w:hint="default"/>
                      <w:bCs/>
                      <w:color w:val="auto"/>
                      <w:szCs w:val="21"/>
                      <w:highlight w:val="none"/>
                    </w:rPr>
                    <w:t>90</w:t>
                  </w:r>
                  <w:r>
                    <w:rPr>
                      <w:rFonts w:hint="eastAsia"/>
                      <w:bCs/>
                      <w:color w:val="auto"/>
                      <w:szCs w:val="21"/>
                      <w:highlight w:val="none"/>
                    </w:rPr>
                    <w:t>百分位数</w:t>
                  </w:r>
                  <w:r>
                    <w:rPr>
                      <w:rFonts w:hint="eastAsia" w:hAnsi="宋体"/>
                      <w:bCs/>
                      <w:color w:val="auto"/>
                      <w:kern w:val="0"/>
                      <w:szCs w:val="21"/>
                      <w:highlight w:val="none"/>
                    </w:rPr>
                    <w:t>日平均质量浓度</w:t>
                  </w:r>
                </w:p>
              </w:tc>
              <w:tc>
                <w:tcPr>
                  <w:tcW w:w="600" w:type="pct"/>
                  <w:tcBorders>
                    <w:top w:val="single" w:color="auto" w:sz="4" w:space="0"/>
                    <w:left w:val="single" w:color="auto" w:sz="4" w:space="0"/>
                    <w:bottom w:val="single" w:color="auto" w:sz="12" w:space="0"/>
                    <w:right w:val="single" w:color="auto" w:sz="4" w:space="0"/>
                  </w:tcBorders>
                  <w:vAlign w:val="center"/>
                </w:tcPr>
                <w:p w14:paraId="10B55A8F">
                  <w:pPr>
                    <w:keepNext w:val="0"/>
                    <w:keepLines w:val="0"/>
                    <w:widowControl/>
                    <w:suppressLineNumbers w:val="0"/>
                    <w:spacing w:before="0" w:beforeAutospacing="0" w:after="0" w:afterAutospacing="0" w:line="276" w:lineRule="auto"/>
                    <w:ind w:left="0" w:right="0"/>
                    <w:jc w:val="center"/>
                    <w:rPr>
                      <w:rFonts w:hint="default" w:eastAsia="宋体"/>
                      <w:bCs/>
                      <w:color w:val="auto"/>
                      <w:kern w:val="0"/>
                      <w:szCs w:val="21"/>
                      <w:highlight w:val="none"/>
                      <w:lang w:val="en-US" w:eastAsia="zh-CN"/>
                    </w:rPr>
                  </w:pPr>
                  <w:r>
                    <w:rPr>
                      <w:rFonts w:hint="eastAsia"/>
                      <w:bCs/>
                      <w:color w:val="auto"/>
                      <w:kern w:val="0"/>
                      <w:szCs w:val="21"/>
                      <w:highlight w:val="none"/>
                      <w:lang w:val="en-US" w:eastAsia="zh-CN"/>
                    </w:rPr>
                    <w:t>149</w:t>
                  </w:r>
                </w:p>
              </w:tc>
              <w:tc>
                <w:tcPr>
                  <w:tcW w:w="975" w:type="pct"/>
                  <w:tcBorders>
                    <w:top w:val="single" w:color="auto" w:sz="4" w:space="0"/>
                    <w:left w:val="single" w:color="auto" w:sz="4" w:space="0"/>
                    <w:bottom w:val="single" w:color="auto" w:sz="12" w:space="0"/>
                    <w:right w:val="nil"/>
                  </w:tcBorders>
                  <w:shd w:val="clear" w:color="auto" w:fill="auto"/>
                  <w:vAlign w:val="center"/>
                </w:tcPr>
                <w:p w14:paraId="77F04184">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default"/>
                      <w:bCs/>
                      <w:color w:val="auto"/>
                      <w:kern w:val="0"/>
                      <w:szCs w:val="21"/>
                      <w:highlight w:val="none"/>
                    </w:rPr>
                    <w:t>160</w:t>
                  </w:r>
                </w:p>
              </w:tc>
              <w:tc>
                <w:tcPr>
                  <w:tcW w:w="582" w:type="pct"/>
                  <w:tcBorders>
                    <w:top w:val="single" w:color="auto" w:sz="4" w:space="0"/>
                    <w:left w:val="single" w:color="auto" w:sz="4" w:space="0"/>
                    <w:bottom w:val="single" w:color="auto" w:sz="12" w:space="0"/>
                    <w:right w:val="nil"/>
                  </w:tcBorders>
                  <w:shd w:val="clear" w:color="auto" w:fill="auto"/>
                  <w:vAlign w:val="center"/>
                </w:tcPr>
                <w:p w14:paraId="1BD4092A">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bCs/>
                      <w:color w:val="auto"/>
                      <w:kern w:val="0"/>
                      <w:sz w:val="21"/>
                      <w:szCs w:val="21"/>
                      <w:highlight w:val="none"/>
                      <w:lang w:val="en-US" w:eastAsia="zh-CN" w:bidi="ar-SA"/>
                    </w:rPr>
                  </w:pPr>
                  <w:r>
                    <w:rPr>
                      <w:rFonts w:hint="eastAsia" w:cs="Times New Roman"/>
                      <w:bCs/>
                      <w:color w:val="auto"/>
                      <w:kern w:val="0"/>
                      <w:sz w:val="21"/>
                      <w:szCs w:val="21"/>
                      <w:highlight w:val="none"/>
                      <w:lang w:val="en-US" w:eastAsia="zh-CN" w:bidi="ar-SA"/>
                    </w:rPr>
                    <w:t>93.1</w:t>
                  </w:r>
                </w:p>
              </w:tc>
              <w:tc>
                <w:tcPr>
                  <w:tcW w:w="638" w:type="pct"/>
                  <w:tcBorders>
                    <w:top w:val="single" w:color="auto" w:sz="4" w:space="0"/>
                    <w:left w:val="single" w:color="auto" w:sz="4" w:space="0"/>
                    <w:bottom w:val="single" w:color="auto" w:sz="12" w:space="0"/>
                    <w:right w:val="nil"/>
                  </w:tcBorders>
                  <w:shd w:val="clear" w:color="auto" w:fill="auto"/>
                  <w:vAlign w:val="center"/>
                </w:tcPr>
                <w:p w14:paraId="338D64C2">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Cs/>
                      <w:color w:val="auto"/>
                      <w:kern w:val="0"/>
                      <w:sz w:val="21"/>
                      <w:szCs w:val="21"/>
                      <w:highlight w:val="none"/>
                      <w:lang w:val="en-US" w:eastAsia="zh-CN" w:bidi="ar-SA"/>
                    </w:rPr>
                  </w:pPr>
                  <w:r>
                    <w:rPr>
                      <w:rFonts w:hint="eastAsia" w:hAnsi="宋体"/>
                      <w:bCs/>
                      <w:color w:val="auto"/>
                      <w:kern w:val="0"/>
                      <w:szCs w:val="21"/>
                      <w:highlight w:val="none"/>
                    </w:rPr>
                    <w:t>达标</w:t>
                  </w:r>
                </w:p>
              </w:tc>
            </w:tr>
          </w:tbl>
          <w:p w14:paraId="2FBB1A14">
            <w:pPr>
              <w:keepNext w:val="0"/>
              <w:keepLines w:val="0"/>
              <w:widowControl/>
              <w:suppressLineNumbers w:val="0"/>
              <w:spacing w:before="0" w:beforeAutospacing="0" w:after="0" w:afterAutospacing="0" w:line="360" w:lineRule="auto"/>
              <w:ind w:left="0" w:right="0" w:firstLine="480" w:firstLineChars="200"/>
              <w:rPr>
                <w:rFonts w:hint="default" w:ascii="Times New Roman"/>
                <w:color w:val="auto"/>
                <w:sz w:val="24"/>
                <w:szCs w:val="21"/>
                <w:highlight w:val="none"/>
              </w:rPr>
            </w:pPr>
            <w:r>
              <w:rPr>
                <w:rFonts w:hint="eastAsia" w:hAnsi="宋体"/>
                <w:color w:val="auto"/>
                <w:kern w:val="0"/>
                <w:sz w:val="24"/>
                <w:szCs w:val="24"/>
                <w:highlight w:val="none"/>
              </w:rPr>
              <w:t>根据《20</w:t>
            </w:r>
            <w:r>
              <w:rPr>
                <w:rFonts w:hint="eastAsia" w:hAnsi="宋体"/>
                <w:color w:val="auto"/>
                <w:kern w:val="0"/>
                <w:sz w:val="24"/>
                <w:szCs w:val="24"/>
                <w:highlight w:val="none"/>
                <w:lang w:val="en-US" w:eastAsia="zh-CN"/>
              </w:rPr>
              <w:t>25</w:t>
            </w:r>
            <w:r>
              <w:rPr>
                <w:rFonts w:hint="eastAsia" w:hAnsi="宋体"/>
                <w:color w:val="auto"/>
                <w:kern w:val="0"/>
                <w:sz w:val="24"/>
                <w:szCs w:val="24"/>
                <w:highlight w:val="none"/>
              </w:rPr>
              <w:t>年</w:t>
            </w:r>
            <w:r>
              <w:rPr>
                <w:rFonts w:hint="eastAsia" w:hAnsi="宋体"/>
                <w:color w:val="auto"/>
                <w:kern w:val="0"/>
                <w:sz w:val="24"/>
                <w:szCs w:val="24"/>
                <w:highlight w:val="none"/>
                <w:lang w:val="en-US" w:eastAsia="zh-CN"/>
              </w:rPr>
              <w:t>淮南</w:t>
            </w:r>
            <w:r>
              <w:rPr>
                <w:rFonts w:hint="eastAsia" w:hAnsi="宋体"/>
                <w:color w:val="auto"/>
                <w:kern w:val="0"/>
                <w:sz w:val="24"/>
                <w:szCs w:val="24"/>
                <w:highlight w:val="none"/>
              </w:rPr>
              <w:t>市生态环境质量状况公报》并结合</w:t>
            </w:r>
            <w:r>
              <w:rPr>
                <w:rFonts w:hint="eastAsia" w:hAnsi="宋体"/>
                <w:color w:val="auto"/>
                <w:kern w:val="0"/>
                <w:sz w:val="24"/>
                <w:szCs w:val="24"/>
                <w:highlight w:val="none"/>
                <w:lang w:val="en-US" w:eastAsia="zh-CN"/>
              </w:rPr>
              <w:t>《环境空气质量标准》（GB3095-2026）表1中过渡阶段二级浓度限值</w:t>
            </w:r>
            <w:r>
              <w:rPr>
                <w:rFonts w:hint="eastAsia" w:hAnsi="宋体"/>
                <w:color w:val="auto"/>
                <w:kern w:val="0"/>
                <w:sz w:val="24"/>
                <w:szCs w:val="24"/>
                <w:highlight w:val="none"/>
              </w:rPr>
              <w:t>可知，</w:t>
            </w:r>
            <w:r>
              <w:rPr>
                <w:rFonts w:hint="eastAsia" w:ascii="Times New Roman" w:hAnsi="宋体"/>
                <w:color w:val="auto"/>
                <w:sz w:val="24"/>
                <w:szCs w:val="24"/>
                <w:highlight w:val="none"/>
              </w:rPr>
              <w:t>二氧化硫（</w:t>
            </w:r>
            <w:r>
              <w:rPr>
                <w:rFonts w:hint="default" w:ascii="Times New Roman" w:hAnsi="Times New Roman"/>
                <w:color w:val="auto"/>
                <w:sz w:val="24"/>
                <w:szCs w:val="24"/>
                <w:highlight w:val="none"/>
              </w:rPr>
              <w:t>SO</w:t>
            </w:r>
            <w:r>
              <w:rPr>
                <w:rFonts w:hint="default" w:ascii="Times New Roman" w:hAnsi="Times New Roman"/>
                <w:color w:val="auto"/>
                <w:sz w:val="24"/>
                <w:szCs w:val="24"/>
                <w:highlight w:val="none"/>
                <w:vertAlign w:val="subscript"/>
              </w:rPr>
              <w:t>2</w:t>
            </w:r>
            <w:r>
              <w:rPr>
                <w:rFonts w:hint="eastAsia" w:ascii="Times New Roman" w:hAnsi="宋体"/>
                <w:color w:val="auto"/>
                <w:sz w:val="24"/>
                <w:szCs w:val="24"/>
                <w:highlight w:val="none"/>
              </w:rPr>
              <w:t>）、二氧化氮（</w:t>
            </w:r>
            <w:r>
              <w:rPr>
                <w:rFonts w:hint="default" w:ascii="Times New Roman" w:hAnsi="Times New Roman"/>
                <w:color w:val="auto"/>
                <w:sz w:val="24"/>
                <w:szCs w:val="24"/>
                <w:highlight w:val="none"/>
              </w:rPr>
              <w:t>NO</w:t>
            </w:r>
            <w:r>
              <w:rPr>
                <w:rFonts w:hint="default" w:ascii="Times New Roman" w:hAnsi="Times New Roman"/>
                <w:color w:val="auto"/>
                <w:sz w:val="24"/>
                <w:szCs w:val="24"/>
                <w:highlight w:val="none"/>
                <w:vertAlign w:val="subscript"/>
              </w:rPr>
              <w:t>2</w:t>
            </w:r>
            <w:r>
              <w:rPr>
                <w:rFonts w:hint="eastAsia" w:ascii="Times New Roman" w:hAnsi="宋体"/>
                <w:color w:val="auto"/>
                <w:sz w:val="24"/>
                <w:szCs w:val="24"/>
                <w:highlight w:val="none"/>
              </w:rPr>
              <w:t>）、一氧化碳（</w:t>
            </w:r>
            <w:r>
              <w:rPr>
                <w:rFonts w:hint="default" w:ascii="Times New Roman" w:hAnsi="Times New Roman"/>
                <w:color w:val="auto"/>
                <w:sz w:val="24"/>
                <w:szCs w:val="24"/>
                <w:highlight w:val="none"/>
              </w:rPr>
              <w:t>CO</w:t>
            </w:r>
            <w:r>
              <w:rPr>
                <w:rFonts w:hint="eastAsia" w:ascii="Times New Roman" w:hAnsi="宋体"/>
                <w:color w:val="auto"/>
                <w:sz w:val="24"/>
                <w:szCs w:val="24"/>
                <w:highlight w:val="none"/>
              </w:rPr>
              <w:t>）、臭氧（</w:t>
            </w:r>
            <w:r>
              <w:rPr>
                <w:rFonts w:hint="default" w:ascii="Times New Roman" w:hAnsi="Times New Roman"/>
                <w:color w:val="auto"/>
                <w:sz w:val="24"/>
                <w:szCs w:val="24"/>
                <w:highlight w:val="none"/>
              </w:rPr>
              <w:t>O</w:t>
            </w:r>
            <w:r>
              <w:rPr>
                <w:rFonts w:hint="default" w:ascii="Times New Roman" w:hAnsi="Times New Roman"/>
                <w:color w:val="auto"/>
                <w:sz w:val="24"/>
                <w:szCs w:val="24"/>
                <w:highlight w:val="none"/>
                <w:vertAlign w:val="subscript"/>
              </w:rPr>
              <w:t>3</w:t>
            </w:r>
            <w:r>
              <w:rPr>
                <w:rFonts w:hint="eastAsia" w:ascii="Times New Roman" w:hAnsi="宋体"/>
                <w:color w:val="auto"/>
                <w:sz w:val="24"/>
                <w:szCs w:val="24"/>
                <w:highlight w:val="none"/>
              </w:rPr>
              <w:t>）均符合</w:t>
            </w:r>
            <w:r>
              <w:rPr>
                <w:rFonts w:hint="eastAsia" w:hAnsi="宋体"/>
                <w:color w:val="auto"/>
                <w:sz w:val="24"/>
                <w:szCs w:val="24"/>
                <w:highlight w:val="none"/>
                <w:lang w:val="en-US" w:eastAsia="zh-CN"/>
              </w:rPr>
              <w:t>《环境空气质量标准》（GB3095-2026）表1中过渡阶段二级浓度限值要求</w:t>
            </w:r>
            <w:r>
              <w:rPr>
                <w:rFonts w:hint="eastAsia" w:ascii="Times New Roman" w:hAnsi="宋体"/>
                <w:color w:val="auto"/>
                <w:sz w:val="24"/>
                <w:szCs w:val="24"/>
                <w:highlight w:val="none"/>
              </w:rPr>
              <w:t>，细颗粒物（</w:t>
            </w:r>
            <w:r>
              <w:rPr>
                <w:rFonts w:hint="default" w:ascii="Times New Roman" w:hAnsi="Times New Roman"/>
                <w:color w:val="auto"/>
                <w:sz w:val="24"/>
                <w:szCs w:val="24"/>
                <w:highlight w:val="none"/>
              </w:rPr>
              <w:t>PM</w:t>
            </w:r>
            <w:r>
              <w:rPr>
                <w:rFonts w:hint="default" w:ascii="Times New Roman" w:hAnsi="Times New Roman"/>
                <w:color w:val="auto"/>
                <w:sz w:val="24"/>
                <w:szCs w:val="24"/>
                <w:highlight w:val="none"/>
                <w:vertAlign w:val="subscript"/>
              </w:rPr>
              <w:t>2.5</w:t>
            </w:r>
            <w:r>
              <w:rPr>
                <w:rFonts w:hint="eastAsia" w:ascii="Times New Roman" w:hAnsi="宋体"/>
                <w:color w:val="auto"/>
                <w:sz w:val="24"/>
                <w:szCs w:val="24"/>
                <w:highlight w:val="none"/>
              </w:rPr>
              <w:t>）</w:t>
            </w:r>
            <w:r>
              <w:rPr>
                <w:rFonts w:hint="eastAsia" w:hAnsi="宋体"/>
                <w:color w:val="auto"/>
                <w:sz w:val="24"/>
                <w:szCs w:val="24"/>
                <w:highlight w:val="none"/>
                <w:lang w:val="en-US" w:eastAsia="zh-CN"/>
              </w:rPr>
              <w:t>及</w:t>
            </w:r>
            <w:r>
              <w:rPr>
                <w:rFonts w:hint="eastAsia" w:ascii="Times New Roman" w:hAnsi="宋体"/>
                <w:color w:val="auto"/>
                <w:sz w:val="24"/>
                <w:szCs w:val="24"/>
                <w:highlight w:val="none"/>
              </w:rPr>
              <w:t>可吸入颗粒物（</w:t>
            </w:r>
            <w:r>
              <w:rPr>
                <w:rFonts w:hint="default" w:ascii="Times New Roman" w:hAnsi="Times New Roman"/>
                <w:color w:val="auto"/>
                <w:sz w:val="24"/>
                <w:szCs w:val="24"/>
                <w:highlight w:val="none"/>
              </w:rPr>
              <w:t>PM</w:t>
            </w:r>
            <w:r>
              <w:rPr>
                <w:rFonts w:hint="default" w:ascii="Times New Roman" w:hAnsi="Times New Roman"/>
                <w:color w:val="auto"/>
                <w:sz w:val="24"/>
                <w:szCs w:val="24"/>
                <w:highlight w:val="none"/>
                <w:vertAlign w:val="subscript"/>
              </w:rPr>
              <w:t>10</w:t>
            </w:r>
            <w:r>
              <w:rPr>
                <w:rFonts w:hint="eastAsia" w:ascii="Times New Roman" w:hAnsi="宋体"/>
                <w:color w:val="auto"/>
                <w:sz w:val="24"/>
                <w:szCs w:val="24"/>
                <w:highlight w:val="none"/>
              </w:rPr>
              <w:t>）</w:t>
            </w:r>
            <w:r>
              <w:rPr>
                <w:rFonts w:hint="eastAsia" w:hAnsi="宋体"/>
                <w:color w:val="auto"/>
                <w:sz w:val="24"/>
                <w:szCs w:val="24"/>
                <w:highlight w:val="none"/>
                <w:lang w:val="en-US" w:eastAsia="zh-CN"/>
              </w:rPr>
              <w:t>年均浓度超过</w:t>
            </w:r>
            <w:r>
              <w:rPr>
                <w:rFonts w:hint="eastAsia" w:ascii="Times New Roman" w:hAnsi="宋体"/>
                <w:color w:val="auto"/>
                <w:sz w:val="24"/>
                <w:szCs w:val="24"/>
                <w:highlight w:val="none"/>
              </w:rPr>
              <w:t>《环境空气质量标准》（</w:t>
            </w:r>
            <w:r>
              <w:rPr>
                <w:rFonts w:hint="default" w:ascii="Times New Roman" w:hAnsi="Times New Roman"/>
                <w:color w:val="auto"/>
                <w:sz w:val="24"/>
                <w:szCs w:val="24"/>
                <w:highlight w:val="none"/>
              </w:rPr>
              <w:t>GB3095-20</w:t>
            </w:r>
            <w:r>
              <w:rPr>
                <w:rFonts w:hint="eastAsia"/>
                <w:color w:val="auto"/>
                <w:sz w:val="24"/>
                <w:szCs w:val="24"/>
                <w:highlight w:val="none"/>
                <w:lang w:val="en-US" w:eastAsia="zh-CN"/>
              </w:rPr>
              <w:t>26</w:t>
            </w:r>
            <w:r>
              <w:rPr>
                <w:rFonts w:hint="eastAsia" w:ascii="Times New Roman" w:hAnsi="宋体"/>
                <w:color w:val="auto"/>
                <w:sz w:val="24"/>
                <w:szCs w:val="24"/>
                <w:highlight w:val="none"/>
              </w:rPr>
              <w:t>）</w:t>
            </w:r>
            <w:r>
              <w:rPr>
                <w:rFonts w:hint="eastAsia" w:hAnsi="宋体"/>
                <w:color w:val="auto"/>
                <w:sz w:val="24"/>
                <w:szCs w:val="24"/>
                <w:highlight w:val="none"/>
                <w:lang w:val="en-US" w:eastAsia="zh-CN"/>
              </w:rPr>
              <w:t>表1中过渡阶段二级浓度限值</w:t>
            </w:r>
            <w:r>
              <w:rPr>
                <w:rFonts w:hint="eastAsia" w:ascii="Times New Roman" w:hAnsi="宋体"/>
                <w:color w:val="auto"/>
                <w:sz w:val="24"/>
                <w:szCs w:val="24"/>
                <w:highlight w:val="none"/>
              </w:rPr>
              <w:t>要求</w:t>
            </w:r>
            <w:r>
              <w:rPr>
                <w:rFonts w:hint="eastAsia" w:hAnsi="宋体"/>
                <w:color w:val="auto"/>
                <w:sz w:val="24"/>
                <w:szCs w:val="24"/>
                <w:highlight w:val="none"/>
                <w:lang w:eastAsia="zh-CN"/>
              </w:rPr>
              <w:t>。</w:t>
            </w:r>
            <w:r>
              <w:rPr>
                <w:rFonts w:hint="eastAsia" w:ascii="Times New Roman" w:hAnsi="Times New Roman"/>
                <w:color w:val="auto"/>
                <w:sz w:val="24"/>
                <w:szCs w:val="24"/>
                <w:highlight w:val="none"/>
              </w:rPr>
              <w:t>因此，项目所在评价区域为不达标区</w:t>
            </w:r>
            <w:r>
              <w:rPr>
                <w:rFonts w:hint="eastAsia" w:ascii="Times New Roman"/>
                <w:color w:val="auto"/>
                <w:sz w:val="24"/>
                <w:szCs w:val="21"/>
                <w:highlight w:val="none"/>
              </w:rPr>
              <w:t>。</w:t>
            </w:r>
          </w:p>
          <w:p w14:paraId="4B95852E">
            <w:pPr>
              <w:keepNext w:val="0"/>
              <w:keepLines w:val="0"/>
              <w:suppressLineNumbers w:val="0"/>
              <w:spacing w:before="0" w:beforeAutospacing="0" w:after="0" w:afterAutospacing="0" w:line="360" w:lineRule="auto"/>
              <w:ind w:left="0" w:right="0" w:firstLine="480" w:firstLineChars="200"/>
              <w:rPr>
                <w:rFonts w:hint="default" w:ascii="Times New Roman"/>
                <w:color w:val="auto"/>
                <w:sz w:val="24"/>
                <w:szCs w:val="21"/>
                <w:highlight w:val="none"/>
              </w:rPr>
            </w:pPr>
            <w:r>
              <w:rPr>
                <w:rFonts w:hint="eastAsia" w:ascii="Times New Roman"/>
                <w:color w:val="auto"/>
                <w:sz w:val="24"/>
                <w:szCs w:val="21"/>
                <w:highlight w:val="none"/>
              </w:rPr>
              <w:t>为加强大气污染防治工作，持续改善环境空气质量，淮南市通过集中专项整治“小散乱污”企业、企业清洁生产技术改造、小锅炉升级改造、燃煤机组超低排放改造，整治散装物料堆场，督促企业完成挥发性有机物整改任务，强化建筑施工扬尘监管，加强道路扬尘清理、责令餐饮油烟单位安装油烟净化装置，取缔室外露天烧烤点，开展秸秆禁烧，淘汰黄标车，禁限放烟花爆竹等措施改善环境空气质量。</w:t>
            </w:r>
          </w:p>
          <w:p w14:paraId="10BEBAE9">
            <w:pPr>
              <w:spacing w:line="360" w:lineRule="auto"/>
              <w:ind w:firstLine="480" w:firstLineChars="200"/>
              <w:rPr>
                <w:color w:val="auto"/>
                <w:sz w:val="24"/>
                <w:szCs w:val="28"/>
                <w:highlight w:val="none"/>
              </w:rPr>
            </w:pPr>
            <w:r>
              <w:rPr>
                <w:rFonts w:hint="eastAsia"/>
                <w:color w:val="auto"/>
                <w:sz w:val="24"/>
                <w:szCs w:val="28"/>
                <w:highlight w:val="none"/>
              </w:rPr>
              <w:t>（2）其他污染物</w:t>
            </w:r>
          </w:p>
          <w:p w14:paraId="42D21D2E">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8"/>
                <w:highlight w:val="none"/>
              </w:rPr>
              <w:t>本项目其他污染物主要为非甲烷总烃，</w:t>
            </w:r>
            <w:r>
              <w:rPr>
                <w:rFonts w:hint="eastAsia"/>
                <w:color w:val="auto"/>
                <w:sz w:val="24"/>
                <w:szCs w:val="24"/>
                <w:highlight w:val="none"/>
              </w:rPr>
              <w:t>《环境空气质量标准》（GB3095-20</w:t>
            </w:r>
            <w:r>
              <w:rPr>
                <w:rFonts w:hint="eastAsia"/>
                <w:color w:val="auto"/>
                <w:sz w:val="24"/>
                <w:szCs w:val="24"/>
                <w:highlight w:val="none"/>
                <w:lang w:val="en-US" w:eastAsia="zh-CN"/>
              </w:rPr>
              <w:t>26</w:t>
            </w:r>
            <w:r>
              <w:rPr>
                <w:rFonts w:hint="eastAsia"/>
                <w:color w:val="auto"/>
                <w:sz w:val="24"/>
                <w:szCs w:val="24"/>
                <w:highlight w:val="none"/>
              </w:rPr>
              <w:t>）中未涉及非甲烷总烃相应的标准值。根据全国环评技术评估服务咨询平台解答内容技术指南中提到“排放国家、地方环境空气质量标准中有标准限值要求的特征污染物，其中环境空气质量标准指《环境空气质量标准》（GB3095）和地方的环境空气质量标准，不包括《环境影响评价技术导则大气环境》（HJ2.2-2018）附录D</w:t>
            </w:r>
            <w:r>
              <w:rPr>
                <w:rFonts w:hint="eastAsia"/>
                <w:color w:val="auto"/>
                <w:sz w:val="24"/>
                <w:szCs w:val="24"/>
                <w:highlight w:val="none"/>
                <w:lang w:eastAsia="zh-CN"/>
              </w:rPr>
              <w:t>、</w:t>
            </w:r>
            <w:r>
              <w:rPr>
                <w:rFonts w:hint="eastAsia"/>
                <w:color w:val="auto"/>
                <w:sz w:val="24"/>
                <w:szCs w:val="24"/>
                <w:highlight w:val="none"/>
              </w:rPr>
              <w:t>《工业企业设计卫生标准》（TJ36-97）、《前苏联居住区标准》（CH245-71）、《环境影响评价技术导则</w:t>
            </w:r>
            <w:r>
              <w:rPr>
                <w:rFonts w:hint="eastAsia"/>
                <w:color w:val="auto"/>
                <w:sz w:val="24"/>
                <w:szCs w:val="24"/>
                <w:highlight w:val="none"/>
                <w:lang w:val="en-US" w:eastAsia="zh-CN"/>
              </w:rPr>
              <w:t xml:space="preserve"> </w:t>
            </w:r>
            <w:r>
              <w:rPr>
                <w:rFonts w:hint="eastAsia"/>
                <w:color w:val="auto"/>
                <w:sz w:val="24"/>
                <w:szCs w:val="24"/>
                <w:highlight w:val="none"/>
              </w:rPr>
              <w:t>制药建设项目》（HJ611-2011）、《大气污染物综合排放标准详解》等导则或参考资料。排放的特征污染物需要在国家、地方环境空气质量标准中有限值要求才涉及现状监测，且优先引用现有监测数据。”因此，本项目不需要对大气特征污染物非甲烷总烃相应的标准值进行现状监测。</w:t>
            </w:r>
          </w:p>
          <w:p w14:paraId="3238B657">
            <w:pPr>
              <w:spacing w:line="360" w:lineRule="auto"/>
              <w:ind w:firstLine="482" w:firstLineChars="200"/>
              <w:rPr>
                <w:b/>
                <w:color w:val="auto"/>
                <w:sz w:val="24"/>
                <w:szCs w:val="24"/>
                <w:highlight w:val="none"/>
              </w:rPr>
            </w:pPr>
            <w:r>
              <w:rPr>
                <w:rFonts w:hint="eastAsia"/>
                <w:b/>
                <w:color w:val="auto"/>
                <w:sz w:val="24"/>
                <w:szCs w:val="24"/>
                <w:highlight w:val="none"/>
              </w:rPr>
              <w:t>二、地表水质量现状</w:t>
            </w:r>
          </w:p>
          <w:p w14:paraId="5E4547B9">
            <w:pPr>
              <w:autoSpaceDE w:val="0"/>
              <w:autoSpaceDN w:val="0"/>
              <w:spacing w:line="360" w:lineRule="auto"/>
              <w:ind w:firstLine="480" w:firstLineChars="200"/>
              <w:rPr>
                <w:rFonts w:hint="eastAsia" w:ascii="Times New Roman" w:hAnsi="Times New Roman"/>
                <w:color w:val="auto"/>
                <w:sz w:val="24"/>
                <w:szCs w:val="24"/>
                <w:highlight w:val="none"/>
              </w:rPr>
            </w:pPr>
            <w:r>
              <w:rPr>
                <w:rFonts w:hint="eastAsia" w:hAnsi="宋体"/>
                <w:color w:val="auto"/>
                <w:sz w:val="24"/>
                <w:szCs w:val="24"/>
                <w:highlight w:val="none"/>
                <w:lang w:val="en-US" w:eastAsia="zh-CN"/>
              </w:rPr>
              <w:t>本次改建项目不新增生产废水及生活污水，厂区现有生活污水经厂区化粪池预处理达标后接入</w:t>
            </w:r>
            <w:r>
              <w:rPr>
                <w:rFonts w:hint="eastAsia" w:hAnsi="宋体"/>
                <w:color w:val="auto"/>
                <w:sz w:val="24"/>
                <w:szCs w:val="24"/>
                <w:highlight w:val="none"/>
              </w:rPr>
              <w:t>市政污水管网，</w:t>
            </w:r>
            <w:r>
              <w:rPr>
                <w:rFonts w:hint="eastAsia" w:hAnsi="宋体"/>
                <w:color w:val="auto"/>
                <w:sz w:val="24"/>
                <w:szCs w:val="24"/>
                <w:highlight w:val="none"/>
                <w:lang w:val="en-US" w:eastAsia="zh-CN"/>
              </w:rPr>
              <w:t>接管至</w:t>
            </w:r>
            <w:r>
              <w:rPr>
                <w:rFonts w:hint="eastAsia" w:hAnsi="宋体"/>
                <w:color w:val="auto"/>
                <w:sz w:val="24"/>
                <w:szCs w:val="24"/>
                <w:highlight w:val="none"/>
              </w:rPr>
              <w:t>淮南经济技术开发区污水处理厂处理</w:t>
            </w:r>
            <w:r>
              <w:rPr>
                <w:rFonts w:hint="eastAsia" w:hAnsi="宋体"/>
                <w:color w:val="auto"/>
                <w:sz w:val="24"/>
                <w:szCs w:val="24"/>
                <w:highlight w:val="none"/>
                <w:lang w:eastAsia="zh-CN"/>
              </w:rPr>
              <w:t>，</w:t>
            </w:r>
            <w:r>
              <w:rPr>
                <w:rFonts w:hint="eastAsia" w:hAnsi="宋体"/>
                <w:color w:val="auto"/>
                <w:sz w:val="24"/>
                <w:szCs w:val="24"/>
                <w:highlight w:val="none"/>
              </w:rPr>
              <w:t>达标后排入淮河。</w:t>
            </w:r>
            <w:r>
              <w:rPr>
                <w:rFonts w:hint="eastAsia" w:hAnsi="宋体"/>
                <w:color w:val="auto"/>
                <w:sz w:val="24"/>
                <w:szCs w:val="24"/>
                <w:highlight w:val="none"/>
                <w:lang w:val="en-US" w:eastAsia="zh-CN"/>
              </w:rPr>
              <w:t>根据淮南市生态环境局发布的《2026年5月环境质量月报》中的内容，相关受纳水体淮河评价结果见下表</w:t>
            </w:r>
            <w:r>
              <w:rPr>
                <w:rFonts w:hint="eastAsia" w:hAnsi="宋体"/>
                <w:color w:val="auto"/>
                <w:sz w:val="24"/>
                <w:szCs w:val="24"/>
                <w:highlight w:val="none"/>
              </w:rPr>
              <w:t>。</w:t>
            </w:r>
          </w:p>
          <w:p w14:paraId="7A3D2A68">
            <w:pPr>
              <w:autoSpaceDE w:val="0"/>
              <w:autoSpaceDN w:val="0"/>
              <w:adjustRightInd w:val="0"/>
              <w:snapToGrid w:val="0"/>
              <w:spacing w:line="360" w:lineRule="auto"/>
              <w:jc w:val="center"/>
              <w:rPr>
                <w:rFonts w:eastAsia="黑体"/>
                <w:color w:val="auto"/>
                <w:sz w:val="24"/>
                <w:szCs w:val="24"/>
                <w:highlight w:val="none"/>
              </w:rPr>
            </w:pPr>
            <w:r>
              <w:rPr>
                <w:rFonts w:hAnsi="黑体" w:eastAsia="黑体"/>
                <w:color w:val="auto"/>
                <w:sz w:val="24"/>
                <w:szCs w:val="24"/>
                <w:highlight w:val="none"/>
              </w:rPr>
              <w:t>表</w:t>
            </w:r>
            <w:r>
              <w:rPr>
                <w:rFonts w:hint="eastAsia" w:hAnsi="黑体" w:eastAsia="黑体"/>
                <w:color w:val="auto"/>
                <w:sz w:val="24"/>
                <w:szCs w:val="24"/>
                <w:highlight w:val="none"/>
                <w:lang w:val="en-US" w:eastAsia="zh-CN"/>
              </w:rPr>
              <w:t>3-2</w:t>
            </w:r>
            <w:r>
              <w:rPr>
                <w:rFonts w:hint="eastAsia" w:hAnsi="黑体" w:eastAsia="黑体"/>
                <w:color w:val="auto"/>
                <w:sz w:val="24"/>
                <w:szCs w:val="24"/>
                <w:highlight w:val="none"/>
              </w:rPr>
              <w:t xml:space="preserve"> </w:t>
            </w:r>
            <w:r>
              <w:rPr>
                <w:rFonts w:hAnsi="黑体" w:eastAsia="黑体"/>
                <w:color w:val="auto"/>
                <w:sz w:val="24"/>
                <w:szCs w:val="24"/>
                <w:highlight w:val="none"/>
              </w:rPr>
              <w:t>地表水环境质量监测结果</w:t>
            </w:r>
          </w:p>
          <w:tbl>
            <w:tblPr>
              <w:tblStyle w:val="3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390"/>
              <w:gridCol w:w="2838"/>
              <w:gridCol w:w="3850"/>
            </w:tblGrid>
            <w:tr w14:paraId="66897F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60" w:type="pct"/>
                  <w:vMerge w:val="restart"/>
                  <w:vAlign w:val="center"/>
                </w:tcPr>
                <w:p w14:paraId="3411155B">
                  <w:pPr>
                    <w:autoSpaceDE w:val="0"/>
                    <w:autoSpaceDN w:val="0"/>
                    <w:spacing w:line="276" w:lineRule="auto"/>
                    <w:jc w:val="center"/>
                    <w:rPr>
                      <w:b/>
                      <w:color w:val="auto"/>
                      <w:szCs w:val="21"/>
                      <w:highlight w:val="none"/>
                    </w:rPr>
                  </w:pPr>
                  <w:r>
                    <w:rPr>
                      <w:rFonts w:hAnsi="宋体"/>
                      <w:b/>
                      <w:color w:val="auto"/>
                      <w:szCs w:val="21"/>
                      <w:highlight w:val="none"/>
                    </w:rPr>
                    <w:t>河流名称</w:t>
                  </w:r>
                </w:p>
              </w:tc>
              <w:tc>
                <w:tcPr>
                  <w:tcW w:w="1756" w:type="pct"/>
                  <w:vMerge w:val="restart"/>
                  <w:vAlign w:val="center"/>
                </w:tcPr>
                <w:p w14:paraId="64691FE5">
                  <w:pPr>
                    <w:wordWrap w:val="0"/>
                    <w:autoSpaceDE w:val="0"/>
                    <w:autoSpaceDN w:val="0"/>
                    <w:spacing w:line="276" w:lineRule="auto"/>
                    <w:jc w:val="center"/>
                    <w:rPr>
                      <w:b/>
                      <w:color w:val="auto"/>
                      <w:szCs w:val="21"/>
                      <w:highlight w:val="none"/>
                    </w:rPr>
                  </w:pPr>
                  <w:r>
                    <w:rPr>
                      <w:rFonts w:hAnsi="宋体"/>
                      <w:b/>
                      <w:color w:val="auto"/>
                      <w:szCs w:val="21"/>
                      <w:highlight w:val="none"/>
                    </w:rPr>
                    <w:t>断面名称</w:t>
                  </w:r>
                </w:p>
              </w:tc>
              <w:tc>
                <w:tcPr>
                  <w:tcW w:w="2382" w:type="pct"/>
                  <w:vAlign w:val="center"/>
                </w:tcPr>
                <w:p w14:paraId="629DDFED">
                  <w:pPr>
                    <w:wordWrap w:val="0"/>
                    <w:autoSpaceDE w:val="0"/>
                    <w:autoSpaceDN w:val="0"/>
                    <w:spacing w:line="276" w:lineRule="auto"/>
                    <w:jc w:val="center"/>
                    <w:rPr>
                      <w:rFonts w:hAnsi="宋体"/>
                      <w:b/>
                      <w:color w:val="auto"/>
                      <w:szCs w:val="21"/>
                      <w:highlight w:val="none"/>
                    </w:rPr>
                  </w:pPr>
                  <w:r>
                    <w:rPr>
                      <w:rFonts w:hAnsi="宋体"/>
                      <w:b/>
                      <w:color w:val="auto"/>
                      <w:szCs w:val="21"/>
                      <w:highlight w:val="none"/>
                    </w:rPr>
                    <w:t>水质类别评价</w:t>
                  </w:r>
                </w:p>
              </w:tc>
            </w:tr>
            <w:tr w14:paraId="416DAC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60" w:type="pct"/>
                  <w:vMerge w:val="continue"/>
                  <w:vAlign w:val="center"/>
                </w:tcPr>
                <w:p w14:paraId="5289E49E">
                  <w:pPr>
                    <w:wordWrap w:val="0"/>
                    <w:autoSpaceDE w:val="0"/>
                    <w:autoSpaceDN w:val="0"/>
                    <w:spacing w:line="276" w:lineRule="auto"/>
                    <w:jc w:val="center"/>
                    <w:rPr>
                      <w:b/>
                      <w:color w:val="auto"/>
                      <w:szCs w:val="21"/>
                      <w:highlight w:val="none"/>
                    </w:rPr>
                  </w:pPr>
                </w:p>
              </w:tc>
              <w:tc>
                <w:tcPr>
                  <w:tcW w:w="1756" w:type="pct"/>
                  <w:vMerge w:val="continue"/>
                  <w:vAlign w:val="center"/>
                </w:tcPr>
                <w:p w14:paraId="6EF21D0A">
                  <w:pPr>
                    <w:wordWrap w:val="0"/>
                    <w:autoSpaceDE w:val="0"/>
                    <w:autoSpaceDN w:val="0"/>
                    <w:spacing w:line="276" w:lineRule="auto"/>
                    <w:jc w:val="center"/>
                    <w:rPr>
                      <w:b/>
                      <w:color w:val="auto"/>
                      <w:szCs w:val="21"/>
                      <w:highlight w:val="none"/>
                    </w:rPr>
                  </w:pPr>
                </w:p>
              </w:tc>
              <w:tc>
                <w:tcPr>
                  <w:tcW w:w="2382" w:type="pct"/>
                  <w:vAlign w:val="center"/>
                </w:tcPr>
                <w:p w14:paraId="778C0DD6">
                  <w:pPr>
                    <w:wordWrap w:val="0"/>
                    <w:autoSpaceDE w:val="0"/>
                    <w:autoSpaceDN w:val="0"/>
                    <w:spacing w:line="276" w:lineRule="auto"/>
                    <w:jc w:val="center"/>
                    <w:rPr>
                      <w:b/>
                      <w:color w:val="auto"/>
                      <w:szCs w:val="21"/>
                      <w:highlight w:val="none"/>
                    </w:rPr>
                  </w:pPr>
                  <w:r>
                    <w:rPr>
                      <w:rFonts w:hint="eastAsia"/>
                      <w:b/>
                      <w:color w:val="auto"/>
                      <w:szCs w:val="21"/>
                      <w:highlight w:val="none"/>
                      <w:lang w:val="en-US" w:eastAsia="zh-CN"/>
                    </w:rPr>
                    <w:t>5</w:t>
                  </w:r>
                  <w:r>
                    <w:rPr>
                      <w:rFonts w:hAnsi="宋体"/>
                      <w:b/>
                      <w:color w:val="auto"/>
                      <w:szCs w:val="21"/>
                      <w:highlight w:val="none"/>
                    </w:rPr>
                    <w:t>月</w:t>
                  </w:r>
                </w:p>
              </w:tc>
            </w:tr>
            <w:tr w14:paraId="3AF830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60" w:type="pct"/>
                  <w:vMerge w:val="restart"/>
                  <w:vAlign w:val="center"/>
                </w:tcPr>
                <w:p w14:paraId="468FFA48">
                  <w:pPr>
                    <w:wordWrap w:val="0"/>
                    <w:autoSpaceDE w:val="0"/>
                    <w:autoSpaceDN w:val="0"/>
                    <w:spacing w:line="276" w:lineRule="auto"/>
                    <w:jc w:val="center"/>
                    <w:rPr>
                      <w:color w:val="auto"/>
                      <w:szCs w:val="21"/>
                      <w:highlight w:val="none"/>
                    </w:rPr>
                  </w:pPr>
                  <w:r>
                    <w:rPr>
                      <w:color w:val="auto"/>
                      <w:szCs w:val="21"/>
                      <w:highlight w:val="none"/>
                    </w:rPr>
                    <w:t>淮河</w:t>
                  </w:r>
                </w:p>
              </w:tc>
              <w:tc>
                <w:tcPr>
                  <w:tcW w:w="1756" w:type="pct"/>
                  <w:vAlign w:val="center"/>
                </w:tcPr>
                <w:p w14:paraId="5E4702E6">
                  <w:pPr>
                    <w:wordWrap w:val="0"/>
                    <w:autoSpaceDE w:val="0"/>
                    <w:autoSpaceDN w:val="0"/>
                    <w:spacing w:line="276" w:lineRule="auto"/>
                    <w:jc w:val="center"/>
                    <w:rPr>
                      <w:color w:val="auto"/>
                      <w:szCs w:val="21"/>
                      <w:highlight w:val="none"/>
                    </w:rPr>
                  </w:pPr>
                  <w:r>
                    <w:rPr>
                      <w:rFonts w:hAnsi="宋体"/>
                      <w:color w:val="auto"/>
                      <w:szCs w:val="21"/>
                      <w:highlight w:val="none"/>
                    </w:rPr>
                    <w:t>新城口</w:t>
                  </w:r>
                </w:p>
              </w:tc>
              <w:tc>
                <w:tcPr>
                  <w:tcW w:w="2382" w:type="pct"/>
                  <w:vAlign w:val="center"/>
                </w:tcPr>
                <w:p w14:paraId="42B52D3D">
                  <w:pPr>
                    <w:wordWrap w:val="0"/>
                    <w:autoSpaceDE w:val="0"/>
                    <w:autoSpaceDN w:val="0"/>
                    <w:spacing w:line="276" w:lineRule="auto"/>
                    <w:jc w:val="center"/>
                    <w:rPr>
                      <w:color w:val="auto"/>
                      <w:szCs w:val="21"/>
                      <w:highlight w:val="none"/>
                    </w:rPr>
                  </w:pPr>
                  <w:r>
                    <w:rPr>
                      <w:color w:val="auto"/>
                      <w:szCs w:val="21"/>
                      <w:highlight w:val="none"/>
                    </w:rPr>
                    <w:t>Ⅱ</w:t>
                  </w:r>
                </w:p>
              </w:tc>
            </w:tr>
            <w:tr w14:paraId="7CF19CC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60" w:type="pct"/>
                  <w:vMerge w:val="continue"/>
                  <w:vAlign w:val="center"/>
                </w:tcPr>
                <w:p w14:paraId="333E6B6B">
                  <w:pPr>
                    <w:wordWrap w:val="0"/>
                    <w:autoSpaceDE w:val="0"/>
                    <w:autoSpaceDN w:val="0"/>
                    <w:spacing w:line="276" w:lineRule="auto"/>
                    <w:jc w:val="center"/>
                    <w:rPr>
                      <w:color w:val="auto"/>
                      <w:szCs w:val="21"/>
                      <w:highlight w:val="none"/>
                    </w:rPr>
                  </w:pPr>
                </w:p>
              </w:tc>
              <w:tc>
                <w:tcPr>
                  <w:tcW w:w="1756" w:type="pct"/>
                  <w:vAlign w:val="center"/>
                </w:tcPr>
                <w:p w14:paraId="6BAFAF18">
                  <w:pPr>
                    <w:wordWrap w:val="0"/>
                    <w:autoSpaceDE w:val="0"/>
                    <w:autoSpaceDN w:val="0"/>
                    <w:spacing w:line="276" w:lineRule="auto"/>
                    <w:jc w:val="center"/>
                    <w:rPr>
                      <w:rFonts w:hAnsi="宋体"/>
                      <w:color w:val="auto"/>
                      <w:szCs w:val="21"/>
                      <w:highlight w:val="none"/>
                    </w:rPr>
                  </w:pPr>
                  <w:r>
                    <w:rPr>
                      <w:rFonts w:hAnsi="宋体"/>
                      <w:color w:val="auto"/>
                      <w:szCs w:val="21"/>
                      <w:highlight w:val="none"/>
                    </w:rPr>
                    <w:t>石头埠</w:t>
                  </w:r>
                </w:p>
              </w:tc>
              <w:tc>
                <w:tcPr>
                  <w:tcW w:w="2382" w:type="pct"/>
                  <w:vAlign w:val="center"/>
                </w:tcPr>
                <w:p w14:paraId="2A8C61B4">
                  <w:pPr>
                    <w:wordWrap w:val="0"/>
                    <w:autoSpaceDE w:val="0"/>
                    <w:autoSpaceDN w:val="0"/>
                    <w:spacing w:line="276" w:lineRule="auto"/>
                    <w:jc w:val="center"/>
                    <w:rPr>
                      <w:color w:val="auto"/>
                      <w:szCs w:val="21"/>
                      <w:highlight w:val="none"/>
                    </w:rPr>
                  </w:pPr>
                  <w:r>
                    <w:rPr>
                      <w:color w:val="auto"/>
                      <w:szCs w:val="21"/>
                      <w:highlight w:val="none"/>
                    </w:rPr>
                    <w:t>Ⅱ</w:t>
                  </w:r>
                </w:p>
              </w:tc>
            </w:tr>
            <w:tr w14:paraId="1A86F6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60" w:type="pct"/>
                  <w:vMerge w:val="continue"/>
                  <w:vAlign w:val="center"/>
                </w:tcPr>
                <w:p w14:paraId="3FCE125A">
                  <w:pPr>
                    <w:wordWrap w:val="0"/>
                    <w:autoSpaceDE w:val="0"/>
                    <w:autoSpaceDN w:val="0"/>
                    <w:spacing w:line="276" w:lineRule="auto"/>
                    <w:jc w:val="center"/>
                    <w:rPr>
                      <w:color w:val="auto"/>
                      <w:szCs w:val="21"/>
                      <w:highlight w:val="none"/>
                    </w:rPr>
                  </w:pPr>
                </w:p>
              </w:tc>
              <w:tc>
                <w:tcPr>
                  <w:tcW w:w="1756" w:type="pct"/>
                  <w:vAlign w:val="center"/>
                </w:tcPr>
                <w:p w14:paraId="5E7A73F8">
                  <w:pPr>
                    <w:wordWrap w:val="0"/>
                    <w:autoSpaceDE w:val="0"/>
                    <w:autoSpaceDN w:val="0"/>
                    <w:spacing w:line="276" w:lineRule="auto"/>
                    <w:jc w:val="center"/>
                    <w:rPr>
                      <w:rFonts w:hint="eastAsia" w:hAnsi="宋体" w:eastAsia="宋体"/>
                      <w:color w:val="auto"/>
                      <w:szCs w:val="21"/>
                      <w:highlight w:val="none"/>
                      <w:lang w:val="en-US" w:eastAsia="zh-CN"/>
                    </w:rPr>
                  </w:pPr>
                  <w:r>
                    <w:rPr>
                      <w:rFonts w:hint="eastAsia" w:hAnsi="宋体"/>
                      <w:color w:val="auto"/>
                      <w:szCs w:val="21"/>
                      <w:highlight w:val="none"/>
                      <w:lang w:val="en-US" w:eastAsia="zh-CN"/>
                    </w:rPr>
                    <w:t>凤台水厂</w:t>
                  </w:r>
                </w:p>
              </w:tc>
              <w:tc>
                <w:tcPr>
                  <w:tcW w:w="2382" w:type="pct"/>
                  <w:vAlign w:val="center"/>
                </w:tcPr>
                <w:p w14:paraId="2812C453">
                  <w:pPr>
                    <w:wordWrap w:val="0"/>
                    <w:autoSpaceDE w:val="0"/>
                    <w:autoSpaceDN w:val="0"/>
                    <w:spacing w:line="276" w:lineRule="auto"/>
                    <w:jc w:val="center"/>
                    <w:rPr>
                      <w:color w:val="auto"/>
                      <w:szCs w:val="21"/>
                      <w:highlight w:val="none"/>
                    </w:rPr>
                  </w:pPr>
                  <w:r>
                    <w:rPr>
                      <w:color w:val="auto"/>
                      <w:szCs w:val="21"/>
                      <w:highlight w:val="none"/>
                    </w:rPr>
                    <w:t>Ⅲ</w:t>
                  </w:r>
                </w:p>
              </w:tc>
            </w:tr>
          </w:tbl>
          <w:p w14:paraId="66E6FEA6">
            <w:pPr>
              <w:spacing w:line="360" w:lineRule="auto"/>
              <w:ind w:firstLine="480" w:firstLineChars="200"/>
              <w:rPr>
                <w:b/>
                <w:bCs/>
                <w:color w:val="auto"/>
                <w:sz w:val="24"/>
                <w:szCs w:val="28"/>
                <w:highlight w:val="none"/>
              </w:rPr>
            </w:pPr>
            <w:r>
              <w:rPr>
                <w:rFonts w:hint="eastAsia"/>
                <w:color w:val="auto"/>
                <w:sz w:val="24"/>
                <w:szCs w:val="24"/>
                <w:highlight w:val="none"/>
                <w:lang w:eastAsia="zh-CN"/>
              </w:rPr>
              <w:t>根据2026年5月淮南市水环境质量</w:t>
            </w:r>
            <w:r>
              <w:rPr>
                <w:rFonts w:hint="eastAsia"/>
                <w:color w:val="auto"/>
                <w:sz w:val="24"/>
                <w:szCs w:val="24"/>
                <w:highlight w:val="none"/>
                <w:lang w:val="en-US" w:eastAsia="zh-CN"/>
              </w:rPr>
              <w:t>监测结果</w:t>
            </w:r>
            <w:r>
              <w:rPr>
                <w:rFonts w:hint="eastAsia"/>
                <w:color w:val="auto"/>
                <w:sz w:val="24"/>
                <w:szCs w:val="24"/>
                <w:highlight w:val="none"/>
              </w:rPr>
              <w:t>，项目所在区域纳污水体—淮河的地表水环境质量总体满足《地表水环境质量标准》</w:t>
            </w:r>
            <w:r>
              <w:rPr>
                <w:rFonts w:hint="eastAsia" w:hAnsi="宋体"/>
                <w:color w:val="auto"/>
                <w:sz w:val="24"/>
                <w:szCs w:val="24"/>
                <w:highlight w:val="none"/>
              </w:rPr>
              <w:t>（GB3838-2002）</w:t>
            </w:r>
            <w:r>
              <w:rPr>
                <w:color w:val="auto"/>
                <w:sz w:val="24"/>
                <w:szCs w:val="24"/>
                <w:highlight w:val="none"/>
              </w:rPr>
              <w:t>Ⅲ</w:t>
            </w:r>
            <w:r>
              <w:rPr>
                <w:rFonts w:hint="eastAsia" w:hAnsi="宋体"/>
                <w:color w:val="auto"/>
                <w:sz w:val="24"/>
                <w:szCs w:val="24"/>
                <w:highlight w:val="none"/>
              </w:rPr>
              <w:t>类标准。</w:t>
            </w:r>
          </w:p>
          <w:p w14:paraId="6EFB1545">
            <w:pPr>
              <w:spacing w:line="360" w:lineRule="auto"/>
              <w:ind w:firstLine="482" w:firstLineChars="200"/>
              <w:rPr>
                <w:b/>
                <w:bCs/>
                <w:color w:val="auto"/>
                <w:sz w:val="24"/>
                <w:szCs w:val="28"/>
                <w:highlight w:val="none"/>
              </w:rPr>
            </w:pPr>
            <w:r>
              <w:rPr>
                <w:rFonts w:hint="eastAsia"/>
                <w:b/>
                <w:bCs/>
                <w:color w:val="auto"/>
                <w:sz w:val="24"/>
                <w:szCs w:val="28"/>
                <w:highlight w:val="none"/>
              </w:rPr>
              <w:t>三、声环境质量现状</w:t>
            </w:r>
          </w:p>
          <w:p w14:paraId="109FBA19">
            <w:pPr>
              <w:spacing w:line="360" w:lineRule="auto"/>
              <w:ind w:firstLine="480" w:firstLineChars="200"/>
              <w:rPr>
                <w:color w:val="auto"/>
                <w:sz w:val="24"/>
                <w:highlight w:val="none"/>
              </w:rPr>
            </w:pPr>
            <w:r>
              <w:rPr>
                <w:rFonts w:hint="eastAsia"/>
                <w:color w:val="auto"/>
                <w:sz w:val="24"/>
                <w:highlight w:val="none"/>
              </w:rPr>
              <w:t>根据现场勘查，项目厂界外50m范围内无声环境保护目标，无需进行声环境现状质量监测。</w:t>
            </w:r>
          </w:p>
          <w:p w14:paraId="29398EFF">
            <w:pPr>
              <w:spacing w:line="360" w:lineRule="auto"/>
              <w:ind w:firstLine="482" w:firstLineChars="200"/>
              <w:rPr>
                <w:b/>
                <w:bCs/>
                <w:color w:val="auto"/>
                <w:sz w:val="24"/>
                <w:szCs w:val="28"/>
                <w:highlight w:val="none"/>
              </w:rPr>
            </w:pPr>
            <w:r>
              <w:rPr>
                <w:rFonts w:hint="eastAsia"/>
                <w:b/>
                <w:bCs/>
                <w:color w:val="auto"/>
                <w:sz w:val="24"/>
                <w:szCs w:val="28"/>
                <w:highlight w:val="none"/>
              </w:rPr>
              <w:t>四、生态环境</w:t>
            </w:r>
          </w:p>
          <w:p w14:paraId="24819E37">
            <w:pPr>
              <w:spacing w:line="440" w:lineRule="exact"/>
              <w:ind w:firstLine="480" w:firstLineChars="200"/>
              <w:rPr>
                <w:color w:val="auto"/>
                <w:sz w:val="24"/>
                <w:highlight w:val="none"/>
              </w:rPr>
            </w:pPr>
            <w:r>
              <w:rPr>
                <w:rFonts w:hAnsi="宋体"/>
                <w:color w:val="auto"/>
                <w:sz w:val="24"/>
                <w:szCs w:val="24"/>
                <w:highlight w:val="none"/>
              </w:rPr>
              <w:t>本项目</w:t>
            </w:r>
            <w:r>
              <w:rPr>
                <w:rFonts w:hint="eastAsia" w:hAnsi="宋体"/>
                <w:color w:val="auto"/>
                <w:sz w:val="24"/>
                <w:szCs w:val="24"/>
                <w:highlight w:val="none"/>
                <w:lang w:val="en-US" w:eastAsia="zh-CN"/>
              </w:rPr>
              <w:t>位于</w:t>
            </w:r>
            <w:r>
              <w:rPr>
                <w:rFonts w:hint="eastAsia" w:hAnsi="宋体"/>
                <w:color w:val="auto"/>
                <w:sz w:val="24"/>
                <w:szCs w:val="24"/>
                <w:highlight w:val="none"/>
                <w:lang w:eastAsia="zh-CN"/>
              </w:rPr>
              <w:t>安徽省淮南市淮南经济技术开发区安徽永银科技发展有限公司（经开区长宁路80号）</w:t>
            </w:r>
            <w:r>
              <w:rPr>
                <w:rFonts w:hint="eastAsia"/>
                <w:color w:val="auto"/>
                <w:sz w:val="24"/>
                <w:szCs w:val="28"/>
                <w:highlight w:val="none"/>
              </w:rPr>
              <w:t>，</w:t>
            </w:r>
            <w:r>
              <w:rPr>
                <w:rFonts w:hint="eastAsia"/>
                <w:color w:val="auto"/>
                <w:sz w:val="24"/>
                <w:szCs w:val="24"/>
                <w:highlight w:val="none"/>
                <w:lang w:val="en-US" w:eastAsia="zh-CN"/>
              </w:rPr>
              <w:t>不新增工业用地，现建设用地范围</w:t>
            </w:r>
            <w:r>
              <w:rPr>
                <w:rFonts w:hint="eastAsia"/>
                <w:color w:val="auto"/>
                <w:sz w:val="24"/>
                <w:highlight w:val="none"/>
              </w:rPr>
              <w:t>内无生态环境保护目标，</w:t>
            </w:r>
            <w:r>
              <w:rPr>
                <w:rFonts w:hint="eastAsia"/>
                <w:color w:val="auto"/>
                <w:sz w:val="24"/>
                <w:szCs w:val="28"/>
                <w:highlight w:val="none"/>
              </w:rPr>
              <w:t>无需进行生态现状调查。</w:t>
            </w:r>
          </w:p>
          <w:p w14:paraId="0AEE65C3">
            <w:pPr>
              <w:spacing w:line="440" w:lineRule="exact"/>
              <w:ind w:firstLine="482" w:firstLineChars="200"/>
              <w:rPr>
                <w:b/>
                <w:bCs/>
                <w:color w:val="auto"/>
                <w:sz w:val="24"/>
                <w:szCs w:val="28"/>
                <w:highlight w:val="none"/>
              </w:rPr>
            </w:pPr>
            <w:r>
              <w:rPr>
                <w:rFonts w:hint="eastAsia"/>
                <w:b/>
                <w:color w:val="auto"/>
                <w:sz w:val="24"/>
                <w:highlight w:val="none"/>
              </w:rPr>
              <w:t>五</w:t>
            </w:r>
            <w:r>
              <w:rPr>
                <w:rFonts w:hint="eastAsia"/>
                <w:b/>
                <w:bCs/>
                <w:color w:val="auto"/>
                <w:sz w:val="24"/>
                <w:szCs w:val="28"/>
                <w:highlight w:val="none"/>
              </w:rPr>
              <w:t>、电磁辐射</w:t>
            </w:r>
          </w:p>
          <w:p w14:paraId="3C77C078">
            <w:pPr>
              <w:spacing w:line="440" w:lineRule="exact"/>
              <w:ind w:firstLine="480" w:firstLineChars="200"/>
              <w:rPr>
                <w:b/>
                <w:color w:val="auto"/>
                <w:sz w:val="24"/>
                <w:highlight w:val="none"/>
              </w:rPr>
            </w:pPr>
            <w:r>
              <w:rPr>
                <w:rFonts w:hint="eastAsia"/>
                <w:color w:val="auto"/>
                <w:sz w:val="24"/>
                <w:szCs w:val="28"/>
                <w:highlight w:val="none"/>
              </w:rPr>
              <w:t>本项目不属于电磁辐射类项目，不建设广播电视、通信、雷达及导航系统、高压电力系统、医疗系统等电磁站点，不存在电磁辐射污染，无需进行电磁辐射现状调查。</w:t>
            </w:r>
          </w:p>
          <w:p w14:paraId="5F48DE72">
            <w:pPr>
              <w:spacing w:line="440" w:lineRule="exact"/>
              <w:ind w:firstLine="482" w:firstLineChars="200"/>
              <w:rPr>
                <w:b/>
                <w:color w:val="auto"/>
                <w:sz w:val="24"/>
                <w:highlight w:val="none"/>
              </w:rPr>
            </w:pPr>
            <w:r>
              <w:rPr>
                <w:rFonts w:hint="eastAsia"/>
                <w:b/>
                <w:color w:val="auto"/>
                <w:sz w:val="24"/>
                <w:highlight w:val="none"/>
              </w:rPr>
              <w:t>六、地下水、土壤环境</w:t>
            </w:r>
          </w:p>
          <w:p w14:paraId="5E378EEB">
            <w:pPr>
              <w:spacing w:line="440" w:lineRule="exact"/>
              <w:ind w:firstLine="480" w:firstLineChars="200"/>
              <w:rPr>
                <w:rFonts w:hint="eastAsia"/>
                <w:color w:val="auto"/>
                <w:sz w:val="24"/>
                <w:highlight w:val="none"/>
              </w:rPr>
            </w:pPr>
            <w:r>
              <w:rPr>
                <w:rFonts w:hint="eastAsia"/>
                <w:color w:val="auto"/>
                <w:sz w:val="24"/>
                <w:highlight w:val="none"/>
              </w:rPr>
              <w:t>根据《建设项目环境影响报告表编制技术指南（污染影响类）》（试行），本项目非新增用地，原则上不对地下水和土壤开展环境质量现状调查。</w:t>
            </w:r>
            <w:r>
              <w:rPr>
                <w:rFonts w:hint="eastAsia"/>
                <w:color w:val="auto"/>
                <w:sz w:val="24"/>
                <w:highlight w:val="none"/>
                <w:lang w:val="en-US" w:eastAsia="zh-CN"/>
              </w:rPr>
              <w:t>本项目依托现有厂区建设，</w:t>
            </w:r>
            <w:r>
              <w:rPr>
                <w:rFonts w:hint="eastAsia"/>
                <w:color w:val="auto"/>
                <w:sz w:val="24"/>
                <w:highlight w:val="none"/>
              </w:rPr>
              <w:t>重点防渗区采取全面防腐、防渗处理，一般防渗区采用防渗水泥进行硬化方式处理</w:t>
            </w:r>
            <w:r>
              <w:rPr>
                <w:rFonts w:hint="eastAsia"/>
                <w:color w:val="auto"/>
                <w:sz w:val="24"/>
                <w:highlight w:val="none"/>
                <w:lang w:eastAsia="zh-CN"/>
              </w:rPr>
              <w:t>，</w:t>
            </w:r>
            <w:r>
              <w:rPr>
                <w:rFonts w:hint="eastAsia"/>
                <w:color w:val="auto"/>
                <w:sz w:val="24"/>
                <w:highlight w:val="none"/>
                <w:lang w:val="en-US" w:eastAsia="zh-CN"/>
              </w:rPr>
              <w:t>储罐均为地上式，不涉及地下储罐，</w:t>
            </w:r>
            <w:r>
              <w:rPr>
                <w:rFonts w:hint="eastAsia"/>
                <w:color w:val="auto"/>
                <w:sz w:val="24"/>
                <w:highlight w:val="none"/>
              </w:rPr>
              <w:t>项目涉及的化学品</w:t>
            </w:r>
            <w:r>
              <w:rPr>
                <w:rFonts w:hint="eastAsia"/>
                <w:color w:val="auto"/>
                <w:sz w:val="24"/>
                <w:highlight w:val="none"/>
                <w:lang w:val="en-US" w:eastAsia="zh-CN"/>
              </w:rPr>
              <w:t>主要</w:t>
            </w:r>
            <w:r>
              <w:rPr>
                <w:rFonts w:hint="eastAsia"/>
                <w:color w:val="auto"/>
                <w:sz w:val="24"/>
                <w:highlight w:val="none"/>
              </w:rPr>
              <w:t>为乙烯</w:t>
            </w:r>
            <w:r>
              <w:rPr>
                <w:rFonts w:hint="eastAsia"/>
                <w:color w:val="auto"/>
                <w:sz w:val="24"/>
                <w:highlight w:val="none"/>
                <w:lang w:eastAsia="zh-CN"/>
              </w:rPr>
              <w:t>、</w:t>
            </w:r>
            <w:r>
              <w:rPr>
                <w:rFonts w:hint="eastAsia"/>
                <w:color w:val="auto"/>
                <w:sz w:val="24"/>
                <w:highlight w:val="none"/>
                <w:lang w:val="en-US" w:eastAsia="zh-CN"/>
              </w:rPr>
              <w:t>丙烷、丁烷</w:t>
            </w:r>
            <w:r>
              <w:rPr>
                <w:rFonts w:hint="eastAsia"/>
                <w:color w:val="auto"/>
                <w:sz w:val="24"/>
                <w:highlight w:val="none"/>
              </w:rPr>
              <w:t>，沸点</w:t>
            </w:r>
            <w:r>
              <w:rPr>
                <w:rFonts w:hint="eastAsia"/>
                <w:color w:val="auto"/>
                <w:sz w:val="24"/>
                <w:highlight w:val="none"/>
                <w:lang w:val="en-US" w:eastAsia="zh-CN"/>
              </w:rPr>
              <w:t>均在环境温度以下</w:t>
            </w:r>
            <w:r>
              <w:rPr>
                <w:rFonts w:hint="eastAsia"/>
                <w:color w:val="auto"/>
                <w:sz w:val="24"/>
                <w:highlight w:val="none"/>
              </w:rPr>
              <w:t>，泄漏后会立即气化，基本上不存在地下水和土壤污染途径。且原辅材料均不涉及重金属污染物，因此，本次未开展地下水和土壤环境现状监测。</w:t>
            </w:r>
          </w:p>
          <w:p w14:paraId="3464C4D0">
            <w:pPr>
              <w:spacing w:line="440" w:lineRule="exact"/>
              <w:ind w:firstLine="480" w:firstLineChars="200"/>
              <w:rPr>
                <w:rFonts w:hint="eastAsia"/>
                <w:color w:val="auto"/>
                <w:sz w:val="24"/>
                <w:highlight w:val="none"/>
              </w:rPr>
            </w:pPr>
          </w:p>
          <w:p w14:paraId="5BFCA63D">
            <w:pPr>
              <w:spacing w:line="440" w:lineRule="exact"/>
              <w:ind w:firstLine="480" w:firstLineChars="200"/>
              <w:rPr>
                <w:rFonts w:hint="eastAsia"/>
                <w:color w:val="auto"/>
                <w:sz w:val="24"/>
                <w:highlight w:val="none"/>
              </w:rPr>
            </w:pPr>
          </w:p>
          <w:p w14:paraId="37C4B723">
            <w:pPr>
              <w:spacing w:line="440" w:lineRule="exact"/>
              <w:ind w:firstLine="480" w:firstLineChars="200"/>
              <w:rPr>
                <w:rFonts w:hint="eastAsia"/>
                <w:color w:val="auto"/>
                <w:sz w:val="24"/>
                <w:highlight w:val="none"/>
              </w:rPr>
            </w:pPr>
          </w:p>
          <w:p w14:paraId="36EEFA7A">
            <w:pPr>
              <w:spacing w:line="440" w:lineRule="exact"/>
              <w:ind w:firstLine="480" w:firstLineChars="200"/>
              <w:rPr>
                <w:rFonts w:hint="eastAsia"/>
                <w:color w:val="auto"/>
                <w:sz w:val="24"/>
                <w:highlight w:val="none"/>
              </w:rPr>
            </w:pPr>
          </w:p>
          <w:p w14:paraId="5E7864EF">
            <w:pPr>
              <w:spacing w:line="440" w:lineRule="exact"/>
              <w:ind w:firstLine="480" w:firstLineChars="200"/>
              <w:rPr>
                <w:rFonts w:hint="eastAsia"/>
                <w:color w:val="auto"/>
                <w:sz w:val="24"/>
                <w:highlight w:val="none"/>
              </w:rPr>
            </w:pPr>
          </w:p>
          <w:p w14:paraId="5FC3D317">
            <w:pPr>
              <w:spacing w:line="440" w:lineRule="exact"/>
              <w:ind w:firstLine="480" w:firstLineChars="200"/>
              <w:rPr>
                <w:rFonts w:hint="eastAsia"/>
                <w:color w:val="auto"/>
                <w:sz w:val="24"/>
                <w:highlight w:val="none"/>
              </w:rPr>
            </w:pPr>
          </w:p>
          <w:p w14:paraId="5E949954">
            <w:pPr>
              <w:spacing w:line="440" w:lineRule="exact"/>
              <w:ind w:firstLine="480" w:firstLineChars="200"/>
              <w:rPr>
                <w:rFonts w:hint="eastAsia"/>
                <w:color w:val="auto"/>
                <w:sz w:val="24"/>
                <w:highlight w:val="none"/>
              </w:rPr>
            </w:pPr>
          </w:p>
          <w:p w14:paraId="1B2A3F9E">
            <w:pPr>
              <w:spacing w:line="440" w:lineRule="exact"/>
              <w:ind w:firstLine="480" w:firstLineChars="200"/>
              <w:rPr>
                <w:rFonts w:hint="eastAsia"/>
                <w:color w:val="auto"/>
                <w:sz w:val="24"/>
                <w:highlight w:val="none"/>
              </w:rPr>
            </w:pPr>
          </w:p>
          <w:p w14:paraId="6EB631B3">
            <w:pPr>
              <w:spacing w:line="440" w:lineRule="exact"/>
              <w:ind w:firstLine="480" w:firstLineChars="200"/>
              <w:rPr>
                <w:rFonts w:hint="eastAsia"/>
                <w:color w:val="auto"/>
                <w:sz w:val="24"/>
                <w:highlight w:val="none"/>
              </w:rPr>
            </w:pPr>
          </w:p>
          <w:p w14:paraId="4AB5F6F4">
            <w:pPr>
              <w:spacing w:line="440" w:lineRule="exact"/>
              <w:ind w:firstLine="480" w:firstLineChars="200"/>
              <w:rPr>
                <w:rFonts w:hint="eastAsia"/>
                <w:color w:val="auto"/>
                <w:sz w:val="24"/>
                <w:highlight w:val="none"/>
              </w:rPr>
            </w:pPr>
          </w:p>
          <w:p w14:paraId="206DF5F2">
            <w:pPr>
              <w:spacing w:line="440" w:lineRule="exact"/>
              <w:ind w:firstLine="480" w:firstLineChars="200"/>
              <w:rPr>
                <w:rFonts w:hint="eastAsia"/>
                <w:color w:val="auto"/>
                <w:sz w:val="24"/>
                <w:highlight w:val="none"/>
              </w:rPr>
            </w:pPr>
          </w:p>
          <w:p w14:paraId="05C2D6C3">
            <w:pPr>
              <w:spacing w:line="440" w:lineRule="exact"/>
              <w:ind w:firstLine="480" w:firstLineChars="200"/>
              <w:rPr>
                <w:rFonts w:hint="eastAsia"/>
                <w:color w:val="auto"/>
                <w:sz w:val="24"/>
                <w:highlight w:val="none"/>
              </w:rPr>
            </w:pPr>
          </w:p>
          <w:p w14:paraId="37793A5F">
            <w:pPr>
              <w:spacing w:line="440" w:lineRule="exact"/>
              <w:ind w:firstLine="480" w:firstLineChars="200"/>
              <w:rPr>
                <w:rFonts w:hint="eastAsia"/>
                <w:color w:val="auto"/>
                <w:sz w:val="24"/>
                <w:highlight w:val="none"/>
              </w:rPr>
            </w:pPr>
          </w:p>
          <w:p w14:paraId="3CFF88FF">
            <w:pPr>
              <w:spacing w:line="440" w:lineRule="exact"/>
              <w:ind w:firstLine="480" w:firstLineChars="200"/>
              <w:rPr>
                <w:rFonts w:hint="eastAsia"/>
                <w:color w:val="auto"/>
                <w:sz w:val="24"/>
                <w:highlight w:val="none"/>
              </w:rPr>
            </w:pPr>
          </w:p>
        </w:tc>
      </w:tr>
    </w:tbl>
    <w:p w14:paraId="7D269053">
      <w:pPr>
        <w:widowControl/>
        <w:outlineLvl w:val="0"/>
        <w:rPr>
          <w:rFonts w:ascii="宋体" w:hAnsi="宋体"/>
          <w:b/>
          <w:bCs/>
          <w:color w:val="auto"/>
          <w:kern w:val="0"/>
          <w:sz w:val="30"/>
          <w:szCs w:val="30"/>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bookmarkStart w:id="16" w:name="_Toc354926676"/>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8"/>
        <w:gridCol w:w="8299"/>
      </w:tblGrid>
      <w:tr w14:paraId="4D2FD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18" w:type="dxa"/>
            <w:vAlign w:val="center"/>
          </w:tcPr>
          <w:p w14:paraId="7A80F6BE">
            <w:pPr>
              <w:pStyle w:val="180"/>
              <w:spacing w:line="360" w:lineRule="auto"/>
              <w:ind w:left="0" w:right="0" w:firstLine="0"/>
              <w:jc w:val="center"/>
              <w:rPr>
                <w:rFonts w:hAnsi="宋体"/>
                <w:color w:val="auto"/>
                <w:szCs w:val="22"/>
                <w:highlight w:val="none"/>
              </w:rPr>
            </w:pPr>
            <w:r>
              <w:rPr>
                <w:rFonts w:hAnsi="宋体"/>
                <w:color w:val="auto"/>
                <w:szCs w:val="22"/>
                <w:highlight w:val="none"/>
              </w:rPr>
              <w:t>环境保护目标</w:t>
            </w:r>
          </w:p>
        </w:tc>
        <w:tc>
          <w:tcPr>
            <w:tcW w:w="8299" w:type="dxa"/>
          </w:tcPr>
          <w:p w14:paraId="7D07627B">
            <w:pPr>
              <w:pStyle w:val="3"/>
              <w:keepNext w:val="0"/>
              <w:keepLines w:val="0"/>
              <w:spacing w:line="360" w:lineRule="auto"/>
              <w:jc w:val="left"/>
              <w:rPr>
                <w:rFonts w:ascii="宋体" w:hAnsi="宋体" w:eastAsia="宋体"/>
                <w:color w:val="auto"/>
                <w:sz w:val="24"/>
                <w:szCs w:val="24"/>
                <w:highlight w:val="none"/>
              </w:rPr>
            </w:pPr>
            <w:r>
              <w:rPr>
                <w:rFonts w:hint="eastAsia" w:ascii="宋体" w:hAnsi="宋体" w:eastAsia="宋体"/>
                <w:color w:val="auto"/>
                <w:sz w:val="24"/>
                <w:szCs w:val="24"/>
                <w:highlight w:val="none"/>
              </w:rPr>
              <w:t>主要环境保护目标（列出名单及保护级别）</w:t>
            </w:r>
          </w:p>
          <w:p w14:paraId="0B8EA364">
            <w:pPr>
              <w:spacing w:line="360" w:lineRule="auto"/>
              <w:ind w:firstLine="480" w:firstLineChars="200"/>
              <w:jc w:val="left"/>
              <w:rPr>
                <w:bCs/>
                <w:color w:val="auto"/>
                <w:kern w:val="0"/>
                <w:sz w:val="24"/>
                <w:highlight w:val="none"/>
              </w:rPr>
            </w:pPr>
            <w:r>
              <w:rPr>
                <w:bCs/>
                <w:color w:val="auto"/>
                <w:kern w:val="0"/>
                <w:sz w:val="24"/>
                <w:highlight w:val="none"/>
              </w:rPr>
              <w:t>根据建设项目地理位置和性质，项目</w:t>
            </w:r>
            <w:r>
              <w:rPr>
                <w:rFonts w:hint="eastAsia"/>
                <w:bCs/>
                <w:color w:val="auto"/>
                <w:kern w:val="0"/>
                <w:sz w:val="24"/>
                <w:highlight w:val="none"/>
                <w:lang w:val="en-US" w:eastAsia="zh-CN"/>
              </w:rPr>
              <w:t>厂区</w:t>
            </w:r>
            <w:r>
              <w:rPr>
                <w:rFonts w:hint="eastAsia"/>
                <w:bCs/>
                <w:color w:val="auto"/>
                <w:kern w:val="0"/>
                <w:sz w:val="24"/>
                <w:highlight w:val="none"/>
              </w:rPr>
              <w:t>500m范围内存在大气环境保护目标，本项目</w:t>
            </w:r>
            <w:r>
              <w:rPr>
                <w:bCs/>
                <w:color w:val="auto"/>
                <w:kern w:val="0"/>
                <w:sz w:val="24"/>
                <w:highlight w:val="none"/>
              </w:rPr>
              <w:t>周边主要环境保护对象见下表</w:t>
            </w:r>
            <w:r>
              <w:rPr>
                <w:rFonts w:hint="eastAsia"/>
                <w:bCs/>
                <w:color w:val="auto"/>
                <w:kern w:val="0"/>
                <w:sz w:val="24"/>
                <w:highlight w:val="none"/>
                <w:lang w:val="en-US" w:eastAsia="zh-CN"/>
              </w:rPr>
              <w:t>3-3</w:t>
            </w:r>
            <w:r>
              <w:rPr>
                <w:bCs/>
                <w:color w:val="auto"/>
                <w:kern w:val="0"/>
                <w:sz w:val="24"/>
                <w:highlight w:val="none"/>
              </w:rPr>
              <w:t>及</w:t>
            </w:r>
            <w:r>
              <w:rPr>
                <w:rFonts w:hint="eastAsia"/>
                <w:bCs/>
                <w:color w:val="auto"/>
                <w:kern w:val="0"/>
                <w:sz w:val="24"/>
                <w:highlight w:val="none"/>
                <w:lang w:val="en-US" w:eastAsia="zh-CN"/>
              </w:rPr>
              <w:t>附图7</w:t>
            </w:r>
            <w:r>
              <w:rPr>
                <w:bCs/>
                <w:color w:val="auto"/>
                <w:kern w:val="0"/>
                <w:sz w:val="24"/>
                <w:highlight w:val="none"/>
              </w:rPr>
              <w:t>。</w:t>
            </w:r>
          </w:p>
          <w:p w14:paraId="0D500E09">
            <w:pPr>
              <w:spacing w:line="360" w:lineRule="auto"/>
              <w:jc w:val="center"/>
              <w:rPr>
                <w:rFonts w:eastAsia="黑体"/>
                <w:bCs/>
                <w:color w:val="auto"/>
                <w:sz w:val="24"/>
                <w:szCs w:val="24"/>
                <w:highlight w:val="none"/>
              </w:rPr>
            </w:pPr>
            <w:r>
              <w:rPr>
                <w:rFonts w:eastAsia="黑体"/>
                <w:color w:val="auto"/>
                <w:sz w:val="24"/>
                <w:szCs w:val="24"/>
                <w:highlight w:val="none"/>
              </w:rPr>
              <w:t>表</w:t>
            </w:r>
            <w:r>
              <w:rPr>
                <w:rFonts w:hint="eastAsia" w:eastAsia="黑体"/>
                <w:color w:val="auto"/>
                <w:sz w:val="24"/>
                <w:szCs w:val="24"/>
                <w:highlight w:val="none"/>
                <w:lang w:val="en-US" w:eastAsia="zh-CN"/>
              </w:rPr>
              <w:t>3-3</w:t>
            </w:r>
            <w:r>
              <w:rPr>
                <w:rFonts w:hint="eastAsia" w:eastAsia="黑体"/>
                <w:color w:val="auto"/>
                <w:sz w:val="24"/>
                <w:szCs w:val="24"/>
                <w:highlight w:val="none"/>
              </w:rPr>
              <w:t xml:space="preserve"> </w:t>
            </w:r>
            <w:r>
              <w:rPr>
                <w:rFonts w:eastAsia="黑体"/>
                <w:color w:val="auto"/>
                <w:sz w:val="24"/>
                <w:szCs w:val="24"/>
                <w:highlight w:val="none"/>
              </w:rPr>
              <w:t>项目主要环境保护目标</w:t>
            </w:r>
            <w:r>
              <w:rPr>
                <w:rFonts w:hint="eastAsia" w:eastAsia="黑体"/>
                <w:color w:val="auto"/>
                <w:sz w:val="24"/>
                <w:szCs w:val="24"/>
                <w:highlight w:val="none"/>
              </w:rPr>
              <w:t>一览表</w:t>
            </w:r>
          </w:p>
          <w:tbl>
            <w:tblPr>
              <w:tblStyle w:val="36"/>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323"/>
              <w:gridCol w:w="748"/>
              <w:gridCol w:w="659"/>
              <w:gridCol w:w="641"/>
              <w:gridCol w:w="918"/>
              <w:gridCol w:w="777"/>
              <w:gridCol w:w="640"/>
              <w:gridCol w:w="732"/>
              <w:gridCol w:w="1639"/>
            </w:tblGrid>
            <w:tr w14:paraId="1F865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vMerge w:val="restart"/>
                  <w:tcMar>
                    <w:top w:w="0" w:type="dxa"/>
                    <w:left w:w="6" w:type="dxa"/>
                    <w:bottom w:w="0" w:type="dxa"/>
                    <w:right w:w="6" w:type="dxa"/>
                  </w:tcMar>
                  <w:vAlign w:val="center"/>
                </w:tcPr>
                <w:p w14:paraId="23865C63">
                  <w:pPr>
                    <w:jc w:val="center"/>
                    <w:rPr>
                      <w:color w:val="auto"/>
                      <w:szCs w:val="21"/>
                      <w:highlight w:val="none"/>
                    </w:rPr>
                  </w:pPr>
                  <w:r>
                    <w:rPr>
                      <w:color w:val="auto"/>
                      <w:szCs w:val="21"/>
                      <w:highlight w:val="none"/>
                    </w:rPr>
                    <w:t>保护项目</w:t>
                  </w:r>
                </w:p>
              </w:tc>
              <w:tc>
                <w:tcPr>
                  <w:tcW w:w="463" w:type="pct"/>
                  <w:vMerge w:val="restart"/>
                  <w:tcMar>
                    <w:top w:w="0" w:type="dxa"/>
                    <w:left w:w="6" w:type="dxa"/>
                    <w:bottom w:w="0" w:type="dxa"/>
                    <w:right w:w="6" w:type="dxa"/>
                  </w:tcMar>
                  <w:vAlign w:val="center"/>
                </w:tcPr>
                <w:p w14:paraId="7EC82DE0">
                  <w:pPr>
                    <w:jc w:val="center"/>
                    <w:rPr>
                      <w:color w:val="auto"/>
                      <w:szCs w:val="21"/>
                      <w:highlight w:val="none"/>
                    </w:rPr>
                  </w:pPr>
                  <w:r>
                    <w:rPr>
                      <w:color w:val="auto"/>
                      <w:szCs w:val="21"/>
                      <w:highlight w:val="none"/>
                    </w:rPr>
                    <w:t>名称</w:t>
                  </w:r>
                </w:p>
              </w:tc>
              <w:tc>
                <w:tcPr>
                  <w:tcW w:w="805" w:type="pct"/>
                  <w:gridSpan w:val="2"/>
                  <w:tcMar>
                    <w:top w:w="0" w:type="dxa"/>
                    <w:left w:w="6" w:type="dxa"/>
                    <w:bottom w:w="0" w:type="dxa"/>
                    <w:right w:w="6" w:type="dxa"/>
                  </w:tcMar>
                  <w:vAlign w:val="center"/>
                </w:tcPr>
                <w:p w14:paraId="323C693F">
                  <w:pPr>
                    <w:jc w:val="center"/>
                    <w:rPr>
                      <w:color w:val="auto"/>
                      <w:szCs w:val="21"/>
                      <w:highlight w:val="none"/>
                    </w:rPr>
                  </w:pPr>
                  <w:r>
                    <w:rPr>
                      <w:color w:val="auto"/>
                      <w:szCs w:val="21"/>
                      <w:highlight w:val="none"/>
                    </w:rPr>
                    <w:t>坐标</w:t>
                  </w:r>
                </w:p>
              </w:tc>
              <w:tc>
                <w:tcPr>
                  <w:tcW w:w="568" w:type="pct"/>
                  <w:vMerge w:val="restart"/>
                  <w:tcMar>
                    <w:top w:w="0" w:type="dxa"/>
                    <w:left w:w="6" w:type="dxa"/>
                    <w:bottom w:w="0" w:type="dxa"/>
                    <w:right w:w="6" w:type="dxa"/>
                  </w:tcMar>
                  <w:vAlign w:val="center"/>
                </w:tcPr>
                <w:p w14:paraId="5609DFF2">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保护对象</w:t>
                  </w:r>
                </w:p>
              </w:tc>
              <w:tc>
                <w:tcPr>
                  <w:tcW w:w="481" w:type="pct"/>
                  <w:vMerge w:val="restart"/>
                  <w:tcMar>
                    <w:top w:w="0" w:type="dxa"/>
                    <w:left w:w="6" w:type="dxa"/>
                    <w:bottom w:w="0" w:type="dxa"/>
                    <w:right w:w="6" w:type="dxa"/>
                  </w:tcMar>
                  <w:vAlign w:val="center"/>
                </w:tcPr>
                <w:p w14:paraId="6D3383AB">
                  <w:pPr>
                    <w:jc w:val="center"/>
                    <w:rPr>
                      <w:color w:val="auto"/>
                      <w:szCs w:val="21"/>
                      <w:highlight w:val="none"/>
                    </w:rPr>
                  </w:pPr>
                  <w:r>
                    <w:rPr>
                      <w:color w:val="auto"/>
                      <w:szCs w:val="21"/>
                      <w:highlight w:val="none"/>
                    </w:rPr>
                    <w:t>规模</w:t>
                  </w:r>
                </w:p>
              </w:tc>
              <w:tc>
                <w:tcPr>
                  <w:tcW w:w="396" w:type="pct"/>
                  <w:vMerge w:val="restart"/>
                  <w:tcMar>
                    <w:top w:w="0" w:type="dxa"/>
                    <w:left w:w="6" w:type="dxa"/>
                    <w:bottom w:w="0" w:type="dxa"/>
                    <w:right w:w="6" w:type="dxa"/>
                  </w:tcMar>
                  <w:vAlign w:val="center"/>
                </w:tcPr>
                <w:p w14:paraId="11C45295">
                  <w:pPr>
                    <w:jc w:val="center"/>
                    <w:rPr>
                      <w:color w:val="auto"/>
                      <w:szCs w:val="21"/>
                      <w:highlight w:val="none"/>
                    </w:rPr>
                  </w:pPr>
                  <w:r>
                    <w:rPr>
                      <w:color w:val="auto"/>
                      <w:szCs w:val="21"/>
                      <w:highlight w:val="none"/>
                    </w:rPr>
                    <w:t>相对厂址方位</w:t>
                  </w:r>
                </w:p>
              </w:tc>
              <w:tc>
                <w:tcPr>
                  <w:tcW w:w="453" w:type="pct"/>
                  <w:vMerge w:val="restart"/>
                  <w:tcMar>
                    <w:top w:w="0" w:type="dxa"/>
                    <w:left w:w="6" w:type="dxa"/>
                    <w:bottom w:w="0" w:type="dxa"/>
                    <w:right w:w="6" w:type="dxa"/>
                  </w:tcMar>
                  <w:vAlign w:val="center"/>
                </w:tcPr>
                <w:p w14:paraId="7A83A36D">
                  <w:pPr>
                    <w:jc w:val="center"/>
                    <w:rPr>
                      <w:color w:val="auto"/>
                      <w:szCs w:val="21"/>
                      <w:highlight w:val="none"/>
                    </w:rPr>
                  </w:pPr>
                  <w:r>
                    <w:rPr>
                      <w:color w:val="auto"/>
                      <w:szCs w:val="21"/>
                      <w:highlight w:val="none"/>
                    </w:rPr>
                    <w:t>相对厂界距离</w:t>
                  </w:r>
                </w:p>
              </w:tc>
              <w:tc>
                <w:tcPr>
                  <w:tcW w:w="1012" w:type="pct"/>
                  <w:vMerge w:val="restart"/>
                  <w:tcMar>
                    <w:top w:w="0" w:type="dxa"/>
                    <w:left w:w="6" w:type="dxa"/>
                    <w:bottom w:w="0" w:type="dxa"/>
                    <w:right w:w="6" w:type="dxa"/>
                  </w:tcMar>
                  <w:vAlign w:val="center"/>
                </w:tcPr>
                <w:p w14:paraId="7B9E56C7">
                  <w:pPr>
                    <w:jc w:val="center"/>
                    <w:rPr>
                      <w:color w:val="auto"/>
                      <w:szCs w:val="21"/>
                      <w:highlight w:val="none"/>
                    </w:rPr>
                  </w:pPr>
                  <w:r>
                    <w:rPr>
                      <w:color w:val="auto"/>
                      <w:szCs w:val="21"/>
                      <w:highlight w:val="none"/>
                    </w:rPr>
                    <w:t>保护级别</w:t>
                  </w:r>
                </w:p>
              </w:tc>
            </w:tr>
            <w:tr w14:paraId="4B03B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vMerge w:val="continue"/>
                  <w:tcMar>
                    <w:top w:w="0" w:type="dxa"/>
                    <w:left w:w="6" w:type="dxa"/>
                    <w:bottom w:w="0" w:type="dxa"/>
                    <w:right w:w="6" w:type="dxa"/>
                  </w:tcMar>
                  <w:vAlign w:val="center"/>
                </w:tcPr>
                <w:p w14:paraId="5F2FEF26">
                  <w:pPr>
                    <w:jc w:val="center"/>
                    <w:rPr>
                      <w:color w:val="auto"/>
                      <w:szCs w:val="21"/>
                      <w:highlight w:val="none"/>
                    </w:rPr>
                  </w:pPr>
                </w:p>
              </w:tc>
              <w:tc>
                <w:tcPr>
                  <w:tcW w:w="463" w:type="pct"/>
                  <w:vMerge w:val="continue"/>
                  <w:tcMar>
                    <w:top w:w="0" w:type="dxa"/>
                    <w:left w:w="6" w:type="dxa"/>
                    <w:bottom w:w="0" w:type="dxa"/>
                    <w:right w:w="6" w:type="dxa"/>
                  </w:tcMar>
                  <w:vAlign w:val="center"/>
                </w:tcPr>
                <w:p w14:paraId="7314A07A">
                  <w:pPr>
                    <w:jc w:val="center"/>
                    <w:rPr>
                      <w:color w:val="auto"/>
                      <w:szCs w:val="21"/>
                      <w:highlight w:val="none"/>
                    </w:rPr>
                  </w:pPr>
                </w:p>
              </w:tc>
              <w:tc>
                <w:tcPr>
                  <w:tcW w:w="408" w:type="pct"/>
                  <w:tcMar>
                    <w:top w:w="0" w:type="dxa"/>
                    <w:left w:w="6" w:type="dxa"/>
                    <w:bottom w:w="0" w:type="dxa"/>
                    <w:right w:w="6" w:type="dxa"/>
                  </w:tcMar>
                  <w:vAlign w:val="center"/>
                </w:tcPr>
                <w:p w14:paraId="44546B4A">
                  <w:pPr>
                    <w:jc w:val="center"/>
                    <w:rPr>
                      <w:color w:val="auto"/>
                      <w:szCs w:val="21"/>
                      <w:highlight w:val="none"/>
                    </w:rPr>
                  </w:pPr>
                  <w:r>
                    <w:rPr>
                      <w:color w:val="auto"/>
                      <w:szCs w:val="21"/>
                      <w:highlight w:val="none"/>
                    </w:rPr>
                    <w:t>X</w:t>
                  </w:r>
                </w:p>
              </w:tc>
              <w:tc>
                <w:tcPr>
                  <w:tcW w:w="396" w:type="pct"/>
                  <w:tcMar>
                    <w:top w:w="0" w:type="dxa"/>
                    <w:left w:w="6" w:type="dxa"/>
                    <w:bottom w:w="0" w:type="dxa"/>
                    <w:right w:w="6" w:type="dxa"/>
                  </w:tcMar>
                  <w:vAlign w:val="center"/>
                </w:tcPr>
                <w:p w14:paraId="4487C4C6">
                  <w:pPr>
                    <w:jc w:val="center"/>
                    <w:rPr>
                      <w:color w:val="auto"/>
                      <w:szCs w:val="21"/>
                      <w:highlight w:val="none"/>
                    </w:rPr>
                  </w:pPr>
                  <w:r>
                    <w:rPr>
                      <w:color w:val="auto"/>
                      <w:szCs w:val="21"/>
                      <w:highlight w:val="none"/>
                    </w:rPr>
                    <w:t>Y</w:t>
                  </w:r>
                </w:p>
              </w:tc>
              <w:tc>
                <w:tcPr>
                  <w:tcW w:w="568" w:type="pct"/>
                  <w:vMerge w:val="continue"/>
                  <w:tcMar>
                    <w:top w:w="0" w:type="dxa"/>
                    <w:left w:w="6" w:type="dxa"/>
                    <w:bottom w:w="0" w:type="dxa"/>
                    <w:right w:w="6" w:type="dxa"/>
                  </w:tcMar>
                  <w:vAlign w:val="center"/>
                </w:tcPr>
                <w:p w14:paraId="793E5F5F">
                  <w:pPr>
                    <w:jc w:val="center"/>
                    <w:rPr>
                      <w:color w:val="auto"/>
                      <w:szCs w:val="21"/>
                      <w:highlight w:val="none"/>
                    </w:rPr>
                  </w:pPr>
                </w:p>
              </w:tc>
              <w:tc>
                <w:tcPr>
                  <w:tcW w:w="481" w:type="pct"/>
                  <w:vMerge w:val="continue"/>
                  <w:tcMar>
                    <w:top w:w="0" w:type="dxa"/>
                    <w:left w:w="6" w:type="dxa"/>
                    <w:bottom w:w="0" w:type="dxa"/>
                    <w:right w:w="6" w:type="dxa"/>
                  </w:tcMar>
                  <w:vAlign w:val="center"/>
                </w:tcPr>
                <w:p w14:paraId="0099A00F">
                  <w:pPr>
                    <w:jc w:val="center"/>
                    <w:rPr>
                      <w:color w:val="auto"/>
                      <w:szCs w:val="21"/>
                      <w:highlight w:val="none"/>
                    </w:rPr>
                  </w:pPr>
                </w:p>
              </w:tc>
              <w:tc>
                <w:tcPr>
                  <w:tcW w:w="396" w:type="pct"/>
                  <w:vMerge w:val="continue"/>
                  <w:tcMar>
                    <w:top w:w="0" w:type="dxa"/>
                    <w:left w:w="6" w:type="dxa"/>
                    <w:bottom w:w="0" w:type="dxa"/>
                    <w:right w:w="6" w:type="dxa"/>
                  </w:tcMar>
                  <w:vAlign w:val="center"/>
                </w:tcPr>
                <w:p w14:paraId="24F08E2D">
                  <w:pPr>
                    <w:jc w:val="center"/>
                    <w:rPr>
                      <w:color w:val="auto"/>
                      <w:szCs w:val="21"/>
                      <w:highlight w:val="none"/>
                    </w:rPr>
                  </w:pPr>
                </w:p>
              </w:tc>
              <w:tc>
                <w:tcPr>
                  <w:tcW w:w="453" w:type="pct"/>
                  <w:vMerge w:val="continue"/>
                  <w:tcMar>
                    <w:top w:w="0" w:type="dxa"/>
                    <w:left w:w="6" w:type="dxa"/>
                    <w:bottom w:w="0" w:type="dxa"/>
                    <w:right w:w="6" w:type="dxa"/>
                  </w:tcMar>
                  <w:vAlign w:val="center"/>
                </w:tcPr>
                <w:p w14:paraId="2AA6D9A8">
                  <w:pPr>
                    <w:jc w:val="center"/>
                    <w:rPr>
                      <w:color w:val="auto"/>
                      <w:szCs w:val="21"/>
                      <w:highlight w:val="none"/>
                    </w:rPr>
                  </w:pPr>
                </w:p>
              </w:tc>
              <w:tc>
                <w:tcPr>
                  <w:tcW w:w="1012" w:type="pct"/>
                  <w:vMerge w:val="continue"/>
                  <w:tcMar>
                    <w:top w:w="0" w:type="dxa"/>
                    <w:left w:w="6" w:type="dxa"/>
                    <w:bottom w:w="0" w:type="dxa"/>
                    <w:right w:w="6" w:type="dxa"/>
                  </w:tcMar>
                  <w:vAlign w:val="center"/>
                </w:tcPr>
                <w:p w14:paraId="688B257A">
                  <w:pPr>
                    <w:jc w:val="center"/>
                    <w:rPr>
                      <w:color w:val="auto"/>
                      <w:szCs w:val="21"/>
                      <w:highlight w:val="none"/>
                    </w:rPr>
                  </w:pPr>
                </w:p>
              </w:tc>
            </w:tr>
            <w:tr w14:paraId="52BAC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vMerge w:val="restart"/>
                  <w:tcMar>
                    <w:top w:w="0" w:type="dxa"/>
                    <w:left w:w="6" w:type="dxa"/>
                    <w:bottom w:w="0" w:type="dxa"/>
                    <w:right w:w="6" w:type="dxa"/>
                  </w:tcMar>
                  <w:vAlign w:val="center"/>
                </w:tcPr>
                <w:p w14:paraId="1AF7ECE5">
                  <w:pPr>
                    <w:jc w:val="center"/>
                    <w:rPr>
                      <w:color w:val="auto"/>
                      <w:szCs w:val="21"/>
                      <w:highlight w:val="none"/>
                    </w:rPr>
                  </w:pPr>
                  <w:r>
                    <w:rPr>
                      <w:rFonts w:hint="eastAsia"/>
                      <w:color w:val="auto"/>
                      <w:szCs w:val="21"/>
                      <w:highlight w:val="none"/>
                    </w:rPr>
                    <w:t>地表</w:t>
                  </w:r>
                  <w:r>
                    <w:rPr>
                      <w:color w:val="auto"/>
                      <w:szCs w:val="21"/>
                      <w:highlight w:val="none"/>
                    </w:rPr>
                    <w:t>水环境</w:t>
                  </w:r>
                </w:p>
              </w:tc>
              <w:tc>
                <w:tcPr>
                  <w:tcW w:w="1268" w:type="pct"/>
                  <w:gridSpan w:val="3"/>
                  <w:tcMar>
                    <w:top w:w="0" w:type="dxa"/>
                    <w:left w:w="6" w:type="dxa"/>
                    <w:bottom w:w="0" w:type="dxa"/>
                    <w:right w:w="6" w:type="dxa"/>
                  </w:tcMar>
                  <w:vAlign w:val="center"/>
                </w:tcPr>
                <w:p w14:paraId="1EF19448">
                  <w:pPr>
                    <w:pStyle w:val="243"/>
                    <w:adjustRightInd w:val="0"/>
                    <w:snapToGrid w:val="0"/>
                    <w:spacing w:line="240" w:lineRule="auto"/>
                    <w:ind w:firstLine="0" w:firstLineChars="0"/>
                    <w:jc w:val="center"/>
                    <w:rPr>
                      <w:rFonts w:ascii="Times New Roman" w:hAnsi="Times New Roman"/>
                      <w:color w:val="auto"/>
                      <w:sz w:val="21"/>
                      <w:szCs w:val="21"/>
                      <w:highlight w:val="none"/>
                    </w:rPr>
                  </w:pPr>
                  <w:r>
                    <w:rPr>
                      <w:color w:val="auto"/>
                      <w:sz w:val="21"/>
                      <w:szCs w:val="21"/>
                      <w:highlight w:val="none"/>
                    </w:rPr>
                    <w:t>淮河</w:t>
                  </w:r>
                </w:p>
              </w:tc>
              <w:tc>
                <w:tcPr>
                  <w:tcW w:w="568" w:type="pct"/>
                  <w:tcMar>
                    <w:top w:w="0" w:type="dxa"/>
                    <w:left w:w="6" w:type="dxa"/>
                    <w:bottom w:w="0" w:type="dxa"/>
                    <w:right w:w="6" w:type="dxa"/>
                  </w:tcMar>
                  <w:vAlign w:val="center"/>
                </w:tcPr>
                <w:p w14:paraId="31EBA6C3">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地表水</w:t>
                  </w:r>
                </w:p>
              </w:tc>
              <w:tc>
                <w:tcPr>
                  <w:tcW w:w="481" w:type="pct"/>
                  <w:tcMar>
                    <w:top w:w="0" w:type="dxa"/>
                    <w:left w:w="6" w:type="dxa"/>
                    <w:bottom w:w="0" w:type="dxa"/>
                    <w:right w:w="6" w:type="dxa"/>
                  </w:tcMar>
                  <w:vAlign w:val="center"/>
                </w:tcPr>
                <w:p w14:paraId="3D58161A">
                  <w:pPr>
                    <w:jc w:val="center"/>
                    <w:rPr>
                      <w:color w:val="auto"/>
                      <w:szCs w:val="21"/>
                      <w:highlight w:val="none"/>
                    </w:rPr>
                  </w:pPr>
                  <w:r>
                    <w:rPr>
                      <w:color w:val="auto"/>
                      <w:szCs w:val="21"/>
                      <w:highlight w:val="none"/>
                    </w:rPr>
                    <w:t>大型河流</w:t>
                  </w:r>
                </w:p>
              </w:tc>
              <w:tc>
                <w:tcPr>
                  <w:tcW w:w="396" w:type="pct"/>
                  <w:tcMar>
                    <w:top w:w="0" w:type="dxa"/>
                    <w:left w:w="6" w:type="dxa"/>
                    <w:bottom w:w="0" w:type="dxa"/>
                    <w:right w:w="6" w:type="dxa"/>
                  </w:tcMar>
                  <w:vAlign w:val="center"/>
                </w:tcPr>
                <w:p w14:paraId="304A7A5C">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N</w:t>
                  </w:r>
                </w:p>
              </w:tc>
              <w:tc>
                <w:tcPr>
                  <w:tcW w:w="453" w:type="pct"/>
                  <w:tcMar>
                    <w:top w:w="0" w:type="dxa"/>
                    <w:left w:w="6" w:type="dxa"/>
                    <w:bottom w:w="0" w:type="dxa"/>
                    <w:right w:w="6" w:type="dxa"/>
                  </w:tcMar>
                  <w:vAlign w:val="center"/>
                </w:tcPr>
                <w:p w14:paraId="13A36143">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约43</w:t>
                  </w:r>
                  <w:r>
                    <w:rPr>
                      <w:rFonts w:ascii="Times New Roman" w:hAnsi="Times New Roman"/>
                      <w:color w:val="auto"/>
                      <w:sz w:val="21"/>
                      <w:szCs w:val="21"/>
                      <w:highlight w:val="none"/>
                    </w:rPr>
                    <w:t>00</w:t>
                  </w:r>
                  <w:r>
                    <w:rPr>
                      <w:rFonts w:hint="eastAsia" w:ascii="Times New Roman" w:hAnsi="Times New Roman"/>
                      <w:color w:val="auto"/>
                      <w:sz w:val="21"/>
                      <w:szCs w:val="21"/>
                      <w:highlight w:val="none"/>
                    </w:rPr>
                    <w:t>m</w:t>
                  </w:r>
                </w:p>
              </w:tc>
              <w:tc>
                <w:tcPr>
                  <w:tcW w:w="1012" w:type="pct"/>
                  <w:vMerge w:val="restart"/>
                  <w:tcMar>
                    <w:top w:w="0" w:type="dxa"/>
                    <w:left w:w="6" w:type="dxa"/>
                    <w:bottom w:w="0" w:type="dxa"/>
                    <w:right w:w="6" w:type="dxa"/>
                  </w:tcMar>
                  <w:vAlign w:val="center"/>
                </w:tcPr>
                <w:p w14:paraId="2CDF90C7">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color w:val="auto"/>
                      <w:sz w:val="21"/>
                      <w:szCs w:val="21"/>
                      <w:highlight w:val="none"/>
                    </w:rPr>
                    <w:t>《地表水环境质量标准》（</w:t>
                  </w:r>
                  <w:r>
                    <w:rPr>
                      <w:rFonts w:ascii="Times New Roman" w:hAnsi="Times New Roman"/>
                      <w:color w:val="auto"/>
                      <w:sz w:val="21"/>
                      <w:szCs w:val="21"/>
                      <w:highlight w:val="none"/>
                    </w:rPr>
                    <w:t>GB3838-2002</w:t>
                  </w:r>
                  <w:r>
                    <w:rPr>
                      <w:rFonts w:hint="eastAsia"/>
                      <w:color w:val="auto"/>
                      <w:sz w:val="21"/>
                      <w:szCs w:val="21"/>
                      <w:highlight w:val="none"/>
                    </w:rPr>
                    <w:t>）</w:t>
                  </w:r>
                  <w:r>
                    <w:rPr>
                      <w:rFonts w:ascii="Times New Roman" w:hAnsi="Times New Roman"/>
                      <w:color w:val="auto"/>
                      <w:sz w:val="21"/>
                      <w:szCs w:val="21"/>
                      <w:highlight w:val="none"/>
                    </w:rPr>
                    <w:t>Ⅲ</w:t>
                  </w:r>
                  <w:r>
                    <w:rPr>
                      <w:rFonts w:hint="eastAsia"/>
                      <w:color w:val="auto"/>
                      <w:sz w:val="21"/>
                      <w:szCs w:val="21"/>
                      <w:highlight w:val="none"/>
                    </w:rPr>
                    <w:t>类</w:t>
                  </w:r>
                </w:p>
              </w:tc>
            </w:tr>
            <w:tr w14:paraId="47BF9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vMerge w:val="continue"/>
                  <w:tcMar>
                    <w:top w:w="0" w:type="dxa"/>
                    <w:left w:w="6" w:type="dxa"/>
                    <w:bottom w:w="0" w:type="dxa"/>
                    <w:right w:w="6" w:type="dxa"/>
                  </w:tcMar>
                  <w:vAlign w:val="center"/>
                </w:tcPr>
                <w:p w14:paraId="626508A7">
                  <w:pPr>
                    <w:jc w:val="center"/>
                    <w:rPr>
                      <w:color w:val="auto"/>
                      <w:szCs w:val="21"/>
                      <w:highlight w:val="none"/>
                    </w:rPr>
                  </w:pPr>
                </w:p>
              </w:tc>
              <w:tc>
                <w:tcPr>
                  <w:tcW w:w="1268" w:type="pct"/>
                  <w:gridSpan w:val="3"/>
                  <w:tcMar>
                    <w:top w:w="0" w:type="dxa"/>
                    <w:left w:w="6" w:type="dxa"/>
                    <w:bottom w:w="0" w:type="dxa"/>
                    <w:right w:w="6" w:type="dxa"/>
                  </w:tcMar>
                  <w:vAlign w:val="center"/>
                </w:tcPr>
                <w:p w14:paraId="0BD945AA">
                  <w:pPr>
                    <w:pStyle w:val="243"/>
                    <w:adjustRightInd w:val="0"/>
                    <w:snapToGrid w:val="0"/>
                    <w:spacing w:line="240" w:lineRule="auto"/>
                    <w:ind w:firstLine="0" w:firstLineChars="0"/>
                    <w:jc w:val="center"/>
                    <w:rPr>
                      <w:rFonts w:ascii="Times New Roman" w:hAnsi="Times New Roman"/>
                      <w:color w:val="auto"/>
                      <w:sz w:val="21"/>
                      <w:szCs w:val="21"/>
                      <w:highlight w:val="none"/>
                    </w:rPr>
                  </w:pPr>
                  <w:r>
                    <w:rPr>
                      <w:color w:val="auto"/>
                      <w:sz w:val="21"/>
                      <w:szCs w:val="21"/>
                      <w:highlight w:val="none"/>
                    </w:rPr>
                    <w:t>高塘湖</w:t>
                  </w:r>
                </w:p>
              </w:tc>
              <w:tc>
                <w:tcPr>
                  <w:tcW w:w="568" w:type="pct"/>
                  <w:tcMar>
                    <w:top w:w="0" w:type="dxa"/>
                    <w:left w:w="6" w:type="dxa"/>
                    <w:bottom w:w="0" w:type="dxa"/>
                    <w:right w:w="6" w:type="dxa"/>
                  </w:tcMar>
                  <w:vAlign w:val="center"/>
                </w:tcPr>
                <w:p w14:paraId="1D99DCA6">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地表水</w:t>
                  </w:r>
                </w:p>
              </w:tc>
              <w:tc>
                <w:tcPr>
                  <w:tcW w:w="481" w:type="pct"/>
                  <w:tcMar>
                    <w:top w:w="0" w:type="dxa"/>
                    <w:left w:w="6" w:type="dxa"/>
                    <w:bottom w:w="0" w:type="dxa"/>
                    <w:right w:w="6" w:type="dxa"/>
                  </w:tcMar>
                  <w:vAlign w:val="center"/>
                </w:tcPr>
                <w:p w14:paraId="7AC200F0">
                  <w:pPr>
                    <w:jc w:val="center"/>
                    <w:rPr>
                      <w:color w:val="auto"/>
                      <w:szCs w:val="21"/>
                      <w:highlight w:val="none"/>
                    </w:rPr>
                  </w:pPr>
                  <w:r>
                    <w:rPr>
                      <w:color w:val="auto"/>
                      <w:szCs w:val="21"/>
                      <w:highlight w:val="none"/>
                    </w:rPr>
                    <w:t>中型湖泊</w:t>
                  </w:r>
                </w:p>
              </w:tc>
              <w:tc>
                <w:tcPr>
                  <w:tcW w:w="396" w:type="pct"/>
                  <w:tcMar>
                    <w:top w:w="0" w:type="dxa"/>
                    <w:left w:w="6" w:type="dxa"/>
                    <w:bottom w:w="0" w:type="dxa"/>
                    <w:right w:w="6" w:type="dxa"/>
                  </w:tcMar>
                  <w:vAlign w:val="center"/>
                </w:tcPr>
                <w:p w14:paraId="67A62B68">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NE</w:t>
                  </w:r>
                </w:p>
              </w:tc>
              <w:tc>
                <w:tcPr>
                  <w:tcW w:w="453" w:type="pct"/>
                  <w:tcMar>
                    <w:top w:w="0" w:type="dxa"/>
                    <w:left w:w="6" w:type="dxa"/>
                    <w:bottom w:w="0" w:type="dxa"/>
                    <w:right w:w="6" w:type="dxa"/>
                  </w:tcMar>
                  <w:vAlign w:val="center"/>
                </w:tcPr>
                <w:p w14:paraId="43CEB95C">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约41</w:t>
                  </w:r>
                  <w:r>
                    <w:rPr>
                      <w:rFonts w:ascii="Times New Roman" w:hAnsi="Times New Roman"/>
                      <w:color w:val="auto"/>
                      <w:sz w:val="21"/>
                      <w:szCs w:val="21"/>
                      <w:highlight w:val="none"/>
                    </w:rPr>
                    <w:t>00</w:t>
                  </w:r>
                  <w:r>
                    <w:rPr>
                      <w:rFonts w:hint="eastAsia" w:ascii="Times New Roman" w:hAnsi="Times New Roman"/>
                      <w:color w:val="auto"/>
                      <w:sz w:val="21"/>
                      <w:szCs w:val="21"/>
                      <w:highlight w:val="none"/>
                    </w:rPr>
                    <w:t>m</w:t>
                  </w:r>
                </w:p>
              </w:tc>
              <w:tc>
                <w:tcPr>
                  <w:tcW w:w="1012" w:type="pct"/>
                  <w:vMerge w:val="continue"/>
                  <w:tcMar>
                    <w:top w:w="0" w:type="dxa"/>
                    <w:left w:w="6" w:type="dxa"/>
                    <w:bottom w:w="0" w:type="dxa"/>
                    <w:right w:w="6" w:type="dxa"/>
                  </w:tcMar>
                  <w:vAlign w:val="center"/>
                </w:tcPr>
                <w:p w14:paraId="15B0D605">
                  <w:pPr>
                    <w:pStyle w:val="243"/>
                    <w:adjustRightInd w:val="0"/>
                    <w:snapToGrid w:val="0"/>
                    <w:spacing w:line="240" w:lineRule="auto"/>
                    <w:ind w:firstLine="0" w:firstLineChars="0"/>
                    <w:jc w:val="center"/>
                    <w:rPr>
                      <w:rFonts w:ascii="Times New Roman" w:hAnsi="Times New Roman"/>
                      <w:color w:val="auto"/>
                      <w:sz w:val="21"/>
                      <w:szCs w:val="21"/>
                      <w:highlight w:val="none"/>
                    </w:rPr>
                  </w:pPr>
                </w:p>
              </w:tc>
            </w:tr>
            <w:tr w14:paraId="392FD1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1040" w:hRule="atLeast"/>
                <w:jc w:val="center"/>
              </w:trPr>
              <w:tc>
                <w:tcPr>
                  <w:tcW w:w="819" w:type="pct"/>
                  <w:vMerge w:val="restart"/>
                  <w:tcMar>
                    <w:top w:w="0" w:type="dxa"/>
                    <w:left w:w="6" w:type="dxa"/>
                    <w:bottom w:w="0" w:type="dxa"/>
                    <w:right w:w="6" w:type="dxa"/>
                  </w:tcMar>
                  <w:vAlign w:val="center"/>
                </w:tcPr>
                <w:p w14:paraId="084E2870">
                  <w:pPr>
                    <w:jc w:val="center"/>
                    <w:rPr>
                      <w:color w:val="auto"/>
                      <w:szCs w:val="21"/>
                      <w:highlight w:val="none"/>
                    </w:rPr>
                  </w:pPr>
                  <w:r>
                    <w:rPr>
                      <w:rFonts w:hint="eastAsia"/>
                      <w:color w:val="auto"/>
                      <w:szCs w:val="21"/>
                      <w:highlight w:val="none"/>
                    </w:rPr>
                    <w:t>大气环境（</w:t>
                  </w:r>
                  <w:r>
                    <w:rPr>
                      <w:color w:val="auto"/>
                      <w:szCs w:val="21"/>
                      <w:highlight w:val="none"/>
                    </w:rPr>
                    <w:t>500m</w:t>
                  </w:r>
                  <w:r>
                    <w:rPr>
                      <w:rFonts w:hint="eastAsia"/>
                      <w:color w:val="auto"/>
                      <w:szCs w:val="21"/>
                      <w:highlight w:val="none"/>
                    </w:rPr>
                    <w:t>）</w:t>
                  </w:r>
                </w:p>
              </w:tc>
              <w:tc>
                <w:tcPr>
                  <w:tcW w:w="463" w:type="pct"/>
                  <w:tcMar>
                    <w:top w:w="0" w:type="dxa"/>
                    <w:left w:w="6" w:type="dxa"/>
                    <w:bottom w:w="0" w:type="dxa"/>
                    <w:right w:w="6" w:type="dxa"/>
                  </w:tcMar>
                  <w:vAlign w:val="center"/>
                </w:tcPr>
                <w:p w14:paraId="2F8785A4">
                  <w:pPr>
                    <w:jc w:val="center"/>
                    <w:rPr>
                      <w:color w:val="auto"/>
                      <w:szCs w:val="21"/>
                      <w:highlight w:val="none"/>
                    </w:rPr>
                  </w:pPr>
                  <w:r>
                    <w:rPr>
                      <w:color w:val="auto"/>
                      <w:szCs w:val="21"/>
                      <w:highlight w:val="none"/>
                    </w:rPr>
                    <w:t>淮南农场五队</w:t>
                  </w:r>
                </w:p>
              </w:tc>
              <w:tc>
                <w:tcPr>
                  <w:tcW w:w="408" w:type="pct"/>
                  <w:tcMar>
                    <w:top w:w="0" w:type="dxa"/>
                    <w:left w:w="6" w:type="dxa"/>
                    <w:bottom w:w="0" w:type="dxa"/>
                    <w:right w:w="6" w:type="dxa"/>
                  </w:tcMar>
                  <w:vAlign w:val="center"/>
                </w:tcPr>
                <w:p w14:paraId="24C7F75E">
                  <w:pPr>
                    <w:pStyle w:val="243"/>
                    <w:adjustRightInd w:val="0"/>
                    <w:snapToGrid w:val="0"/>
                    <w:spacing w:line="240" w:lineRule="auto"/>
                    <w:ind w:firstLine="0" w:firstLine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rPr>
                    <w:t>5</w:t>
                  </w:r>
                  <w:r>
                    <w:rPr>
                      <w:rFonts w:hint="eastAsia" w:ascii="Times New Roman" w:hAnsi="Times New Roman"/>
                      <w:color w:val="auto"/>
                      <w:sz w:val="21"/>
                      <w:szCs w:val="21"/>
                      <w:highlight w:val="none"/>
                      <w:lang w:val="en-US" w:eastAsia="zh-CN"/>
                    </w:rPr>
                    <w:t>40</w:t>
                  </w:r>
                </w:p>
              </w:tc>
              <w:tc>
                <w:tcPr>
                  <w:tcW w:w="396" w:type="pct"/>
                  <w:tcMar>
                    <w:top w:w="0" w:type="dxa"/>
                    <w:left w:w="6" w:type="dxa"/>
                    <w:bottom w:w="0" w:type="dxa"/>
                    <w:right w:w="6" w:type="dxa"/>
                  </w:tcMar>
                  <w:vAlign w:val="center"/>
                </w:tcPr>
                <w:p w14:paraId="15C38702">
                  <w:pPr>
                    <w:pStyle w:val="243"/>
                    <w:adjustRightInd w:val="0"/>
                    <w:snapToGrid w:val="0"/>
                    <w:spacing w:line="240" w:lineRule="auto"/>
                    <w:ind w:firstLine="0" w:firstLine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125</w:t>
                  </w:r>
                </w:p>
              </w:tc>
              <w:tc>
                <w:tcPr>
                  <w:tcW w:w="568" w:type="pct"/>
                  <w:tcMar>
                    <w:top w:w="0" w:type="dxa"/>
                    <w:left w:w="6" w:type="dxa"/>
                    <w:bottom w:w="0" w:type="dxa"/>
                    <w:right w:w="6" w:type="dxa"/>
                  </w:tcMar>
                  <w:vAlign w:val="center"/>
                </w:tcPr>
                <w:p w14:paraId="72256318">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居民</w:t>
                  </w:r>
                </w:p>
              </w:tc>
              <w:tc>
                <w:tcPr>
                  <w:tcW w:w="481" w:type="pct"/>
                  <w:tcMar>
                    <w:top w:w="0" w:type="dxa"/>
                    <w:left w:w="6" w:type="dxa"/>
                    <w:bottom w:w="0" w:type="dxa"/>
                    <w:right w:w="6" w:type="dxa"/>
                  </w:tcMar>
                  <w:vAlign w:val="center"/>
                </w:tcPr>
                <w:p w14:paraId="4BAC01F1">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约6户，18人</w:t>
                  </w:r>
                </w:p>
              </w:tc>
              <w:tc>
                <w:tcPr>
                  <w:tcW w:w="396" w:type="pct"/>
                  <w:tcMar>
                    <w:top w:w="0" w:type="dxa"/>
                    <w:left w:w="6" w:type="dxa"/>
                    <w:bottom w:w="0" w:type="dxa"/>
                    <w:right w:w="6" w:type="dxa"/>
                  </w:tcMar>
                  <w:vAlign w:val="center"/>
                </w:tcPr>
                <w:p w14:paraId="4AC50596">
                  <w:pPr>
                    <w:jc w:val="center"/>
                    <w:rPr>
                      <w:color w:val="auto"/>
                      <w:szCs w:val="21"/>
                      <w:highlight w:val="none"/>
                    </w:rPr>
                  </w:pPr>
                  <w:r>
                    <w:rPr>
                      <w:rFonts w:hint="eastAsia"/>
                      <w:color w:val="auto"/>
                      <w:szCs w:val="21"/>
                      <w:highlight w:val="none"/>
                    </w:rPr>
                    <w:t>NE</w:t>
                  </w:r>
                </w:p>
              </w:tc>
              <w:tc>
                <w:tcPr>
                  <w:tcW w:w="453" w:type="pct"/>
                  <w:tcMar>
                    <w:top w:w="0" w:type="dxa"/>
                    <w:left w:w="6" w:type="dxa"/>
                    <w:bottom w:w="0" w:type="dxa"/>
                    <w:right w:w="6" w:type="dxa"/>
                  </w:tcMar>
                  <w:vAlign w:val="center"/>
                </w:tcPr>
                <w:p w14:paraId="60984610">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约480m</w:t>
                  </w:r>
                </w:p>
              </w:tc>
              <w:tc>
                <w:tcPr>
                  <w:tcW w:w="1012" w:type="pct"/>
                  <w:vMerge w:val="restart"/>
                  <w:tcMar>
                    <w:top w:w="0" w:type="dxa"/>
                    <w:left w:w="6" w:type="dxa"/>
                    <w:bottom w:w="0" w:type="dxa"/>
                    <w:right w:w="6" w:type="dxa"/>
                  </w:tcMar>
                  <w:vAlign w:val="center"/>
                </w:tcPr>
                <w:p w14:paraId="45797436">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Cs w:val="21"/>
                      <w:highlight w:val="none"/>
                    </w:rPr>
                    <w:t>《环境空气质量标准》</w:t>
                  </w:r>
                  <w:r>
                    <w:rPr>
                      <w:rFonts w:ascii="宋体" w:hAnsi="宋体" w:cs="宋体"/>
                      <w:color w:val="auto"/>
                      <w:kern w:val="0"/>
                      <w:szCs w:val="21"/>
                      <w:highlight w:val="none"/>
                    </w:rPr>
                    <w:t>(</w:t>
                  </w:r>
                  <w:r>
                    <w:rPr>
                      <w:color w:val="auto"/>
                      <w:kern w:val="0"/>
                      <w:szCs w:val="21"/>
                      <w:highlight w:val="none"/>
                    </w:rPr>
                    <w:t>GB3095-20</w:t>
                  </w:r>
                  <w:r>
                    <w:rPr>
                      <w:rFonts w:hint="eastAsia"/>
                      <w:color w:val="auto"/>
                      <w:kern w:val="0"/>
                      <w:szCs w:val="21"/>
                      <w:highlight w:val="none"/>
                      <w:lang w:val="en-US" w:eastAsia="zh-CN"/>
                    </w:rPr>
                    <w:t>26</w:t>
                  </w:r>
                  <w:r>
                    <w:rPr>
                      <w:rFonts w:ascii="宋体" w:hAnsi="宋体" w:cs="宋体"/>
                      <w:color w:val="auto"/>
                      <w:kern w:val="0"/>
                      <w:szCs w:val="21"/>
                      <w:highlight w:val="none"/>
                    </w:rPr>
                    <w:t>)</w:t>
                  </w:r>
                  <w:r>
                    <w:rPr>
                      <w:rFonts w:hint="eastAsia" w:ascii="宋体" w:hAnsi="宋体" w:cs="宋体"/>
                      <w:color w:val="auto"/>
                      <w:kern w:val="0"/>
                      <w:szCs w:val="21"/>
                      <w:highlight w:val="none"/>
                      <w:lang w:val="en-US" w:eastAsia="zh-CN"/>
                    </w:rPr>
                    <w:t>过渡阶段</w:t>
                  </w:r>
                  <w:r>
                    <w:rPr>
                      <w:rFonts w:hint="eastAsia" w:ascii="宋体" w:hAnsi="宋体" w:cs="宋体"/>
                      <w:color w:val="auto"/>
                      <w:kern w:val="0"/>
                      <w:szCs w:val="21"/>
                      <w:highlight w:val="none"/>
                    </w:rPr>
                    <w:t>二级</w:t>
                  </w:r>
                  <w:r>
                    <w:rPr>
                      <w:rFonts w:hint="eastAsia" w:ascii="宋体" w:hAnsi="宋体" w:cs="宋体"/>
                      <w:color w:val="auto"/>
                      <w:kern w:val="0"/>
                      <w:szCs w:val="21"/>
                      <w:highlight w:val="none"/>
                      <w:lang w:val="en-US" w:eastAsia="zh-CN"/>
                    </w:rPr>
                    <w:t>浓度限值</w:t>
                  </w:r>
                </w:p>
              </w:tc>
            </w:tr>
            <w:tr w14:paraId="35938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98" w:hRule="atLeast"/>
                <w:jc w:val="center"/>
              </w:trPr>
              <w:tc>
                <w:tcPr>
                  <w:tcW w:w="819" w:type="pct"/>
                  <w:vMerge w:val="continue"/>
                  <w:tcMar>
                    <w:top w:w="0" w:type="dxa"/>
                    <w:left w:w="6" w:type="dxa"/>
                    <w:bottom w:w="0" w:type="dxa"/>
                    <w:right w:w="6" w:type="dxa"/>
                  </w:tcMar>
                  <w:vAlign w:val="center"/>
                </w:tcPr>
                <w:p w14:paraId="7384649E">
                  <w:pPr>
                    <w:jc w:val="center"/>
                    <w:rPr>
                      <w:color w:val="auto"/>
                      <w:szCs w:val="21"/>
                      <w:highlight w:val="none"/>
                    </w:rPr>
                  </w:pPr>
                </w:p>
              </w:tc>
              <w:tc>
                <w:tcPr>
                  <w:tcW w:w="463" w:type="pct"/>
                  <w:tcMar>
                    <w:top w:w="0" w:type="dxa"/>
                    <w:left w:w="6" w:type="dxa"/>
                    <w:bottom w:w="0" w:type="dxa"/>
                    <w:right w:w="6" w:type="dxa"/>
                  </w:tcMar>
                  <w:vAlign w:val="center"/>
                </w:tcPr>
                <w:p w14:paraId="5C8C93A4">
                  <w:pPr>
                    <w:jc w:val="center"/>
                    <w:rPr>
                      <w:color w:val="auto"/>
                      <w:szCs w:val="21"/>
                      <w:highlight w:val="none"/>
                    </w:rPr>
                  </w:pPr>
                  <w:r>
                    <w:rPr>
                      <w:rFonts w:hint="eastAsia"/>
                      <w:color w:val="auto"/>
                      <w:szCs w:val="21"/>
                      <w:highlight w:val="none"/>
                    </w:rPr>
                    <w:t>淮南农场一队</w:t>
                  </w:r>
                </w:p>
              </w:tc>
              <w:tc>
                <w:tcPr>
                  <w:tcW w:w="408" w:type="pct"/>
                  <w:tcMar>
                    <w:top w:w="0" w:type="dxa"/>
                    <w:left w:w="6" w:type="dxa"/>
                    <w:bottom w:w="0" w:type="dxa"/>
                    <w:right w:w="6" w:type="dxa"/>
                  </w:tcMar>
                  <w:vAlign w:val="center"/>
                </w:tcPr>
                <w:p w14:paraId="4CCE4558">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0</w:t>
                  </w:r>
                </w:p>
              </w:tc>
              <w:tc>
                <w:tcPr>
                  <w:tcW w:w="396" w:type="pct"/>
                  <w:tcMar>
                    <w:top w:w="0" w:type="dxa"/>
                    <w:left w:w="6" w:type="dxa"/>
                    <w:bottom w:w="0" w:type="dxa"/>
                    <w:right w:w="6" w:type="dxa"/>
                  </w:tcMar>
                  <w:vAlign w:val="center"/>
                </w:tcPr>
                <w:p w14:paraId="7D79C06B">
                  <w:pPr>
                    <w:pStyle w:val="243"/>
                    <w:adjustRightInd w:val="0"/>
                    <w:snapToGrid w:val="0"/>
                    <w:spacing w:line="240" w:lineRule="auto"/>
                    <w:ind w:firstLine="0" w:firstLine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rPr>
                    <w:t>-</w:t>
                  </w:r>
                  <w:r>
                    <w:rPr>
                      <w:rFonts w:hint="eastAsia" w:ascii="Times New Roman" w:hAnsi="Times New Roman"/>
                      <w:color w:val="auto"/>
                      <w:sz w:val="21"/>
                      <w:szCs w:val="21"/>
                      <w:highlight w:val="none"/>
                      <w:lang w:val="en-US" w:eastAsia="zh-CN"/>
                    </w:rPr>
                    <w:t>440</w:t>
                  </w:r>
                </w:p>
              </w:tc>
              <w:tc>
                <w:tcPr>
                  <w:tcW w:w="568" w:type="pct"/>
                  <w:tcMar>
                    <w:top w:w="0" w:type="dxa"/>
                    <w:left w:w="6" w:type="dxa"/>
                    <w:bottom w:w="0" w:type="dxa"/>
                    <w:right w:w="6" w:type="dxa"/>
                  </w:tcMar>
                  <w:vAlign w:val="center"/>
                </w:tcPr>
                <w:p w14:paraId="4AC482DD">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居民</w:t>
                  </w:r>
                </w:p>
              </w:tc>
              <w:tc>
                <w:tcPr>
                  <w:tcW w:w="481" w:type="pct"/>
                  <w:tcMar>
                    <w:top w:w="0" w:type="dxa"/>
                    <w:left w:w="6" w:type="dxa"/>
                    <w:bottom w:w="0" w:type="dxa"/>
                    <w:right w:w="6" w:type="dxa"/>
                  </w:tcMar>
                  <w:vAlign w:val="center"/>
                </w:tcPr>
                <w:p w14:paraId="656AAA83">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约140户，420人</w:t>
                  </w:r>
                </w:p>
              </w:tc>
              <w:tc>
                <w:tcPr>
                  <w:tcW w:w="396" w:type="pct"/>
                  <w:tcMar>
                    <w:top w:w="0" w:type="dxa"/>
                    <w:left w:w="6" w:type="dxa"/>
                    <w:bottom w:w="0" w:type="dxa"/>
                    <w:right w:w="6" w:type="dxa"/>
                  </w:tcMar>
                  <w:vAlign w:val="center"/>
                </w:tcPr>
                <w:p w14:paraId="09484B5E">
                  <w:pPr>
                    <w:jc w:val="center"/>
                    <w:rPr>
                      <w:color w:val="auto"/>
                      <w:szCs w:val="21"/>
                      <w:highlight w:val="none"/>
                    </w:rPr>
                  </w:pPr>
                  <w:r>
                    <w:rPr>
                      <w:rFonts w:hint="eastAsia"/>
                      <w:color w:val="auto"/>
                      <w:szCs w:val="21"/>
                      <w:highlight w:val="none"/>
                    </w:rPr>
                    <w:t>S</w:t>
                  </w:r>
                </w:p>
              </w:tc>
              <w:tc>
                <w:tcPr>
                  <w:tcW w:w="453" w:type="pct"/>
                  <w:tcMar>
                    <w:top w:w="0" w:type="dxa"/>
                    <w:left w:w="6" w:type="dxa"/>
                    <w:bottom w:w="0" w:type="dxa"/>
                    <w:right w:w="6" w:type="dxa"/>
                  </w:tcMar>
                  <w:vAlign w:val="center"/>
                </w:tcPr>
                <w:p w14:paraId="55C356AC">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约380m</w:t>
                  </w:r>
                </w:p>
              </w:tc>
              <w:tc>
                <w:tcPr>
                  <w:tcW w:w="1012" w:type="pct"/>
                  <w:vMerge w:val="continue"/>
                  <w:tcMar>
                    <w:top w:w="0" w:type="dxa"/>
                    <w:left w:w="6" w:type="dxa"/>
                    <w:bottom w:w="0" w:type="dxa"/>
                    <w:right w:w="6" w:type="dxa"/>
                  </w:tcMar>
                  <w:vAlign w:val="center"/>
                </w:tcPr>
                <w:p w14:paraId="488B2F06">
                  <w:pPr>
                    <w:pStyle w:val="243"/>
                    <w:adjustRightInd w:val="0"/>
                    <w:snapToGrid w:val="0"/>
                    <w:spacing w:line="240" w:lineRule="auto"/>
                    <w:ind w:firstLine="0" w:firstLineChars="0"/>
                    <w:jc w:val="center"/>
                    <w:rPr>
                      <w:rFonts w:ascii="Times New Roman" w:hAnsi="Times New Roman"/>
                      <w:color w:val="auto"/>
                      <w:sz w:val="21"/>
                      <w:szCs w:val="21"/>
                      <w:highlight w:val="none"/>
                    </w:rPr>
                  </w:pPr>
                </w:p>
              </w:tc>
            </w:tr>
            <w:tr w14:paraId="10A1D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tcMar>
                    <w:top w:w="0" w:type="dxa"/>
                    <w:left w:w="6" w:type="dxa"/>
                    <w:bottom w:w="0" w:type="dxa"/>
                    <w:right w:w="6" w:type="dxa"/>
                  </w:tcMar>
                  <w:vAlign w:val="center"/>
                </w:tcPr>
                <w:p w14:paraId="1FF3BEA7">
                  <w:pPr>
                    <w:jc w:val="center"/>
                    <w:rPr>
                      <w:color w:val="auto"/>
                      <w:szCs w:val="21"/>
                      <w:highlight w:val="none"/>
                    </w:rPr>
                  </w:pPr>
                  <w:r>
                    <w:rPr>
                      <w:color w:val="auto"/>
                      <w:szCs w:val="21"/>
                      <w:highlight w:val="none"/>
                    </w:rPr>
                    <w:t>声环境</w:t>
                  </w:r>
                  <w:r>
                    <w:rPr>
                      <w:rFonts w:hint="eastAsia"/>
                      <w:color w:val="auto"/>
                      <w:szCs w:val="21"/>
                      <w:highlight w:val="none"/>
                    </w:rPr>
                    <w:t>（5</w:t>
                  </w:r>
                  <w:r>
                    <w:rPr>
                      <w:color w:val="auto"/>
                      <w:szCs w:val="21"/>
                      <w:highlight w:val="none"/>
                    </w:rPr>
                    <w:t>0m</w:t>
                  </w:r>
                  <w:r>
                    <w:rPr>
                      <w:rFonts w:hint="eastAsia"/>
                      <w:color w:val="auto"/>
                      <w:szCs w:val="21"/>
                      <w:highlight w:val="none"/>
                    </w:rPr>
                    <w:t>）</w:t>
                  </w:r>
                </w:p>
              </w:tc>
              <w:tc>
                <w:tcPr>
                  <w:tcW w:w="4180" w:type="pct"/>
                  <w:gridSpan w:val="8"/>
                  <w:tcMar>
                    <w:top w:w="0" w:type="dxa"/>
                    <w:left w:w="6" w:type="dxa"/>
                    <w:bottom w:w="0" w:type="dxa"/>
                    <w:right w:w="6" w:type="dxa"/>
                  </w:tcMar>
                  <w:vAlign w:val="center"/>
                </w:tcPr>
                <w:p w14:paraId="1727D3DB">
                  <w:pPr>
                    <w:pStyle w:val="243"/>
                    <w:adjustRightInd w:val="0"/>
                    <w:snapToGrid w:val="0"/>
                    <w:spacing w:line="240" w:lineRule="auto"/>
                    <w:ind w:firstLine="0" w:firstLineChars="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厂界外</w:t>
                  </w:r>
                  <w:r>
                    <w:rPr>
                      <w:rFonts w:ascii="Times New Roman" w:hAnsi="Times New Roman"/>
                      <w:color w:val="auto"/>
                      <w:sz w:val="21"/>
                      <w:szCs w:val="21"/>
                      <w:highlight w:val="none"/>
                    </w:rPr>
                    <w:t>50m范围内无</w:t>
                  </w:r>
                  <w:r>
                    <w:rPr>
                      <w:rFonts w:hint="eastAsia" w:ascii="Times New Roman" w:hAnsi="Times New Roman"/>
                      <w:color w:val="auto"/>
                      <w:sz w:val="21"/>
                      <w:szCs w:val="21"/>
                      <w:highlight w:val="none"/>
                    </w:rPr>
                    <w:t>声环境保护</w:t>
                  </w:r>
                  <w:r>
                    <w:rPr>
                      <w:rFonts w:ascii="Times New Roman" w:hAnsi="Times New Roman"/>
                      <w:color w:val="auto"/>
                      <w:sz w:val="21"/>
                      <w:szCs w:val="21"/>
                      <w:highlight w:val="none"/>
                    </w:rPr>
                    <w:t>目标</w:t>
                  </w:r>
                </w:p>
              </w:tc>
            </w:tr>
            <w:tr w14:paraId="6AD33D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tcMar>
                    <w:top w:w="0" w:type="dxa"/>
                    <w:left w:w="6" w:type="dxa"/>
                    <w:bottom w:w="0" w:type="dxa"/>
                    <w:right w:w="6" w:type="dxa"/>
                  </w:tcMar>
                  <w:vAlign w:val="center"/>
                </w:tcPr>
                <w:p w14:paraId="7CF22C95">
                  <w:pPr>
                    <w:jc w:val="center"/>
                    <w:rPr>
                      <w:color w:val="auto"/>
                      <w:szCs w:val="21"/>
                      <w:highlight w:val="none"/>
                    </w:rPr>
                  </w:pPr>
                  <w:r>
                    <w:rPr>
                      <w:color w:val="auto"/>
                      <w:szCs w:val="21"/>
                      <w:highlight w:val="none"/>
                    </w:rPr>
                    <w:t>地下水环境</w:t>
                  </w:r>
                </w:p>
              </w:tc>
              <w:tc>
                <w:tcPr>
                  <w:tcW w:w="4180" w:type="pct"/>
                  <w:gridSpan w:val="8"/>
                  <w:tcMar>
                    <w:top w:w="0" w:type="dxa"/>
                    <w:left w:w="6" w:type="dxa"/>
                    <w:bottom w:w="0" w:type="dxa"/>
                    <w:right w:w="6" w:type="dxa"/>
                  </w:tcMar>
                  <w:vAlign w:val="center"/>
                </w:tcPr>
                <w:p w14:paraId="6FAE60E7">
                  <w:pPr>
                    <w:jc w:val="center"/>
                    <w:rPr>
                      <w:color w:val="auto"/>
                      <w:szCs w:val="21"/>
                      <w:highlight w:val="none"/>
                    </w:rPr>
                  </w:pPr>
                  <w:r>
                    <w:rPr>
                      <w:rFonts w:hint="eastAsia"/>
                      <w:color w:val="auto"/>
                      <w:szCs w:val="21"/>
                      <w:highlight w:val="none"/>
                    </w:rPr>
                    <w:t>厂界外</w:t>
                  </w:r>
                  <w:r>
                    <w:rPr>
                      <w:color w:val="auto"/>
                      <w:szCs w:val="21"/>
                      <w:highlight w:val="none"/>
                    </w:rPr>
                    <w:t>500m范围内无</w:t>
                  </w:r>
                  <w:r>
                    <w:rPr>
                      <w:rFonts w:hint="eastAsia"/>
                      <w:color w:val="auto"/>
                      <w:szCs w:val="21"/>
                      <w:highlight w:val="none"/>
                    </w:rPr>
                    <w:t>地下水集中式饮用水水源和热水、矿泉水、温泉等特殊地下水资源</w:t>
                  </w:r>
                </w:p>
              </w:tc>
            </w:tr>
            <w:tr w14:paraId="5184A4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819" w:type="pct"/>
                  <w:tcMar>
                    <w:top w:w="0" w:type="dxa"/>
                    <w:left w:w="6" w:type="dxa"/>
                    <w:bottom w:w="0" w:type="dxa"/>
                    <w:right w:w="6" w:type="dxa"/>
                  </w:tcMar>
                  <w:vAlign w:val="center"/>
                </w:tcPr>
                <w:p w14:paraId="13BBC867">
                  <w:pPr>
                    <w:jc w:val="center"/>
                    <w:rPr>
                      <w:color w:val="auto"/>
                      <w:szCs w:val="21"/>
                      <w:highlight w:val="none"/>
                    </w:rPr>
                  </w:pPr>
                  <w:r>
                    <w:rPr>
                      <w:rFonts w:hint="eastAsia"/>
                      <w:color w:val="auto"/>
                      <w:szCs w:val="21"/>
                      <w:highlight w:val="none"/>
                    </w:rPr>
                    <w:t>生态环境</w:t>
                  </w:r>
                </w:p>
              </w:tc>
              <w:tc>
                <w:tcPr>
                  <w:tcW w:w="4180" w:type="pct"/>
                  <w:gridSpan w:val="8"/>
                  <w:tcMar>
                    <w:top w:w="0" w:type="dxa"/>
                    <w:left w:w="6" w:type="dxa"/>
                    <w:bottom w:w="0" w:type="dxa"/>
                    <w:right w:w="6" w:type="dxa"/>
                  </w:tcMar>
                  <w:vAlign w:val="center"/>
                </w:tcPr>
                <w:p w14:paraId="1CF0B6D7">
                  <w:pPr>
                    <w:jc w:val="center"/>
                    <w:rPr>
                      <w:color w:val="auto"/>
                      <w:szCs w:val="21"/>
                      <w:highlight w:val="none"/>
                    </w:rPr>
                  </w:pPr>
                  <w:r>
                    <w:rPr>
                      <w:rFonts w:hint="default" w:ascii="Times New Roman" w:hAnsi="Times New Roman" w:eastAsia="宋体" w:cs="Times New Roman"/>
                      <w:color w:val="auto"/>
                      <w:sz w:val="21"/>
                      <w:szCs w:val="21"/>
                      <w:highlight w:val="none"/>
                    </w:rPr>
                    <w:t>用地范围内无生态环境保护目标</w:t>
                  </w:r>
                </w:p>
              </w:tc>
            </w:tr>
          </w:tbl>
          <w:p w14:paraId="0570ED73">
            <w:pPr>
              <w:rPr>
                <w:b/>
                <w:color w:val="auto"/>
                <w:highlight w:val="none"/>
              </w:rPr>
            </w:pPr>
            <w:r>
              <w:rPr>
                <w:b/>
                <w:color w:val="auto"/>
                <w:highlight w:val="none"/>
              </w:rPr>
              <w:t>注：以上点位位置坐标以厂区</w:t>
            </w:r>
            <w:r>
              <w:rPr>
                <w:rFonts w:hint="eastAsia"/>
                <w:b/>
                <w:color w:val="auto"/>
                <w:highlight w:val="none"/>
                <w:lang w:val="en-US" w:eastAsia="zh-CN"/>
              </w:rPr>
              <w:t>中心</w:t>
            </w:r>
            <w:r>
              <w:rPr>
                <w:b/>
                <w:color w:val="auto"/>
                <w:highlight w:val="none"/>
              </w:rPr>
              <w:t>为坐标起点。</w:t>
            </w:r>
          </w:p>
          <w:p w14:paraId="6988A83F">
            <w:pPr>
              <w:rPr>
                <w:color w:val="auto"/>
                <w:highlight w:val="none"/>
              </w:rPr>
            </w:pPr>
          </w:p>
          <w:p w14:paraId="7E56A41E">
            <w:pPr>
              <w:rPr>
                <w:color w:val="auto"/>
                <w:highlight w:val="none"/>
              </w:rPr>
            </w:pPr>
          </w:p>
          <w:p w14:paraId="77B83EFE">
            <w:pPr>
              <w:rPr>
                <w:color w:val="auto"/>
                <w:highlight w:val="none"/>
              </w:rPr>
            </w:pPr>
          </w:p>
          <w:p w14:paraId="19675070">
            <w:pPr>
              <w:rPr>
                <w:color w:val="auto"/>
                <w:highlight w:val="none"/>
              </w:rPr>
            </w:pPr>
          </w:p>
          <w:p w14:paraId="70A60C09">
            <w:pPr>
              <w:rPr>
                <w:color w:val="auto"/>
                <w:highlight w:val="none"/>
              </w:rPr>
            </w:pPr>
          </w:p>
          <w:p w14:paraId="29A52703">
            <w:pPr>
              <w:rPr>
                <w:color w:val="auto"/>
                <w:highlight w:val="none"/>
              </w:rPr>
            </w:pPr>
          </w:p>
          <w:p w14:paraId="355D2ED4">
            <w:pPr>
              <w:rPr>
                <w:color w:val="auto"/>
                <w:highlight w:val="none"/>
              </w:rPr>
            </w:pPr>
          </w:p>
          <w:p w14:paraId="66B239E0">
            <w:pPr>
              <w:rPr>
                <w:color w:val="auto"/>
                <w:highlight w:val="none"/>
              </w:rPr>
            </w:pPr>
          </w:p>
          <w:p w14:paraId="60AE459B">
            <w:pPr>
              <w:rPr>
                <w:color w:val="auto"/>
                <w:highlight w:val="none"/>
              </w:rPr>
            </w:pPr>
          </w:p>
          <w:p w14:paraId="4139118E">
            <w:pPr>
              <w:rPr>
                <w:color w:val="auto"/>
                <w:highlight w:val="none"/>
              </w:rPr>
            </w:pPr>
          </w:p>
          <w:p w14:paraId="725238A2">
            <w:pPr>
              <w:rPr>
                <w:color w:val="auto"/>
                <w:highlight w:val="none"/>
              </w:rPr>
            </w:pPr>
          </w:p>
          <w:p w14:paraId="2927A793">
            <w:pPr>
              <w:rPr>
                <w:color w:val="auto"/>
                <w:highlight w:val="none"/>
              </w:rPr>
            </w:pPr>
          </w:p>
          <w:p w14:paraId="03A75982">
            <w:pPr>
              <w:rPr>
                <w:color w:val="auto"/>
                <w:highlight w:val="none"/>
              </w:rPr>
            </w:pPr>
          </w:p>
          <w:p w14:paraId="55D3EAC3">
            <w:pPr>
              <w:rPr>
                <w:color w:val="auto"/>
                <w:highlight w:val="none"/>
              </w:rPr>
            </w:pPr>
          </w:p>
          <w:p w14:paraId="2296CBCF">
            <w:pPr>
              <w:rPr>
                <w:color w:val="auto"/>
                <w:highlight w:val="none"/>
              </w:rPr>
            </w:pPr>
          </w:p>
          <w:p w14:paraId="6BE629B3">
            <w:pPr>
              <w:rPr>
                <w:color w:val="auto"/>
                <w:highlight w:val="none"/>
              </w:rPr>
            </w:pPr>
          </w:p>
          <w:p w14:paraId="4FB327B9">
            <w:pPr>
              <w:rPr>
                <w:color w:val="auto"/>
                <w:highlight w:val="none"/>
              </w:rPr>
            </w:pPr>
          </w:p>
          <w:p w14:paraId="6395AA54">
            <w:pPr>
              <w:pStyle w:val="180"/>
              <w:adjustRightInd/>
              <w:spacing w:line="360" w:lineRule="auto"/>
              <w:ind w:left="0" w:right="0" w:firstLine="0"/>
              <w:rPr>
                <w:color w:val="auto"/>
                <w:highlight w:val="none"/>
              </w:rPr>
            </w:pPr>
          </w:p>
        </w:tc>
      </w:tr>
    </w:tbl>
    <w:p w14:paraId="1ED2B109">
      <w:pPr>
        <w:widowControl/>
        <w:outlineLvl w:val="0"/>
        <w:rPr>
          <w:rFonts w:ascii="宋体" w:hAnsi="宋体"/>
          <w:b/>
          <w:bCs/>
          <w:color w:val="auto"/>
          <w:kern w:val="0"/>
          <w:sz w:val="30"/>
          <w:szCs w:val="30"/>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3"/>
        <w:gridCol w:w="8254"/>
      </w:tblGrid>
      <w:tr w14:paraId="59004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48" w:hRule="atLeast"/>
        </w:trPr>
        <w:tc>
          <w:tcPr>
            <w:tcW w:w="563" w:type="dxa"/>
            <w:vAlign w:val="center"/>
          </w:tcPr>
          <w:p w14:paraId="02039B82">
            <w:pPr>
              <w:pStyle w:val="144"/>
              <w:widowControl/>
              <w:spacing w:line="360" w:lineRule="auto"/>
              <w:ind w:left="0" w:leftChars="0" w:firstLine="0" w:firstLineChars="0"/>
              <w:jc w:val="center"/>
              <w:rPr>
                <w:b/>
                <w:color w:val="auto"/>
                <w:sz w:val="24"/>
                <w:szCs w:val="24"/>
                <w:highlight w:val="none"/>
              </w:rPr>
            </w:pPr>
            <w:r>
              <w:rPr>
                <w:rFonts w:hAnsi="宋体"/>
                <w:color w:val="auto"/>
                <w:kern w:val="0"/>
                <w:sz w:val="24"/>
                <w:highlight w:val="none"/>
              </w:rPr>
              <w:t>污染物排放控制标准</w:t>
            </w:r>
          </w:p>
        </w:tc>
        <w:tc>
          <w:tcPr>
            <w:tcW w:w="8254" w:type="dxa"/>
          </w:tcPr>
          <w:p w14:paraId="2813744F">
            <w:pPr>
              <w:pStyle w:val="144"/>
              <w:widowControl/>
              <w:spacing w:line="360" w:lineRule="auto"/>
              <w:ind w:firstLine="482"/>
              <w:rPr>
                <w:b/>
                <w:color w:val="auto"/>
                <w:sz w:val="24"/>
                <w:szCs w:val="24"/>
                <w:highlight w:val="none"/>
              </w:rPr>
            </w:pPr>
            <w:r>
              <w:rPr>
                <w:b/>
                <w:color w:val="auto"/>
                <w:sz w:val="24"/>
                <w:szCs w:val="24"/>
                <w:highlight w:val="none"/>
              </w:rPr>
              <w:t>1、</w:t>
            </w:r>
            <w:r>
              <w:rPr>
                <w:rFonts w:hint="eastAsia"/>
                <w:b/>
                <w:color w:val="auto"/>
                <w:sz w:val="24"/>
                <w:szCs w:val="24"/>
                <w:highlight w:val="none"/>
              </w:rPr>
              <w:t>大气</w:t>
            </w:r>
            <w:r>
              <w:rPr>
                <w:b/>
                <w:color w:val="auto"/>
                <w:sz w:val="24"/>
                <w:szCs w:val="24"/>
                <w:highlight w:val="none"/>
              </w:rPr>
              <w:t>污染物</w:t>
            </w:r>
          </w:p>
          <w:p w14:paraId="7CABA681">
            <w:pPr>
              <w:keepNext w:val="0"/>
              <w:keepLines w:val="0"/>
              <w:widowControl/>
              <w:suppressLineNumbers w:val="0"/>
              <w:spacing w:before="0" w:beforeAutospacing="0" w:after="0" w:afterAutospacing="0" w:line="360" w:lineRule="auto"/>
              <w:ind w:left="0" w:right="0" w:firstLine="480" w:firstLineChars="200"/>
              <w:rPr>
                <w:rFonts w:hint="default" w:hAnsi="宋体"/>
                <w:bCs/>
                <w:color w:val="auto"/>
                <w:kern w:val="0"/>
                <w:sz w:val="24"/>
                <w:szCs w:val="24"/>
                <w:highlight w:val="none"/>
              </w:rPr>
            </w:pPr>
            <w:r>
              <w:rPr>
                <w:rFonts w:hint="eastAsia" w:hAnsi="宋体"/>
                <w:bCs/>
                <w:color w:val="auto"/>
                <w:kern w:val="0"/>
                <w:sz w:val="24"/>
                <w:szCs w:val="24"/>
                <w:highlight w:val="none"/>
              </w:rPr>
              <w:t>本项目施工期产生的粉尘（颗粒物）排放执行安徽省《施工场地颗粒物排放标准》（DB34/4811-2024）表1中颗粒物浓度排放限值。</w:t>
            </w:r>
          </w:p>
          <w:p w14:paraId="643B3472">
            <w:pPr>
              <w:keepNext w:val="0"/>
              <w:keepLines w:val="0"/>
              <w:widowControl/>
              <w:suppressLineNumbers w:val="0"/>
              <w:spacing w:before="0" w:beforeAutospacing="0" w:after="0" w:afterAutospacing="0" w:line="360" w:lineRule="auto"/>
              <w:ind w:left="0" w:right="0" w:firstLine="480" w:firstLineChars="200"/>
              <w:jc w:val="center"/>
              <w:rPr>
                <w:rFonts w:hint="default" w:hAnsi="宋体"/>
                <w:bCs/>
                <w:color w:val="auto"/>
                <w:kern w:val="0"/>
                <w:sz w:val="24"/>
                <w:szCs w:val="24"/>
                <w:highlight w:val="none"/>
              </w:rPr>
            </w:pPr>
            <w:r>
              <w:rPr>
                <w:rFonts w:hint="default" w:hAnsi="黑体" w:eastAsia="黑体"/>
                <w:bCs/>
                <w:color w:val="auto"/>
                <w:kern w:val="0"/>
                <w:sz w:val="24"/>
                <w:szCs w:val="24"/>
                <w:highlight w:val="none"/>
              </w:rPr>
              <w:t>表</w:t>
            </w:r>
            <w:r>
              <w:rPr>
                <w:rFonts w:hint="default" w:eastAsia="黑体"/>
                <w:bCs/>
                <w:color w:val="auto"/>
                <w:kern w:val="0"/>
                <w:sz w:val="24"/>
                <w:szCs w:val="24"/>
                <w:highlight w:val="none"/>
              </w:rPr>
              <w:t>3</w:t>
            </w:r>
            <w:r>
              <w:rPr>
                <w:rFonts w:hint="eastAsia" w:eastAsia="黑体"/>
                <w:bCs/>
                <w:color w:val="auto"/>
                <w:kern w:val="0"/>
                <w:sz w:val="24"/>
                <w:szCs w:val="24"/>
                <w:highlight w:val="none"/>
              </w:rPr>
              <w:t>-</w:t>
            </w:r>
            <w:r>
              <w:rPr>
                <w:rFonts w:hint="eastAsia" w:eastAsia="黑体"/>
                <w:bCs/>
                <w:color w:val="auto"/>
                <w:kern w:val="0"/>
                <w:sz w:val="24"/>
                <w:szCs w:val="24"/>
                <w:highlight w:val="none"/>
                <w:lang w:val="en-US" w:eastAsia="zh-CN"/>
              </w:rPr>
              <w:t>4</w:t>
            </w:r>
            <w:r>
              <w:rPr>
                <w:rFonts w:hint="eastAsia" w:eastAsia="黑体"/>
                <w:bCs/>
                <w:color w:val="auto"/>
                <w:kern w:val="0"/>
                <w:sz w:val="24"/>
                <w:szCs w:val="24"/>
                <w:highlight w:val="none"/>
              </w:rPr>
              <w:t xml:space="preserve">  </w:t>
            </w:r>
            <w:r>
              <w:rPr>
                <w:rFonts w:hint="eastAsia" w:hAnsi="黑体" w:eastAsia="黑体"/>
                <w:bCs/>
                <w:color w:val="auto"/>
                <w:kern w:val="0"/>
                <w:sz w:val="24"/>
                <w:szCs w:val="24"/>
                <w:highlight w:val="none"/>
              </w:rPr>
              <w:t>施工期颗粒物排放标准</w:t>
            </w:r>
          </w:p>
          <w:tbl>
            <w:tblPr>
              <w:tblStyle w:val="36"/>
              <w:tblW w:w="7945" w:type="dxa"/>
              <w:tblInd w:w="0" w:type="dxa"/>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5"/>
              <w:gridCol w:w="800"/>
              <w:gridCol w:w="1861"/>
              <w:gridCol w:w="2099"/>
              <w:gridCol w:w="2020"/>
            </w:tblGrid>
            <w:tr w14:paraId="736D244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165" w:type="dxa"/>
                  <w:tcBorders>
                    <w:top w:val="single" w:color="auto" w:sz="12" w:space="0"/>
                  </w:tcBorders>
                  <w:noWrap w:val="0"/>
                  <w:vAlign w:val="center"/>
                </w:tcPr>
                <w:p w14:paraId="188BC747">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控制项目</w:t>
                  </w:r>
                </w:p>
              </w:tc>
              <w:tc>
                <w:tcPr>
                  <w:tcW w:w="800" w:type="dxa"/>
                  <w:tcBorders>
                    <w:top w:val="single" w:color="auto" w:sz="12" w:space="0"/>
                  </w:tcBorders>
                  <w:noWrap w:val="0"/>
                  <w:vAlign w:val="center"/>
                </w:tcPr>
                <w:p w14:paraId="12DCE902">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单位</w:t>
                  </w:r>
                </w:p>
              </w:tc>
              <w:tc>
                <w:tcPr>
                  <w:tcW w:w="1861" w:type="dxa"/>
                  <w:tcBorders>
                    <w:top w:val="single" w:color="auto" w:sz="12" w:space="0"/>
                  </w:tcBorders>
                  <w:noWrap w:val="0"/>
                  <w:vAlign w:val="center"/>
                </w:tcPr>
                <w:p w14:paraId="7CB0E3B7">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监测点浓度限值</w:t>
                  </w:r>
                </w:p>
              </w:tc>
              <w:tc>
                <w:tcPr>
                  <w:tcW w:w="2099" w:type="dxa"/>
                  <w:tcBorders>
                    <w:top w:val="single" w:color="auto" w:sz="12" w:space="0"/>
                  </w:tcBorders>
                  <w:noWrap w:val="0"/>
                  <w:vAlign w:val="center"/>
                </w:tcPr>
                <w:p w14:paraId="7723A513">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达标判定依据</w:t>
                  </w:r>
                </w:p>
              </w:tc>
              <w:tc>
                <w:tcPr>
                  <w:tcW w:w="2020" w:type="dxa"/>
                  <w:tcBorders>
                    <w:top w:val="single" w:color="auto" w:sz="12" w:space="0"/>
                  </w:tcBorders>
                  <w:noWrap w:val="0"/>
                  <w:vAlign w:val="center"/>
                </w:tcPr>
                <w:p w14:paraId="0D38EACC">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执行标准</w:t>
                  </w:r>
                </w:p>
              </w:tc>
            </w:tr>
            <w:tr w14:paraId="547EE6FE">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51" w:hRule="atLeast"/>
              </w:trPr>
              <w:tc>
                <w:tcPr>
                  <w:tcW w:w="1165" w:type="dxa"/>
                  <w:vMerge w:val="restart"/>
                  <w:noWrap w:val="0"/>
                  <w:vAlign w:val="center"/>
                </w:tcPr>
                <w:p w14:paraId="0C445AF8">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bCs/>
                      <w:color w:val="auto"/>
                      <w:kern w:val="0"/>
                      <w:szCs w:val="21"/>
                      <w:highlight w:val="none"/>
                    </w:rPr>
                    <w:t>TSP</w:t>
                  </w:r>
                </w:p>
              </w:tc>
              <w:tc>
                <w:tcPr>
                  <w:tcW w:w="800" w:type="dxa"/>
                  <w:vMerge w:val="restart"/>
                  <w:noWrap w:val="0"/>
                  <w:vAlign w:val="center"/>
                </w:tcPr>
                <w:p w14:paraId="30BA2D7C">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μg/m</w:t>
                  </w:r>
                  <w:r>
                    <w:rPr>
                      <w:rFonts w:hint="default"/>
                      <w:bCs/>
                      <w:color w:val="auto"/>
                      <w:kern w:val="0"/>
                      <w:szCs w:val="21"/>
                      <w:highlight w:val="none"/>
                      <w:vertAlign w:val="superscript"/>
                    </w:rPr>
                    <w:t>3</w:t>
                  </w:r>
                </w:p>
              </w:tc>
              <w:tc>
                <w:tcPr>
                  <w:tcW w:w="1861" w:type="dxa"/>
                  <w:noWrap w:val="0"/>
                  <w:vAlign w:val="center"/>
                </w:tcPr>
                <w:p w14:paraId="1679A84D">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bCs/>
                      <w:color w:val="auto"/>
                      <w:kern w:val="0"/>
                      <w:szCs w:val="21"/>
                      <w:highlight w:val="none"/>
                    </w:rPr>
                    <w:t>1000</w:t>
                  </w:r>
                </w:p>
              </w:tc>
              <w:tc>
                <w:tcPr>
                  <w:tcW w:w="2099" w:type="dxa"/>
                  <w:noWrap w:val="0"/>
                  <w:vAlign w:val="center"/>
                </w:tcPr>
                <w:p w14:paraId="5BDAB757">
                  <w:pPr>
                    <w:keepNext w:val="0"/>
                    <w:keepLines w:val="0"/>
                    <w:suppressLineNumbers w:val="0"/>
                    <w:adjustRightInd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超标次数≤1次/日</w:t>
                  </w:r>
                </w:p>
              </w:tc>
              <w:tc>
                <w:tcPr>
                  <w:tcW w:w="2020" w:type="dxa"/>
                  <w:vMerge w:val="restart"/>
                  <w:noWrap w:val="0"/>
                  <w:vAlign w:val="center"/>
                </w:tcPr>
                <w:p w14:paraId="434C188D">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default"/>
                      <w:bCs/>
                      <w:color w:val="auto"/>
                      <w:kern w:val="0"/>
                      <w:szCs w:val="21"/>
                      <w:highlight w:val="none"/>
                    </w:rPr>
                    <w:t>DB34/4811-2024</w:t>
                  </w:r>
                </w:p>
              </w:tc>
            </w:tr>
            <w:tr w14:paraId="7BE46D5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50" w:hRule="atLeast"/>
              </w:trPr>
              <w:tc>
                <w:tcPr>
                  <w:tcW w:w="1165" w:type="dxa"/>
                  <w:vMerge w:val="continue"/>
                  <w:tcBorders>
                    <w:bottom w:val="single" w:color="auto" w:sz="12" w:space="0"/>
                  </w:tcBorders>
                  <w:noWrap w:val="0"/>
                  <w:vAlign w:val="center"/>
                </w:tcPr>
                <w:p w14:paraId="77135A86">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p>
              </w:tc>
              <w:tc>
                <w:tcPr>
                  <w:tcW w:w="800" w:type="dxa"/>
                  <w:vMerge w:val="continue"/>
                  <w:tcBorders>
                    <w:bottom w:val="single" w:color="auto" w:sz="12" w:space="0"/>
                  </w:tcBorders>
                  <w:noWrap w:val="0"/>
                  <w:vAlign w:val="center"/>
                </w:tcPr>
                <w:p w14:paraId="35658777">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p>
              </w:tc>
              <w:tc>
                <w:tcPr>
                  <w:tcW w:w="1861" w:type="dxa"/>
                  <w:tcBorders>
                    <w:bottom w:val="single" w:color="auto" w:sz="12" w:space="0"/>
                  </w:tcBorders>
                  <w:noWrap w:val="0"/>
                  <w:vAlign w:val="center"/>
                </w:tcPr>
                <w:p w14:paraId="59933EB6">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r>
                    <w:rPr>
                      <w:rFonts w:hint="eastAsia"/>
                      <w:bCs/>
                      <w:color w:val="auto"/>
                      <w:kern w:val="0"/>
                      <w:szCs w:val="21"/>
                      <w:highlight w:val="none"/>
                    </w:rPr>
                    <w:t>500</w:t>
                  </w:r>
                </w:p>
              </w:tc>
              <w:tc>
                <w:tcPr>
                  <w:tcW w:w="2099" w:type="dxa"/>
                  <w:tcBorders>
                    <w:bottom w:val="single" w:color="auto" w:sz="12" w:space="0"/>
                  </w:tcBorders>
                  <w:noWrap w:val="0"/>
                  <w:vAlign w:val="center"/>
                </w:tcPr>
                <w:p w14:paraId="0E7F4908">
                  <w:pPr>
                    <w:keepNext w:val="0"/>
                    <w:keepLines w:val="0"/>
                    <w:suppressLineNumbers w:val="0"/>
                    <w:adjustRightInd w:val="0"/>
                    <w:snapToGrid w:val="0"/>
                    <w:spacing w:before="0" w:beforeAutospacing="0" w:after="0" w:afterAutospacing="0"/>
                    <w:ind w:left="0" w:right="0"/>
                    <w:jc w:val="center"/>
                    <w:rPr>
                      <w:rFonts w:hint="default"/>
                      <w:color w:val="auto"/>
                      <w:kern w:val="0"/>
                      <w:szCs w:val="21"/>
                      <w:highlight w:val="none"/>
                    </w:rPr>
                  </w:pPr>
                  <w:r>
                    <w:rPr>
                      <w:rFonts w:hint="eastAsia"/>
                      <w:color w:val="auto"/>
                      <w:kern w:val="0"/>
                      <w:szCs w:val="21"/>
                      <w:highlight w:val="none"/>
                    </w:rPr>
                    <w:t>超标次数≤6次/日</w:t>
                  </w:r>
                </w:p>
              </w:tc>
              <w:tc>
                <w:tcPr>
                  <w:tcW w:w="2020" w:type="dxa"/>
                  <w:vMerge w:val="continue"/>
                  <w:tcBorders>
                    <w:bottom w:val="single" w:color="auto" w:sz="12" w:space="0"/>
                  </w:tcBorders>
                  <w:noWrap w:val="0"/>
                  <w:vAlign w:val="center"/>
                </w:tcPr>
                <w:p w14:paraId="72DDE3AE">
                  <w:pPr>
                    <w:keepNext w:val="0"/>
                    <w:keepLines w:val="0"/>
                    <w:widowControl/>
                    <w:suppressLineNumbers w:val="0"/>
                    <w:spacing w:before="0" w:beforeAutospacing="0" w:after="0" w:afterAutospacing="0" w:line="276" w:lineRule="auto"/>
                    <w:ind w:left="0" w:right="0"/>
                    <w:jc w:val="center"/>
                    <w:rPr>
                      <w:rFonts w:hint="default"/>
                      <w:bCs/>
                      <w:color w:val="auto"/>
                      <w:kern w:val="0"/>
                      <w:szCs w:val="21"/>
                      <w:highlight w:val="none"/>
                    </w:rPr>
                  </w:pPr>
                </w:p>
              </w:tc>
            </w:tr>
          </w:tbl>
          <w:p w14:paraId="681FD8C7">
            <w:pPr>
              <w:pStyle w:val="144"/>
              <w:widowControl/>
              <w:spacing w:line="360" w:lineRule="auto"/>
              <w:ind w:firstLine="472"/>
              <w:rPr>
                <w:color w:val="auto"/>
                <w:spacing w:val="-2"/>
                <w:kern w:val="0"/>
                <w:sz w:val="24"/>
                <w:szCs w:val="20"/>
                <w:highlight w:val="none"/>
              </w:rPr>
            </w:pPr>
            <w:r>
              <w:rPr>
                <w:rFonts w:hint="eastAsia"/>
                <w:color w:val="auto"/>
                <w:sz w:val="24"/>
                <w:szCs w:val="24"/>
                <w:highlight w:val="none"/>
                <w:lang w:val="en-US" w:eastAsia="zh-CN"/>
              </w:rPr>
              <w:t>运营期新增</w:t>
            </w:r>
            <w:r>
              <w:rPr>
                <w:rFonts w:hint="eastAsia"/>
                <w:color w:val="auto"/>
                <w:spacing w:val="-2"/>
                <w:kern w:val="0"/>
                <w:sz w:val="24"/>
                <w:szCs w:val="20"/>
                <w:highlight w:val="none"/>
                <w:lang w:val="en-US" w:eastAsia="zh-CN"/>
              </w:rPr>
              <w:t>丙烷、丁烷</w:t>
            </w:r>
            <w:r>
              <w:rPr>
                <w:rFonts w:hint="eastAsia"/>
                <w:color w:val="auto"/>
                <w:spacing w:val="-2"/>
                <w:kern w:val="0"/>
                <w:sz w:val="24"/>
                <w:szCs w:val="20"/>
                <w:highlight w:val="none"/>
              </w:rPr>
              <w:t>卸车环节</w:t>
            </w:r>
            <w:r>
              <w:rPr>
                <w:rFonts w:hint="eastAsia"/>
                <w:color w:val="auto"/>
                <w:spacing w:val="-2"/>
                <w:kern w:val="0"/>
                <w:sz w:val="24"/>
                <w:szCs w:val="20"/>
                <w:highlight w:val="none"/>
                <w:lang w:eastAsia="zh-CN"/>
              </w:rPr>
              <w:t>，</w:t>
            </w:r>
            <w:r>
              <w:rPr>
                <w:rFonts w:hint="eastAsia"/>
                <w:color w:val="auto"/>
                <w:spacing w:val="-2"/>
                <w:kern w:val="0"/>
                <w:sz w:val="24"/>
                <w:szCs w:val="20"/>
                <w:highlight w:val="none"/>
                <w:lang w:val="en-US" w:eastAsia="zh-CN"/>
              </w:rPr>
              <w:t>卸车时</w:t>
            </w:r>
            <w:r>
              <w:rPr>
                <w:rFonts w:hint="eastAsia"/>
                <w:color w:val="auto"/>
                <w:spacing w:val="-2"/>
                <w:kern w:val="0"/>
                <w:sz w:val="24"/>
                <w:szCs w:val="20"/>
                <w:highlight w:val="none"/>
              </w:rPr>
              <w:t>采用气相平衡管进行装卸，在正常工况下遵循气相平衡原则，卸车过程中无废气产生，日常存储过程中无呼吸废气排放，偶有超压废气经</w:t>
            </w:r>
            <w:r>
              <w:rPr>
                <w:rFonts w:hint="eastAsia"/>
                <w:color w:val="auto"/>
                <w:spacing w:val="-2"/>
                <w:kern w:val="0"/>
                <w:sz w:val="24"/>
                <w:szCs w:val="20"/>
                <w:highlight w:val="none"/>
                <w:lang w:val="en-US" w:eastAsia="zh-CN"/>
              </w:rPr>
              <w:t>安全阀放空管</w:t>
            </w:r>
            <w:r>
              <w:rPr>
                <w:rFonts w:hint="eastAsia"/>
                <w:color w:val="auto"/>
                <w:spacing w:val="-2"/>
                <w:kern w:val="0"/>
                <w:sz w:val="24"/>
                <w:szCs w:val="20"/>
                <w:highlight w:val="none"/>
              </w:rPr>
              <w:t>泄放；新钢瓶入场时，先抽真空，然后采用氮气置换2次，再抽真空后进行压力充装，此环节仅有氮气排放；充装管线内保留</w:t>
            </w:r>
            <w:r>
              <w:rPr>
                <w:rFonts w:hint="eastAsia"/>
                <w:color w:val="auto"/>
                <w:spacing w:val="-2"/>
                <w:kern w:val="0"/>
                <w:sz w:val="24"/>
                <w:szCs w:val="20"/>
                <w:highlight w:val="none"/>
                <w:lang w:val="en-US" w:eastAsia="zh-CN"/>
              </w:rPr>
              <w:t>丙烷/丁烷</w:t>
            </w:r>
            <w:r>
              <w:rPr>
                <w:rFonts w:hint="eastAsia"/>
                <w:color w:val="auto"/>
                <w:spacing w:val="-2"/>
                <w:kern w:val="0"/>
                <w:sz w:val="24"/>
                <w:szCs w:val="20"/>
                <w:highlight w:val="none"/>
              </w:rPr>
              <w:t>气体，维持正压，充装时无需氮气吹扫置换，不产生废气。以上各环节正常生产状态均不涉及大气污染物产生。</w:t>
            </w:r>
            <w:r>
              <w:rPr>
                <w:rFonts w:hint="eastAsia"/>
                <w:color w:val="auto"/>
                <w:spacing w:val="-2"/>
                <w:kern w:val="0"/>
                <w:sz w:val="24"/>
                <w:szCs w:val="20"/>
                <w:highlight w:val="none"/>
                <w:lang w:val="en-US" w:eastAsia="zh-CN"/>
              </w:rPr>
              <w:t>非正常</w:t>
            </w:r>
            <w:r>
              <w:rPr>
                <w:rFonts w:hint="eastAsia"/>
                <w:color w:val="auto"/>
                <w:spacing w:val="-2"/>
                <w:kern w:val="0"/>
                <w:sz w:val="24"/>
                <w:szCs w:val="20"/>
                <w:highlight w:val="none"/>
              </w:rPr>
              <w:t>工况下，会排放挥发性有机物</w:t>
            </w:r>
            <w:r>
              <w:rPr>
                <w:rFonts w:hint="eastAsia"/>
                <w:color w:val="auto"/>
                <w:spacing w:val="-2"/>
                <w:kern w:val="0"/>
                <w:sz w:val="24"/>
                <w:szCs w:val="20"/>
                <w:highlight w:val="none"/>
                <w:lang w:val="en-US" w:eastAsia="zh-CN"/>
              </w:rPr>
              <w:t>丙烷/丁烷</w:t>
            </w:r>
            <w:r>
              <w:rPr>
                <w:rFonts w:hint="eastAsia"/>
                <w:color w:val="auto"/>
                <w:spacing w:val="-2"/>
                <w:kern w:val="0"/>
                <w:sz w:val="24"/>
                <w:szCs w:val="20"/>
                <w:highlight w:val="none"/>
              </w:rPr>
              <w:t>，以非甲烷总烃计。</w:t>
            </w:r>
          </w:p>
          <w:p w14:paraId="4CE05061">
            <w:pPr>
              <w:pStyle w:val="144"/>
              <w:widowControl/>
              <w:spacing w:line="360" w:lineRule="auto"/>
              <w:ind w:firstLine="472"/>
              <w:rPr>
                <w:color w:val="auto"/>
                <w:spacing w:val="-2"/>
                <w:kern w:val="0"/>
                <w:sz w:val="24"/>
                <w:szCs w:val="20"/>
                <w:highlight w:val="none"/>
              </w:rPr>
            </w:pPr>
            <w:r>
              <w:rPr>
                <w:rFonts w:hint="eastAsia"/>
                <w:color w:val="auto"/>
                <w:spacing w:val="-2"/>
                <w:kern w:val="0"/>
                <w:sz w:val="24"/>
                <w:szCs w:val="20"/>
                <w:highlight w:val="none"/>
              </w:rPr>
              <w:t>非甲烷总烃无组织排放执行《大气污染物综合排放标准》（GB16297-1996）表2中的新污染源二级标准限值要求。</w:t>
            </w:r>
          </w:p>
          <w:p w14:paraId="5956D82B">
            <w:pPr>
              <w:spacing w:line="360" w:lineRule="auto"/>
              <w:ind w:firstLine="472" w:firstLineChars="200"/>
              <w:rPr>
                <w:color w:val="auto"/>
                <w:sz w:val="24"/>
                <w:highlight w:val="none"/>
              </w:rPr>
            </w:pPr>
            <w:r>
              <w:rPr>
                <w:rFonts w:hint="eastAsia"/>
                <w:color w:val="auto"/>
                <w:spacing w:val="-2"/>
                <w:kern w:val="0"/>
                <w:sz w:val="24"/>
                <w:szCs w:val="20"/>
                <w:highlight w:val="none"/>
              </w:rPr>
              <w:t>厂区内挥发性有机物无组织排放监控点浓度标准执行《挥发性有机物无组织排放控制标准》（</w:t>
            </w:r>
            <w:r>
              <w:rPr>
                <w:color w:val="auto"/>
                <w:spacing w:val="-2"/>
                <w:kern w:val="0"/>
                <w:sz w:val="24"/>
                <w:szCs w:val="20"/>
                <w:highlight w:val="none"/>
              </w:rPr>
              <w:t>GB37822-2019</w:t>
            </w:r>
            <w:r>
              <w:rPr>
                <w:rFonts w:hint="eastAsia"/>
                <w:color w:val="auto"/>
                <w:spacing w:val="-2"/>
                <w:kern w:val="0"/>
                <w:sz w:val="24"/>
                <w:szCs w:val="20"/>
                <w:highlight w:val="none"/>
              </w:rPr>
              <w:t>）表</w:t>
            </w:r>
            <w:r>
              <w:rPr>
                <w:color w:val="auto"/>
                <w:spacing w:val="-2"/>
                <w:kern w:val="0"/>
                <w:sz w:val="24"/>
                <w:szCs w:val="20"/>
                <w:highlight w:val="none"/>
              </w:rPr>
              <w:t>A1</w:t>
            </w:r>
            <w:r>
              <w:rPr>
                <w:rFonts w:hint="eastAsia"/>
                <w:color w:val="auto"/>
                <w:spacing w:val="-2"/>
                <w:kern w:val="0"/>
                <w:sz w:val="24"/>
                <w:szCs w:val="20"/>
                <w:highlight w:val="none"/>
              </w:rPr>
              <w:t>特别排放限值</w:t>
            </w:r>
            <w:r>
              <w:rPr>
                <w:rFonts w:hint="eastAsia"/>
                <w:color w:val="auto"/>
                <w:sz w:val="24"/>
                <w:szCs w:val="24"/>
                <w:highlight w:val="none"/>
              </w:rPr>
              <w:t>。</w:t>
            </w:r>
          </w:p>
          <w:p w14:paraId="2CE43507">
            <w:pPr>
              <w:pStyle w:val="144"/>
              <w:widowControl/>
              <w:spacing w:line="360" w:lineRule="auto"/>
              <w:ind w:firstLine="480"/>
              <w:rPr>
                <w:color w:val="auto"/>
                <w:kern w:val="0"/>
                <w:sz w:val="24"/>
                <w:highlight w:val="none"/>
              </w:rPr>
            </w:pPr>
            <w:r>
              <w:rPr>
                <w:color w:val="auto"/>
                <w:sz w:val="24"/>
                <w:highlight w:val="none"/>
              </w:rPr>
              <w:t>具体详见下表：</w:t>
            </w:r>
          </w:p>
          <w:p w14:paraId="1755585C">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Ansi="黑体" w:eastAsia="黑体"/>
                <w:bCs/>
                <w:color w:val="auto"/>
                <w:spacing w:val="-2"/>
                <w:kern w:val="0"/>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3-5</w:t>
            </w:r>
            <w:r>
              <w:rPr>
                <w:rFonts w:hint="eastAsia" w:hAnsi="黑体" w:eastAsia="黑体"/>
                <w:color w:val="auto"/>
                <w:sz w:val="24"/>
                <w:szCs w:val="24"/>
                <w:highlight w:val="none"/>
              </w:rPr>
              <w:t xml:space="preserve"> 大气污染物排放限值</w:t>
            </w:r>
          </w:p>
          <w:tbl>
            <w:tblPr>
              <w:tblStyle w:val="36"/>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015"/>
              <w:gridCol w:w="2027"/>
              <w:gridCol w:w="1921"/>
              <w:gridCol w:w="3075"/>
            </w:tblGrid>
            <w:tr w14:paraId="434399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31" w:type="pct"/>
                  <w:vMerge w:val="restart"/>
                  <w:vAlign w:val="center"/>
                </w:tcPr>
                <w:p w14:paraId="6E3985B2">
                  <w:pPr>
                    <w:spacing w:line="276" w:lineRule="auto"/>
                    <w:jc w:val="center"/>
                    <w:rPr>
                      <w:b/>
                      <w:color w:val="auto"/>
                      <w:szCs w:val="21"/>
                      <w:highlight w:val="none"/>
                    </w:rPr>
                  </w:pPr>
                  <w:r>
                    <w:rPr>
                      <w:rFonts w:hint="eastAsia"/>
                      <w:b/>
                      <w:color w:val="auto"/>
                      <w:szCs w:val="21"/>
                      <w:highlight w:val="none"/>
                    </w:rPr>
                    <w:t>指标</w:t>
                  </w:r>
                </w:p>
              </w:tc>
              <w:tc>
                <w:tcPr>
                  <w:tcW w:w="2455" w:type="pct"/>
                  <w:gridSpan w:val="2"/>
                  <w:vAlign w:val="center"/>
                </w:tcPr>
                <w:p w14:paraId="45FDFBD1">
                  <w:pPr>
                    <w:widowControl/>
                    <w:spacing w:line="276" w:lineRule="auto"/>
                    <w:jc w:val="center"/>
                    <w:rPr>
                      <w:b/>
                      <w:color w:val="auto"/>
                      <w:kern w:val="0"/>
                      <w:szCs w:val="21"/>
                      <w:highlight w:val="none"/>
                    </w:rPr>
                  </w:pPr>
                  <w:r>
                    <w:rPr>
                      <w:rFonts w:hint="eastAsia"/>
                      <w:b/>
                      <w:color w:val="auto"/>
                      <w:kern w:val="0"/>
                      <w:szCs w:val="21"/>
                      <w:highlight w:val="none"/>
                    </w:rPr>
                    <w:t>厂界大气污染物监控点浓度限值</w:t>
                  </w:r>
                </w:p>
              </w:tc>
              <w:tc>
                <w:tcPr>
                  <w:tcW w:w="1912" w:type="pct"/>
                  <w:vMerge w:val="restart"/>
                  <w:vAlign w:val="center"/>
                </w:tcPr>
                <w:p w14:paraId="5584057B">
                  <w:pPr>
                    <w:widowControl/>
                    <w:spacing w:line="276" w:lineRule="auto"/>
                    <w:jc w:val="center"/>
                    <w:rPr>
                      <w:b/>
                      <w:color w:val="auto"/>
                      <w:kern w:val="0"/>
                      <w:szCs w:val="21"/>
                      <w:highlight w:val="none"/>
                    </w:rPr>
                  </w:pPr>
                  <w:r>
                    <w:rPr>
                      <w:rFonts w:hint="eastAsia"/>
                      <w:b/>
                      <w:color w:val="auto"/>
                      <w:kern w:val="0"/>
                      <w:szCs w:val="21"/>
                      <w:highlight w:val="none"/>
                    </w:rPr>
                    <w:t>标准来源</w:t>
                  </w:r>
                </w:p>
              </w:tc>
            </w:tr>
            <w:tr w14:paraId="220119C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31" w:type="pct"/>
                  <w:vMerge w:val="continue"/>
                  <w:vAlign w:val="center"/>
                </w:tcPr>
                <w:p w14:paraId="3A77752D">
                  <w:pPr>
                    <w:widowControl/>
                    <w:spacing w:line="276" w:lineRule="auto"/>
                    <w:jc w:val="left"/>
                    <w:rPr>
                      <w:b/>
                      <w:color w:val="auto"/>
                      <w:szCs w:val="21"/>
                      <w:highlight w:val="none"/>
                    </w:rPr>
                  </w:pPr>
                </w:p>
              </w:tc>
              <w:tc>
                <w:tcPr>
                  <w:tcW w:w="1260" w:type="pct"/>
                  <w:vAlign w:val="center"/>
                </w:tcPr>
                <w:p w14:paraId="011529F7">
                  <w:pPr>
                    <w:widowControl/>
                    <w:spacing w:line="276" w:lineRule="auto"/>
                    <w:jc w:val="center"/>
                    <w:rPr>
                      <w:b/>
                      <w:color w:val="auto"/>
                      <w:kern w:val="0"/>
                      <w:szCs w:val="21"/>
                      <w:highlight w:val="none"/>
                    </w:rPr>
                  </w:pPr>
                  <w:r>
                    <w:rPr>
                      <w:rFonts w:hint="eastAsia"/>
                      <w:b/>
                      <w:color w:val="auto"/>
                      <w:kern w:val="0"/>
                      <w:szCs w:val="21"/>
                      <w:highlight w:val="none"/>
                    </w:rPr>
                    <w:t>监控点</w:t>
                  </w:r>
                </w:p>
              </w:tc>
              <w:tc>
                <w:tcPr>
                  <w:tcW w:w="1194" w:type="pct"/>
                  <w:vAlign w:val="center"/>
                </w:tcPr>
                <w:p w14:paraId="4E99AD61">
                  <w:pPr>
                    <w:widowControl/>
                    <w:spacing w:line="276" w:lineRule="auto"/>
                    <w:jc w:val="center"/>
                    <w:rPr>
                      <w:b/>
                      <w:color w:val="auto"/>
                      <w:kern w:val="0"/>
                      <w:szCs w:val="21"/>
                      <w:highlight w:val="none"/>
                    </w:rPr>
                  </w:pPr>
                  <w:r>
                    <w:rPr>
                      <w:rFonts w:hint="eastAsia"/>
                      <w:b/>
                      <w:color w:val="auto"/>
                      <w:kern w:val="0"/>
                      <w:szCs w:val="21"/>
                      <w:highlight w:val="none"/>
                    </w:rPr>
                    <w:t>浓度（</w:t>
                  </w:r>
                  <w:r>
                    <w:rPr>
                      <w:b/>
                      <w:color w:val="auto"/>
                      <w:kern w:val="0"/>
                      <w:szCs w:val="21"/>
                      <w:highlight w:val="none"/>
                    </w:rPr>
                    <w:t>mg/m</w:t>
                  </w:r>
                  <w:r>
                    <w:rPr>
                      <w:b/>
                      <w:color w:val="auto"/>
                      <w:kern w:val="0"/>
                      <w:szCs w:val="21"/>
                      <w:highlight w:val="none"/>
                      <w:vertAlign w:val="superscript"/>
                    </w:rPr>
                    <w:t>3</w:t>
                  </w:r>
                  <w:r>
                    <w:rPr>
                      <w:rFonts w:hint="eastAsia"/>
                      <w:b/>
                      <w:color w:val="auto"/>
                      <w:kern w:val="0"/>
                      <w:szCs w:val="21"/>
                      <w:highlight w:val="none"/>
                    </w:rPr>
                    <w:t>）</w:t>
                  </w:r>
                </w:p>
              </w:tc>
              <w:tc>
                <w:tcPr>
                  <w:tcW w:w="1912" w:type="pct"/>
                  <w:vMerge w:val="continue"/>
                  <w:vAlign w:val="center"/>
                </w:tcPr>
                <w:p w14:paraId="4B64D50B">
                  <w:pPr>
                    <w:widowControl/>
                    <w:spacing w:line="276" w:lineRule="auto"/>
                    <w:jc w:val="left"/>
                    <w:rPr>
                      <w:b/>
                      <w:color w:val="auto"/>
                      <w:kern w:val="0"/>
                      <w:szCs w:val="21"/>
                      <w:highlight w:val="none"/>
                    </w:rPr>
                  </w:pPr>
                </w:p>
              </w:tc>
            </w:tr>
            <w:tr w14:paraId="7EF40F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631" w:type="pct"/>
                  <w:vAlign w:val="center"/>
                </w:tcPr>
                <w:p w14:paraId="5D736DE2">
                  <w:pPr>
                    <w:pStyle w:val="237"/>
                    <w:adjustRightInd/>
                    <w:snapToGrid/>
                    <w:spacing w:line="276" w:lineRule="auto"/>
                    <w:rPr>
                      <w:rFonts w:hint="eastAsia"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非甲烷</w:t>
                  </w:r>
                </w:p>
                <w:p w14:paraId="5811155F">
                  <w:pPr>
                    <w:pStyle w:val="237"/>
                    <w:adjustRightInd/>
                    <w:snapToGrid/>
                    <w:spacing w:line="276" w:lineRule="auto"/>
                    <w:rPr>
                      <w:rFonts w:hint="eastAsia" w:ascii="Times New Roman" w:hAnsi="Times New Roman" w:eastAsia="宋体"/>
                      <w:color w:val="auto"/>
                      <w:kern w:val="2"/>
                      <w:sz w:val="21"/>
                      <w:szCs w:val="21"/>
                      <w:highlight w:val="none"/>
                      <w:lang w:val="en-US" w:eastAsia="zh-CN"/>
                    </w:rPr>
                  </w:pPr>
                  <w:r>
                    <w:rPr>
                      <w:rFonts w:hint="eastAsia" w:ascii="Times New Roman" w:hAnsi="Times New Roman" w:eastAsia="宋体"/>
                      <w:color w:val="auto"/>
                      <w:kern w:val="2"/>
                      <w:sz w:val="21"/>
                      <w:szCs w:val="21"/>
                      <w:highlight w:val="none"/>
                      <w:lang w:val="en-US" w:eastAsia="zh-CN"/>
                    </w:rPr>
                    <w:t>总烃</w:t>
                  </w:r>
                </w:p>
              </w:tc>
              <w:tc>
                <w:tcPr>
                  <w:tcW w:w="1260" w:type="pct"/>
                  <w:vAlign w:val="center"/>
                </w:tcPr>
                <w:p w14:paraId="0F0FCE58">
                  <w:pPr>
                    <w:spacing w:line="276" w:lineRule="auto"/>
                    <w:jc w:val="center"/>
                    <w:rPr>
                      <w:color w:val="auto"/>
                      <w:kern w:val="0"/>
                      <w:szCs w:val="21"/>
                      <w:highlight w:val="none"/>
                    </w:rPr>
                  </w:pPr>
                  <w:r>
                    <w:rPr>
                      <w:rFonts w:hint="eastAsia"/>
                      <w:color w:val="auto"/>
                      <w:kern w:val="0"/>
                      <w:szCs w:val="21"/>
                      <w:highlight w:val="none"/>
                    </w:rPr>
                    <w:t>周界外浓度最高点</w:t>
                  </w:r>
                </w:p>
              </w:tc>
              <w:tc>
                <w:tcPr>
                  <w:tcW w:w="1194" w:type="pct"/>
                  <w:vAlign w:val="center"/>
                </w:tcPr>
                <w:p w14:paraId="01173A26">
                  <w:pPr>
                    <w:spacing w:line="276" w:lineRule="auto"/>
                    <w:jc w:val="center"/>
                    <w:rPr>
                      <w:color w:val="auto"/>
                      <w:szCs w:val="21"/>
                      <w:highlight w:val="none"/>
                    </w:rPr>
                  </w:pPr>
                  <w:r>
                    <w:rPr>
                      <w:color w:val="auto"/>
                      <w:szCs w:val="21"/>
                      <w:highlight w:val="none"/>
                    </w:rPr>
                    <w:t>4.0</w:t>
                  </w:r>
                </w:p>
              </w:tc>
              <w:tc>
                <w:tcPr>
                  <w:tcW w:w="1912" w:type="pct"/>
                  <w:vAlign w:val="center"/>
                </w:tcPr>
                <w:p w14:paraId="21560F5B">
                  <w:pPr>
                    <w:spacing w:line="276" w:lineRule="auto"/>
                    <w:jc w:val="center"/>
                    <w:rPr>
                      <w:color w:val="auto"/>
                      <w:szCs w:val="21"/>
                      <w:highlight w:val="none"/>
                    </w:rPr>
                  </w:pPr>
                  <w:r>
                    <w:rPr>
                      <w:rFonts w:hint="eastAsia"/>
                      <w:color w:val="auto"/>
                      <w:szCs w:val="21"/>
                      <w:highlight w:val="none"/>
                    </w:rPr>
                    <w:t>《大气污染物综合排放标准》（</w:t>
                  </w:r>
                  <w:r>
                    <w:rPr>
                      <w:color w:val="auto"/>
                      <w:szCs w:val="21"/>
                      <w:highlight w:val="none"/>
                    </w:rPr>
                    <w:t>GB16297-1996</w:t>
                  </w:r>
                  <w:r>
                    <w:rPr>
                      <w:rFonts w:hint="eastAsia"/>
                      <w:color w:val="auto"/>
                      <w:szCs w:val="21"/>
                      <w:highlight w:val="none"/>
                    </w:rPr>
                    <w:t>）</w:t>
                  </w:r>
                </w:p>
              </w:tc>
            </w:tr>
          </w:tbl>
          <w:p w14:paraId="0ECC761B">
            <w:pPr>
              <w:autoSpaceDE w:val="0"/>
              <w:autoSpaceDN w:val="0"/>
              <w:adjustRightInd w:val="0"/>
              <w:snapToGrid w:val="0"/>
              <w:spacing w:beforeLines="50" w:line="360" w:lineRule="auto"/>
              <w:jc w:val="center"/>
              <w:rPr>
                <w:rFonts w:hAnsi="黑体" w:eastAsia="黑体"/>
                <w:bCs/>
                <w:color w:val="auto"/>
                <w:spacing w:val="-2"/>
                <w:kern w:val="0"/>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3-6</w:t>
            </w:r>
            <w:r>
              <w:rPr>
                <w:rFonts w:hint="eastAsia" w:hAnsi="黑体" w:eastAsia="黑体"/>
                <w:color w:val="auto"/>
                <w:sz w:val="24"/>
                <w:szCs w:val="24"/>
                <w:highlight w:val="none"/>
              </w:rPr>
              <w:t xml:space="preserve"> 厂区内</w:t>
            </w:r>
            <w:r>
              <w:rPr>
                <w:rFonts w:hAnsi="黑体" w:eastAsia="黑体"/>
                <w:color w:val="auto"/>
                <w:sz w:val="24"/>
                <w:szCs w:val="24"/>
                <w:highlight w:val="none"/>
              </w:rPr>
              <w:t>VOCs</w:t>
            </w:r>
            <w:r>
              <w:rPr>
                <w:rFonts w:hint="eastAsia" w:hAnsi="黑体" w:eastAsia="黑体"/>
                <w:color w:val="auto"/>
                <w:sz w:val="24"/>
                <w:szCs w:val="24"/>
                <w:highlight w:val="none"/>
              </w:rPr>
              <w:t>无组织排放监控要求单位：</w:t>
            </w:r>
            <w:r>
              <w:rPr>
                <w:rFonts w:hAnsi="黑体" w:eastAsia="黑体"/>
                <w:color w:val="auto"/>
                <w:sz w:val="24"/>
                <w:szCs w:val="24"/>
                <w:highlight w:val="none"/>
              </w:rPr>
              <w:t>mg/m</w:t>
            </w:r>
            <w:r>
              <w:rPr>
                <w:rFonts w:hAnsi="黑体" w:eastAsia="黑体"/>
                <w:color w:val="auto"/>
                <w:sz w:val="24"/>
                <w:szCs w:val="24"/>
                <w:highlight w:val="none"/>
                <w:vertAlign w:val="superscript"/>
              </w:rPr>
              <w:t>3</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672"/>
              <w:gridCol w:w="2612"/>
              <w:gridCol w:w="2407"/>
            </w:tblGrid>
            <w:tr w14:paraId="7A0A45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7" w:type="pct"/>
                  <w:tcBorders>
                    <w:top w:val="single" w:color="auto" w:sz="12" w:space="0"/>
                    <w:left w:val="nil"/>
                    <w:bottom w:val="single" w:color="auto" w:sz="4" w:space="0"/>
                    <w:right w:val="single" w:color="auto" w:sz="4" w:space="0"/>
                  </w:tcBorders>
                  <w:vAlign w:val="center"/>
                </w:tcPr>
                <w:p w14:paraId="07B41F8E">
                  <w:pPr>
                    <w:spacing w:line="276" w:lineRule="auto"/>
                    <w:jc w:val="center"/>
                    <w:rPr>
                      <w:b/>
                      <w:bCs/>
                      <w:color w:val="auto"/>
                      <w:spacing w:val="-2"/>
                      <w:kern w:val="0"/>
                      <w:szCs w:val="21"/>
                      <w:highlight w:val="none"/>
                    </w:rPr>
                  </w:pPr>
                  <w:r>
                    <w:rPr>
                      <w:rFonts w:hint="eastAsia"/>
                      <w:b/>
                      <w:bCs/>
                      <w:color w:val="auto"/>
                      <w:spacing w:val="-2"/>
                      <w:kern w:val="0"/>
                      <w:szCs w:val="21"/>
                      <w:highlight w:val="none"/>
                    </w:rPr>
                    <w:t>污染物项目</w:t>
                  </w:r>
                </w:p>
              </w:tc>
              <w:tc>
                <w:tcPr>
                  <w:tcW w:w="1040" w:type="pct"/>
                  <w:tcBorders>
                    <w:top w:val="single" w:color="auto" w:sz="12" w:space="0"/>
                    <w:left w:val="single" w:color="auto" w:sz="4" w:space="0"/>
                    <w:bottom w:val="single" w:color="auto" w:sz="4" w:space="0"/>
                    <w:right w:val="single" w:color="auto" w:sz="4" w:space="0"/>
                  </w:tcBorders>
                  <w:vAlign w:val="center"/>
                </w:tcPr>
                <w:p w14:paraId="7F404C24">
                  <w:pPr>
                    <w:spacing w:line="276" w:lineRule="auto"/>
                    <w:jc w:val="center"/>
                    <w:rPr>
                      <w:b/>
                      <w:bCs/>
                      <w:color w:val="auto"/>
                      <w:spacing w:val="-2"/>
                      <w:kern w:val="0"/>
                      <w:szCs w:val="21"/>
                      <w:highlight w:val="none"/>
                    </w:rPr>
                  </w:pPr>
                  <w:r>
                    <w:rPr>
                      <w:rFonts w:hint="eastAsia"/>
                      <w:b/>
                      <w:bCs/>
                      <w:color w:val="auto"/>
                      <w:spacing w:val="-2"/>
                      <w:kern w:val="0"/>
                      <w:szCs w:val="21"/>
                      <w:highlight w:val="none"/>
                    </w:rPr>
                    <w:t>特别排放限值</w:t>
                  </w:r>
                </w:p>
              </w:tc>
              <w:tc>
                <w:tcPr>
                  <w:tcW w:w="1624" w:type="pct"/>
                  <w:tcBorders>
                    <w:top w:val="single" w:color="auto" w:sz="12" w:space="0"/>
                    <w:left w:val="single" w:color="auto" w:sz="4" w:space="0"/>
                    <w:bottom w:val="single" w:color="auto" w:sz="4" w:space="0"/>
                    <w:right w:val="single" w:color="auto" w:sz="4" w:space="0"/>
                  </w:tcBorders>
                  <w:vAlign w:val="center"/>
                </w:tcPr>
                <w:p w14:paraId="13CCE417">
                  <w:pPr>
                    <w:spacing w:line="276" w:lineRule="auto"/>
                    <w:jc w:val="center"/>
                    <w:rPr>
                      <w:b/>
                      <w:bCs/>
                      <w:color w:val="auto"/>
                      <w:spacing w:val="-2"/>
                      <w:kern w:val="0"/>
                      <w:szCs w:val="21"/>
                      <w:highlight w:val="none"/>
                    </w:rPr>
                  </w:pPr>
                  <w:r>
                    <w:rPr>
                      <w:rFonts w:hint="eastAsia"/>
                      <w:b/>
                      <w:bCs/>
                      <w:color w:val="auto"/>
                      <w:spacing w:val="-2"/>
                      <w:kern w:val="0"/>
                      <w:szCs w:val="21"/>
                      <w:highlight w:val="none"/>
                    </w:rPr>
                    <w:t>限值含义</w:t>
                  </w:r>
                </w:p>
              </w:tc>
              <w:tc>
                <w:tcPr>
                  <w:tcW w:w="1497" w:type="pct"/>
                  <w:tcBorders>
                    <w:top w:val="single" w:color="auto" w:sz="12" w:space="0"/>
                    <w:left w:val="single" w:color="auto" w:sz="4" w:space="0"/>
                    <w:bottom w:val="single" w:color="auto" w:sz="4" w:space="0"/>
                    <w:right w:val="nil"/>
                  </w:tcBorders>
                  <w:vAlign w:val="center"/>
                </w:tcPr>
                <w:p w14:paraId="3DDA822C">
                  <w:pPr>
                    <w:spacing w:line="276" w:lineRule="auto"/>
                    <w:jc w:val="center"/>
                    <w:rPr>
                      <w:b/>
                      <w:bCs/>
                      <w:color w:val="auto"/>
                      <w:spacing w:val="-2"/>
                      <w:kern w:val="0"/>
                      <w:szCs w:val="21"/>
                      <w:highlight w:val="none"/>
                    </w:rPr>
                  </w:pPr>
                  <w:r>
                    <w:rPr>
                      <w:rFonts w:hint="eastAsia"/>
                      <w:b/>
                      <w:bCs/>
                      <w:color w:val="auto"/>
                      <w:spacing w:val="-2"/>
                      <w:kern w:val="0"/>
                      <w:szCs w:val="21"/>
                      <w:highlight w:val="none"/>
                    </w:rPr>
                    <w:t>无组织排放监控位置</w:t>
                  </w:r>
                </w:p>
              </w:tc>
            </w:tr>
            <w:tr w14:paraId="35071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 w:hRule="atLeast"/>
              </w:trPr>
              <w:tc>
                <w:tcPr>
                  <w:tcW w:w="837" w:type="pct"/>
                  <w:vMerge w:val="restart"/>
                  <w:tcBorders>
                    <w:top w:val="single" w:color="auto" w:sz="4" w:space="0"/>
                    <w:left w:val="nil"/>
                    <w:bottom w:val="single" w:color="auto" w:sz="12" w:space="0"/>
                    <w:right w:val="single" w:color="auto" w:sz="4" w:space="0"/>
                  </w:tcBorders>
                  <w:vAlign w:val="center"/>
                </w:tcPr>
                <w:p w14:paraId="17D8F9EB">
                  <w:pPr>
                    <w:spacing w:line="276" w:lineRule="auto"/>
                    <w:jc w:val="center"/>
                    <w:rPr>
                      <w:bCs/>
                      <w:color w:val="auto"/>
                      <w:spacing w:val="-2"/>
                      <w:kern w:val="0"/>
                      <w:szCs w:val="21"/>
                      <w:highlight w:val="none"/>
                    </w:rPr>
                  </w:pPr>
                  <w:r>
                    <w:rPr>
                      <w:bCs/>
                      <w:color w:val="auto"/>
                      <w:spacing w:val="-2"/>
                      <w:kern w:val="0"/>
                      <w:szCs w:val="21"/>
                      <w:highlight w:val="none"/>
                    </w:rPr>
                    <w:t>NMHC</w:t>
                  </w:r>
                </w:p>
              </w:tc>
              <w:tc>
                <w:tcPr>
                  <w:tcW w:w="1040" w:type="pct"/>
                  <w:tcBorders>
                    <w:top w:val="single" w:color="auto" w:sz="4" w:space="0"/>
                    <w:left w:val="single" w:color="auto" w:sz="4" w:space="0"/>
                    <w:bottom w:val="single" w:color="auto" w:sz="4" w:space="0"/>
                    <w:right w:val="single" w:color="auto" w:sz="4" w:space="0"/>
                  </w:tcBorders>
                  <w:vAlign w:val="center"/>
                </w:tcPr>
                <w:p w14:paraId="1B7FA230">
                  <w:pPr>
                    <w:spacing w:line="276" w:lineRule="auto"/>
                    <w:jc w:val="center"/>
                    <w:rPr>
                      <w:bCs/>
                      <w:color w:val="auto"/>
                      <w:spacing w:val="-2"/>
                      <w:kern w:val="0"/>
                      <w:szCs w:val="21"/>
                      <w:highlight w:val="none"/>
                    </w:rPr>
                  </w:pPr>
                  <w:r>
                    <w:rPr>
                      <w:bCs/>
                      <w:color w:val="auto"/>
                      <w:spacing w:val="-2"/>
                      <w:kern w:val="0"/>
                      <w:szCs w:val="21"/>
                      <w:highlight w:val="none"/>
                    </w:rPr>
                    <w:t>6</w:t>
                  </w:r>
                </w:p>
              </w:tc>
              <w:tc>
                <w:tcPr>
                  <w:tcW w:w="1624" w:type="pct"/>
                  <w:tcBorders>
                    <w:top w:val="single" w:color="auto" w:sz="4" w:space="0"/>
                    <w:left w:val="single" w:color="auto" w:sz="4" w:space="0"/>
                    <w:bottom w:val="single" w:color="auto" w:sz="4" w:space="0"/>
                    <w:right w:val="single" w:color="auto" w:sz="4" w:space="0"/>
                  </w:tcBorders>
                  <w:vAlign w:val="center"/>
                </w:tcPr>
                <w:p w14:paraId="4E27FF4D">
                  <w:pPr>
                    <w:spacing w:line="276" w:lineRule="auto"/>
                    <w:jc w:val="center"/>
                    <w:rPr>
                      <w:bCs/>
                      <w:color w:val="auto"/>
                      <w:spacing w:val="-2"/>
                      <w:kern w:val="0"/>
                      <w:szCs w:val="21"/>
                      <w:highlight w:val="none"/>
                    </w:rPr>
                  </w:pPr>
                  <w:r>
                    <w:rPr>
                      <w:rFonts w:hint="eastAsia"/>
                      <w:bCs/>
                      <w:color w:val="auto"/>
                      <w:spacing w:val="-2"/>
                      <w:kern w:val="0"/>
                      <w:szCs w:val="21"/>
                      <w:highlight w:val="none"/>
                    </w:rPr>
                    <w:t>监控点处</w:t>
                  </w:r>
                  <w:r>
                    <w:rPr>
                      <w:bCs/>
                      <w:color w:val="auto"/>
                      <w:spacing w:val="-2"/>
                      <w:kern w:val="0"/>
                      <w:szCs w:val="21"/>
                      <w:highlight w:val="none"/>
                    </w:rPr>
                    <w:t>1h</w:t>
                  </w:r>
                  <w:r>
                    <w:rPr>
                      <w:rFonts w:hint="eastAsia"/>
                      <w:bCs/>
                      <w:color w:val="auto"/>
                      <w:spacing w:val="-2"/>
                      <w:kern w:val="0"/>
                      <w:szCs w:val="21"/>
                      <w:highlight w:val="none"/>
                    </w:rPr>
                    <w:t>平均浓度值</w:t>
                  </w:r>
                </w:p>
              </w:tc>
              <w:tc>
                <w:tcPr>
                  <w:tcW w:w="1497" w:type="pct"/>
                  <w:vMerge w:val="restart"/>
                  <w:tcBorders>
                    <w:top w:val="single" w:color="auto" w:sz="4" w:space="0"/>
                    <w:left w:val="single" w:color="auto" w:sz="4" w:space="0"/>
                    <w:bottom w:val="single" w:color="auto" w:sz="12" w:space="0"/>
                    <w:right w:val="nil"/>
                  </w:tcBorders>
                  <w:vAlign w:val="center"/>
                </w:tcPr>
                <w:p w14:paraId="3B9F6B63">
                  <w:pPr>
                    <w:spacing w:line="276" w:lineRule="auto"/>
                    <w:jc w:val="center"/>
                    <w:rPr>
                      <w:bCs/>
                      <w:color w:val="auto"/>
                      <w:spacing w:val="-2"/>
                      <w:kern w:val="0"/>
                      <w:szCs w:val="21"/>
                      <w:highlight w:val="none"/>
                    </w:rPr>
                  </w:pPr>
                  <w:r>
                    <w:rPr>
                      <w:rFonts w:hint="eastAsia"/>
                      <w:bCs/>
                      <w:color w:val="auto"/>
                      <w:spacing w:val="-2"/>
                      <w:kern w:val="0"/>
                      <w:szCs w:val="21"/>
                      <w:highlight w:val="none"/>
                    </w:rPr>
                    <w:t>在厂房门窗或其他通风口设置监控点</w:t>
                  </w:r>
                </w:p>
              </w:tc>
            </w:tr>
            <w:tr w14:paraId="6ADD7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7" w:type="pct"/>
                  <w:vMerge w:val="continue"/>
                  <w:tcBorders>
                    <w:top w:val="single" w:color="auto" w:sz="4" w:space="0"/>
                    <w:left w:val="nil"/>
                    <w:bottom w:val="single" w:color="auto" w:sz="12" w:space="0"/>
                    <w:right w:val="single" w:color="auto" w:sz="4" w:space="0"/>
                  </w:tcBorders>
                  <w:vAlign w:val="center"/>
                </w:tcPr>
                <w:p w14:paraId="3CD258BA">
                  <w:pPr>
                    <w:widowControl/>
                    <w:spacing w:line="276" w:lineRule="auto"/>
                    <w:jc w:val="left"/>
                    <w:rPr>
                      <w:bCs/>
                      <w:color w:val="auto"/>
                      <w:spacing w:val="-2"/>
                      <w:kern w:val="0"/>
                      <w:szCs w:val="21"/>
                      <w:highlight w:val="none"/>
                    </w:rPr>
                  </w:pPr>
                </w:p>
              </w:tc>
              <w:tc>
                <w:tcPr>
                  <w:tcW w:w="1040" w:type="pct"/>
                  <w:tcBorders>
                    <w:top w:val="single" w:color="auto" w:sz="4" w:space="0"/>
                    <w:left w:val="single" w:color="auto" w:sz="4" w:space="0"/>
                    <w:bottom w:val="single" w:color="auto" w:sz="12" w:space="0"/>
                    <w:right w:val="single" w:color="auto" w:sz="4" w:space="0"/>
                  </w:tcBorders>
                  <w:vAlign w:val="center"/>
                </w:tcPr>
                <w:p w14:paraId="25A3C8E3">
                  <w:pPr>
                    <w:spacing w:line="276" w:lineRule="auto"/>
                    <w:jc w:val="center"/>
                    <w:rPr>
                      <w:bCs/>
                      <w:color w:val="auto"/>
                      <w:spacing w:val="-2"/>
                      <w:kern w:val="0"/>
                      <w:szCs w:val="21"/>
                      <w:highlight w:val="none"/>
                    </w:rPr>
                  </w:pPr>
                  <w:r>
                    <w:rPr>
                      <w:bCs/>
                      <w:color w:val="auto"/>
                      <w:spacing w:val="-2"/>
                      <w:kern w:val="0"/>
                      <w:szCs w:val="21"/>
                      <w:highlight w:val="none"/>
                    </w:rPr>
                    <w:t>20</w:t>
                  </w:r>
                </w:p>
              </w:tc>
              <w:tc>
                <w:tcPr>
                  <w:tcW w:w="1624" w:type="pct"/>
                  <w:tcBorders>
                    <w:top w:val="single" w:color="auto" w:sz="4" w:space="0"/>
                    <w:left w:val="single" w:color="auto" w:sz="4" w:space="0"/>
                    <w:bottom w:val="single" w:color="auto" w:sz="12" w:space="0"/>
                    <w:right w:val="single" w:color="auto" w:sz="4" w:space="0"/>
                  </w:tcBorders>
                  <w:vAlign w:val="center"/>
                </w:tcPr>
                <w:p w14:paraId="46641006">
                  <w:pPr>
                    <w:spacing w:line="276" w:lineRule="auto"/>
                    <w:jc w:val="center"/>
                    <w:rPr>
                      <w:bCs/>
                      <w:color w:val="auto"/>
                      <w:spacing w:val="-2"/>
                      <w:kern w:val="0"/>
                      <w:szCs w:val="21"/>
                      <w:highlight w:val="none"/>
                    </w:rPr>
                  </w:pPr>
                  <w:r>
                    <w:rPr>
                      <w:rFonts w:hint="eastAsia"/>
                      <w:bCs/>
                      <w:color w:val="auto"/>
                      <w:spacing w:val="-2"/>
                      <w:kern w:val="0"/>
                      <w:szCs w:val="21"/>
                      <w:highlight w:val="none"/>
                    </w:rPr>
                    <w:t>监控点处任意一次浓度值</w:t>
                  </w:r>
                </w:p>
              </w:tc>
              <w:tc>
                <w:tcPr>
                  <w:tcW w:w="1497" w:type="pct"/>
                  <w:vMerge w:val="continue"/>
                  <w:tcBorders>
                    <w:top w:val="single" w:color="auto" w:sz="4" w:space="0"/>
                    <w:left w:val="single" w:color="auto" w:sz="4" w:space="0"/>
                    <w:bottom w:val="single" w:color="auto" w:sz="12" w:space="0"/>
                    <w:right w:val="nil"/>
                  </w:tcBorders>
                  <w:vAlign w:val="center"/>
                </w:tcPr>
                <w:p w14:paraId="7A5B4DD6">
                  <w:pPr>
                    <w:widowControl/>
                    <w:spacing w:line="276" w:lineRule="auto"/>
                    <w:jc w:val="left"/>
                    <w:rPr>
                      <w:bCs/>
                      <w:color w:val="auto"/>
                      <w:spacing w:val="-2"/>
                      <w:kern w:val="0"/>
                      <w:szCs w:val="21"/>
                      <w:highlight w:val="none"/>
                    </w:rPr>
                  </w:pPr>
                </w:p>
              </w:tc>
            </w:tr>
          </w:tbl>
          <w:p w14:paraId="0AB05DAA">
            <w:pPr>
              <w:spacing w:line="360" w:lineRule="auto"/>
              <w:ind w:firstLine="482" w:firstLineChars="200"/>
              <w:rPr>
                <w:b/>
                <w:color w:val="auto"/>
                <w:sz w:val="24"/>
                <w:szCs w:val="24"/>
                <w:highlight w:val="none"/>
              </w:rPr>
            </w:pPr>
            <w:r>
              <w:rPr>
                <w:rFonts w:hint="eastAsia"/>
                <w:b/>
                <w:color w:val="auto"/>
                <w:sz w:val="24"/>
                <w:szCs w:val="24"/>
                <w:highlight w:val="none"/>
              </w:rPr>
              <w:t>2、水污染物</w:t>
            </w:r>
          </w:p>
          <w:p w14:paraId="10D59603">
            <w:pPr>
              <w:widowControl/>
              <w:spacing w:line="360" w:lineRule="auto"/>
              <w:ind w:firstLine="476" w:firstLineChars="200"/>
              <w:rPr>
                <w:rFonts w:hAnsi="宋体"/>
                <w:bCs/>
                <w:color w:val="auto"/>
                <w:spacing w:val="-1"/>
                <w:kern w:val="0"/>
                <w:sz w:val="24"/>
                <w:szCs w:val="24"/>
                <w:highlight w:val="none"/>
              </w:rPr>
            </w:pPr>
            <w:r>
              <w:rPr>
                <w:rFonts w:hint="eastAsia" w:hAnsi="宋体"/>
                <w:bCs/>
                <w:color w:val="auto"/>
                <w:spacing w:val="-1"/>
                <w:kern w:val="0"/>
                <w:sz w:val="24"/>
                <w:szCs w:val="24"/>
                <w:highlight w:val="none"/>
                <w:lang w:val="en-US" w:eastAsia="zh-CN"/>
              </w:rPr>
              <w:t>本次改建项目运营期不新增生产废水及生活污水。现有厂区</w:t>
            </w:r>
            <w:r>
              <w:rPr>
                <w:rFonts w:hint="eastAsia" w:hAnsi="宋体"/>
                <w:bCs/>
                <w:color w:val="auto"/>
                <w:spacing w:val="-1"/>
                <w:kern w:val="0"/>
                <w:sz w:val="24"/>
                <w:szCs w:val="24"/>
                <w:highlight w:val="none"/>
              </w:rPr>
              <w:t>生活污水经厂区化粪池后接入市政污水管网，纳入淮南经济技术开发区污水处理厂，生活污水纳管执行淮南经济技术开发区污水处理厂接管限值。</w:t>
            </w:r>
          </w:p>
          <w:p w14:paraId="2617E495">
            <w:pPr>
              <w:autoSpaceDE w:val="0"/>
              <w:autoSpaceDN w:val="0"/>
              <w:adjustRightInd w:val="0"/>
              <w:snapToGrid w:val="0"/>
              <w:spacing w:line="360" w:lineRule="auto"/>
              <w:jc w:val="center"/>
              <w:rPr>
                <w:rFonts w:eastAsia="黑体"/>
                <w:bCs/>
                <w:color w:val="auto"/>
                <w:kern w:val="0"/>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3-7</w:t>
            </w:r>
            <w:r>
              <w:rPr>
                <w:rFonts w:hint="eastAsia" w:hAnsi="黑体" w:eastAsia="黑体"/>
                <w:color w:val="auto"/>
                <w:sz w:val="24"/>
                <w:szCs w:val="24"/>
                <w:highlight w:val="none"/>
              </w:rPr>
              <w:t xml:space="preserve"> 废水污染物排放标准</w:t>
            </w:r>
            <w:r>
              <w:rPr>
                <w:rFonts w:hAnsi="黑体" w:eastAsia="黑体"/>
                <w:color w:val="auto"/>
                <w:sz w:val="24"/>
                <w:szCs w:val="24"/>
                <w:highlight w:val="none"/>
              </w:rPr>
              <w:t xml:space="preserve">  </w:t>
            </w:r>
            <w:r>
              <w:rPr>
                <w:rFonts w:hint="eastAsia" w:hAnsi="黑体" w:eastAsia="黑体"/>
                <w:color w:val="auto"/>
                <w:sz w:val="24"/>
                <w:szCs w:val="24"/>
                <w:highlight w:val="none"/>
              </w:rPr>
              <w:t>单位：</w:t>
            </w:r>
            <w:r>
              <w:rPr>
                <w:rFonts w:hAnsi="黑体" w:eastAsia="黑体"/>
                <w:color w:val="auto"/>
                <w:sz w:val="24"/>
                <w:szCs w:val="24"/>
                <w:highlight w:val="none"/>
              </w:rPr>
              <w:t>mg/L</w:t>
            </w:r>
            <w:r>
              <w:rPr>
                <w:rFonts w:hint="eastAsia" w:hAnsi="黑体" w:eastAsia="黑体"/>
                <w:color w:val="auto"/>
                <w:sz w:val="24"/>
                <w:szCs w:val="24"/>
                <w:highlight w:val="none"/>
              </w:rPr>
              <w:t>，</w:t>
            </w:r>
            <w:r>
              <w:rPr>
                <w:rFonts w:hAnsi="黑体" w:eastAsia="黑体"/>
                <w:color w:val="auto"/>
                <w:sz w:val="24"/>
                <w:szCs w:val="24"/>
                <w:highlight w:val="none"/>
              </w:rPr>
              <w:t>pH</w:t>
            </w:r>
            <w:r>
              <w:rPr>
                <w:rFonts w:hint="eastAsia" w:hAnsi="黑体" w:eastAsia="黑体"/>
                <w:color w:val="auto"/>
                <w:sz w:val="24"/>
                <w:szCs w:val="24"/>
                <w:highlight w:val="none"/>
              </w:rPr>
              <w:t>无量纲</w:t>
            </w:r>
          </w:p>
          <w:tbl>
            <w:tblPr>
              <w:tblStyle w:val="36"/>
              <w:tblW w:w="495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2387"/>
              <w:gridCol w:w="4467"/>
            </w:tblGrid>
            <w:tr w14:paraId="0D283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12" w:space="0"/>
                    <w:left w:val="nil"/>
                    <w:bottom w:val="single" w:color="auto" w:sz="4" w:space="0"/>
                    <w:right w:val="single" w:color="auto" w:sz="4" w:space="0"/>
                  </w:tcBorders>
                  <w:vAlign w:val="center"/>
                </w:tcPr>
                <w:p w14:paraId="62FBFAAF">
                  <w:pPr>
                    <w:widowControl/>
                    <w:spacing w:line="276" w:lineRule="auto"/>
                    <w:jc w:val="center"/>
                    <w:rPr>
                      <w:b/>
                      <w:bCs/>
                      <w:color w:val="auto"/>
                      <w:kern w:val="0"/>
                      <w:szCs w:val="21"/>
                      <w:highlight w:val="none"/>
                    </w:rPr>
                  </w:pPr>
                  <w:r>
                    <w:rPr>
                      <w:rFonts w:hint="eastAsia"/>
                      <w:b/>
                      <w:bCs/>
                      <w:color w:val="auto"/>
                      <w:kern w:val="0"/>
                      <w:szCs w:val="21"/>
                      <w:highlight w:val="none"/>
                    </w:rPr>
                    <w:t>序号</w:t>
                  </w:r>
                </w:p>
              </w:tc>
              <w:tc>
                <w:tcPr>
                  <w:tcW w:w="1499" w:type="pct"/>
                  <w:tcBorders>
                    <w:top w:val="single" w:color="auto" w:sz="12" w:space="0"/>
                    <w:left w:val="single" w:color="auto" w:sz="4" w:space="0"/>
                    <w:bottom w:val="single" w:color="auto" w:sz="4" w:space="0"/>
                    <w:right w:val="single" w:color="auto" w:sz="4" w:space="0"/>
                  </w:tcBorders>
                  <w:vAlign w:val="center"/>
                </w:tcPr>
                <w:p w14:paraId="359D107D">
                  <w:pPr>
                    <w:widowControl/>
                    <w:spacing w:line="276" w:lineRule="auto"/>
                    <w:jc w:val="center"/>
                    <w:rPr>
                      <w:b/>
                      <w:bCs/>
                      <w:color w:val="auto"/>
                      <w:kern w:val="0"/>
                      <w:szCs w:val="21"/>
                      <w:highlight w:val="none"/>
                    </w:rPr>
                  </w:pPr>
                  <w:r>
                    <w:rPr>
                      <w:rFonts w:hint="eastAsia"/>
                      <w:b/>
                      <w:bCs/>
                      <w:color w:val="auto"/>
                      <w:kern w:val="0"/>
                      <w:szCs w:val="21"/>
                      <w:highlight w:val="none"/>
                    </w:rPr>
                    <w:t>污染物项目</w:t>
                  </w:r>
                </w:p>
              </w:tc>
              <w:tc>
                <w:tcPr>
                  <w:tcW w:w="2805" w:type="pct"/>
                  <w:tcBorders>
                    <w:top w:val="single" w:color="auto" w:sz="12" w:space="0"/>
                    <w:left w:val="single" w:color="auto" w:sz="4" w:space="0"/>
                    <w:bottom w:val="single" w:color="auto" w:sz="4" w:space="0"/>
                    <w:right w:val="nil"/>
                  </w:tcBorders>
                  <w:vAlign w:val="center"/>
                </w:tcPr>
                <w:p w14:paraId="7DA062C8">
                  <w:pPr>
                    <w:widowControl/>
                    <w:spacing w:line="276" w:lineRule="auto"/>
                    <w:jc w:val="center"/>
                    <w:rPr>
                      <w:b/>
                      <w:bCs/>
                      <w:color w:val="auto"/>
                      <w:kern w:val="0"/>
                      <w:szCs w:val="21"/>
                      <w:highlight w:val="none"/>
                    </w:rPr>
                  </w:pPr>
                  <w:r>
                    <w:rPr>
                      <w:rFonts w:hint="eastAsia"/>
                      <w:b/>
                      <w:bCs/>
                      <w:color w:val="auto"/>
                      <w:kern w:val="0"/>
                      <w:szCs w:val="21"/>
                      <w:highlight w:val="none"/>
                    </w:rPr>
                    <w:t>淮南经济技术开发区污水处理厂接管限值</w:t>
                  </w:r>
                </w:p>
              </w:tc>
            </w:tr>
            <w:tr w14:paraId="79EC8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4" w:space="0"/>
                    <w:left w:val="nil"/>
                    <w:bottom w:val="single" w:color="auto" w:sz="4" w:space="0"/>
                    <w:right w:val="single" w:color="auto" w:sz="4" w:space="0"/>
                  </w:tcBorders>
                  <w:vAlign w:val="center"/>
                </w:tcPr>
                <w:p w14:paraId="189589BD">
                  <w:pPr>
                    <w:widowControl/>
                    <w:spacing w:line="276" w:lineRule="auto"/>
                    <w:jc w:val="center"/>
                    <w:rPr>
                      <w:bCs/>
                      <w:color w:val="auto"/>
                      <w:kern w:val="0"/>
                      <w:szCs w:val="21"/>
                      <w:highlight w:val="none"/>
                    </w:rPr>
                  </w:pPr>
                  <w:r>
                    <w:rPr>
                      <w:bCs/>
                      <w:color w:val="auto"/>
                      <w:kern w:val="0"/>
                      <w:szCs w:val="21"/>
                      <w:highlight w:val="none"/>
                    </w:rPr>
                    <w:t>1</w:t>
                  </w:r>
                </w:p>
              </w:tc>
              <w:tc>
                <w:tcPr>
                  <w:tcW w:w="1499" w:type="pct"/>
                  <w:tcBorders>
                    <w:top w:val="single" w:color="auto" w:sz="4" w:space="0"/>
                    <w:left w:val="single" w:color="auto" w:sz="4" w:space="0"/>
                    <w:bottom w:val="single" w:color="auto" w:sz="4" w:space="0"/>
                    <w:right w:val="single" w:color="auto" w:sz="4" w:space="0"/>
                  </w:tcBorders>
                  <w:vAlign w:val="center"/>
                </w:tcPr>
                <w:p w14:paraId="1BE43197">
                  <w:pPr>
                    <w:widowControl/>
                    <w:spacing w:line="276" w:lineRule="auto"/>
                    <w:jc w:val="center"/>
                    <w:rPr>
                      <w:color w:val="auto"/>
                      <w:szCs w:val="21"/>
                      <w:highlight w:val="none"/>
                    </w:rPr>
                  </w:pPr>
                  <w:r>
                    <w:rPr>
                      <w:bCs/>
                      <w:color w:val="auto"/>
                      <w:kern w:val="0"/>
                      <w:szCs w:val="21"/>
                      <w:highlight w:val="none"/>
                    </w:rPr>
                    <w:t>pH</w:t>
                  </w:r>
                  <w:r>
                    <w:rPr>
                      <w:rFonts w:hint="eastAsia"/>
                      <w:bCs/>
                      <w:color w:val="auto"/>
                      <w:kern w:val="0"/>
                      <w:szCs w:val="21"/>
                      <w:highlight w:val="none"/>
                    </w:rPr>
                    <w:t>值</w:t>
                  </w:r>
                </w:p>
              </w:tc>
              <w:tc>
                <w:tcPr>
                  <w:tcW w:w="2805" w:type="pct"/>
                  <w:tcBorders>
                    <w:top w:val="single" w:color="auto" w:sz="4" w:space="0"/>
                    <w:left w:val="single" w:color="auto" w:sz="4" w:space="0"/>
                    <w:bottom w:val="single" w:color="auto" w:sz="4" w:space="0"/>
                    <w:right w:val="nil"/>
                  </w:tcBorders>
                  <w:vAlign w:val="center"/>
                </w:tcPr>
                <w:p w14:paraId="16B3B369">
                  <w:pPr>
                    <w:pStyle w:val="240"/>
                    <w:adjustRightInd/>
                    <w:snapToGrid/>
                    <w:spacing w:line="276" w:lineRule="auto"/>
                    <w:rPr>
                      <w:snapToGrid w:val="0"/>
                      <w:color w:val="auto"/>
                      <w:kern w:val="2"/>
                      <w:sz w:val="21"/>
                      <w:highlight w:val="none"/>
                    </w:rPr>
                  </w:pPr>
                  <w:r>
                    <w:rPr>
                      <w:snapToGrid w:val="0"/>
                      <w:color w:val="auto"/>
                      <w:sz w:val="21"/>
                      <w:highlight w:val="none"/>
                    </w:rPr>
                    <w:t>≤6~9</w:t>
                  </w:r>
                </w:p>
              </w:tc>
            </w:tr>
            <w:tr w14:paraId="0F770D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4" w:space="0"/>
                    <w:left w:val="nil"/>
                    <w:bottom w:val="single" w:color="auto" w:sz="4" w:space="0"/>
                    <w:right w:val="single" w:color="auto" w:sz="4" w:space="0"/>
                  </w:tcBorders>
                  <w:vAlign w:val="center"/>
                </w:tcPr>
                <w:p w14:paraId="5C86C417">
                  <w:pPr>
                    <w:widowControl/>
                    <w:spacing w:line="276" w:lineRule="auto"/>
                    <w:jc w:val="center"/>
                    <w:rPr>
                      <w:bCs/>
                      <w:color w:val="auto"/>
                      <w:kern w:val="0"/>
                      <w:szCs w:val="21"/>
                      <w:highlight w:val="none"/>
                    </w:rPr>
                  </w:pPr>
                  <w:r>
                    <w:rPr>
                      <w:bCs/>
                      <w:color w:val="auto"/>
                      <w:kern w:val="0"/>
                      <w:szCs w:val="21"/>
                      <w:highlight w:val="none"/>
                    </w:rPr>
                    <w:t>2</w:t>
                  </w:r>
                </w:p>
              </w:tc>
              <w:tc>
                <w:tcPr>
                  <w:tcW w:w="1499" w:type="pct"/>
                  <w:tcBorders>
                    <w:top w:val="single" w:color="auto" w:sz="4" w:space="0"/>
                    <w:left w:val="single" w:color="auto" w:sz="4" w:space="0"/>
                    <w:bottom w:val="single" w:color="auto" w:sz="4" w:space="0"/>
                    <w:right w:val="single" w:color="auto" w:sz="4" w:space="0"/>
                  </w:tcBorders>
                  <w:vAlign w:val="center"/>
                </w:tcPr>
                <w:p w14:paraId="13D380BF">
                  <w:pPr>
                    <w:widowControl/>
                    <w:spacing w:line="276" w:lineRule="auto"/>
                    <w:jc w:val="center"/>
                    <w:rPr>
                      <w:bCs/>
                      <w:color w:val="auto"/>
                      <w:kern w:val="0"/>
                      <w:szCs w:val="21"/>
                      <w:highlight w:val="none"/>
                    </w:rPr>
                  </w:pPr>
                  <w:r>
                    <w:rPr>
                      <w:color w:val="auto"/>
                      <w:szCs w:val="21"/>
                      <w:highlight w:val="none"/>
                    </w:rPr>
                    <w:t>COD</w:t>
                  </w:r>
                  <w:r>
                    <w:rPr>
                      <w:color w:val="auto"/>
                      <w:szCs w:val="21"/>
                      <w:highlight w:val="none"/>
                      <w:vertAlign w:val="subscript"/>
                    </w:rPr>
                    <w:t>Cr</w:t>
                  </w:r>
                </w:p>
              </w:tc>
              <w:tc>
                <w:tcPr>
                  <w:tcW w:w="2805" w:type="pct"/>
                  <w:tcBorders>
                    <w:top w:val="single" w:color="auto" w:sz="4" w:space="0"/>
                    <w:left w:val="single" w:color="auto" w:sz="4" w:space="0"/>
                    <w:bottom w:val="single" w:color="auto" w:sz="4" w:space="0"/>
                    <w:right w:val="nil"/>
                  </w:tcBorders>
                  <w:vAlign w:val="center"/>
                </w:tcPr>
                <w:p w14:paraId="69424553">
                  <w:pPr>
                    <w:pStyle w:val="240"/>
                    <w:adjustRightInd/>
                    <w:snapToGrid/>
                    <w:spacing w:line="276" w:lineRule="auto"/>
                    <w:rPr>
                      <w:rFonts w:hint="default" w:eastAsia="宋体"/>
                      <w:snapToGrid w:val="0"/>
                      <w:color w:val="auto"/>
                      <w:sz w:val="21"/>
                      <w:highlight w:val="none"/>
                      <w:lang w:val="en-US" w:eastAsia="zh-CN"/>
                    </w:rPr>
                  </w:pPr>
                  <w:r>
                    <w:rPr>
                      <w:rFonts w:hint="eastAsia"/>
                      <w:snapToGrid w:val="0"/>
                      <w:color w:val="auto"/>
                      <w:sz w:val="21"/>
                      <w:highlight w:val="none"/>
                    </w:rPr>
                    <w:t>3</w:t>
                  </w:r>
                  <w:r>
                    <w:rPr>
                      <w:rFonts w:hint="eastAsia"/>
                      <w:snapToGrid w:val="0"/>
                      <w:color w:val="auto"/>
                      <w:sz w:val="21"/>
                      <w:highlight w:val="none"/>
                      <w:lang w:val="en-US" w:eastAsia="zh-CN"/>
                    </w:rPr>
                    <w:t>80</w:t>
                  </w:r>
                </w:p>
              </w:tc>
            </w:tr>
            <w:tr w14:paraId="24258F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4" w:space="0"/>
                    <w:left w:val="nil"/>
                    <w:bottom w:val="single" w:color="auto" w:sz="4" w:space="0"/>
                    <w:right w:val="single" w:color="auto" w:sz="4" w:space="0"/>
                  </w:tcBorders>
                  <w:vAlign w:val="center"/>
                </w:tcPr>
                <w:p w14:paraId="235616ED">
                  <w:pPr>
                    <w:widowControl/>
                    <w:spacing w:line="276" w:lineRule="auto"/>
                    <w:jc w:val="center"/>
                    <w:rPr>
                      <w:bCs/>
                      <w:color w:val="auto"/>
                      <w:kern w:val="0"/>
                      <w:szCs w:val="21"/>
                      <w:highlight w:val="none"/>
                    </w:rPr>
                  </w:pPr>
                  <w:r>
                    <w:rPr>
                      <w:bCs/>
                      <w:color w:val="auto"/>
                      <w:kern w:val="0"/>
                      <w:szCs w:val="21"/>
                      <w:highlight w:val="none"/>
                    </w:rPr>
                    <w:t>3</w:t>
                  </w:r>
                </w:p>
              </w:tc>
              <w:tc>
                <w:tcPr>
                  <w:tcW w:w="1499" w:type="pct"/>
                  <w:tcBorders>
                    <w:top w:val="single" w:color="auto" w:sz="4" w:space="0"/>
                    <w:left w:val="single" w:color="auto" w:sz="4" w:space="0"/>
                    <w:bottom w:val="single" w:color="auto" w:sz="4" w:space="0"/>
                    <w:right w:val="single" w:color="auto" w:sz="4" w:space="0"/>
                  </w:tcBorders>
                  <w:vAlign w:val="center"/>
                </w:tcPr>
                <w:p w14:paraId="3C98B735">
                  <w:pPr>
                    <w:widowControl/>
                    <w:spacing w:line="276" w:lineRule="auto"/>
                    <w:jc w:val="center"/>
                    <w:rPr>
                      <w:bCs/>
                      <w:color w:val="auto"/>
                      <w:kern w:val="0"/>
                      <w:szCs w:val="21"/>
                      <w:highlight w:val="none"/>
                    </w:rPr>
                  </w:pPr>
                  <w:r>
                    <w:rPr>
                      <w:color w:val="auto"/>
                      <w:szCs w:val="21"/>
                      <w:highlight w:val="none"/>
                    </w:rPr>
                    <w:t>BOD</w:t>
                  </w:r>
                  <w:r>
                    <w:rPr>
                      <w:color w:val="auto"/>
                      <w:szCs w:val="21"/>
                      <w:highlight w:val="none"/>
                      <w:vertAlign w:val="subscript"/>
                    </w:rPr>
                    <w:t>5</w:t>
                  </w:r>
                </w:p>
              </w:tc>
              <w:tc>
                <w:tcPr>
                  <w:tcW w:w="2805" w:type="pct"/>
                  <w:tcBorders>
                    <w:top w:val="single" w:color="auto" w:sz="4" w:space="0"/>
                    <w:left w:val="single" w:color="auto" w:sz="4" w:space="0"/>
                    <w:bottom w:val="single" w:color="auto" w:sz="4" w:space="0"/>
                    <w:right w:val="nil"/>
                  </w:tcBorders>
                  <w:vAlign w:val="center"/>
                </w:tcPr>
                <w:p w14:paraId="51507004">
                  <w:pPr>
                    <w:pStyle w:val="240"/>
                    <w:adjustRightInd/>
                    <w:snapToGrid/>
                    <w:spacing w:line="276" w:lineRule="auto"/>
                    <w:rPr>
                      <w:snapToGrid w:val="0"/>
                      <w:color w:val="auto"/>
                      <w:sz w:val="21"/>
                      <w:highlight w:val="none"/>
                    </w:rPr>
                  </w:pPr>
                  <w:r>
                    <w:rPr>
                      <w:rFonts w:hint="eastAsia"/>
                      <w:snapToGrid w:val="0"/>
                      <w:color w:val="auto"/>
                      <w:sz w:val="21"/>
                      <w:highlight w:val="none"/>
                    </w:rPr>
                    <w:t>80</w:t>
                  </w:r>
                </w:p>
              </w:tc>
            </w:tr>
            <w:tr w14:paraId="3AE144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4" w:space="0"/>
                    <w:left w:val="nil"/>
                    <w:bottom w:val="single" w:color="auto" w:sz="4" w:space="0"/>
                    <w:right w:val="single" w:color="auto" w:sz="4" w:space="0"/>
                  </w:tcBorders>
                  <w:vAlign w:val="center"/>
                </w:tcPr>
                <w:p w14:paraId="1668B556">
                  <w:pPr>
                    <w:widowControl/>
                    <w:spacing w:line="276" w:lineRule="auto"/>
                    <w:jc w:val="center"/>
                    <w:rPr>
                      <w:bCs/>
                      <w:color w:val="auto"/>
                      <w:kern w:val="0"/>
                      <w:szCs w:val="21"/>
                      <w:highlight w:val="none"/>
                    </w:rPr>
                  </w:pPr>
                  <w:r>
                    <w:rPr>
                      <w:bCs/>
                      <w:color w:val="auto"/>
                      <w:kern w:val="0"/>
                      <w:szCs w:val="21"/>
                      <w:highlight w:val="none"/>
                    </w:rPr>
                    <w:t>4</w:t>
                  </w:r>
                </w:p>
              </w:tc>
              <w:tc>
                <w:tcPr>
                  <w:tcW w:w="1499" w:type="pct"/>
                  <w:tcBorders>
                    <w:top w:val="single" w:color="auto" w:sz="4" w:space="0"/>
                    <w:left w:val="single" w:color="auto" w:sz="4" w:space="0"/>
                    <w:bottom w:val="single" w:color="auto" w:sz="4" w:space="0"/>
                    <w:right w:val="single" w:color="auto" w:sz="4" w:space="0"/>
                  </w:tcBorders>
                  <w:vAlign w:val="center"/>
                </w:tcPr>
                <w:p w14:paraId="46195F0B">
                  <w:pPr>
                    <w:widowControl/>
                    <w:spacing w:line="276" w:lineRule="auto"/>
                    <w:jc w:val="center"/>
                    <w:rPr>
                      <w:bCs/>
                      <w:color w:val="auto"/>
                      <w:kern w:val="0"/>
                      <w:szCs w:val="21"/>
                      <w:highlight w:val="none"/>
                    </w:rPr>
                  </w:pPr>
                  <w:r>
                    <w:rPr>
                      <w:color w:val="auto"/>
                      <w:szCs w:val="21"/>
                      <w:highlight w:val="none"/>
                    </w:rPr>
                    <w:t>SS</w:t>
                  </w:r>
                </w:p>
              </w:tc>
              <w:tc>
                <w:tcPr>
                  <w:tcW w:w="2805" w:type="pct"/>
                  <w:tcBorders>
                    <w:top w:val="single" w:color="auto" w:sz="4" w:space="0"/>
                    <w:left w:val="single" w:color="auto" w:sz="4" w:space="0"/>
                    <w:bottom w:val="single" w:color="auto" w:sz="4" w:space="0"/>
                    <w:right w:val="nil"/>
                  </w:tcBorders>
                  <w:vAlign w:val="center"/>
                </w:tcPr>
                <w:p w14:paraId="4F8AF31D">
                  <w:pPr>
                    <w:pStyle w:val="240"/>
                    <w:adjustRightInd/>
                    <w:snapToGrid/>
                    <w:spacing w:line="276" w:lineRule="auto"/>
                    <w:rPr>
                      <w:snapToGrid w:val="0"/>
                      <w:color w:val="auto"/>
                      <w:sz w:val="21"/>
                      <w:highlight w:val="none"/>
                    </w:rPr>
                  </w:pPr>
                  <w:r>
                    <w:rPr>
                      <w:rFonts w:hint="eastAsia"/>
                      <w:snapToGrid w:val="0"/>
                      <w:color w:val="auto"/>
                      <w:sz w:val="21"/>
                      <w:highlight w:val="none"/>
                    </w:rPr>
                    <w:t>200</w:t>
                  </w:r>
                </w:p>
              </w:tc>
            </w:tr>
            <w:tr w14:paraId="55455F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5" w:type="pct"/>
                  <w:tcBorders>
                    <w:top w:val="single" w:color="auto" w:sz="4" w:space="0"/>
                    <w:left w:val="nil"/>
                    <w:bottom w:val="single" w:color="auto" w:sz="12" w:space="0"/>
                    <w:right w:val="single" w:color="auto" w:sz="4" w:space="0"/>
                  </w:tcBorders>
                  <w:vAlign w:val="center"/>
                </w:tcPr>
                <w:p w14:paraId="254A5794">
                  <w:pPr>
                    <w:widowControl/>
                    <w:spacing w:line="276" w:lineRule="auto"/>
                    <w:jc w:val="center"/>
                    <w:rPr>
                      <w:bCs/>
                      <w:color w:val="auto"/>
                      <w:kern w:val="0"/>
                      <w:szCs w:val="21"/>
                      <w:highlight w:val="none"/>
                    </w:rPr>
                  </w:pPr>
                  <w:r>
                    <w:rPr>
                      <w:bCs/>
                      <w:color w:val="auto"/>
                      <w:kern w:val="0"/>
                      <w:szCs w:val="21"/>
                      <w:highlight w:val="none"/>
                    </w:rPr>
                    <w:t>5</w:t>
                  </w:r>
                </w:p>
              </w:tc>
              <w:tc>
                <w:tcPr>
                  <w:tcW w:w="1499" w:type="pct"/>
                  <w:tcBorders>
                    <w:top w:val="single" w:color="auto" w:sz="4" w:space="0"/>
                    <w:left w:val="single" w:color="auto" w:sz="4" w:space="0"/>
                    <w:bottom w:val="single" w:color="auto" w:sz="12" w:space="0"/>
                    <w:right w:val="single" w:color="auto" w:sz="4" w:space="0"/>
                  </w:tcBorders>
                  <w:vAlign w:val="center"/>
                </w:tcPr>
                <w:p w14:paraId="121EB8A8">
                  <w:pPr>
                    <w:widowControl/>
                    <w:spacing w:line="276" w:lineRule="auto"/>
                    <w:jc w:val="center"/>
                    <w:rPr>
                      <w:bCs/>
                      <w:color w:val="auto"/>
                      <w:kern w:val="0"/>
                      <w:szCs w:val="21"/>
                      <w:highlight w:val="none"/>
                    </w:rPr>
                  </w:pPr>
                  <w:r>
                    <w:rPr>
                      <w:color w:val="auto"/>
                      <w:szCs w:val="21"/>
                      <w:highlight w:val="none"/>
                    </w:rPr>
                    <w:t>NH</w:t>
                  </w:r>
                  <w:r>
                    <w:rPr>
                      <w:color w:val="auto"/>
                      <w:szCs w:val="21"/>
                      <w:highlight w:val="none"/>
                      <w:vertAlign w:val="subscript"/>
                    </w:rPr>
                    <w:t>3</w:t>
                  </w:r>
                  <w:r>
                    <w:rPr>
                      <w:color w:val="auto"/>
                      <w:szCs w:val="21"/>
                      <w:highlight w:val="none"/>
                    </w:rPr>
                    <w:t>-N</w:t>
                  </w:r>
                </w:p>
              </w:tc>
              <w:tc>
                <w:tcPr>
                  <w:tcW w:w="2805" w:type="pct"/>
                  <w:tcBorders>
                    <w:top w:val="single" w:color="auto" w:sz="4" w:space="0"/>
                    <w:left w:val="single" w:color="auto" w:sz="4" w:space="0"/>
                    <w:bottom w:val="single" w:color="auto" w:sz="12" w:space="0"/>
                    <w:right w:val="nil"/>
                  </w:tcBorders>
                  <w:vAlign w:val="center"/>
                </w:tcPr>
                <w:p w14:paraId="469541B6">
                  <w:pPr>
                    <w:pStyle w:val="240"/>
                    <w:adjustRightInd/>
                    <w:snapToGrid/>
                    <w:spacing w:line="276" w:lineRule="auto"/>
                    <w:rPr>
                      <w:snapToGrid w:val="0"/>
                      <w:color w:val="auto"/>
                      <w:sz w:val="21"/>
                      <w:highlight w:val="none"/>
                    </w:rPr>
                  </w:pPr>
                  <w:r>
                    <w:rPr>
                      <w:rFonts w:hint="eastAsia"/>
                      <w:snapToGrid w:val="0"/>
                      <w:color w:val="auto"/>
                      <w:sz w:val="21"/>
                      <w:highlight w:val="none"/>
                    </w:rPr>
                    <w:t>35</w:t>
                  </w:r>
                </w:p>
              </w:tc>
            </w:tr>
          </w:tbl>
          <w:p w14:paraId="0F4359DE">
            <w:pPr>
              <w:pStyle w:val="144"/>
              <w:widowControl/>
              <w:spacing w:line="360" w:lineRule="auto"/>
              <w:ind w:firstLine="482"/>
              <w:rPr>
                <w:b/>
                <w:color w:val="auto"/>
                <w:sz w:val="24"/>
                <w:szCs w:val="24"/>
                <w:highlight w:val="none"/>
              </w:rPr>
            </w:pPr>
            <w:r>
              <w:rPr>
                <w:rFonts w:hint="eastAsia"/>
                <w:b/>
                <w:color w:val="auto"/>
                <w:sz w:val="24"/>
                <w:szCs w:val="24"/>
                <w:highlight w:val="none"/>
              </w:rPr>
              <w:t>3、噪声</w:t>
            </w:r>
          </w:p>
          <w:p w14:paraId="11B5E860">
            <w:pPr>
              <w:pStyle w:val="191"/>
              <w:spacing w:line="360" w:lineRule="auto"/>
              <w:ind w:firstLine="480" w:firstLineChars="200"/>
              <w:jc w:val="both"/>
              <w:rPr>
                <w:rFonts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项目施工期噪声执行《建筑施工噪声排放标准》（GB12523-2025）中限值要求</w:t>
            </w:r>
            <w:r>
              <w:rPr>
                <w:rFonts w:hint="eastAsia" w:ascii="Times New Roman" w:hAnsi="Times New Roman" w:eastAsia="宋体" w:cs="Times New Roman"/>
                <w:color w:val="auto"/>
                <w:sz w:val="24"/>
                <w:szCs w:val="24"/>
                <w:highlight w:val="none"/>
                <w:lang w:eastAsia="zh-CN"/>
              </w:rPr>
              <w:t>；</w:t>
            </w:r>
            <w:r>
              <w:rPr>
                <w:rFonts w:ascii="Times New Roman" w:hAnsi="宋体" w:eastAsia="宋体" w:cs="Times New Roman"/>
                <w:color w:val="auto"/>
                <w:sz w:val="24"/>
                <w:highlight w:val="none"/>
                <w:lang w:eastAsia="zh-CN"/>
              </w:rPr>
              <w:t>项目</w:t>
            </w:r>
            <w:r>
              <w:rPr>
                <w:rFonts w:ascii="Times New Roman" w:eastAsia="宋体" w:cs="Times New Roman"/>
                <w:color w:val="auto"/>
                <w:sz w:val="24"/>
                <w:highlight w:val="none"/>
                <w:lang w:eastAsia="zh-CN"/>
              </w:rPr>
              <w:t>运营期</w:t>
            </w:r>
            <w:r>
              <w:rPr>
                <w:rFonts w:ascii="Times New Roman" w:hAnsi="宋体" w:eastAsia="宋体" w:cs="Times New Roman"/>
                <w:color w:val="auto"/>
                <w:sz w:val="24"/>
                <w:highlight w:val="none"/>
                <w:lang w:eastAsia="zh-CN"/>
              </w:rPr>
              <w:t>厂界噪声执行《工业企业厂界环境噪声排放标准》（</w:t>
            </w:r>
            <w:r>
              <w:rPr>
                <w:rFonts w:ascii="Times New Roman" w:hAnsi="Times New Roman" w:cs="Times New Roman"/>
                <w:color w:val="auto"/>
                <w:sz w:val="24"/>
                <w:highlight w:val="none"/>
                <w:lang w:eastAsia="zh-CN"/>
              </w:rPr>
              <w:t>GB12348-2008</w:t>
            </w:r>
            <w:r>
              <w:rPr>
                <w:rFonts w:ascii="Times New Roman" w:hAnsi="Times New Roman" w:eastAsia="宋体" w:cs="Times New Roman"/>
                <w:color w:val="auto"/>
                <w:sz w:val="24"/>
                <w:highlight w:val="none"/>
                <w:lang w:eastAsia="zh-CN"/>
              </w:rPr>
              <w:t>）</w:t>
            </w:r>
            <w:r>
              <w:rPr>
                <w:rFonts w:ascii="Times New Roman" w:hAnsi="宋体" w:eastAsia="宋体" w:cs="Times New Roman"/>
                <w:color w:val="auto"/>
                <w:sz w:val="24"/>
                <w:highlight w:val="none"/>
                <w:lang w:eastAsia="zh-CN"/>
              </w:rPr>
              <w:t>中</w:t>
            </w:r>
            <w:r>
              <w:rPr>
                <w:rFonts w:hint="eastAsia" w:ascii="Times New Roman" w:hAnsi="Times New Roman" w:eastAsia="宋体" w:cs="Times New Roman"/>
                <w:color w:val="auto"/>
                <w:sz w:val="24"/>
                <w:highlight w:val="none"/>
                <w:lang w:eastAsia="zh-CN"/>
              </w:rPr>
              <w:t>3</w:t>
            </w:r>
            <w:r>
              <w:rPr>
                <w:rFonts w:ascii="Times New Roman" w:hAnsi="宋体" w:eastAsia="宋体" w:cs="Times New Roman"/>
                <w:color w:val="auto"/>
                <w:sz w:val="24"/>
                <w:highlight w:val="none"/>
                <w:lang w:eastAsia="zh-CN"/>
              </w:rPr>
              <w:t>类标准。</w:t>
            </w:r>
            <w:r>
              <w:rPr>
                <w:rFonts w:ascii="Times New Roman" w:hAnsi="宋体" w:eastAsia="宋体" w:cs="Times New Roman"/>
                <w:color w:val="auto"/>
                <w:sz w:val="24"/>
                <w:szCs w:val="24"/>
                <w:highlight w:val="none"/>
                <w:lang w:eastAsia="zh-CN"/>
              </w:rPr>
              <w:t>具体详见下表。</w:t>
            </w:r>
          </w:p>
          <w:p w14:paraId="46E7C0C2">
            <w:pPr>
              <w:keepNext w:val="0"/>
              <w:keepLines w:val="0"/>
              <w:suppressLineNumbers w:val="0"/>
              <w:spacing w:before="0" w:beforeAutospacing="0" w:after="0" w:afterAutospacing="0" w:line="360" w:lineRule="auto"/>
              <w:ind w:left="0" w:right="0"/>
              <w:jc w:val="center"/>
              <w:rPr>
                <w:rFonts w:hint="default" w:hAnsi="黑体" w:eastAsia="黑体"/>
                <w:bCs/>
                <w:color w:val="auto"/>
                <w:kern w:val="0"/>
                <w:sz w:val="24"/>
                <w:szCs w:val="24"/>
                <w:highlight w:val="none"/>
              </w:rPr>
            </w:pPr>
            <w:r>
              <w:rPr>
                <w:rFonts w:hint="default" w:hAnsi="黑体" w:eastAsia="黑体"/>
                <w:bCs/>
                <w:color w:val="auto"/>
                <w:kern w:val="0"/>
                <w:sz w:val="24"/>
                <w:szCs w:val="24"/>
                <w:highlight w:val="none"/>
              </w:rPr>
              <w:t>表</w:t>
            </w:r>
            <w:r>
              <w:rPr>
                <w:rFonts w:hint="eastAsia" w:hAnsi="黑体" w:eastAsia="黑体"/>
                <w:bCs/>
                <w:color w:val="auto"/>
                <w:kern w:val="0"/>
                <w:sz w:val="24"/>
                <w:szCs w:val="24"/>
                <w:highlight w:val="none"/>
              </w:rPr>
              <w:t>3-</w:t>
            </w:r>
            <w:r>
              <w:rPr>
                <w:rFonts w:hint="eastAsia" w:hAnsi="黑体" w:eastAsia="黑体"/>
                <w:bCs/>
                <w:color w:val="auto"/>
                <w:kern w:val="0"/>
                <w:sz w:val="24"/>
                <w:szCs w:val="24"/>
                <w:highlight w:val="none"/>
                <w:lang w:val="en-US" w:eastAsia="zh-CN"/>
              </w:rPr>
              <w:t>8</w:t>
            </w:r>
            <w:r>
              <w:rPr>
                <w:rFonts w:hint="eastAsia" w:hAnsi="黑体" w:eastAsia="黑体"/>
                <w:bCs/>
                <w:color w:val="auto"/>
                <w:kern w:val="0"/>
                <w:sz w:val="24"/>
                <w:szCs w:val="24"/>
                <w:highlight w:val="none"/>
              </w:rPr>
              <w:t xml:space="preserve"> </w:t>
            </w:r>
            <w:r>
              <w:rPr>
                <w:rFonts w:hint="default" w:hAnsi="黑体" w:eastAsia="黑体"/>
                <w:bCs/>
                <w:color w:val="auto"/>
                <w:kern w:val="0"/>
                <w:sz w:val="24"/>
                <w:szCs w:val="24"/>
                <w:highlight w:val="none"/>
              </w:rPr>
              <w:t>施工期场界环境噪声排放标准限值</w:t>
            </w:r>
            <w:r>
              <w:rPr>
                <w:rFonts w:hint="eastAsia" w:hAnsi="黑体" w:eastAsia="黑体"/>
                <w:bCs/>
                <w:color w:val="auto"/>
                <w:kern w:val="0"/>
                <w:sz w:val="24"/>
                <w:szCs w:val="24"/>
                <w:highlight w:val="none"/>
              </w:rPr>
              <w:t xml:space="preserve">  </w:t>
            </w:r>
            <w:r>
              <w:rPr>
                <w:rFonts w:hint="default" w:hAnsi="黑体" w:eastAsia="黑体"/>
                <w:bCs/>
                <w:color w:val="auto"/>
                <w:kern w:val="0"/>
                <w:sz w:val="24"/>
                <w:szCs w:val="24"/>
                <w:highlight w:val="none"/>
              </w:rPr>
              <w:t>单位：dB（A）</w:t>
            </w:r>
          </w:p>
          <w:tbl>
            <w:tblPr>
              <w:tblStyle w:val="36"/>
              <w:tblW w:w="778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601"/>
              <w:gridCol w:w="1950"/>
              <w:gridCol w:w="2235"/>
            </w:tblGrid>
            <w:tr w14:paraId="083AE4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601" w:type="dxa"/>
                  <w:noWrap w:val="0"/>
                  <w:vAlign w:val="top"/>
                </w:tcPr>
                <w:p w14:paraId="758EA6BD">
                  <w:pPr>
                    <w:pStyle w:val="67"/>
                    <w:keepNext w:val="0"/>
                    <w:keepLines w:val="0"/>
                    <w:suppressLineNumbers w:val="0"/>
                    <w:spacing w:before="0" w:beforeAutospacing="0" w:after="0" w:afterAutospacing="0" w:line="276" w:lineRule="auto"/>
                    <w:ind w:left="0" w:right="0"/>
                    <w:rPr>
                      <w:rFonts w:hint="default" w:eastAsia="宋体"/>
                      <w:b/>
                      <w:color w:val="auto"/>
                      <w:kern w:val="2"/>
                      <w:sz w:val="21"/>
                      <w:szCs w:val="21"/>
                      <w:highlight w:val="none"/>
                    </w:rPr>
                  </w:pPr>
                  <w:r>
                    <w:rPr>
                      <w:rFonts w:hint="default" w:eastAsia="宋体"/>
                      <w:b/>
                      <w:color w:val="auto"/>
                      <w:kern w:val="2"/>
                      <w:sz w:val="21"/>
                      <w:szCs w:val="21"/>
                      <w:highlight w:val="none"/>
                    </w:rPr>
                    <w:t>标准</w:t>
                  </w:r>
                </w:p>
              </w:tc>
              <w:tc>
                <w:tcPr>
                  <w:tcW w:w="1950" w:type="dxa"/>
                  <w:noWrap w:val="0"/>
                  <w:vAlign w:val="center"/>
                </w:tcPr>
                <w:p w14:paraId="5F352BA4">
                  <w:pPr>
                    <w:pStyle w:val="67"/>
                    <w:keepNext w:val="0"/>
                    <w:keepLines w:val="0"/>
                    <w:suppressLineNumbers w:val="0"/>
                    <w:spacing w:before="0" w:beforeAutospacing="0" w:after="0" w:afterAutospacing="0" w:line="276" w:lineRule="auto"/>
                    <w:ind w:left="0" w:right="0"/>
                    <w:rPr>
                      <w:rFonts w:hint="default" w:eastAsia="宋体"/>
                      <w:b/>
                      <w:color w:val="auto"/>
                      <w:kern w:val="2"/>
                      <w:sz w:val="21"/>
                      <w:szCs w:val="21"/>
                      <w:highlight w:val="none"/>
                    </w:rPr>
                  </w:pPr>
                  <w:r>
                    <w:rPr>
                      <w:rFonts w:hint="default" w:hAnsi="Calibri" w:eastAsia="宋体"/>
                      <w:b/>
                      <w:color w:val="auto"/>
                      <w:kern w:val="2"/>
                      <w:sz w:val="21"/>
                      <w:szCs w:val="21"/>
                      <w:highlight w:val="none"/>
                    </w:rPr>
                    <w:t>昼间</w:t>
                  </w:r>
                </w:p>
              </w:tc>
              <w:tc>
                <w:tcPr>
                  <w:tcW w:w="2235" w:type="dxa"/>
                  <w:noWrap w:val="0"/>
                  <w:vAlign w:val="center"/>
                </w:tcPr>
                <w:p w14:paraId="198231AF">
                  <w:pPr>
                    <w:pStyle w:val="67"/>
                    <w:keepNext w:val="0"/>
                    <w:keepLines w:val="0"/>
                    <w:suppressLineNumbers w:val="0"/>
                    <w:spacing w:before="0" w:beforeAutospacing="0" w:after="0" w:afterAutospacing="0" w:line="276" w:lineRule="auto"/>
                    <w:ind w:left="0" w:right="0"/>
                    <w:rPr>
                      <w:rFonts w:hint="default" w:eastAsia="宋体"/>
                      <w:b/>
                      <w:color w:val="auto"/>
                      <w:kern w:val="2"/>
                      <w:sz w:val="21"/>
                      <w:szCs w:val="21"/>
                      <w:highlight w:val="none"/>
                    </w:rPr>
                  </w:pPr>
                  <w:r>
                    <w:rPr>
                      <w:rFonts w:hint="default" w:hAnsi="Calibri" w:eastAsia="宋体"/>
                      <w:b/>
                      <w:color w:val="auto"/>
                      <w:kern w:val="2"/>
                      <w:sz w:val="21"/>
                      <w:szCs w:val="21"/>
                      <w:highlight w:val="none"/>
                    </w:rPr>
                    <w:t>夜间</w:t>
                  </w:r>
                </w:p>
              </w:tc>
            </w:tr>
            <w:tr w14:paraId="11A78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601" w:type="dxa"/>
                  <w:noWrap w:val="0"/>
                  <w:vAlign w:val="top"/>
                </w:tcPr>
                <w:p w14:paraId="20F8CABE">
                  <w:pPr>
                    <w:pStyle w:val="67"/>
                    <w:keepNext w:val="0"/>
                    <w:keepLines w:val="0"/>
                    <w:suppressLineNumbers w:val="0"/>
                    <w:spacing w:before="0" w:beforeAutospacing="0" w:after="0" w:afterAutospacing="0" w:line="276" w:lineRule="auto"/>
                    <w:ind w:left="0" w:right="0"/>
                    <w:rPr>
                      <w:rFonts w:hint="default" w:eastAsia="宋体"/>
                      <w:color w:val="auto"/>
                      <w:kern w:val="2"/>
                      <w:sz w:val="21"/>
                      <w:szCs w:val="21"/>
                      <w:highlight w:val="none"/>
                    </w:rPr>
                  </w:pPr>
                  <w:r>
                    <w:rPr>
                      <w:rFonts w:hint="eastAsia" w:hAnsi="宋体" w:eastAsia="宋体"/>
                      <w:color w:val="auto"/>
                      <w:kern w:val="2"/>
                      <w:sz w:val="21"/>
                      <w:szCs w:val="21"/>
                      <w:highlight w:val="none"/>
                    </w:rPr>
                    <w:t>（GB12523-2025）</w:t>
                  </w:r>
                </w:p>
              </w:tc>
              <w:tc>
                <w:tcPr>
                  <w:tcW w:w="1950" w:type="dxa"/>
                  <w:noWrap w:val="0"/>
                  <w:vAlign w:val="center"/>
                </w:tcPr>
                <w:p w14:paraId="7A8E1D97">
                  <w:pPr>
                    <w:pStyle w:val="67"/>
                    <w:keepNext w:val="0"/>
                    <w:keepLines w:val="0"/>
                    <w:suppressLineNumbers w:val="0"/>
                    <w:spacing w:before="0" w:beforeAutospacing="0" w:after="0" w:afterAutospacing="0" w:line="276" w:lineRule="auto"/>
                    <w:ind w:left="0" w:right="0"/>
                    <w:rPr>
                      <w:rFonts w:hint="default" w:eastAsia="宋体"/>
                      <w:color w:val="auto"/>
                      <w:kern w:val="2"/>
                      <w:sz w:val="21"/>
                      <w:szCs w:val="21"/>
                      <w:highlight w:val="none"/>
                    </w:rPr>
                  </w:pPr>
                  <w:r>
                    <w:rPr>
                      <w:rFonts w:hint="default" w:eastAsia="宋体"/>
                      <w:color w:val="auto"/>
                      <w:kern w:val="2"/>
                      <w:sz w:val="21"/>
                      <w:szCs w:val="21"/>
                      <w:highlight w:val="none"/>
                    </w:rPr>
                    <w:t>70</w:t>
                  </w:r>
                </w:p>
              </w:tc>
              <w:tc>
                <w:tcPr>
                  <w:tcW w:w="2235" w:type="dxa"/>
                  <w:noWrap w:val="0"/>
                  <w:vAlign w:val="center"/>
                </w:tcPr>
                <w:p w14:paraId="4A34E7BA">
                  <w:pPr>
                    <w:pStyle w:val="67"/>
                    <w:keepNext w:val="0"/>
                    <w:keepLines w:val="0"/>
                    <w:suppressLineNumbers w:val="0"/>
                    <w:spacing w:before="0" w:beforeAutospacing="0" w:after="0" w:afterAutospacing="0" w:line="276" w:lineRule="auto"/>
                    <w:ind w:left="0" w:right="0"/>
                    <w:rPr>
                      <w:rFonts w:hint="default" w:eastAsia="宋体"/>
                      <w:color w:val="auto"/>
                      <w:kern w:val="2"/>
                      <w:sz w:val="21"/>
                      <w:szCs w:val="21"/>
                      <w:highlight w:val="none"/>
                    </w:rPr>
                  </w:pPr>
                  <w:r>
                    <w:rPr>
                      <w:rFonts w:hint="default" w:eastAsia="宋体"/>
                      <w:color w:val="auto"/>
                      <w:kern w:val="2"/>
                      <w:sz w:val="21"/>
                      <w:szCs w:val="21"/>
                      <w:highlight w:val="none"/>
                    </w:rPr>
                    <w:t>55</w:t>
                  </w:r>
                </w:p>
              </w:tc>
            </w:tr>
          </w:tbl>
          <w:p w14:paraId="7A1F7D57">
            <w:pPr>
              <w:keepNext w:val="0"/>
              <w:keepLines w:val="0"/>
              <w:suppressLineNumbers w:val="0"/>
              <w:spacing w:before="0" w:beforeAutospacing="0" w:after="0" w:afterAutospacing="0" w:line="360" w:lineRule="auto"/>
              <w:ind w:left="0" w:right="0"/>
              <w:jc w:val="center"/>
              <w:rPr>
                <w:rFonts w:hint="default" w:eastAsia="黑体"/>
                <w:color w:val="auto"/>
                <w:sz w:val="24"/>
                <w:szCs w:val="24"/>
                <w:highlight w:val="none"/>
              </w:rPr>
            </w:pPr>
            <w:r>
              <w:rPr>
                <w:rFonts w:hint="default" w:hAnsi="黑体" w:eastAsia="黑体"/>
                <w:color w:val="auto"/>
                <w:sz w:val="24"/>
                <w:szCs w:val="24"/>
                <w:highlight w:val="none"/>
              </w:rPr>
              <w:t>表</w:t>
            </w:r>
            <w:r>
              <w:rPr>
                <w:rFonts w:hint="eastAsia" w:hAnsi="黑体" w:eastAsia="黑体"/>
                <w:color w:val="auto"/>
                <w:sz w:val="24"/>
                <w:szCs w:val="24"/>
                <w:highlight w:val="none"/>
                <w:lang w:val="en-US" w:eastAsia="zh-CN"/>
              </w:rPr>
              <w:t xml:space="preserve">3-9 </w:t>
            </w:r>
            <w:r>
              <w:rPr>
                <w:rFonts w:hint="default" w:hAnsi="黑体" w:eastAsia="黑体"/>
                <w:color w:val="auto"/>
                <w:sz w:val="24"/>
                <w:szCs w:val="24"/>
                <w:highlight w:val="none"/>
              </w:rPr>
              <w:t>工业企业厂界环境噪声排放标准 单位：dB(A</w:t>
            </w:r>
            <w:r>
              <w:rPr>
                <w:rFonts w:hint="default" w:eastAsia="黑体"/>
                <w:color w:val="auto"/>
                <w:sz w:val="24"/>
                <w:szCs w:val="24"/>
                <w:highlight w:val="none"/>
              </w:rPr>
              <w:t>)</w:t>
            </w:r>
          </w:p>
          <w:tbl>
            <w:tblPr>
              <w:tblStyle w:val="36"/>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732"/>
              <w:gridCol w:w="1973"/>
              <w:gridCol w:w="2330"/>
            </w:tblGrid>
            <w:tr w14:paraId="614E1B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2322" w:type="pct"/>
                  <w:vAlign w:val="center"/>
                </w:tcPr>
                <w:p w14:paraId="25F43691">
                  <w:pPr>
                    <w:keepNext w:val="0"/>
                    <w:keepLines w:val="0"/>
                    <w:widowControl/>
                    <w:suppressLineNumbers w:val="0"/>
                    <w:spacing w:before="0" w:beforeAutospacing="0" w:after="0" w:afterAutospacing="0" w:line="276" w:lineRule="auto"/>
                    <w:ind w:left="0" w:right="0"/>
                    <w:jc w:val="center"/>
                    <w:rPr>
                      <w:rFonts w:hint="default"/>
                      <w:b/>
                      <w:color w:val="auto"/>
                      <w:kern w:val="0"/>
                      <w:szCs w:val="21"/>
                      <w:highlight w:val="none"/>
                    </w:rPr>
                  </w:pPr>
                  <w:r>
                    <w:rPr>
                      <w:rFonts w:hint="default"/>
                      <w:b/>
                      <w:color w:val="auto"/>
                      <w:kern w:val="0"/>
                      <w:szCs w:val="21"/>
                      <w:highlight w:val="none"/>
                    </w:rPr>
                    <w:t>标准</w:t>
                  </w:r>
                </w:p>
              </w:tc>
              <w:tc>
                <w:tcPr>
                  <w:tcW w:w="1227" w:type="pct"/>
                  <w:vAlign w:val="center"/>
                </w:tcPr>
                <w:p w14:paraId="6926D18E">
                  <w:pPr>
                    <w:keepNext w:val="0"/>
                    <w:keepLines w:val="0"/>
                    <w:widowControl/>
                    <w:suppressLineNumbers w:val="0"/>
                    <w:spacing w:before="0" w:beforeAutospacing="0" w:after="0" w:afterAutospacing="0" w:line="276" w:lineRule="auto"/>
                    <w:ind w:left="0" w:right="0"/>
                    <w:jc w:val="center"/>
                    <w:rPr>
                      <w:rFonts w:hint="default"/>
                      <w:b/>
                      <w:color w:val="auto"/>
                      <w:kern w:val="0"/>
                      <w:szCs w:val="21"/>
                      <w:highlight w:val="none"/>
                    </w:rPr>
                  </w:pPr>
                  <w:r>
                    <w:rPr>
                      <w:rFonts w:hint="default"/>
                      <w:b/>
                      <w:color w:val="auto"/>
                      <w:kern w:val="0"/>
                      <w:szCs w:val="21"/>
                      <w:highlight w:val="none"/>
                    </w:rPr>
                    <w:t>昼间</w:t>
                  </w:r>
                </w:p>
              </w:tc>
              <w:tc>
                <w:tcPr>
                  <w:tcW w:w="1449" w:type="pct"/>
                  <w:vAlign w:val="center"/>
                </w:tcPr>
                <w:p w14:paraId="72821A96">
                  <w:pPr>
                    <w:keepNext w:val="0"/>
                    <w:keepLines w:val="0"/>
                    <w:widowControl/>
                    <w:suppressLineNumbers w:val="0"/>
                    <w:spacing w:before="0" w:beforeAutospacing="0" w:after="0" w:afterAutospacing="0" w:line="276" w:lineRule="auto"/>
                    <w:ind w:left="0" w:right="0"/>
                    <w:jc w:val="center"/>
                    <w:rPr>
                      <w:rFonts w:hint="default"/>
                      <w:b/>
                      <w:color w:val="auto"/>
                      <w:kern w:val="0"/>
                      <w:szCs w:val="21"/>
                      <w:highlight w:val="none"/>
                    </w:rPr>
                  </w:pPr>
                  <w:r>
                    <w:rPr>
                      <w:rFonts w:hint="default"/>
                      <w:b/>
                      <w:color w:val="auto"/>
                      <w:kern w:val="0"/>
                      <w:szCs w:val="21"/>
                      <w:highlight w:val="none"/>
                    </w:rPr>
                    <w:t>夜间</w:t>
                  </w:r>
                </w:p>
              </w:tc>
            </w:tr>
            <w:tr w14:paraId="6046FB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2322" w:type="pct"/>
                  <w:shd w:val="clear" w:color="auto" w:fill="auto"/>
                  <w:vAlign w:val="center"/>
                </w:tcPr>
                <w:p w14:paraId="64BDD275">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hAnsi="宋体"/>
                      <w:color w:val="auto"/>
                      <w:szCs w:val="21"/>
                      <w:highlight w:val="none"/>
                    </w:rPr>
                    <w:t>（</w:t>
                  </w:r>
                  <w:r>
                    <w:rPr>
                      <w:rFonts w:hint="default"/>
                      <w:color w:val="auto"/>
                      <w:szCs w:val="21"/>
                      <w:highlight w:val="none"/>
                    </w:rPr>
                    <w:t>GB12348-2008）中</w:t>
                  </w:r>
                  <w:r>
                    <w:rPr>
                      <w:rFonts w:hint="eastAsia"/>
                      <w:color w:val="auto"/>
                      <w:kern w:val="0"/>
                      <w:szCs w:val="21"/>
                      <w:highlight w:val="none"/>
                      <w:lang w:val="en-US" w:eastAsia="zh-CN"/>
                    </w:rPr>
                    <w:t>3</w:t>
                  </w:r>
                  <w:r>
                    <w:rPr>
                      <w:rFonts w:hint="default"/>
                      <w:color w:val="auto"/>
                      <w:kern w:val="0"/>
                      <w:szCs w:val="21"/>
                      <w:highlight w:val="none"/>
                    </w:rPr>
                    <w:t>类标准</w:t>
                  </w:r>
                </w:p>
              </w:tc>
              <w:tc>
                <w:tcPr>
                  <w:tcW w:w="1227" w:type="pct"/>
                  <w:shd w:val="clear" w:color="auto" w:fill="auto"/>
                  <w:vAlign w:val="center"/>
                </w:tcPr>
                <w:p w14:paraId="5BE7EA80">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lang w:val="en-US" w:eastAsia="zh-CN"/>
                    </w:rPr>
                    <w:t>65</w:t>
                  </w:r>
                </w:p>
              </w:tc>
              <w:tc>
                <w:tcPr>
                  <w:tcW w:w="1449" w:type="pct"/>
                  <w:shd w:val="clear" w:color="auto" w:fill="auto"/>
                  <w:vAlign w:val="center"/>
                </w:tcPr>
                <w:p w14:paraId="1F02EF14">
                  <w:pPr>
                    <w:keepNext w:val="0"/>
                    <w:keepLines w:val="0"/>
                    <w:widowControl/>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Cs w:val="21"/>
                      <w:highlight w:val="none"/>
                      <w:lang w:val="en-US" w:eastAsia="zh-CN"/>
                    </w:rPr>
                    <w:t>55</w:t>
                  </w:r>
                </w:p>
              </w:tc>
            </w:tr>
          </w:tbl>
          <w:p w14:paraId="6AF57DBC">
            <w:pPr>
              <w:widowControl/>
              <w:spacing w:line="360" w:lineRule="auto"/>
              <w:ind w:firstLine="482" w:firstLineChars="200"/>
              <w:rPr>
                <w:b/>
                <w:bCs/>
                <w:color w:val="auto"/>
                <w:kern w:val="0"/>
                <w:sz w:val="24"/>
                <w:szCs w:val="24"/>
                <w:highlight w:val="none"/>
              </w:rPr>
            </w:pPr>
            <w:r>
              <w:rPr>
                <w:rFonts w:hint="eastAsia"/>
                <w:b/>
                <w:bCs/>
                <w:color w:val="auto"/>
                <w:kern w:val="0"/>
                <w:sz w:val="24"/>
                <w:szCs w:val="24"/>
                <w:highlight w:val="none"/>
              </w:rPr>
              <w:t>4</w:t>
            </w:r>
            <w:r>
              <w:rPr>
                <w:b/>
                <w:bCs/>
                <w:color w:val="auto"/>
                <w:kern w:val="0"/>
                <w:sz w:val="24"/>
                <w:szCs w:val="24"/>
                <w:highlight w:val="none"/>
              </w:rPr>
              <w:t>、固体废物</w:t>
            </w:r>
          </w:p>
          <w:p w14:paraId="1932934C">
            <w:pPr>
              <w:spacing w:line="360" w:lineRule="auto"/>
              <w:ind w:firstLine="480" w:firstLineChars="200"/>
              <w:rPr>
                <w:bCs/>
                <w:color w:val="auto"/>
                <w:kern w:val="0"/>
                <w:sz w:val="24"/>
                <w:szCs w:val="24"/>
                <w:highlight w:val="none"/>
              </w:rPr>
            </w:pPr>
            <w:r>
              <w:rPr>
                <w:rFonts w:hint="eastAsia"/>
                <w:snapToGrid w:val="0"/>
                <w:color w:val="auto"/>
                <w:kern w:val="0"/>
                <w:sz w:val="24"/>
                <w:highlight w:val="none"/>
              </w:rPr>
              <w:t>按照《中华人民共和国</w:t>
            </w:r>
            <w:r>
              <w:rPr>
                <w:rFonts w:hint="eastAsia"/>
                <w:snapToGrid w:val="0"/>
                <w:color w:val="auto"/>
                <w:kern w:val="0"/>
                <w:sz w:val="24"/>
                <w:highlight w:val="none"/>
                <w:lang w:val="en-US" w:eastAsia="zh-CN"/>
              </w:rPr>
              <w:t>生态环境法典</w:t>
            </w:r>
            <w:r>
              <w:rPr>
                <w:rFonts w:hint="eastAsia"/>
                <w:snapToGrid w:val="0"/>
                <w:color w:val="auto"/>
                <w:kern w:val="0"/>
                <w:sz w:val="24"/>
                <w:highlight w:val="none"/>
              </w:rPr>
              <w:t>》的要求，固体废物要妥善处置，不得形成二次污染。</w:t>
            </w:r>
          </w:p>
          <w:p w14:paraId="51D20B16">
            <w:pPr>
              <w:spacing w:line="360" w:lineRule="auto"/>
              <w:rPr>
                <w:snapToGrid w:val="0"/>
                <w:color w:val="auto"/>
                <w:kern w:val="0"/>
                <w:sz w:val="24"/>
                <w:highlight w:val="none"/>
              </w:rPr>
            </w:pPr>
          </w:p>
          <w:p w14:paraId="6C464590">
            <w:pPr>
              <w:spacing w:line="360" w:lineRule="auto"/>
              <w:rPr>
                <w:snapToGrid w:val="0"/>
                <w:color w:val="auto"/>
                <w:kern w:val="0"/>
                <w:sz w:val="24"/>
                <w:highlight w:val="none"/>
              </w:rPr>
            </w:pPr>
          </w:p>
          <w:p w14:paraId="7A4DC3F7">
            <w:pPr>
              <w:spacing w:line="360" w:lineRule="auto"/>
              <w:rPr>
                <w:snapToGrid w:val="0"/>
                <w:color w:val="auto"/>
                <w:kern w:val="0"/>
                <w:sz w:val="24"/>
                <w:highlight w:val="none"/>
              </w:rPr>
            </w:pPr>
          </w:p>
          <w:p w14:paraId="4DA7847D">
            <w:pPr>
              <w:spacing w:line="360" w:lineRule="auto"/>
              <w:rPr>
                <w:snapToGrid w:val="0"/>
                <w:color w:val="auto"/>
                <w:kern w:val="0"/>
                <w:sz w:val="24"/>
                <w:highlight w:val="none"/>
              </w:rPr>
            </w:pPr>
          </w:p>
          <w:p w14:paraId="24A31EA1">
            <w:pPr>
              <w:pStyle w:val="144"/>
              <w:widowControl/>
              <w:spacing w:line="360" w:lineRule="auto"/>
              <w:ind w:firstLine="0" w:firstLineChars="0"/>
              <w:rPr>
                <w:color w:val="auto"/>
                <w:highlight w:val="none"/>
              </w:rPr>
            </w:pPr>
          </w:p>
          <w:p w14:paraId="4EE5B008">
            <w:pPr>
              <w:pStyle w:val="144"/>
              <w:widowControl/>
              <w:spacing w:line="360" w:lineRule="auto"/>
              <w:ind w:firstLine="0" w:firstLineChars="0"/>
              <w:rPr>
                <w:color w:val="auto"/>
                <w:highlight w:val="none"/>
              </w:rPr>
            </w:pPr>
          </w:p>
          <w:p w14:paraId="5D65A3A1">
            <w:pPr>
              <w:pStyle w:val="144"/>
              <w:widowControl/>
              <w:spacing w:line="360" w:lineRule="auto"/>
              <w:ind w:firstLine="0" w:firstLineChars="0"/>
              <w:rPr>
                <w:color w:val="auto"/>
                <w:highlight w:val="none"/>
              </w:rPr>
            </w:pPr>
          </w:p>
          <w:p w14:paraId="4C34884A">
            <w:pPr>
              <w:pStyle w:val="144"/>
              <w:widowControl/>
              <w:spacing w:line="360" w:lineRule="auto"/>
              <w:ind w:firstLine="0" w:firstLineChars="0"/>
              <w:rPr>
                <w:color w:val="auto"/>
                <w:highlight w:val="none"/>
              </w:rPr>
            </w:pPr>
          </w:p>
          <w:p w14:paraId="425E1D0F">
            <w:pPr>
              <w:pStyle w:val="144"/>
              <w:widowControl/>
              <w:spacing w:line="360" w:lineRule="auto"/>
              <w:ind w:firstLine="0" w:firstLineChars="0"/>
              <w:rPr>
                <w:color w:val="auto"/>
                <w:highlight w:val="none"/>
              </w:rPr>
            </w:pPr>
          </w:p>
          <w:p w14:paraId="732AB1C8">
            <w:pPr>
              <w:pStyle w:val="144"/>
              <w:widowControl/>
              <w:spacing w:line="360" w:lineRule="auto"/>
              <w:ind w:firstLine="0" w:firstLineChars="0"/>
              <w:rPr>
                <w:color w:val="auto"/>
                <w:highlight w:val="none"/>
              </w:rPr>
            </w:pPr>
          </w:p>
        </w:tc>
      </w:tr>
      <w:tr w14:paraId="34185B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3" w:type="dxa"/>
            <w:vAlign w:val="center"/>
          </w:tcPr>
          <w:p w14:paraId="72EB145B">
            <w:pPr>
              <w:pStyle w:val="144"/>
              <w:widowControl/>
              <w:spacing w:line="360" w:lineRule="auto"/>
              <w:ind w:left="0" w:leftChars="0" w:firstLine="0" w:firstLineChars="0"/>
              <w:jc w:val="center"/>
              <w:rPr>
                <w:rFonts w:hAnsi="宋体"/>
                <w:color w:val="auto"/>
                <w:kern w:val="0"/>
                <w:sz w:val="24"/>
                <w:highlight w:val="none"/>
              </w:rPr>
            </w:pPr>
            <w:r>
              <w:rPr>
                <w:rFonts w:hint="eastAsia" w:hAnsi="宋体"/>
                <w:color w:val="auto"/>
                <w:kern w:val="0"/>
                <w:sz w:val="24"/>
                <w:highlight w:val="none"/>
              </w:rPr>
              <w:t>总量控制指标</w:t>
            </w:r>
          </w:p>
        </w:tc>
        <w:tc>
          <w:tcPr>
            <w:tcW w:w="8254" w:type="dxa"/>
          </w:tcPr>
          <w:p w14:paraId="6D411143">
            <w:pPr>
              <w:spacing w:line="360" w:lineRule="auto"/>
              <w:ind w:firstLine="480" w:firstLineChars="200"/>
              <w:jc w:val="left"/>
              <w:rPr>
                <w:rFonts w:hAnsi="宋体"/>
                <w:color w:val="auto"/>
                <w:sz w:val="24"/>
                <w:highlight w:val="none"/>
              </w:rPr>
            </w:pPr>
            <w:r>
              <w:rPr>
                <w:rFonts w:hint="eastAsia" w:hAnsi="宋体"/>
                <w:color w:val="auto"/>
                <w:sz w:val="24"/>
                <w:highlight w:val="none"/>
              </w:rPr>
              <w:t>根据《长三角地区大气污染防治提质增效行动方案（2026</w:t>
            </w:r>
            <w:r>
              <w:rPr>
                <w:rFonts w:hint="eastAsia" w:hAnsi="宋体"/>
                <w:color w:val="auto"/>
                <w:sz w:val="24"/>
                <w:highlight w:val="none"/>
                <w:lang w:val="en-US" w:eastAsia="zh-CN"/>
              </w:rPr>
              <w:t>-</w:t>
            </w:r>
            <w:r>
              <w:rPr>
                <w:rFonts w:hint="eastAsia" w:hAnsi="宋体"/>
                <w:color w:val="auto"/>
                <w:sz w:val="24"/>
                <w:highlight w:val="none"/>
              </w:rPr>
              <w:t>2028年）》中有关规定，目前国家对二氧化硫（SO</w:t>
            </w:r>
            <w:r>
              <w:rPr>
                <w:rFonts w:hint="eastAsia" w:hAnsi="宋体"/>
                <w:color w:val="auto"/>
                <w:sz w:val="24"/>
                <w:highlight w:val="none"/>
                <w:vertAlign w:val="subscript"/>
              </w:rPr>
              <w:t>2</w:t>
            </w:r>
            <w:r>
              <w:rPr>
                <w:rFonts w:hint="eastAsia" w:hAnsi="宋体"/>
                <w:color w:val="auto"/>
                <w:sz w:val="24"/>
                <w:highlight w:val="none"/>
              </w:rPr>
              <w:t>）、氮氧化物（NOx）、烟（粉）尘、挥发性有机物（VOCs）主要大气污染物实行排放总量控制计划管理</w:t>
            </w:r>
            <w:r>
              <w:rPr>
                <w:rFonts w:hAnsi="宋体"/>
                <w:color w:val="auto"/>
                <w:sz w:val="24"/>
                <w:highlight w:val="none"/>
              </w:rPr>
              <w:t>。</w:t>
            </w:r>
          </w:p>
          <w:p w14:paraId="1C05EDE6">
            <w:pPr>
              <w:spacing w:line="360" w:lineRule="auto"/>
              <w:ind w:firstLine="480" w:firstLineChars="200"/>
              <w:rPr>
                <w:color w:val="auto"/>
                <w:kern w:val="0"/>
                <w:sz w:val="24"/>
                <w:highlight w:val="none"/>
              </w:rPr>
            </w:pPr>
            <w:r>
              <w:rPr>
                <w:rFonts w:hint="eastAsia"/>
                <w:color w:val="auto"/>
                <w:kern w:val="0"/>
                <w:sz w:val="24"/>
                <w:highlight w:val="none"/>
              </w:rPr>
              <w:t>本项目正常工况下不排放大气污染物，无需单独申请总量。</w:t>
            </w:r>
          </w:p>
          <w:p w14:paraId="29E41D3E">
            <w:pPr>
              <w:pStyle w:val="144"/>
              <w:widowControl/>
              <w:spacing w:line="360" w:lineRule="auto"/>
              <w:ind w:firstLine="482"/>
              <w:rPr>
                <w:b/>
                <w:color w:val="auto"/>
                <w:sz w:val="24"/>
                <w:szCs w:val="24"/>
                <w:highlight w:val="none"/>
              </w:rPr>
            </w:pPr>
            <w:r>
              <w:rPr>
                <w:rFonts w:hint="eastAsia"/>
                <w:color w:val="auto"/>
                <w:kern w:val="0"/>
                <w:sz w:val="24"/>
                <w:highlight w:val="none"/>
                <w:lang w:eastAsia="zh-CN"/>
              </w:rPr>
              <w:t>本项目</w:t>
            </w:r>
            <w:r>
              <w:rPr>
                <w:rFonts w:hint="eastAsia"/>
                <w:color w:val="auto"/>
                <w:kern w:val="0"/>
                <w:sz w:val="24"/>
                <w:highlight w:val="none"/>
                <w:lang w:val="en-US" w:eastAsia="zh-CN"/>
              </w:rPr>
              <w:t>不新增劳动定员，不新增生活污水，不新增生产废水，无需申请总量。</w:t>
            </w:r>
          </w:p>
          <w:p w14:paraId="285FFEB3">
            <w:pPr>
              <w:pStyle w:val="144"/>
              <w:widowControl/>
              <w:spacing w:line="360" w:lineRule="auto"/>
              <w:ind w:firstLine="482"/>
              <w:rPr>
                <w:b w:val="0"/>
                <w:bCs/>
                <w:color w:val="auto"/>
                <w:sz w:val="24"/>
                <w:szCs w:val="24"/>
                <w:highlight w:val="none"/>
              </w:rPr>
            </w:pPr>
          </w:p>
          <w:p w14:paraId="05A09FEE">
            <w:pPr>
              <w:pStyle w:val="144"/>
              <w:widowControl/>
              <w:spacing w:line="360" w:lineRule="auto"/>
              <w:ind w:firstLine="482"/>
              <w:rPr>
                <w:b w:val="0"/>
                <w:bCs/>
                <w:color w:val="auto"/>
                <w:sz w:val="24"/>
                <w:szCs w:val="24"/>
                <w:highlight w:val="none"/>
              </w:rPr>
            </w:pPr>
          </w:p>
          <w:p w14:paraId="20E597E9">
            <w:pPr>
              <w:pStyle w:val="144"/>
              <w:widowControl/>
              <w:spacing w:line="360" w:lineRule="auto"/>
              <w:ind w:firstLine="482"/>
              <w:rPr>
                <w:b w:val="0"/>
                <w:bCs/>
                <w:color w:val="auto"/>
                <w:sz w:val="24"/>
                <w:szCs w:val="24"/>
                <w:highlight w:val="none"/>
              </w:rPr>
            </w:pPr>
          </w:p>
          <w:p w14:paraId="3349F538">
            <w:pPr>
              <w:pStyle w:val="144"/>
              <w:widowControl/>
              <w:spacing w:line="360" w:lineRule="auto"/>
              <w:ind w:firstLine="482"/>
              <w:rPr>
                <w:b w:val="0"/>
                <w:bCs/>
                <w:color w:val="auto"/>
                <w:sz w:val="24"/>
                <w:szCs w:val="24"/>
                <w:highlight w:val="none"/>
              </w:rPr>
            </w:pPr>
          </w:p>
          <w:p w14:paraId="513E5D0C">
            <w:pPr>
              <w:pStyle w:val="144"/>
              <w:widowControl/>
              <w:spacing w:line="360" w:lineRule="auto"/>
              <w:ind w:firstLine="482"/>
              <w:rPr>
                <w:b w:val="0"/>
                <w:bCs/>
                <w:color w:val="auto"/>
                <w:sz w:val="24"/>
                <w:szCs w:val="24"/>
                <w:highlight w:val="none"/>
              </w:rPr>
            </w:pPr>
          </w:p>
          <w:p w14:paraId="0D24505D">
            <w:pPr>
              <w:pStyle w:val="144"/>
              <w:widowControl/>
              <w:spacing w:line="360" w:lineRule="auto"/>
              <w:ind w:firstLine="482"/>
              <w:rPr>
                <w:b w:val="0"/>
                <w:bCs/>
                <w:color w:val="auto"/>
                <w:sz w:val="24"/>
                <w:szCs w:val="24"/>
                <w:highlight w:val="none"/>
              </w:rPr>
            </w:pPr>
          </w:p>
          <w:p w14:paraId="30D646C1">
            <w:pPr>
              <w:pStyle w:val="144"/>
              <w:widowControl/>
              <w:spacing w:line="360" w:lineRule="auto"/>
              <w:ind w:firstLine="482"/>
              <w:rPr>
                <w:b w:val="0"/>
                <w:bCs/>
                <w:color w:val="auto"/>
                <w:sz w:val="24"/>
                <w:szCs w:val="24"/>
                <w:highlight w:val="none"/>
              </w:rPr>
            </w:pPr>
          </w:p>
          <w:p w14:paraId="7DF48BE1">
            <w:pPr>
              <w:pStyle w:val="144"/>
              <w:widowControl/>
              <w:spacing w:line="360" w:lineRule="auto"/>
              <w:ind w:firstLine="482"/>
              <w:rPr>
                <w:b w:val="0"/>
                <w:bCs/>
                <w:color w:val="auto"/>
                <w:sz w:val="24"/>
                <w:szCs w:val="24"/>
                <w:highlight w:val="none"/>
              </w:rPr>
            </w:pPr>
          </w:p>
          <w:p w14:paraId="0607EF07">
            <w:pPr>
              <w:pStyle w:val="144"/>
              <w:widowControl/>
              <w:spacing w:line="360" w:lineRule="auto"/>
              <w:ind w:firstLine="482"/>
              <w:rPr>
                <w:b w:val="0"/>
                <w:bCs/>
                <w:color w:val="auto"/>
                <w:sz w:val="24"/>
                <w:szCs w:val="24"/>
                <w:highlight w:val="none"/>
              </w:rPr>
            </w:pPr>
          </w:p>
          <w:p w14:paraId="6A181223">
            <w:pPr>
              <w:pStyle w:val="144"/>
              <w:widowControl/>
              <w:spacing w:line="360" w:lineRule="auto"/>
              <w:ind w:firstLine="482"/>
              <w:rPr>
                <w:b w:val="0"/>
                <w:bCs/>
                <w:color w:val="auto"/>
                <w:sz w:val="24"/>
                <w:szCs w:val="24"/>
                <w:highlight w:val="none"/>
              </w:rPr>
            </w:pPr>
          </w:p>
          <w:p w14:paraId="2B65FF10">
            <w:pPr>
              <w:pStyle w:val="144"/>
              <w:widowControl/>
              <w:spacing w:line="360" w:lineRule="auto"/>
              <w:ind w:firstLine="482"/>
              <w:rPr>
                <w:b w:val="0"/>
                <w:bCs/>
                <w:color w:val="auto"/>
                <w:sz w:val="24"/>
                <w:szCs w:val="24"/>
                <w:highlight w:val="none"/>
              </w:rPr>
            </w:pPr>
          </w:p>
          <w:p w14:paraId="555178B0">
            <w:pPr>
              <w:pStyle w:val="144"/>
              <w:widowControl/>
              <w:spacing w:line="360" w:lineRule="auto"/>
              <w:ind w:firstLine="482"/>
              <w:rPr>
                <w:b w:val="0"/>
                <w:bCs/>
                <w:color w:val="auto"/>
                <w:sz w:val="24"/>
                <w:szCs w:val="24"/>
                <w:highlight w:val="none"/>
              </w:rPr>
            </w:pPr>
          </w:p>
          <w:p w14:paraId="0A293B9A">
            <w:pPr>
              <w:pStyle w:val="144"/>
              <w:widowControl/>
              <w:spacing w:line="360" w:lineRule="auto"/>
              <w:ind w:firstLine="482"/>
              <w:rPr>
                <w:b w:val="0"/>
                <w:bCs/>
                <w:color w:val="auto"/>
                <w:sz w:val="24"/>
                <w:szCs w:val="24"/>
                <w:highlight w:val="none"/>
              </w:rPr>
            </w:pPr>
          </w:p>
          <w:p w14:paraId="37734A2C">
            <w:pPr>
              <w:pStyle w:val="144"/>
              <w:widowControl/>
              <w:spacing w:line="360" w:lineRule="auto"/>
              <w:ind w:firstLine="482"/>
              <w:rPr>
                <w:b w:val="0"/>
                <w:bCs/>
                <w:color w:val="auto"/>
                <w:sz w:val="24"/>
                <w:szCs w:val="24"/>
                <w:highlight w:val="none"/>
              </w:rPr>
            </w:pPr>
          </w:p>
          <w:p w14:paraId="1A85E3DB">
            <w:pPr>
              <w:pStyle w:val="144"/>
              <w:widowControl/>
              <w:spacing w:line="360" w:lineRule="auto"/>
              <w:ind w:firstLine="482"/>
              <w:rPr>
                <w:b w:val="0"/>
                <w:bCs/>
                <w:color w:val="auto"/>
                <w:sz w:val="24"/>
                <w:szCs w:val="24"/>
                <w:highlight w:val="none"/>
              </w:rPr>
            </w:pPr>
          </w:p>
          <w:p w14:paraId="5AC0D761">
            <w:pPr>
              <w:pStyle w:val="144"/>
              <w:widowControl/>
              <w:spacing w:line="360" w:lineRule="auto"/>
              <w:ind w:firstLine="482"/>
              <w:rPr>
                <w:b w:val="0"/>
                <w:bCs/>
                <w:color w:val="auto"/>
                <w:sz w:val="24"/>
                <w:szCs w:val="24"/>
                <w:highlight w:val="none"/>
              </w:rPr>
            </w:pPr>
          </w:p>
          <w:p w14:paraId="22FAC5D3">
            <w:pPr>
              <w:pStyle w:val="144"/>
              <w:widowControl/>
              <w:spacing w:line="360" w:lineRule="auto"/>
              <w:ind w:firstLine="482"/>
              <w:rPr>
                <w:b w:val="0"/>
                <w:bCs/>
                <w:color w:val="auto"/>
                <w:sz w:val="24"/>
                <w:szCs w:val="24"/>
                <w:highlight w:val="none"/>
              </w:rPr>
            </w:pPr>
          </w:p>
          <w:p w14:paraId="0394BFD2">
            <w:pPr>
              <w:pStyle w:val="144"/>
              <w:widowControl/>
              <w:spacing w:line="360" w:lineRule="auto"/>
              <w:ind w:firstLine="482"/>
              <w:rPr>
                <w:b w:val="0"/>
                <w:bCs/>
                <w:color w:val="auto"/>
                <w:sz w:val="24"/>
                <w:szCs w:val="24"/>
                <w:highlight w:val="none"/>
              </w:rPr>
            </w:pPr>
          </w:p>
          <w:p w14:paraId="2C267B7C">
            <w:pPr>
              <w:pStyle w:val="144"/>
              <w:widowControl/>
              <w:spacing w:line="360" w:lineRule="auto"/>
              <w:ind w:firstLine="482"/>
              <w:rPr>
                <w:b w:val="0"/>
                <w:bCs/>
                <w:color w:val="auto"/>
                <w:sz w:val="24"/>
                <w:szCs w:val="24"/>
                <w:highlight w:val="none"/>
              </w:rPr>
            </w:pPr>
          </w:p>
          <w:p w14:paraId="05889F37">
            <w:pPr>
              <w:pStyle w:val="144"/>
              <w:widowControl/>
              <w:spacing w:line="360" w:lineRule="auto"/>
              <w:ind w:firstLine="482"/>
              <w:rPr>
                <w:b w:val="0"/>
                <w:bCs/>
                <w:color w:val="auto"/>
                <w:sz w:val="24"/>
                <w:szCs w:val="24"/>
                <w:highlight w:val="none"/>
              </w:rPr>
            </w:pPr>
          </w:p>
          <w:p w14:paraId="64BDBDF0">
            <w:pPr>
              <w:pStyle w:val="144"/>
              <w:widowControl/>
              <w:spacing w:line="360" w:lineRule="auto"/>
              <w:ind w:firstLine="482"/>
              <w:rPr>
                <w:b w:val="0"/>
                <w:bCs/>
                <w:color w:val="auto"/>
                <w:sz w:val="24"/>
                <w:szCs w:val="24"/>
                <w:highlight w:val="none"/>
              </w:rPr>
            </w:pPr>
          </w:p>
          <w:p w14:paraId="53F201AA">
            <w:pPr>
              <w:pStyle w:val="144"/>
              <w:widowControl/>
              <w:spacing w:line="360" w:lineRule="auto"/>
              <w:ind w:firstLine="482"/>
              <w:rPr>
                <w:b w:val="0"/>
                <w:bCs/>
                <w:color w:val="auto"/>
                <w:sz w:val="24"/>
                <w:szCs w:val="24"/>
                <w:highlight w:val="none"/>
              </w:rPr>
            </w:pPr>
          </w:p>
          <w:p w14:paraId="06219878">
            <w:pPr>
              <w:pStyle w:val="144"/>
              <w:widowControl/>
              <w:spacing w:line="360" w:lineRule="auto"/>
              <w:ind w:firstLine="482"/>
              <w:rPr>
                <w:b w:val="0"/>
                <w:bCs/>
                <w:color w:val="auto"/>
                <w:sz w:val="24"/>
                <w:szCs w:val="24"/>
                <w:highlight w:val="none"/>
              </w:rPr>
            </w:pPr>
          </w:p>
          <w:p w14:paraId="1BF2355A">
            <w:pPr>
              <w:rPr>
                <w:color w:val="auto"/>
                <w:highlight w:val="none"/>
              </w:rPr>
            </w:pPr>
          </w:p>
        </w:tc>
      </w:tr>
    </w:tbl>
    <w:p w14:paraId="1DBCBC62">
      <w:pPr>
        <w:widowControl/>
        <w:outlineLvl w:val="0"/>
        <w:rPr>
          <w:rFonts w:ascii="宋体" w:hAnsi="宋体"/>
          <w:b/>
          <w:bCs/>
          <w:color w:val="auto"/>
          <w:kern w:val="0"/>
          <w:sz w:val="30"/>
          <w:szCs w:val="30"/>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p w14:paraId="0B9F12C8">
      <w:pPr>
        <w:widowControl/>
        <w:jc w:val="center"/>
        <w:outlineLvl w:val="0"/>
        <w:rPr>
          <w:b/>
          <w:bCs/>
          <w:color w:val="auto"/>
          <w:kern w:val="0"/>
          <w:sz w:val="30"/>
          <w:szCs w:val="30"/>
          <w:highlight w:val="none"/>
        </w:rPr>
      </w:pPr>
      <w:bookmarkStart w:id="17" w:name="_Toc140651374"/>
      <w:bookmarkStart w:id="18" w:name="_Toc140650607"/>
      <w:r>
        <w:rPr>
          <w:b/>
          <w:bCs/>
          <w:color w:val="auto"/>
          <w:kern w:val="0"/>
          <w:sz w:val="30"/>
          <w:szCs w:val="30"/>
          <w:highlight w:val="none"/>
        </w:rPr>
        <w:t>四、</w:t>
      </w:r>
      <w:bookmarkEnd w:id="16"/>
      <w:r>
        <w:rPr>
          <w:b/>
          <w:bCs/>
          <w:color w:val="auto"/>
          <w:kern w:val="0"/>
          <w:sz w:val="30"/>
          <w:szCs w:val="30"/>
          <w:highlight w:val="none"/>
        </w:rPr>
        <w:t>主要环境影响和保护措施</w:t>
      </w:r>
      <w:bookmarkEnd w:id="17"/>
      <w:bookmarkEnd w:id="18"/>
    </w:p>
    <w:tbl>
      <w:tblPr>
        <w:tblStyle w:val="36"/>
        <w:tblpPr w:leftFromText="180" w:rightFromText="180" w:vertAnchor="text" w:tblpXSpec="right" w:tblpY="1"/>
        <w:tblOverlap w:val="never"/>
        <w:tblW w:w="0" w:type="auto"/>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55"/>
        <w:gridCol w:w="8254"/>
      </w:tblGrid>
      <w:tr w14:paraId="41370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4" w:hRule="atLeast"/>
        </w:trPr>
        <w:tc>
          <w:tcPr>
            <w:tcW w:w="555" w:type="dxa"/>
            <w:vAlign w:val="center"/>
          </w:tcPr>
          <w:p w14:paraId="6AC1B7C5">
            <w:pPr>
              <w:widowControl/>
              <w:spacing w:line="360" w:lineRule="auto"/>
              <w:jc w:val="both"/>
              <w:rPr>
                <w:b/>
                <w:bCs/>
                <w:color w:val="auto"/>
                <w:kern w:val="0"/>
                <w:sz w:val="25"/>
                <w:szCs w:val="25"/>
                <w:highlight w:val="none"/>
              </w:rPr>
            </w:pPr>
            <w:r>
              <w:rPr>
                <w:rFonts w:hint="eastAsia" w:hAnsi="宋体"/>
                <w:color w:val="auto"/>
                <w:kern w:val="0"/>
                <w:sz w:val="24"/>
                <w:highlight w:val="none"/>
              </w:rPr>
              <w:t>施工期环境保护措施</w:t>
            </w:r>
          </w:p>
        </w:tc>
        <w:tc>
          <w:tcPr>
            <w:tcW w:w="8254" w:type="dxa"/>
          </w:tcPr>
          <w:p w14:paraId="221AD7D5">
            <w:pPr>
              <w:pStyle w:val="9"/>
              <w:spacing w:after="0" w:line="360" w:lineRule="auto"/>
              <w:ind w:firstLine="480"/>
              <w:rPr>
                <w:b/>
                <w:color w:val="auto"/>
                <w:sz w:val="24"/>
                <w:szCs w:val="24"/>
                <w:highlight w:val="none"/>
              </w:rPr>
            </w:pPr>
            <w:r>
              <w:rPr>
                <w:rFonts w:hint="eastAsia"/>
                <w:b/>
                <w:color w:val="auto"/>
                <w:sz w:val="24"/>
                <w:szCs w:val="24"/>
                <w:highlight w:val="none"/>
              </w:rPr>
              <w:t>一、大气环境影响分析</w:t>
            </w:r>
          </w:p>
          <w:p w14:paraId="537B7AD7">
            <w:pPr>
              <w:pStyle w:val="9"/>
              <w:keepNext w:val="0"/>
              <w:keepLines w:val="0"/>
              <w:suppressLineNumbers w:val="0"/>
              <w:spacing w:before="0" w:beforeAutospacing="0" w:after="0" w:afterAutospacing="0" w:line="360" w:lineRule="auto"/>
              <w:ind w:left="0" w:right="0" w:firstLine="480"/>
              <w:rPr>
                <w:rFonts w:hint="default"/>
                <w:color w:val="auto"/>
                <w:sz w:val="24"/>
                <w:szCs w:val="24"/>
                <w:highlight w:val="none"/>
              </w:rPr>
            </w:pPr>
            <w:r>
              <w:rPr>
                <w:rFonts w:hint="eastAsia"/>
                <w:color w:val="auto"/>
                <w:sz w:val="24"/>
                <w:szCs w:val="24"/>
                <w:highlight w:val="none"/>
              </w:rPr>
              <w:t>1、施工扬尘影响分析及污染防治措施</w:t>
            </w:r>
          </w:p>
          <w:p w14:paraId="3F67E6A8">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期扬尘源产生过程主要是钢结构和设备基础等施工过程，主要污染物为TSP。在施工过程中扬尘量的大小与施工现场条件、管理水平、机械化程度及施工季节、土质及天气等诸多因素有关，施工扬尘主要来自于：</w:t>
            </w:r>
          </w:p>
          <w:p w14:paraId="2BAD1486">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①场地平整土地、土方的挖掘、堆放、回填和清运过程造成的扬尘。</w:t>
            </w:r>
          </w:p>
          <w:p w14:paraId="31F6EC77">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②建筑材料（水泥、砂子）等运输、装卸、堆放、挖料过程造成的扬尘。</w:t>
            </w:r>
          </w:p>
          <w:p w14:paraId="2257F032">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③各种施工车辆行驶往来造成的扬尘。</w:t>
            </w:r>
          </w:p>
          <w:p w14:paraId="3A358556">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④施工垃圾堆放、清运过程造成的扬尘。</w:t>
            </w:r>
          </w:p>
          <w:p w14:paraId="6550CE8A">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根据北京市环境科学研究院等单位在市政施工现场实测资料，在一般气象，平均风速2.5m/s的情况下，建筑工地内扬尘处TSP浓度为上风向对照点的2.0~2.5倍，建筑工地扬尘的影响范围其下风向侧为200m。因此，施工期间，若不采取措施，扬尘势必会对该区域环境产生一定的影响。</w:t>
            </w:r>
          </w:p>
          <w:p w14:paraId="3E3395CD">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本项目在施工期间应遵照建设部门的有关施工规范，在施工地四周设置围挡，施工场地每天定期洒水，</w:t>
            </w:r>
            <w:r>
              <w:rPr>
                <w:rFonts w:hint="eastAsia"/>
                <w:color w:val="auto"/>
                <w:sz w:val="24"/>
                <w:szCs w:val="24"/>
                <w:highlight w:val="none"/>
                <w:lang w:eastAsia="zh-CN"/>
              </w:rPr>
              <w:t>防止</w:t>
            </w:r>
            <w:r>
              <w:rPr>
                <w:rFonts w:hint="eastAsia"/>
                <w:color w:val="auto"/>
                <w:sz w:val="24"/>
                <w:szCs w:val="24"/>
                <w:highlight w:val="none"/>
              </w:rPr>
              <w:t>扬尘产生，在大风日加大洒水量及洒水次数。在施工期加强管理，在有风天气做好防护措施，可将施工扬尘对环境的影响降到最低。</w:t>
            </w:r>
          </w:p>
          <w:p w14:paraId="1C5CD172">
            <w:pPr>
              <w:pStyle w:val="9"/>
              <w:keepNext w:val="0"/>
              <w:keepLines w:val="0"/>
              <w:suppressLineNumbers w:val="0"/>
              <w:spacing w:before="0" w:beforeAutospacing="0" w:after="0" w:afterAutospacing="0" w:line="360" w:lineRule="auto"/>
              <w:ind w:left="0" w:right="0" w:firstLine="480"/>
              <w:rPr>
                <w:rFonts w:hint="default"/>
                <w:color w:val="auto"/>
                <w:sz w:val="24"/>
                <w:szCs w:val="24"/>
                <w:highlight w:val="none"/>
              </w:rPr>
            </w:pPr>
            <w:r>
              <w:rPr>
                <w:rFonts w:hint="eastAsia"/>
                <w:color w:val="auto"/>
                <w:sz w:val="24"/>
                <w:szCs w:val="24"/>
                <w:highlight w:val="none"/>
              </w:rPr>
              <w:t>2、施工机械尾气影响分析及污染防治措施</w:t>
            </w:r>
          </w:p>
          <w:p w14:paraId="12019DC9">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施工现场机械设备尾气及车辆尾气主要对施工场地有一定影响，对于进入场地的汽车排放废气主要包括排气管尾气，汽车废气的主要污染因子有CO、HC、NO</w:t>
            </w:r>
            <w:r>
              <w:rPr>
                <w:rFonts w:hint="eastAsia"/>
                <w:color w:val="auto"/>
                <w:sz w:val="24"/>
                <w:szCs w:val="24"/>
                <w:highlight w:val="none"/>
                <w:vertAlign w:val="subscript"/>
              </w:rPr>
              <w:t>X</w:t>
            </w:r>
            <w:r>
              <w:rPr>
                <w:rFonts w:hint="eastAsia"/>
                <w:color w:val="auto"/>
                <w:sz w:val="24"/>
                <w:szCs w:val="24"/>
                <w:highlight w:val="none"/>
              </w:rPr>
              <w:t>。废气排放与车型、车况和车辆等有关，同时因汽车行驶状况而有较大差别。</w:t>
            </w:r>
          </w:p>
          <w:p w14:paraId="66C44F0C">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对于施工现场运输车辆，要求参与施工的各种车辆和作业机械，应该具有尾气年检合格证；运输车辆使用清洁燃料，</w:t>
            </w:r>
            <w:r>
              <w:rPr>
                <w:rFonts w:hint="eastAsia"/>
                <w:color w:val="auto"/>
                <w:sz w:val="24"/>
                <w:szCs w:val="24"/>
                <w:highlight w:val="none"/>
                <w:lang w:eastAsia="zh-CN"/>
              </w:rPr>
              <w:t>以</w:t>
            </w:r>
            <w:r>
              <w:rPr>
                <w:rFonts w:hint="eastAsia"/>
                <w:color w:val="auto"/>
                <w:sz w:val="24"/>
                <w:szCs w:val="24"/>
                <w:highlight w:val="none"/>
              </w:rPr>
              <w:t>尽量减少汽车尾气的排放；在使用期间保证其正常运行，经常检修保养，防止非正常运行造成尾气超标排放；做好施工现场的交通组织，避免因施工造成的交通阻塞，减少运输车辆怠速产生的废气排放。</w:t>
            </w:r>
          </w:p>
          <w:p w14:paraId="6F1C796E">
            <w:pPr>
              <w:keepNext w:val="0"/>
              <w:keepLines w:val="0"/>
              <w:suppressLineNumbers w:val="0"/>
              <w:spacing w:before="0" w:beforeAutospacing="0" w:after="0" w:afterAutospacing="0" w:line="360" w:lineRule="auto"/>
              <w:ind w:left="0" w:right="0" w:firstLine="480" w:firstLineChars="200"/>
              <w:rPr>
                <w:rFonts w:hint="default"/>
                <w:color w:val="auto"/>
                <w:highlight w:val="none"/>
              </w:rPr>
            </w:pPr>
            <w:r>
              <w:rPr>
                <w:rFonts w:hint="eastAsia"/>
                <w:color w:val="auto"/>
                <w:sz w:val="24"/>
                <w:szCs w:val="24"/>
                <w:highlight w:val="none"/>
              </w:rPr>
              <w:t>由于所用施工设备及车辆的尾气排放是间歇排放，且施工结束后影响消除，因此对周围环境空气质量影响不大。</w:t>
            </w:r>
          </w:p>
          <w:p w14:paraId="1D0B321A">
            <w:pPr>
              <w:pStyle w:val="9"/>
              <w:keepNext w:val="0"/>
              <w:keepLines w:val="0"/>
              <w:suppressLineNumbers w:val="0"/>
              <w:spacing w:before="0" w:beforeAutospacing="0" w:after="0" w:afterAutospacing="0" w:line="360" w:lineRule="auto"/>
              <w:ind w:left="0" w:right="0" w:firstLine="480"/>
              <w:rPr>
                <w:rFonts w:hint="default"/>
                <w:color w:val="auto"/>
                <w:sz w:val="24"/>
                <w:szCs w:val="24"/>
                <w:highlight w:val="none"/>
              </w:rPr>
            </w:pPr>
            <w:r>
              <w:rPr>
                <w:rFonts w:hint="eastAsia"/>
                <w:color w:val="auto"/>
                <w:sz w:val="24"/>
                <w:szCs w:val="24"/>
                <w:highlight w:val="none"/>
              </w:rPr>
              <w:t>3、施工期焊接废气影响分析及污染防治措施</w:t>
            </w:r>
          </w:p>
          <w:p w14:paraId="1F8C5231">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本项目焊接过程有焊接烟尘产生。因施工沿线空间较为开阔，有利于废气的扩散，通过加强管理，合理布置焊接工艺地点等措施处理后，焊接废气对周边环境较小。</w:t>
            </w:r>
          </w:p>
          <w:p w14:paraId="41C6934C">
            <w:pPr>
              <w:pStyle w:val="9"/>
              <w:keepNext w:val="0"/>
              <w:keepLines w:val="0"/>
              <w:suppressLineNumbers w:val="0"/>
              <w:spacing w:before="0" w:beforeAutospacing="0" w:after="0" w:afterAutospacing="0" w:line="360" w:lineRule="auto"/>
              <w:ind w:left="0" w:right="0" w:firstLine="480"/>
              <w:rPr>
                <w:rFonts w:hint="default"/>
                <w:color w:val="auto"/>
                <w:sz w:val="24"/>
                <w:szCs w:val="24"/>
                <w:highlight w:val="none"/>
              </w:rPr>
            </w:pPr>
            <w:r>
              <w:rPr>
                <w:rFonts w:hint="eastAsia"/>
                <w:color w:val="auto"/>
                <w:sz w:val="24"/>
                <w:szCs w:val="24"/>
                <w:highlight w:val="none"/>
              </w:rPr>
              <w:t>4、施工期油漆废气影响分析及污染防治措施</w:t>
            </w:r>
          </w:p>
          <w:p w14:paraId="45513123">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本项目刷漆过程会有少量VOCs产生。该部分废气以无组织形式排放，本项目刷漆场地比较空旷，油漆废气可以很快经大气稀释扩散，工人在实际操作中，需做好个人防护，合理安排作业时间和布局，油漆废气对周边环境影响较小。</w:t>
            </w:r>
          </w:p>
          <w:p w14:paraId="3A343AE1">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采取上述措施后，本项目施工期废气对环境造成的影响可得到有效的缓解，在可接受范围内。</w:t>
            </w:r>
          </w:p>
          <w:p w14:paraId="6F3076CB">
            <w:pPr>
              <w:pStyle w:val="9"/>
              <w:keepNext w:val="0"/>
              <w:keepLines w:val="0"/>
              <w:suppressLineNumbers w:val="0"/>
              <w:spacing w:before="0" w:beforeAutospacing="0" w:after="0" w:afterAutospacing="0" w:line="360" w:lineRule="auto"/>
              <w:ind w:left="0" w:right="0" w:firstLine="480"/>
              <w:rPr>
                <w:rFonts w:hint="default"/>
                <w:b/>
                <w:color w:val="auto"/>
                <w:sz w:val="24"/>
                <w:szCs w:val="24"/>
                <w:highlight w:val="none"/>
              </w:rPr>
            </w:pPr>
            <w:r>
              <w:rPr>
                <w:rFonts w:hint="eastAsia"/>
                <w:b/>
                <w:color w:val="auto"/>
                <w:sz w:val="24"/>
                <w:szCs w:val="24"/>
                <w:highlight w:val="none"/>
              </w:rPr>
              <w:t>二、施工期废水影响分析及污染防治措施</w:t>
            </w:r>
          </w:p>
          <w:p w14:paraId="06271415">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施工期废水主要来自于施工过程中少量施工废水及施工人员产生的生活污水，排放的污染物主要为COD</w:t>
            </w:r>
            <w:r>
              <w:rPr>
                <w:rFonts w:hint="eastAsia"/>
                <w:color w:val="auto"/>
                <w:sz w:val="24"/>
                <w:szCs w:val="24"/>
                <w:highlight w:val="none"/>
                <w:vertAlign w:val="subscript"/>
                <w:lang w:val="en-US" w:eastAsia="zh-CN"/>
              </w:rPr>
              <w:t>Cr</w:t>
            </w:r>
            <w:r>
              <w:rPr>
                <w:rFonts w:hint="eastAsia"/>
                <w:color w:val="auto"/>
                <w:sz w:val="24"/>
                <w:szCs w:val="24"/>
                <w:highlight w:val="none"/>
              </w:rPr>
              <w:t>和SS。</w:t>
            </w:r>
          </w:p>
          <w:p w14:paraId="57AF9FEE">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施工废水主要为混凝土养护废水、焊接设备工具、管道清洗的废水，因乙烯不溶于水、易蒸发，施工废水中仅含泥浆，主要污染物为SS，一般产生在基础施工阶段，产生量较小，因此在施工现场</w:t>
            </w:r>
            <w:r>
              <w:rPr>
                <w:rFonts w:hint="eastAsia"/>
                <w:color w:val="auto"/>
                <w:sz w:val="24"/>
                <w:szCs w:val="24"/>
                <w:highlight w:val="none"/>
                <w:lang w:eastAsia="zh-CN"/>
              </w:rPr>
              <w:t>设置</w:t>
            </w:r>
            <w:r>
              <w:rPr>
                <w:rFonts w:hint="eastAsia"/>
                <w:color w:val="auto"/>
                <w:sz w:val="24"/>
                <w:szCs w:val="24"/>
                <w:highlight w:val="none"/>
              </w:rPr>
              <w:t>一座简易临时沉淀池，施工废水沉淀后用于施工现场洒水抑尘。施工人员利用</w:t>
            </w:r>
            <w:r>
              <w:rPr>
                <w:rFonts w:hint="eastAsia"/>
                <w:color w:val="auto"/>
                <w:sz w:val="24"/>
                <w:szCs w:val="24"/>
                <w:highlight w:val="none"/>
                <w:lang w:val="en-US" w:eastAsia="zh-CN"/>
              </w:rPr>
              <w:t>厂区内现有</w:t>
            </w:r>
            <w:r>
              <w:rPr>
                <w:rFonts w:hint="eastAsia"/>
                <w:color w:val="auto"/>
                <w:sz w:val="24"/>
                <w:szCs w:val="24"/>
                <w:highlight w:val="none"/>
              </w:rPr>
              <w:t>卫生间如厕，排入</w:t>
            </w:r>
            <w:r>
              <w:rPr>
                <w:rFonts w:hint="eastAsia"/>
                <w:color w:val="auto"/>
                <w:sz w:val="24"/>
                <w:szCs w:val="24"/>
                <w:highlight w:val="none"/>
                <w:lang w:val="en-US" w:eastAsia="zh-CN"/>
              </w:rPr>
              <w:t>市政</w:t>
            </w:r>
            <w:r>
              <w:rPr>
                <w:rFonts w:hint="eastAsia"/>
                <w:color w:val="auto"/>
                <w:sz w:val="24"/>
                <w:szCs w:val="24"/>
                <w:highlight w:val="none"/>
              </w:rPr>
              <w:t>污水管网。</w:t>
            </w:r>
          </w:p>
          <w:p w14:paraId="3F197924">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另外，施工期场地平整、挖挤出产生的裸露地表、回填土产生的大量疏松土，在雨季如果运输和堆放过程中管理不当会造成水土流失及地表雨水径流污染，同时大量泥沙流入雨水</w:t>
            </w:r>
            <w:r>
              <w:rPr>
                <w:rFonts w:hint="eastAsia"/>
                <w:color w:val="auto"/>
                <w:sz w:val="24"/>
                <w:szCs w:val="24"/>
                <w:highlight w:val="none"/>
                <w:lang w:val="en-US" w:eastAsia="zh-CN"/>
              </w:rPr>
              <w:t>管网</w:t>
            </w:r>
            <w:r>
              <w:rPr>
                <w:rFonts w:hint="eastAsia"/>
                <w:color w:val="auto"/>
                <w:sz w:val="24"/>
                <w:szCs w:val="24"/>
                <w:highlight w:val="none"/>
              </w:rPr>
              <w:t>会造成</w:t>
            </w:r>
            <w:r>
              <w:rPr>
                <w:rFonts w:hint="eastAsia"/>
                <w:color w:val="auto"/>
                <w:sz w:val="24"/>
                <w:szCs w:val="24"/>
                <w:highlight w:val="none"/>
                <w:lang w:val="en-US" w:eastAsia="zh-CN"/>
              </w:rPr>
              <w:t>管网</w:t>
            </w:r>
            <w:r>
              <w:rPr>
                <w:rFonts w:hint="eastAsia"/>
                <w:color w:val="auto"/>
                <w:sz w:val="24"/>
                <w:szCs w:val="24"/>
                <w:highlight w:val="none"/>
              </w:rPr>
              <w:t>阻塞。因此需采用苫布</w:t>
            </w:r>
            <w:r>
              <w:rPr>
                <w:rFonts w:hint="eastAsia"/>
                <w:color w:val="auto"/>
                <w:sz w:val="24"/>
                <w:szCs w:val="24"/>
                <w:highlight w:val="none"/>
                <w:lang w:val="en-US" w:eastAsia="zh-CN"/>
              </w:rPr>
              <w:t>覆</w:t>
            </w:r>
            <w:r>
              <w:rPr>
                <w:rFonts w:hint="eastAsia"/>
                <w:color w:val="auto"/>
                <w:sz w:val="24"/>
                <w:szCs w:val="24"/>
                <w:highlight w:val="none"/>
              </w:rPr>
              <w:t>盖土堆，同时挖方应及时回填夯实，加强管理。</w:t>
            </w:r>
          </w:p>
          <w:p w14:paraId="3229E5D8">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施工废水产生量较小，且主要污染为SS，因此通过沉淀与处理后，不会对周围地表</w:t>
            </w:r>
            <w:r>
              <w:rPr>
                <w:rFonts w:hint="eastAsia"/>
                <w:color w:val="auto"/>
                <w:sz w:val="24"/>
                <w:szCs w:val="24"/>
                <w:highlight w:val="none"/>
                <w:lang w:val="en-US" w:eastAsia="zh-CN"/>
              </w:rPr>
              <w:t>水</w:t>
            </w:r>
            <w:r>
              <w:rPr>
                <w:rFonts w:hint="eastAsia"/>
                <w:color w:val="auto"/>
                <w:sz w:val="24"/>
                <w:szCs w:val="24"/>
                <w:highlight w:val="none"/>
              </w:rPr>
              <w:t>及地下水环境造成明显不利影响。</w:t>
            </w:r>
          </w:p>
          <w:p w14:paraId="46A6F5C8">
            <w:pPr>
              <w:pStyle w:val="9"/>
              <w:keepNext w:val="0"/>
              <w:keepLines w:val="0"/>
              <w:suppressLineNumbers w:val="0"/>
              <w:spacing w:before="0" w:beforeAutospacing="0" w:after="0" w:afterAutospacing="0" w:line="360" w:lineRule="auto"/>
              <w:ind w:left="0" w:right="0" w:firstLine="480"/>
              <w:rPr>
                <w:rFonts w:hint="default"/>
                <w:b/>
                <w:color w:val="auto"/>
                <w:sz w:val="24"/>
                <w:szCs w:val="24"/>
                <w:highlight w:val="none"/>
              </w:rPr>
            </w:pPr>
            <w:r>
              <w:rPr>
                <w:rFonts w:hint="eastAsia"/>
                <w:b/>
                <w:color w:val="auto"/>
                <w:sz w:val="24"/>
                <w:szCs w:val="24"/>
                <w:highlight w:val="none"/>
              </w:rPr>
              <w:t>三、施工期噪声影响分析及污染防治措施</w:t>
            </w:r>
          </w:p>
          <w:p w14:paraId="5772CD09">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期噪声源主要为施工机械运行及作业产生的噪声和车辆运输产生的噪声。在施工过程中，噪声源主要为挖掘机、铲土机和吊车等机械，该类型机械产生的噪声强度较大，声源较多，在一定范围内将对其周围环境产生一定的影响。但这些影响是暂时的，在施工结束后就会消失，同时这些影响也可以通过管理措施得到有效控制。</w:t>
            </w:r>
          </w:p>
          <w:p w14:paraId="57EFE267">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建设单位应选用低噪声的施工机械，在施工现场高噪声设备四周设置围挡阻挡噪声的传播，避免在同一时间集中使用大量的动力机械设备。车辆进出施工场地时应减速慢行，禁止鸣笛。高噪声施工阶段尽量选择在白天居民上班时间进行。禁止在夜间（22:00~</w:t>
            </w:r>
            <w:r>
              <w:rPr>
                <w:rFonts w:hint="eastAsia"/>
                <w:color w:val="auto"/>
                <w:sz w:val="24"/>
                <w:szCs w:val="24"/>
                <w:highlight w:val="none"/>
                <w:lang w:val="en-US" w:eastAsia="zh-CN"/>
              </w:rPr>
              <w:t>次日</w:t>
            </w:r>
            <w:r>
              <w:rPr>
                <w:rFonts w:hint="eastAsia"/>
                <w:color w:val="auto"/>
                <w:sz w:val="24"/>
                <w:szCs w:val="24"/>
                <w:highlight w:val="none"/>
              </w:rPr>
              <w:t>6:00）施工。</w:t>
            </w:r>
          </w:p>
          <w:p w14:paraId="4A90774E">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采取上述措施后，施工期噪声对周围声环境影响较小。</w:t>
            </w:r>
          </w:p>
          <w:p w14:paraId="73DADF11">
            <w:pPr>
              <w:pStyle w:val="9"/>
              <w:keepNext w:val="0"/>
              <w:keepLines w:val="0"/>
              <w:suppressLineNumbers w:val="0"/>
              <w:spacing w:before="0" w:beforeAutospacing="0" w:after="0" w:afterAutospacing="0" w:line="360" w:lineRule="auto"/>
              <w:ind w:left="0" w:right="0" w:firstLine="480"/>
              <w:rPr>
                <w:rFonts w:hint="default"/>
                <w:color w:val="auto"/>
                <w:sz w:val="24"/>
                <w:szCs w:val="24"/>
                <w:highlight w:val="none"/>
              </w:rPr>
            </w:pPr>
            <w:r>
              <w:rPr>
                <w:rFonts w:hint="eastAsia"/>
                <w:b/>
                <w:color w:val="auto"/>
                <w:sz w:val="24"/>
                <w:szCs w:val="24"/>
                <w:highlight w:val="none"/>
              </w:rPr>
              <w:t>四、施工期固废影响分析及污染防治措施</w:t>
            </w:r>
          </w:p>
          <w:p w14:paraId="005DAAAA">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本项目施工期固体废物为施工人员施工生活垃圾、建筑垃圾、废焊条等</w:t>
            </w:r>
            <w:r>
              <w:rPr>
                <w:rFonts w:hint="default"/>
                <w:color w:val="auto"/>
                <w:sz w:val="24"/>
                <w:szCs w:val="24"/>
                <w:highlight w:val="none"/>
              </w:rPr>
              <w:t>，</w:t>
            </w:r>
            <w:r>
              <w:rPr>
                <w:rFonts w:hint="eastAsia"/>
                <w:color w:val="auto"/>
                <w:sz w:val="24"/>
                <w:szCs w:val="24"/>
                <w:highlight w:val="none"/>
              </w:rPr>
              <w:t>施工作业人员按</w:t>
            </w:r>
            <w:r>
              <w:rPr>
                <w:rFonts w:hint="eastAsia"/>
                <w:color w:val="auto"/>
                <w:sz w:val="24"/>
                <w:szCs w:val="24"/>
                <w:highlight w:val="none"/>
                <w:lang w:val="en-US" w:eastAsia="zh-CN"/>
              </w:rPr>
              <w:t>10</w:t>
            </w:r>
            <w:r>
              <w:rPr>
                <w:rFonts w:hint="eastAsia"/>
                <w:color w:val="auto"/>
                <w:sz w:val="24"/>
                <w:szCs w:val="24"/>
                <w:highlight w:val="none"/>
              </w:rPr>
              <w:t>人计，施工人员生活垃圾产生量按0.5kg/（d·人）计，则施工期生活垃圾产生量约</w:t>
            </w:r>
            <w:r>
              <w:rPr>
                <w:rFonts w:hint="eastAsia"/>
                <w:color w:val="auto"/>
                <w:sz w:val="24"/>
                <w:szCs w:val="24"/>
                <w:highlight w:val="none"/>
                <w:lang w:val="en-US" w:eastAsia="zh-CN"/>
              </w:rPr>
              <w:t>0.005</w:t>
            </w:r>
            <w:r>
              <w:rPr>
                <w:rFonts w:hint="eastAsia"/>
                <w:color w:val="auto"/>
                <w:sz w:val="24"/>
                <w:szCs w:val="24"/>
                <w:highlight w:val="none"/>
              </w:rPr>
              <w:t>t</w:t>
            </w:r>
            <w:r>
              <w:rPr>
                <w:rFonts w:hint="eastAsia"/>
                <w:color w:val="auto"/>
                <w:sz w:val="24"/>
                <w:szCs w:val="24"/>
                <w:highlight w:val="none"/>
                <w:lang w:val="en-US" w:eastAsia="zh-CN"/>
              </w:rPr>
              <w:t>/d</w:t>
            </w:r>
            <w:r>
              <w:rPr>
                <w:rFonts w:hint="eastAsia"/>
                <w:color w:val="auto"/>
                <w:sz w:val="24"/>
                <w:szCs w:val="24"/>
                <w:highlight w:val="none"/>
              </w:rPr>
              <w:t>，与厂区内员工生活垃圾一同交由市政环卫部门处理，不会对周围环境产生影响。</w:t>
            </w:r>
          </w:p>
          <w:p w14:paraId="5CB0C6DE">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施工期的建筑垃圾应集中处理，分类收集并尽可能</w:t>
            </w:r>
            <w:r>
              <w:rPr>
                <w:rFonts w:hint="eastAsia"/>
                <w:color w:val="auto"/>
                <w:sz w:val="24"/>
                <w:szCs w:val="24"/>
                <w:highlight w:val="none"/>
                <w:lang w:eastAsia="zh-CN"/>
              </w:rPr>
              <w:t>地</w:t>
            </w:r>
            <w:r>
              <w:rPr>
                <w:rFonts w:hint="eastAsia"/>
                <w:color w:val="auto"/>
                <w:sz w:val="24"/>
                <w:szCs w:val="24"/>
                <w:highlight w:val="none"/>
              </w:rPr>
              <w:t>回收再利用，不能回收利用的则应及时清理出施工现场，并送往城市建筑垃圾处置场</w:t>
            </w:r>
            <w:r>
              <w:rPr>
                <w:rFonts w:hint="eastAsia"/>
                <w:color w:val="auto"/>
                <w:sz w:val="24"/>
                <w:szCs w:val="24"/>
                <w:highlight w:val="none"/>
                <w:lang w:val="en-US" w:eastAsia="zh-CN"/>
              </w:rPr>
              <w:t>集中</w:t>
            </w:r>
            <w:r>
              <w:rPr>
                <w:rFonts w:hint="eastAsia"/>
                <w:color w:val="auto"/>
                <w:sz w:val="24"/>
                <w:szCs w:val="24"/>
                <w:highlight w:val="none"/>
              </w:rPr>
              <w:t>处置。</w:t>
            </w:r>
          </w:p>
          <w:p w14:paraId="781E9A2A">
            <w:pPr>
              <w:keepNext w:val="0"/>
              <w:keepLines w:val="0"/>
              <w:suppressLineNumbers w:val="0"/>
              <w:spacing w:before="0" w:beforeAutospacing="0" w:after="0" w:afterAutospacing="0" w:line="360" w:lineRule="auto"/>
              <w:ind w:left="0" w:right="0" w:firstLine="480" w:firstLineChars="200"/>
              <w:rPr>
                <w:rFonts w:hint="default"/>
                <w:color w:val="auto"/>
                <w:sz w:val="24"/>
                <w:szCs w:val="24"/>
                <w:highlight w:val="none"/>
              </w:rPr>
            </w:pPr>
            <w:r>
              <w:rPr>
                <w:rFonts w:hint="eastAsia"/>
                <w:color w:val="auto"/>
                <w:sz w:val="24"/>
                <w:szCs w:val="24"/>
                <w:highlight w:val="none"/>
              </w:rPr>
              <w:t>施工过</w:t>
            </w:r>
            <w:r>
              <w:rPr>
                <w:rFonts w:hint="eastAsia"/>
                <w:color w:val="auto"/>
                <w:sz w:val="24"/>
                <w:szCs w:val="24"/>
                <w:highlight w:val="none"/>
                <w:lang w:eastAsia="zh-CN"/>
              </w:rPr>
              <w:t>程中</w:t>
            </w:r>
            <w:r>
              <w:rPr>
                <w:rFonts w:hint="eastAsia"/>
                <w:color w:val="auto"/>
                <w:sz w:val="24"/>
                <w:szCs w:val="24"/>
                <w:highlight w:val="none"/>
              </w:rPr>
              <w:t>产生的废焊条集中收集送废旧金属回收部门，对环境影响较小。</w:t>
            </w:r>
          </w:p>
          <w:p w14:paraId="1551229B">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rPr>
            </w:pPr>
            <w:r>
              <w:rPr>
                <w:rFonts w:hint="eastAsia"/>
                <w:color w:val="auto"/>
                <w:sz w:val="24"/>
                <w:szCs w:val="24"/>
                <w:highlight w:val="none"/>
              </w:rPr>
              <w:t>综上，项目在建设施工过程中会对周围环境带来一定的负面影响，但施工期的环境影响是阶段性和暂时性的，并且这种影响可以通过采取一定的防治措施得到缓解。</w:t>
            </w:r>
          </w:p>
          <w:p w14:paraId="77897CCE">
            <w:pPr>
              <w:keepNext w:val="0"/>
              <w:keepLines w:val="0"/>
              <w:pageBreakBefore w:val="0"/>
              <w:widowControl w:val="0"/>
              <w:kinsoku/>
              <w:wordWrap/>
              <w:overflowPunct/>
              <w:topLinePunct w:val="0"/>
              <w:bidi w:val="0"/>
              <w:snapToGrid/>
              <w:spacing w:line="360" w:lineRule="auto"/>
              <w:ind w:firstLine="0" w:firstLineChars="0"/>
              <w:jc w:val="left"/>
              <w:textAlignment w:val="auto"/>
              <w:rPr>
                <w:color w:val="auto"/>
                <w:sz w:val="24"/>
                <w:szCs w:val="24"/>
                <w:highlight w:val="none"/>
              </w:rPr>
            </w:pPr>
          </w:p>
          <w:p w14:paraId="7D10FD70">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373F2B98">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4AF7D134">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43D63185">
            <w:pPr>
              <w:keepNext w:val="0"/>
              <w:keepLines w:val="0"/>
              <w:pageBreakBefore w:val="0"/>
              <w:widowControl w:val="0"/>
              <w:kinsoku/>
              <w:wordWrap/>
              <w:overflowPunct/>
              <w:topLinePunct w:val="0"/>
              <w:bidi w:val="0"/>
              <w:snapToGrid/>
              <w:spacing w:line="360" w:lineRule="auto"/>
              <w:ind w:firstLine="0" w:firstLineChars="0"/>
              <w:jc w:val="left"/>
              <w:textAlignment w:val="auto"/>
              <w:rPr>
                <w:color w:val="auto"/>
                <w:sz w:val="24"/>
                <w:szCs w:val="24"/>
                <w:highlight w:val="none"/>
              </w:rPr>
            </w:pPr>
          </w:p>
          <w:p w14:paraId="5F616111">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17B01C4D">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32763F93">
            <w:pPr>
              <w:keepNext w:val="0"/>
              <w:keepLines w:val="0"/>
              <w:pageBreakBefore w:val="0"/>
              <w:widowControl w:val="0"/>
              <w:kinsoku/>
              <w:wordWrap/>
              <w:overflowPunct/>
              <w:topLinePunct w:val="0"/>
              <w:autoSpaceDE w:val="0"/>
              <w:autoSpaceDN w:val="0"/>
              <w:bidi w:val="0"/>
              <w:adjustRightInd w:val="0"/>
              <w:snapToGrid/>
              <w:spacing w:line="360" w:lineRule="auto"/>
              <w:ind w:firstLine="0" w:firstLineChars="0"/>
              <w:jc w:val="left"/>
              <w:textAlignment w:val="auto"/>
              <w:rPr>
                <w:color w:val="auto"/>
                <w:sz w:val="24"/>
                <w:szCs w:val="24"/>
                <w:highlight w:val="none"/>
              </w:rPr>
            </w:pPr>
          </w:p>
          <w:p w14:paraId="4FA813A4">
            <w:pPr>
              <w:autoSpaceDE w:val="0"/>
              <w:autoSpaceDN w:val="0"/>
              <w:adjustRightInd w:val="0"/>
              <w:spacing w:line="360" w:lineRule="auto"/>
              <w:rPr>
                <w:color w:val="auto"/>
                <w:kern w:val="0"/>
                <w:sz w:val="24"/>
                <w:highlight w:val="none"/>
              </w:rPr>
            </w:pPr>
          </w:p>
        </w:tc>
      </w:tr>
      <w:tr w14:paraId="5D197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65" w:hRule="atLeast"/>
        </w:trPr>
        <w:tc>
          <w:tcPr>
            <w:tcW w:w="555" w:type="dxa"/>
            <w:vAlign w:val="center"/>
          </w:tcPr>
          <w:p w14:paraId="14E10AA5">
            <w:pPr>
              <w:widowControl/>
              <w:spacing w:line="360" w:lineRule="auto"/>
              <w:jc w:val="center"/>
              <w:rPr>
                <w:bCs/>
                <w:color w:val="auto"/>
                <w:kern w:val="0"/>
                <w:sz w:val="24"/>
                <w:szCs w:val="24"/>
                <w:highlight w:val="none"/>
              </w:rPr>
            </w:pPr>
            <w:r>
              <w:rPr>
                <w:rFonts w:hint="eastAsia" w:hAnsi="宋体"/>
                <w:color w:val="auto"/>
                <w:kern w:val="0"/>
                <w:sz w:val="24"/>
                <w:highlight w:val="none"/>
              </w:rPr>
              <w:t>运营期环境影响和保护措施</w:t>
            </w:r>
          </w:p>
        </w:tc>
        <w:tc>
          <w:tcPr>
            <w:tcW w:w="8254" w:type="dxa"/>
          </w:tcPr>
          <w:p w14:paraId="1E49B4BB">
            <w:pPr>
              <w:spacing w:line="360" w:lineRule="auto"/>
              <w:ind w:firstLine="482" w:firstLineChars="200"/>
              <w:jc w:val="left"/>
              <w:rPr>
                <w:b/>
                <w:bCs/>
                <w:color w:val="auto"/>
                <w:sz w:val="24"/>
                <w:szCs w:val="28"/>
                <w:highlight w:val="none"/>
              </w:rPr>
            </w:pPr>
            <w:r>
              <w:rPr>
                <w:rFonts w:hint="eastAsia"/>
                <w:b/>
                <w:bCs/>
                <w:color w:val="auto"/>
                <w:sz w:val="24"/>
                <w:szCs w:val="28"/>
                <w:highlight w:val="none"/>
              </w:rPr>
              <w:t>一、大气污染源强及环境影响和保护措施</w:t>
            </w:r>
          </w:p>
          <w:p w14:paraId="102A918A">
            <w:pPr>
              <w:pStyle w:val="52"/>
              <w:spacing w:line="360" w:lineRule="auto"/>
              <w:ind w:firstLine="482" w:firstLineChars="200"/>
              <w:rPr>
                <w:rFonts w:hAnsi="宋体"/>
                <w:b/>
                <w:color w:val="auto"/>
                <w:highlight w:val="none"/>
              </w:rPr>
            </w:pPr>
            <w:r>
              <w:rPr>
                <w:rFonts w:hint="eastAsia" w:hAnsi="宋体"/>
                <w:b/>
                <w:color w:val="auto"/>
                <w:highlight w:val="none"/>
              </w:rPr>
              <w:t>1、大气源强</w:t>
            </w:r>
          </w:p>
          <w:p w14:paraId="4328A65F">
            <w:pPr>
              <w:pStyle w:val="52"/>
              <w:spacing w:line="360" w:lineRule="auto"/>
              <w:ind w:firstLine="480" w:firstLineChars="200"/>
              <w:rPr>
                <w:rFonts w:hAnsi="宋体"/>
                <w:color w:val="auto"/>
                <w:highlight w:val="none"/>
              </w:rPr>
            </w:pPr>
            <w:r>
              <w:rPr>
                <w:rFonts w:hint="eastAsia" w:hAnsi="宋体"/>
                <w:color w:val="auto"/>
                <w:highlight w:val="none"/>
              </w:rPr>
              <w:t>本项目</w:t>
            </w:r>
            <w:r>
              <w:rPr>
                <w:rFonts w:hint="eastAsia" w:hAnsi="宋体"/>
                <w:color w:val="auto"/>
                <w:highlight w:val="none"/>
                <w:lang w:val="en-US" w:eastAsia="zh-CN"/>
              </w:rPr>
              <w:t>新增丙烷、丁烷卸车、储存及充装，</w:t>
            </w:r>
            <w:r>
              <w:rPr>
                <w:rFonts w:hint="eastAsia" w:hAnsi="宋体"/>
                <w:color w:val="auto"/>
                <w:highlight w:val="none"/>
              </w:rPr>
              <w:t>运营期正常工况下不</w:t>
            </w:r>
            <w:r>
              <w:rPr>
                <w:rFonts w:hint="eastAsia" w:hAnsi="宋体"/>
                <w:color w:val="auto"/>
                <w:highlight w:val="none"/>
                <w:lang w:val="en-US" w:eastAsia="zh-CN"/>
              </w:rPr>
              <w:t>涉及</w:t>
            </w:r>
            <w:r>
              <w:rPr>
                <w:rFonts w:hint="eastAsia" w:hAnsi="宋体"/>
                <w:color w:val="auto"/>
                <w:highlight w:val="none"/>
              </w:rPr>
              <w:t>废气</w:t>
            </w:r>
            <w:r>
              <w:rPr>
                <w:rFonts w:hint="eastAsia" w:hAnsi="宋体"/>
                <w:color w:val="auto"/>
                <w:highlight w:val="none"/>
                <w:lang w:val="en-US" w:eastAsia="zh-CN"/>
              </w:rPr>
              <w:t>产生</w:t>
            </w:r>
            <w:r>
              <w:rPr>
                <w:rFonts w:hint="eastAsia" w:hAnsi="宋体"/>
                <w:color w:val="auto"/>
                <w:highlight w:val="none"/>
              </w:rPr>
              <w:t>。</w:t>
            </w:r>
          </w:p>
          <w:p w14:paraId="120DFA3E">
            <w:pPr>
              <w:spacing w:line="360" w:lineRule="auto"/>
              <w:ind w:firstLine="480" w:firstLineChars="200"/>
              <w:jc w:val="left"/>
              <w:rPr>
                <w:bCs/>
                <w:color w:val="auto"/>
                <w:sz w:val="24"/>
                <w:szCs w:val="28"/>
                <w:highlight w:val="none"/>
              </w:rPr>
            </w:pPr>
            <w:r>
              <w:rPr>
                <w:rFonts w:hint="eastAsia"/>
                <w:bCs/>
                <w:color w:val="auto"/>
                <w:sz w:val="24"/>
                <w:szCs w:val="28"/>
                <w:highlight w:val="none"/>
              </w:rPr>
              <w:t>（1）卸车环节</w:t>
            </w:r>
          </w:p>
          <w:p w14:paraId="1E0F8D2C">
            <w:pPr>
              <w:spacing w:line="360" w:lineRule="auto"/>
              <w:ind w:firstLine="480" w:firstLineChars="200"/>
              <w:jc w:val="left"/>
              <w:rPr>
                <w:rFonts w:hint="eastAsia" w:hAnsi="宋体"/>
                <w:color w:val="auto"/>
                <w:sz w:val="24"/>
                <w:highlight w:val="none"/>
                <w:lang w:val="en-US" w:eastAsia="zh-CN"/>
              </w:rPr>
            </w:pPr>
            <w:r>
              <w:rPr>
                <w:rFonts w:hint="eastAsia" w:hAnsi="宋体"/>
                <w:color w:val="auto"/>
                <w:sz w:val="24"/>
                <w:highlight w:val="none"/>
                <w:lang w:val="en-US" w:eastAsia="zh-CN"/>
              </w:rPr>
              <w:t>卸车前，不涉及管道吹扫置换环节，不产生置换废气。</w:t>
            </w:r>
          </w:p>
          <w:p w14:paraId="7C30B265">
            <w:pPr>
              <w:spacing w:line="360" w:lineRule="auto"/>
              <w:ind w:firstLine="480" w:firstLineChars="200"/>
              <w:jc w:val="left"/>
              <w:rPr>
                <w:bCs/>
                <w:color w:val="auto"/>
                <w:sz w:val="24"/>
                <w:szCs w:val="28"/>
                <w:highlight w:val="none"/>
              </w:rPr>
            </w:pPr>
            <w:r>
              <w:rPr>
                <w:rFonts w:hint="eastAsia"/>
                <w:bCs/>
                <w:color w:val="auto"/>
                <w:sz w:val="24"/>
                <w:szCs w:val="28"/>
                <w:highlight w:val="none"/>
                <w:lang w:val="en-US" w:eastAsia="zh-CN"/>
              </w:rPr>
              <w:t>本次新增丙烷、丁烷</w:t>
            </w:r>
            <w:r>
              <w:rPr>
                <w:rFonts w:hint="eastAsia"/>
                <w:bCs/>
                <w:color w:val="auto"/>
                <w:sz w:val="24"/>
                <w:szCs w:val="28"/>
                <w:highlight w:val="none"/>
              </w:rPr>
              <w:t>储罐</w:t>
            </w:r>
            <w:r>
              <w:rPr>
                <w:rFonts w:hint="eastAsia"/>
                <w:bCs/>
                <w:color w:val="auto"/>
                <w:sz w:val="24"/>
                <w:szCs w:val="28"/>
                <w:highlight w:val="none"/>
                <w:lang w:val="en-US" w:eastAsia="zh-CN"/>
              </w:rPr>
              <w:t>均为</w:t>
            </w:r>
            <w:r>
              <w:rPr>
                <w:rFonts w:hint="eastAsia"/>
                <w:bCs/>
                <w:color w:val="auto"/>
                <w:sz w:val="24"/>
                <w:szCs w:val="28"/>
                <w:highlight w:val="none"/>
              </w:rPr>
              <w:t>压力储罐，</w:t>
            </w:r>
            <w:r>
              <w:rPr>
                <w:rFonts w:hint="eastAsia"/>
                <w:bCs/>
                <w:color w:val="auto"/>
                <w:sz w:val="24"/>
                <w:szCs w:val="28"/>
                <w:highlight w:val="none"/>
                <w:lang w:val="en-US" w:eastAsia="zh-CN"/>
              </w:rPr>
              <w:t>卸车前</w:t>
            </w:r>
            <w:r>
              <w:rPr>
                <w:rFonts w:hint="eastAsia"/>
                <w:bCs/>
                <w:color w:val="auto"/>
                <w:sz w:val="24"/>
                <w:szCs w:val="28"/>
                <w:highlight w:val="none"/>
              </w:rPr>
              <w:t>卸车采用气相平衡管进行装卸，卸车过程中无废气产生；日常存储过程中无呼吸废气排放，偶有超压废气经</w:t>
            </w:r>
            <w:r>
              <w:rPr>
                <w:rFonts w:hint="eastAsia"/>
                <w:bCs/>
                <w:color w:val="auto"/>
                <w:sz w:val="24"/>
                <w:szCs w:val="28"/>
                <w:highlight w:val="none"/>
                <w:lang w:val="en-US" w:eastAsia="zh-CN"/>
              </w:rPr>
              <w:t>安全阀放空管</w:t>
            </w:r>
            <w:r>
              <w:rPr>
                <w:rFonts w:hint="eastAsia"/>
                <w:bCs/>
                <w:color w:val="auto"/>
                <w:sz w:val="24"/>
                <w:szCs w:val="28"/>
                <w:highlight w:val="none"/>
              </w:rPr>
              <w:t>泄放，可忽略不计。</w:t>
            </w:r>
          </w:p>
          <w:p w14:paraId="24448F29">
            <w:pPr>
              <w:spacing w:line="360" w:lineRule="auto"/>
              <w:ind w:firstLine="480" w:firstLineChars="200"/>
              <w:jc w:val="left"/>
              <w:rPr>
                <w:bCs/>
                <w:color w:val="auto"/>
                <w:sz w:val="24"/>
                <w:szCs w:val="28"/>
                <w:highlight w:val="none"/>
              </w:rPr>
            </w:pPr>
            <w:r>
              <w:rPr>
                <w:rFonts w:hint="eastAsia"/>
                <w:bCs/>
                <w:color w:val="auto"/>
                <w:sz w:val="24"/>
                <w:szCs w:val="28"/>
                <w:highlight w:val="none"/>
              </w:rPr>
              <w:t>（2）来瓶检测、氮气置换环节</w:t>
            </w:r>
          </w:p>
          <w:p w14:paraId="45229A04">
            <w:pPr>
              <w:spacing w:line="360" w:lineRule="auto"/>
              <w:ind w:firstLine="480" w:firstLineChars="200"/>
              <w:jc w:val="left"/>
              <w:rPr>
                <w:bCs/>
                <w:color w:val="auto"/>
                <w:sz w:val="24"/>
                <w:szCs w:val="28"/>
                <w:highlight w:val="none"/>
              </w:rPr>
            </w:pPr>
            <w:r>
              <w:rPr>
                <w:rFonts w:hint="eastAsia"/>
                <w:bCs/>
                <w:color w:val="auto"/>
                <w:sz w:val="24"/>
                <w:szCs w:val="28"/>
                <w:highlight w:val="none"/>
                <w:lang w:val="en-US" w:eastAsia="zh-CN"/>
              </w:rPr>
              <w:t>丙烷/丁烷</w:t>
            </w:r>
            <w:r>
              <w:rPr>
                <w:rFonts w:hint="eastAsia"/>
                <w:bCs/>
                <w:color w:val="auto"/>
                <w:sz w:val="24"/>
                <w:szCs w:val="28"/>
                <w:highlight w:val="none"/>
              </w:rPr>
              <w:t>新钢瓶入场时，先抽真空再采用氮气置换两次，然后再抽真空进行压力充装，充装过程无氮气产生。项目返厂钢瓶会残存0</w:t>
            </w:r>
            <w:r>
              <w:rPr>
                <w:bCs/>
                <w:color w:val="auto"/>
                <w:sz w:val="24"/>
                <w:szCs w:val="28"/>
                <w:highlight w:val="none"/>
              </w:rPr>
              <w:t>.05</w:t>
            </w:r>
            <w:r>
              <w:rPr>
                <w:rFonts w:hint="eastAsia"/>
                <w:bCs/>
                <w:color w:val="auto"/>
                <w:sz w:val="24"/>
                <w:szCs w:val="28"/>
                <w:highlight w:val="none"/>
              </w:rPr>
              <w:t>M</w:t>
            </w:r>
            <w:r>
              <w:rPr>
                <w:bCs/>
                <w:color w:val="auto"/>
                <w:sz w:val="24"/>
                <w:szCs w:val="28"/>
                <w:highlight w:val="none"/>
              </w:rPr>
              <w:t>pa</w:t>
            </w:r>
            <w:r>
              <w:rPr>
                <w:rFonts w:hint="eastAsia"/>
                <w:bCs/>
                <w:color w:val="auto"/>
                <w:sz w:val="24"/>
                <w:szCs w:val="28"/>
                <w:highlight w:val="none"/>
              </w:rPr>
              <w:t>压力，检测合格后可直接充装，无需抽残处理；返厂不合格钢瓶，直接返回钢瓶厂家进行维修，不在厂内维修处理，因此无废气产生。</w:t>
            </w:r>
          </w:p>
          <w:p w14:paraId="7AE5ADA4">
            <w:pPr>
              <w:spacing w:line="360" w:lineRule="auto"/>
              <w:ind w:firstLine="480" w:firstLineChars="200"/>
              <w:jc w:val="left"/>
              <w:rPr>
                <w:bCs/>
                <w:color w:val="auto"/>
                <w:sz w:val="24"/>
                <w:szCs w:val="28"/>
                <w:highlight w:val="none"/>
              </w:rPr>
            </w:pPr>
            <w:r>
              <w:rPr>
                <w:rFonts w:hint="eastAsia"/>
                <w:bCs/>
                <w:color w:val="auto"/>
                <w:sz w:val="24"/>
                <w:szCs w:val="28"/>
                <w:highlight w:val="none"/>
              </w:rPr>
              <w:t>（3）</w:t>
            </w:r>
            <w:r>
              <w:rPr>
                <w:rFonts w:hint="eastAsia"/>
                <w:bCs/>
                <w:color w:val="auto"/>
                <w:sz w:val="24"/>
                <w:szCs w:val="28"/>
                <w:highlight w:val="none"/>
                <w:lang w:val="en-US" w:eastAsia="zh-CN"/>
              </w:rPr>
              <w:t>丙烷/丁烷</w:t>
            </w:r>
            <w:r>
              <w:rPr>
                <w:rFonts w:hint="eastAsia"/>
                <w:bCs/>
                <w:color w:val="auto"/>
                <w:sz w:val="24"/>
                <w:szCs w:val="28"/>
                <w:highlight w:val="none"/>
              </w:rPr>
              <w:t>充装环节</w:t>
            </w:r>
          </w:p>
          <w:p w14:paraId="7B27025D">
            <w:pPr>
              <w:spacing w:line="360" w:lineRule="auto"/>
              <w:ind w:firstLine="480" w:firstLineChars="200"/>
              <w:jc w:val="left"/>
              <w:rPr>
                <w:bCs/>
                <w:color w:val="auto"/>
                <w:sz w:val="24"/>
                <w:szCs w:val="28"/>
                <w:highlight w:val="none"/>
              </w:rPr>
            </w:pPr>
            <w:r>
              <w:rPr>
                <w:rFonts w:hint="eastAsia"/>
                <w:bCs/>
                <w:color w:val="auto"/>
                <w:sz w:val="24"/>
                <w:szCs w:val="28"/>
                <w:highlight w:val="none"/>
                <w:lang w:val="en-US" w:eastAsia="zh-CN"/>
              </w:rPr>
              <w:t>丙烷/丁烷均</w:t>
            </w:r>
            <w:r>
              <w:rPr>
                <w:rFonts w:hint="eastAsia"/>
                <w:bCs/>
                <w:color w:val="auto"/>
                <w:sz w:val="24"/>
                <w:szCs w:val="28"/>
                <w:highlight w:val="none"/>
              </w:rPr>
              <w:t>为压力充装，每次充装结束后，管内保留部分</w:t>
            </w:r>
            <w:r>
              <w:rPr>
                <w:rFonts w:hint="eastAsia"/>
                <w:bCs/>
                <w:color w:val="auto"/>
                <w:sz w:val="24"/>
                <w:szCs w:val="28"/>
                <w:highlight w:val="none"/>
                <w:lang w:val="en-US" w:eastAsia="zh-CN"/>
              </w:rPr>
              <w:t>丙烷/丁烷</w:t>
            </w:r>
            <w:r>
              <w:rPr>
                <w:rFonts w:hint="eastAsia"/>
                <w:bCs/>
                <w:color w:val="auto"/>
                <w:sz w:val="24"/>
                <w:szCs w:val="28"/>
                <w:highlight w:val="none"/>
              </w:rPr>
              <w:t>气体维持正压，防止空气进入，管道密封性好。每次充装时，管道不需要进行氮气吹扫置换，因此生产过程中无废气产生。</w:t>
            </w:r>
          </w:p>
          <w:p w14:paraId="3208F06F">
            <w:pPr>
              <w:spacing w:line="360" w:lineRule="auto"/>
              <w:ind w:firstLine="480" w:firstLineChars="200"/>
              <w:jc w:val="left"/>
              <w:rPr>
                <w:bCs/>
                <w:color w:val="auto"/>
                <w:sz w:val="24"/>
                <w:szCs w:val="28"/>
                <w:highlight w:val="none"/>
              </w:rPr>
            </w:pPr>
            <w:r>
              <w:rPr>
                <w:rFonts w:hint="eastAsia"/>
                <w:bCs/>
                <w:color w:val="auto"/>
                <w:sz w:val="24"/>
                <w:szCs w:val="28"/>
                <w:highlight w:val="none"/>
              </w:rPr>
              <w:t>（4）运营期设备检修</w:t>
            </w:r>
          </w:p>
          <w:p w14:paraId="7ED5D825">
            <w:pPr>
              <w:pStyle w:val="52"/>
              <w:adjustRightInd/>
              <w:spacing w:line="360" w:lineRule="auto"/>
              <w:ind w:firstLine="480" w:firstLineChars="200"/>
              <w:rPr>
                <w:color w:val="auto"/>
                <w:highlight w:val="none"/>
              </w:rPr>
            </w:pPr>
            <w:r>
              <w:rPr>
                <w:rFonts w:hint="eastAsia"/>
                <w:color w:val="auto"/>
                <w:highlight w:val="none"/>
                <w:u w:val="none"/>
              </w:rPr>
              <w:t>运营期每</w:t>
            </w:r>
            <w:r>
              <w:rPr>
                <w:rFonts w:hint="eastAsia"/>
                <w:color w:val="auto"/>
                <w:highlight w:val="none"/>
                <w:u w:val="none"/>
                <w:lang w:val="en-US" w:eastAsia="zh-CN"/>
              </w:rPr>
              <w:t>5~6</w:t>
            </w:r>
            <w:r>
              <w:rPr>
                <w:rFonts w:hint="eastAsia"/>
                <w:color w:val="auto"/>
                <w:highlight w:val="none"/>
                <w:u w:val="none"/>
              </w:rPr>
              <w:t>年开展1次设备检修，检修前使用氮气对设备和管道进行吹扫</w:t>
            </w:r>
            <w:r>
              <w:rPr>
                <w:rFonts w:hint="eastAsia"/>
                <w:color w:val="auto"/>
                <w:highlight w:val="none"/>
                <w:u w:val="none"/>
                <w:lang w:val="en-US" w:eastAsia="zh-CN"/>
              </w:rPr>
              <w:t>1~2次后</w:t>
            </w:r>
            <w:r>
              <w:rPr>
                <w:rFonts w:hint="eastAsia"/>
                <w:color w:val="auto"/>
                <w:highlight w:val="none"/>
                <w:u w:val="none"/>
              </w:rPr>
              <w:t>将内部</w:t>
            </w:r>
            <w:r>
              <w:rPr>
                <w:rFonts w:hint="eastAsia"/>
                <w:color w:val="auto"/>
                <w:highlight w:val="none"/>
                <w:u w:val="none"/>
                <w:lang w:val="en-US" w:eastAsia="zh-CN"/>
              </w:rPr>
              <w:t>丙烷/丁烷</w:t>
            </w:r>
            <w:r>
              <w:rPr>
                <w:rFonts w:hint="eastAsia"/>
                <w:color w:val="auto"/>
                <w:highlight w:val="none"/>
                <w:u w:val="none"/>
              </w:rPr>
              <w:t>全部置换并抽真空</w:t>
            </w:r>
            <w:r>
              <w:rPr>
                <w:rFonts w:hint="eastAsia"/>
                <w:color w:val="auto"/>
                <w:highlight w:val="none"/>
                <w:u w:val="none"/>
                <w:lang w:eastAsia="zh-CN"/>
              </w:rPr>
              <w:t>，</w:t>
            </w:r>
            <w:r>
              <w:rPr>
                <w:rFonts w:hint="eastAsia"/>
                <w:color w:val="auto"/>
                <w:highlight w:val="none"/>
                <w:u w:val="none"/>
                <w:lang w:val="en-US" w:eastAsia="zh-CN"/>
              </w:rPr>
              <w:t>再使用高压水枪对罐内进行冲洗，产生的储罐冲洗废液中含部分罐底残液，废液及时由有资质的第三方检维修公司清罐后带走处置，不在厂区内暂存</w:t>
            </w:r>
            <w:r>
              <w:rPr>
                <w:rFonts w:hint="eastAsia"/>
                <w:color w:val="auto"/>
                <w:highlight w:val="none"/>
                <w:u w:val="none"/>
              </w:rPr>
              <w:t>；检修后再次使用氮气对设备和管道进行吹扫，清除管道内</w:t>
            </w:r>
            <w:r>
              <w:rPr>
                <w:rFonts w:hint="eastAsia"/>
                <w:color w:val="auto"/>
                <w:highlight w:val="none"/>
                <w:u w:val="none"/>
                <w:lang w:val="en-US" w:eastAsia="zh-CN"/>
              </w:rPr>
              <w:t>丙烷/丁烷</w:t>
            </w:r>
            <w:r>
              <w:rPr>
                <w:rFonts w:hint="eastAsia"/>
                <w:color w:val="auto"/>
                <w:highlight w:val="none"/>
                <w:u w:val="none"/>
              </w:rPr>
              <w:t>、空气及杂质，吹扫完成后管道可保持清洁状态，</w:t>
            </w:r>
            <w:r>
              <w:rPr>
                <w:rFonts w:hint="eastAsia"/>
                <w:color w:val="auto"/>
                <w:highlight w:val="none"/>
                <w:u w:val="none"/>
                <w:lang w:val="en-US" w:eastAsia="zh-CN"/>
              </w:rPr>
              <w:t>管道</w:t>
            </w:r>
            <w:r>
              <w:rPr>
                <w:rFonts w:hint="eastAsia"/>
                <w:color w:val="auto"/>
                <w:highlight w:val="none"/>
                <w:u w:val="none"/>
              </w:rPr>
              <w:t>无需再清洗。</w:t>
            </w:r>
            <w:r>
              <w:rPr>
                <w:rFonts w:hint="eastAsia"/>
                <w:bCs/>
                <w:color w:val="auto"/>
                <w:szCs w:val="28"/>
                <w:highlight w:val="none"/>
                <w:u w:val="none"/>
              </w:rPr>
              <w:t>因此设备检修过程中无废气产生</w:t>
            </w:r>
            <w:r>
              <w:rPr>
                <w:rFonts w:hint="eastAsia"/>
                <w:bCs/>
                <w:color w:val="auto"/>
                <w:szCs w:val="28"/>
                <w:highlight w:val="none"/>
              </w:rPr>
              <w:t>。</w:t>
            </w:r>
          </w:p>
          <w:p w14:paraId="60D221E9">
            <w:pPr>
              <w:spacing w:line="360" w:lineRule="auto"/>
              <w:ind w:firstLine="482" w:firstLineChars="200"/>
              <w:jc w:val="left"/>
              <w:rPr>
                <w:b/>
                <w:bCs/>
                <w:color w:val="auto"/>
                <w:sz w:val="24"/>
                <w:szCs w:val="28"/>
                <w:highlight w:val="none"/>
              </w:rPr>
            </w:pPr>
            <w:r>
              <w:rPr>
                <w:rFonts w:hint="eastAsia"/>
                <w:b/>
                <w:bCs/>
                <w:color w:val="auto"/>
                <w:sz w:val="24"/>
                <w:szCs w:val="28"/>
                <w:highlight w:val="none"/>
              </w:rPr>
              <w:t>2、大气环境防护距离</w:t>
            </w:r>
          </w:p>
          <w:p w14:paraId="6E24184B">
            <w:pPr>
              <w:spacing w:line="360" w:lineRule="auto"/>
              <w:ind w:firstLine="480" w:firstLineChars="200"/>
              <w:jc w:val="left"/>
              <w:rPr>
                <w:bCs/>
                <w:color w:val="auto"/>
                <w:sz w:val="24"/>
                <w:szCs w:val="28"/>
                <w:highlight w:val="none"/>
              </w:rPr>
            </w:pPr>
            <w:r>
              <w:rPr>
                <w:bCs/>
                <w:color w:val="auto"/>
                <w:sz w:val="24"/>
                <w:szCs w:val="28"/>
                <w:highlight w:val="none"/>
              </w:rPr>
              <w:t>（</w:t>
            </w:r>
            <w:r>
              <w:rPr>
                <w:rFonts w:hint="eastAsia"/>
                <w:bCs/>
                <w:color w:val="auto"/>
                <w:sz w:val="24"/>
                <w:szCs w:val="28"/>
                <w:highlight w:val="none"/>
              </w:rPr>
              <w:t>1</w:t>
            </w:r>
            <w:r>
              <w:rPr>
                <w:bCs/>
                <w:color w:val="auto"/>
                <w:sz w:val="24"/>
                <w:szCs w:val="28"/>
                <w:highlight w:val="none"/>
              </w:rPr>
              <w:t>）大气环境防护距离</w:t>
            </w:r>
          </w:p>
          <w:p w14:paraId="4324E72A">
            <w:pPr>
              <w:spacing w:line="360" w:lineRule="auto"/>
              <w:ind w:firstLine="480" w:firstLineChars="200"/>
              <w:jc w:val="left"/>
              <w:rPr>
                <w:bCs/>
                <w:color w:val="auto"/>
                <w:sz w:val="24"/>
                <w:szCs w:val="28"/>
                <w:highlight w:val="none"/>
              </w:rPr>
            </w:pPr>
            <w:r>
              <w:rPr>
                <w:bCs/>
                <w:color w:val="auto"/>
                <w:sz w:val="24"/>
                <w:szCs w:val="28"/>
                <w:highlight w:val="none"/>
              </w:rPr>
              <w:t>本</w:t>
            </w:r>
            <w:r>
              <w:rPr>
                <w:rFonts w:hint="eastAsia"/>
                <w:bCs/>
                <w:color w:val="auto"/>
                <w:sz w:val="24"/>
                <w:szCs w:val="28"/>
                <w:highlight w:val="none"/>
                <w:lang w:val="en-US" w:eastAsia="zh-CN"/>
              </w:rPr>
              <w:t>次改建</w:t>
            </w:r>
            <w:r>
              <w:rPr>
                <w:bCs/>
                <w:color w:val="auto"/>
                <w:sz w:val="24"/>
                <w:szCs w:val="28"/>
                <w:highlight w:val="none"/>
              </w:rPr>
              <w:t>项目运营期正常工况下不产生废气，因此不设置大气环境防护距离。</w:t>
            </w:r>
          </w:p>
          <w:p w14:paraId="4502D967">
            <w:pPr>
              <w:spacing w:line="360" w:lineRule="auto"/>
              <w:ind w:firstLine="480" w:firstLineChars="200"/>
              <w:jc w:val="left"/>
              <w:rPr>
                <w:bCs/>
                <w:color w:val="auto"/>
                <w:sz w:val="24"/>
                <w:szCs w:val="28"/>
                <w:highlight w:val="none"/>
              </w:rPr>
            </w:pPr>
            <w:r>
              <w:rPr>
                <w:bCs/>
                <w:color w:val="auto"/>
                <w:sz w:val="24"/>
                <w:szCs w:val="28"/>
                <w:highlight w:val="none"/>
              </w:rPr>
              <w:t>（</w:t>
            </w:r>
            <w:r>
              <w:rPr>
                <w:rFonts w:hint="eastAsia"/>
                <w:bCs/>
                <w:color w:val="auto"/>
                <w:sz w:val="24"/>
                <w:szCs w:val="28"/>
                <w:highlight w:val="none"/>
              </w:rPr>
              <w:t>2</w:t>
            </w:r>
            <w:r>
              <w:rPr>
                <w:bCs/>
                <w:color w:val="auto"/>
                <w:sz w:val="24"/>
                <w:szCs w:val="28"/>
                <w:highlight w:val="none"/>
              </w:rPr>
              <w:t>）卫生防护距离</w:t>
            </w:r>
          </w:p>
          <w:p w14:paraId="6DB4946A">
            <w:pPr>
              <w:spacing w:line="360" w:lineRule="auto"/>
              <w:ind w:firstLine="480" w:firstLineChars="200"/>
              <w:rPr>
                <w:rFonts w:hAnsi="宋体"/>
                <w:color w:val="auto"/>
                <w:sz w:val="24"/>
                <w:highlight w:val="none"/>
              </w:rPr>
            </w:pPr>
            <w:r>
              <w:rPr>
                <w:bCs/>
                <w:color w:val="auto"/>
                <w:sz w:val="24"/>
                <w:szCs w:val="28"/>
                <w:highlight w:val="none"/>
              </w:rPr>
              <w:t>本</w:t>
            </w:r>
            <w:r>
              <w:rPr>
                <w:rFonts w:hint="eastAsia"/>
                <w:bCs/>
                <w:color w:val="auto"/>
                <w:sz w:val="24"/>
                <w:szCs w:val="28"/>
                <w:highlight w:val="none"/>
                <w:lang w:val="en-US" w:eastAsia="zh-CN"/>
              </w:rPr>
              <w:t>次改建</w:t>
            </w:r>
            <w:r>
              <w:rPr>
                <w:bCs/>
                <w:color w:val="auto"/>
                <w:sz w:val="24"/>
                <w:szCs w:val="28"/>
                <w:highlight w:val="none"/>
              </w:rPr>
              <w:t>项目</w:t>
            </w:r>
            <w:r>
              <w:rPr>
                <w:rFonts w:hint="eastAsia" w:hAnsi="宋体"/>
                <w:color w:val="auto"/>
                <w:sz w:val="24"/>
                <w:highlight w:val="none"/>
              </w:rPr>
              <w:t>运营期正常工况下不产生废气，因此不设置卫生防护距离。</w:t>
            </w:r>
          </w:p>
          <w:p w14:paraId="1247AB6D">
            <w:pPr>
              <w:spacing w:line="360" w:lineRule="auto"/>
              <w:ind w:firstLine="480" w:firstLineChars="200"/>
              <w:jc w:val="left"/>
              <w:rPr>
                <w:bCs/>
                <w:color w:val="auto"/>
                <w:sz w:val="24"/>
                <w:szCs w:val="28"/>
                <w:highlight w:val="none"/>
              </w:rPr>
            </w:pPr>
            <w:r>
              <w:rPr>
                <w:bCs/>
                <w:color w:val="auto"/>
                <w:sz w:val="24"/>
                <w:szCs w:val="28"/>
                <w:highlight w:val="none"/>
              </w:rPr>
              <w:t>（</w:t>
            </w:r>
            <w:r>
              <w:rPr>
                <w:rFonts w:hint="eastAsia"/>
                <w:bCs/>
                <w:color w:val="auto"/>
                <w:sz w:val="24"/>
                <w:szCs w:val="28"/>
                <w:highlight w:val="none"/>
              </w:rPr>
              <w:t>3</w:t>
            </w:r>
            <w:r>
              <w:rPr>
                <w:bCs/>
                <w:color w:val="auto"/>
                <w:sz w:val="24"/>
                <w:szCs w:val="28"/>
                <w:highlight w:val="none"/>
              </w:rPr>
              <w:t>）风险环境防护距离</w:t>
            </w:r>
          </w:p>
          <w:p w14:paraId="23389C16">
            <w:pPr>
              <w:spacing w:line="360" w:lineRule="auto"/>
              <w:ind w:firstLine="480" w:firstLineChars="200"/>
              <w:jc w:val="left"/>
              <w:rPr>
                <w:rFonts w:hint="default" w:eastAsia="宋体"/>
                <w:bCs/>
                <w:color w:val="auto"/>
                <w:sz w:val="24"/>
                <w:szCs w:val="28"/>
                <w:highlight w:val="none"/>
                <w:lang w:val="en-US" w:eastAsia="zh-CN"/>
              </w:rPr>
            </w:pPr>
            <w:r>
              <w:rPr>
                <w:rFonts w:hint="eastAsia"/>
                <w:bCs/>
                <w:color w:val="auto"/>
                <w:sz w:val="24"/>
                <w:szCs w:val="28"/>
                <w:highlight w:val="none"/>
                <w:lang w:val="en-US" w:eastAsia="zh-CN"/>
              </w:rPr>
              <w:t>根据调查，现有厂区已设置300m风险防护距离。</w:t>
            </w:r>
          </w:p>
          <w:p w14:paraId="1A6EAC6A">
            <w:pPr>
              <w:spacing w:line="360" w:lineRule="auto"/>
              <w:ind w:firstLine="480" w:firstLineChars="200"/>
              <w:jc w:val="left"/>
              <w:rPr>
                <w:bCs/>
                <w:color w:val="auto"/>
                <w:sz w:val="24"/>
                <w:szCs w:val="28"/>
                <w:highlight w:val="none"/>
              </w:rPr>
            </w:pPr>
            <w:r>
              <w:rPr>
                <w:rFonts w:hint="eastAsia"/>
                <w:bCs/>
                <w:color w:val="auto"/>
                <w:sz w:val="24"/>
                <w:szCs w:val="28"/>
                <w:highlight w:val="none"/>
                <w:lang w:val="en-US" w:eastAsia="zh-CN"/>
              </w:rPr>
              <w:t>结合本次改建项目</w:t>
            </w:r>
            <w:r>
              <w:rPr>
                <w:bCs/>
                <w:color w:val="auto"/>
                <w:sz w:val="24"/>
                <w:szCs w:val="28"/>
                <w:highlight w:val="none"/>
              </w:rPr>
              <w:t>环境风险专项预测和评价，</w:t>
            </w:r>
            <w:r>
              <w:rPr>
                <w:rFonts w:hint="eastAsia"/>
                <w:bCs/>
                <w:color w:val="auto"/>
                <w:sz w:val="24"/>
                <w:szCs w:val="28"/>
                <w:highlight w:val="none"/>
                <w:lang w:val="en-US" w:eastAsia="zh-CN"/>
              </w:rPr>
              <w:t>全厂</w:t>
            </w:r>
            <w:r>
              <w:rPr>
                <w:bCs/>
                <w:color w:val="auto"/>
                <w:sz w:val="24"/>
                <w:szCs w:val="28"/>
                <w:highlight w:val="none"/>
              </w:rPr>
              <w:t>最不利</w:t>
            </w:r>
            <w:r>
              <w:rPr>
                <w:rFonts w:hint="eastAsia"/>
                <w:bCs/>
                <w:color w:val="auto"/>
                <w:sz w:val="24"/>
                <w:szCs w:val="28"/>
                <w:highlight w:val="none"/>
                <w:lang w:val="en-US" w:eastAsia="zh-CN"/>
              </w:rPr>
              <w:t>事故</w:t>
            </w:r>
            <w:r>
              <w:rPr>
                <w:bCs/>
                <w:color w:val="auto"/>
                <w:sz w:val="24"/>
                <w:szCs w:val="28"/>
                <w:highlight w:val="none"/>
              </w:rPr>
              <w:t>情形下，</w:t>
            </w:r>
            <w:r>
              <w:rPr>
                <w:rFonts w:hint="eastAsia"/>
                <w:bCs/>
                <w:color w:val="auto"/>
                <w:sz w:val="24"/>
                <w:szCs w:val="28"/>
                <w:highlight w:val="none"/>
                <w:lang w:val="en-US" w:eastAsia="zh-CN"/>
              </w:rPr>
              <w:t>乙烯、丙烷或丁烷储罐卸车鹤管管道全管径破损突发</w:t>
            </w:r>
            <w:r>
              <w:rPr>
                <w:bCs/>
                <w:color w:val="auto"/>
                <w:sz w:val="24"/>
                <w:szCs w:val="28"/>
                <w:highlight w:val="none"/>
              </w:rPr>
              <w:t>泄漏</w:t>
            </w:r>
            <w:r>
              <w:rPr>
                <w:rFonts w:hint="eastAsia"/>
                <w:bCs/>
                <w:color w:val="auto"/>
                <w:sz w:val="24"/>
                <w:szCs w:val="28"/>
                <w:highlight w:val="none"/>
                <w:lang w:val="en-US" w:eastAsia="zh-CN"/>
              </w:rPr>
              <w:t>引发</w:t>
            </w:r>
            <w:r>
              <w:rPr>
                <w:bCs/>
                <w:color w:val="auto"/>
                <w:sz w:val="24"/>
                <w:szCs w:val="28"/>
                <w:highlight w:val="none"/>
              </w:rPr>
              <w:t>火灾、爆炸，在最不利气象条件下，火灾伴生</w:t>
            </w:r>
            <w:r>
              <w:rPr>
                <w:rFonts w:hint="eastAsia"/>
                <w:bCs/>
                <w:color w:val="auto"/>
                <w:sz w:val="24"/>
                <w:szCs w:val="28"/>
                <w:highlight w:val="none"/>
              </w:rPr>
              <w:t>/次生CO事故</w:t>
            </w:r>
            <w:r>
              <w:rPr>
                <w:rFonts w:hint="eastAsia"/>
                <w:bCs/>
                <w:color w:val="auto"/>
                <w:sz w:val="24"/>
                <w:szCs w:val="28"/>
                <w:highlight w:val="none"/>
                <w:lang w:val="en-US" w:eastAsia="zh-CN"/>
              </w:rPr>
              <w:t>未超出</w:t>
            </w:r>
            <w:r>
              <w:rPr>
                <w:rFonts w:hint="eastAsia"/>
                <w:bCs/>
                <w:color w:val="auto"/>
                <w:sz w:val="24"/>
                <w:szCs w:val="28"/>
                <w:highlight w:val="none"/>
              </w:rPr>
              <w:t>CO大气毒性终点浓度</w:t>
            </w:r>
            <w:r>
              <w:rPr>
                <w:rFonts w:hint="eastAsia"/>
                <w:bCs/>
                <w:color w:val="auto"/>
                <w:sz w:val="24"/>
                <w:szCs w:val="28"/>
                <w:highlight w:val="none"/>
                <w:lang w:val="en-US" w:eastAsia="zh-CN"/>
              </w:rPr>
              <w:t>-</w:t>
            </w:r>
            <w:r>
              <w:rPr>
                <w:rFonts w:hint="eastAsia"/>
                <w:bCs/>
                <w:color w:val="auto"/>
                <w:sz w:val="24"/>
                <w:szCs w:val="28"/>
                <w:highlight w:val="none"/>
              </w:rPr>
              <w:t>1</w:t>
            </w:r>
            <w:r>
              <w:rPr>
                <w:rFonts w:hint="eastAsia"/>
                <w:bCs/>
                <w:color w:val="auto"/>
                <w:sz w:val="24"/>
                <w:szCs w:val="28"/>
                <w:highlight w:val="none"/>
                <w:lang w:val="en-US" w:eastAsia="zh-CN"/>
              </w:rPr>
              <w:t>阈值</w:t>
            </w:r>
            <w:r>
              <w:rPr>
                <w:rFonts w:hint="eastAsia"/>
                <w:bCs/>
                <w:color w:val="auto"/>
                <w:sz w:val="24"/>
                <w:szCs w:val="28"/>
                <w:highlight w:val="none"/>
              </w:rPr>
              <w:t>，达到CO大气毒性终点浓度</w:t>
            </w:r>
            <w:r>
              <w:rPr>
                <w:rFonts w:hint="eastAsia"/>
                <w:bCs/>
                <w:color w:val="auto"/>
                <w:sz w:val="24"/>
                <w:szCs w:val="28"/>
                <w:highlight w:val="none"/>
                <w:lang w:val="en-US" w:eastAsia="zh-CN"/>
              </w:rPr>
              <w:t>-</w:t>
            </w:r>
            <w:r>
              <w:rPr>
                <w:rFonts w:hint="eastAsia"/>
                <w:bCs/>
                <w:color w:val="auto"/>
                <w:sz w:val="24"/>
                <w:szCs w:val="28"/>
                <w:highlight w:val="none"/>
              </w:rPr>
              <w:t>2的最大距离为</w:t>
            </w:r>
            <w:r>
              <w:rPr>
                <w:rFonts w:hint="eastAsia"/>
                <w:bCs/>
                <w:color w:val="auto"/>
                <w:sz w:val="24"/>
                <w:szCs w:val="28"/>
                <w:highlight w:val="none"/>
                <w:lang w:val="en-US" w:eastAsia="zh-CN"/>
              </w:rPr>
              <w:t>280</w:t>
            </w:r>
            <w:r>
              <w:rPr>
                <w:rFonts w:hint="eastAsia"/>
                <w:bCs/>
                <w:color w:val="auto"/>
                <w:sz w:val="24"/>
                <w:szCs w:val="28"/>
                <w:highlight w:val="none"/>
              </w:rPr>
              <w:t>m。因此，对周边环境影响最大距离为300m，</w:t>
            </w:r>
            <w:r>
              <w:rPr>
                <w:rFonts w:hint="eastAsia"/>
                <w:bCs/>
                <w:color w:val="auto"/>
                <w:sz w:val="24"/>
                <w:szCs w:val="28"/>
                <w:highlight w:val="none"/>
                <w:lang w:val="en-US" w:eastAsia="zh-CN"/>
              </w:rPr>
              <w:t>与现有厂区</w:t>
            </w:r>
            <w:r>
              <w:rPr>
                <w:rFonts w:hint="eastAsia"/>
                <w:bCs/>
                <w:color w:val="auto"/>
                <w:sz w:val="24"/>
                <w:szCs w:val="28"/>
                <w:highlight w:val="none"/>
              </w:rPr>
              <w:t>300m风险防护距离</w:t>
            </w:r>
            <w:r>
              <w:rPr>
                <w:rFonts w:hint="eastAsia"/>
                <w:bCs/>
                <w:color w:val="auto"/>
                <w:sz w:val="24"/>
                <w:szCs w:val="28"/>
                <w:highlight w:val="none"/>
                <w:lang w:val="en-US" w:eastAsia="zh-CN"/>
              </w:rPr>
              <w:t>保持一致</w:t>
            </w:r>
            <w:r>
              <w:rPr>
                <w:rFonts w:hint="eastAsia"/>
                <w:bCs/>
                <w:color w:val="auto"/>
                <w:sz w:val="24"/>
                <w:szCs w:val="28"/>
                <w:highlight w:val="none"/>
              </w:rPr>
              <w:t>。</w:t>
            </w:r>
          </w:p>
          <w:p w14:paraId="4A2E7C56">
            <w:pPr>
              <w:spacing w:line="360" w:lineRule="auto"/>
              <w:ind w:firstLine="482" w:firstLineChars="200"/>
              <w:jc w:val="left"/>
              <w:rPr>
                <w:rFonts w:hint="default" w:eastAsia="宋体"/>
                <w:b/>
                <w:bCs/>
                <w:color w:val="auto"/>
                <w:sz w:val="24"/>
                <w:szCs w:val="28"/>
                <w:highlight w:val="none"/>
                <w:lang w:val="en-US" w:eastAsia="zh-CN"/>
              </w:rPr>
            </w:pPr>
            <w:r>
              <w:rPr>
                <w:rFonts w:hint="eastAsia"/>
                <w:b/>
                <w:bCs/>
                <w:color w:val="auto"/>
                <w:sz w:val="24"/>
                <w:szCs w:val="28"/>
                <w:highlight w:val="none"/>
                <w:lang w:val="en-US" w:eastAsia="zh-CN"/>
              </w:rPr>
              <w:t>具体评价内容见</w:t>
            </w:r>
            <w:r>
              <w:rPr>
                <w:b/>
                <w:bCs/>
                <w:color w:val="auto"/>
                <w:sz w:val="24"/>
                <w:szCs w:val="28"/>
                <w:highlight w:val="none"/>
              </w:rPr>
              <w:t>环境风险专项</w:t>
            </w:r>
            <w:r>
              <w:rPr>
                <w:rFonts w:hint="eastAsia"/>
                <w:b/>
                <w:bCs/>
                <w:color w:val="auto"/>
                <w:sz w:val="24"/>
                <w:szCs w:val="28"/>
                <w:highlight w:val="none"/>
                <w:lang w:val="en-US" w:eastAsia="zh-CN"/>
              </w:rPr>
              <w:t>评价。</w:t>
            </w:r>
          </w:p>
          <w:p w14:paraId="54DF8394">
            <w:pPr>
              <w:spacing w:line="360" w:lineRule="auto"/>
              <w:ind w:firstLine="482" w:firstLineChars="200"/>
              <w:jc w:val="left"/>
              <w:rPr>
                <w:b/>
                <w:color w:val="auto"/>
                <w:sz w:val="24"/>
                <w:highlight w:val="none"/>
              </w:rPr>
            </w:pPr>
            <w:r>
              <w:rPr>
                <w:rFonts w:hint="eastAsia"/>
                <w:b/>
                <w:bCs/>
                <w:color w:val="auto"/>
                <w:sz w:val="24"/>
                <w:szCs w:val="28"/>
                <w:highlight w:val="none"/>
              </w:rPr>
              <w:t>二、废水污染源强及环境影响和保护措施</w:t>
            </w:r>
          </w:p>
          <w:p w14:paraId="1BBD9358">
            <w:pPr>
              <w:spacing w:line="360" w:lineRule="auto"/>
              <w:ind w:firstLine="480" w:firstLineChars="200"/>
              <w:jc w:val="left"/>
              <w:rPr>
                <w:rFonts w:hint="default" w:eastAsia="宋体"/>
                <w:b/>
                <w:snapToGrid w:val="0"/>
                <w:color w:val="auto"/>
                <w:kern w:val="0"/>
                <w:sz w:val="24"/>
                <w:highlight w:val="none"/>
                <w:lang w:val="en-US" w:eastAsia="zh-CN"/>
              </w:rPr>
            </w:pPr>
            <w:r>
              <w:rPr>
                <w:rFonts w:hint="eastAsia"/>
                <w:color w:val="auto"/>
                <w:sz w:val="24"/>
                <w:highlight w:val="none"/>
              </w:rPr>
              <w:t>根据建设项目工程分析内容，</w:t>
            </w:r>
            <w:r>
              <w:rPr>
                <w:rFonts w:hint="eastAsia"/>
                <w:color w:val="auto"/>
                <w:sz w:val="24"/>
                <w:highlight w:val="none"/>
                <w:lang w:eastAsia="zh-CN"/>
              </w:rPr>
              <w:t>本项目</w:t>
            </w:r>
            <w:r>
              <w:rPr>
                <w:rFonts w:hint="eastAsia"/>
                <w:color w:val="auto"/>
                <w:sz w:val="24"/>
                <w:highlight w:val="none"/>
              </w:rPr>
              <w:t>不新增</w:t>
            </w:r>
            <w:r>
              <w:rPr>
                <w:rFonts w:hint="eastAsia"/>
                <w:color w:val="auto"/>
                <w:sz w:val="24"/>
                <w:highlight w:val="none"/>
                <w:lang w:val="en-US" w:eastAsia="zh-CN"/>
              </w:rPr>
              <w:t>劳动定员、不新增</w:t>
            </w:r>
            <w:r>
              <w:rPr>
                <w:rFonts w:hint="eastAsia"/>
                <w:color w:val="auto"/>
                <w:sz w:val="24"/>
                <w:highlight w:val="none"/>
              </w:rPr>
              <w:t>生活污水</w:t>
            </w:r>
            <w:r>
              <w:rPr>
                <w:rFonts w:hint="eastAsia"/>
                <w:color w:val="auto"/>
                <w:sz w:val="24"/>
                <w:highlight w:val="none"/>
                <w:lang w:eastAsia="zh-CN"/>
              </w:rPr>
              <w:t>，</w:t>
            </w:r>
            <w:r>
              <w:rPr>
                <w:rFonts w:hint="eastAsia"/>
                <w:color w:val="auto"/>
                <w:sz w:val="24"/>
                <w:highlight w:val="none"/>
                <w:lang w:val="en-US" w:eastAsia="zh-CN"/>
              </w:rPr>
              <w:t>不新增生产废水，现有厂区生活污水经厂区化粪池预处理达标后接管至淮南经济技术开发区污水处理厂处理，因此，无需开展废水污染源强分析。</w:t>
            </w:r>
          </w:p>
          <w:p w14:paraId="6568C735">
            <w:pPr>
              <w:spacing w:line="360" w:lineRule="auto"/>
              <w:ind w:firstLine="482" w:firstLineChars="200"/>
              <w:jc w:val="left"/>
              <w:rPr>
                <w:b/>
                <w:snapToGrid w:val="0"/>
                <w:color w:val="auto"/>
                <w:kern w:val="0"/>
                <w:sz w:val="24"/>
                <w:highlight w:val="none"/>
              </w:rPr>
            </w:pPr>
            <w:r>
              <w:rPr>
                <w:rFonts w:hint="eastAsia"/>
                <w:b/>
                <w:snapToGrid w:val="0"/>
                <w:color w:val="auto"/>
                <w:kern w:val="0"/>
                <w:sz w:val="24"/>
                <w:highlight w:val="none"/>
              </w:rPr>
              <w:t>三、</w:t>
            </w:r>
            <w:r>
              <w:rPr>
                <w:rFonts w:hAnsi="宋体"/>
                <w:b/>
                <w:snapToGrid w:val="0"/>
                <w:color w:val="auto"/>
                <w:kern w:val="0"/>
                <w:sz w:val="24"/>
                <w:highlight w:val="none"/>
              </w:rPr>
              <w:t>噪声源强</w:t>
            </w:r>
            <w:r>
              <w:rPr>
                <w:rFonts w:hint="eastAsia"/>
                <w:b/>
                <w:bCs/>
                <w:color w:val="auto"/>
                <w:sz w:val="24"/>
                <w:szCs w:val="28"/>
                <w:highlight w:val="none"/>
              </w:rPr>
              <w:t>及环境影响和污染防治措施</w:t>
            </w:r>
          </w:p>
          <w:p w14:paraId="0A57CD96">
            <w:pPr>
              <w:spacing w:line="360" w:lineRule="auto"/>
              <w:ind w:firstLine="482" w:firstLineChars="200"/>
              <w:rPr>
                <w:b/>
                <w:color w:val="auto"/>
                <w:sz w:val="24"/>
                <w:highlight w:val="none"/>
              </w:rPr>
            </w:pPr>
            <w:r>
              <w:rPr>
                <w:rFonts w:hint="eastAsia"/>
                <w:b/>
                <w:color w:val="auto"/>
                <w:sz w:val="24"/>
                <w:highlight w:val="none"/>
              </w:rPr>
              <w:t>1、噪声源强</w:t>
            </w:r>
          </w:p>
          <w:p w14:paraId="7691C61A">
            <w:pPr>
              <w:spacing w:line="360" w:lineRule="auto"/>
              <w:ind w:firstLine="480" w:firstLineChars="200"/>
              <w:rPr>
                <w:color w:val="auto"/>
                <w:sz w:val="24"/>
                <w:highlight w:val="none"/>
              </w:rPr>
            </w:pPr>
            <w:r>
              <w:rPr>
                <w:rFonts w:hint="eastAsia"/>
                <w:color w:val="auto"/>
                <w:sz w:val="24"/>
                <w:highlight w:val="none"/>
              </w:rPr>
              <w:t>本</w:t>
            </w:r>
            <w:r>
              <w:rPr>
                <w:rFonts w:hint="eastAsia"/>
                <w:color w:val="auto"/>
                <w:sz w:val="24"/>
                <w:highlight w:val="none"/>
                <w:lang w:val="en-US" w:eastAsia="zh-CN"/>
              </w:rPr>
              <w:t>次改建项目运营</w:t>
            </w:r>
            <w:r>
              <w:rPr>
                <w:rFonts w:hint="eastAsia"/>
                <w:color w:val="auto"/>
                <w:sz w:val="24"/>
                <w:highlight w:val="none"/>
              </w:rPr>
              <w:t>期</w:t>
            </w:r>
            <w:r>
              <w:rPr>
                <w:rFonts w:hint="eastAsia"/>
                <w:color w:val="auto"/>
                <w:sz w:val="24"/>
                <w:highlight w:val="none"/>
                <w:lang w:val="en-US" w:eastAsia="zh-CN"/>
              </w:rPr>
              <w:t>新增</w:t>
            </w:r>
            <w:r>
              <w:rPr>
                <w:rFonts w:hint="eastAsia"/>
                <w:color w:val="auto"/>
                <w:sz w:val="24"/>
                <w:highlight w:val="none"/>
              </w:rPr>
              <w:t>噪声源主要为</w:t>
            </w:r>
            <w:r>
              <w:rPr>
                <w:rFonts w:hint="eastAsia"/>
                <w:color w:val="auto"/>
                <w:sz w:val="24"/>
                <w:highlight w:val="none"/>
                <w:lang w:val="en-US" w:eastAsia="zh-CN"/>
              </w:rPr>
              <w:t>丙烷压缩机、丁烷压缩机、丙烷出料泵、丁烷出料泵</w:t>
            </w:r>
            <w:r>
              <w:rPr>
                <w:rFonts w:hint="eastAsia"/>
                <w:color w:val="auto"/>
                <w:sz w:val="24"/>
                <w:highlight w:val="none"/>
              </w:rPr>
              <w:t>，</w:t>
            </w:r>
            <w:r>
              <w:rPr>
                <w:rFonts w:hint="eastAsia"/>
                <w:color w:val="auto"/>
                <w:sz w:val="24"/>
                <w:highlight w:val="none"/>
                <w:lang w:val="en-US" w:eastAsia="zh-CN"/>
              </w:rPr>
              <w:t>新增噪声源均为室外声源，</w:t>
            </w:r>
            <w:r>
              <w:rPr>
                <w:rFonts w:hint="eastAsia"/>
                <w:color w:val="auto"/>
                <w:sz w:val="24"/>
                <w:highlight w:val="none"/>
              </w:rPr>
              <w:t>项目的设备噪声强度见下表。</w:t>
            </w:r>
          </w:p>
          <w:p w14:paraId="35EC90B6">
            <w:pPr>
              <w:spacing w:line="360" w:lineRule="auto"/>
              <w:jc w:val="center"/>
              <w:rPr>
                <w:rFonts w:hAnsi="黑体" w:eastAsia="黑体"/>
                <w:color w:val="auto"/>
                <w:sz w:val="24"/>
                <w:szCs w:val="24"/>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4-1</w:t>
            </w:r>
            <w:r>
              <w:rPr>
                <w:rFonts w:hAnsi="黑体" w:eastAsia="黑体"/>
                <w:color w:val="auto"/>
                <w:sz w:val="24"/>
                <w:szCs w:val="24"/>
                <w:highlight w:val="none"/>
              </w:rPr>
              <w:t xml:space="preserve"> </w:t>
            </w:r>
            <w:r>
              <w:rPr>
                <w:rFonts w:hint="eastAsia" w:hAnsi="黑体" w:eastAsia="黑体"/>
                <w:color w:val="auto"/>
                <w:sz w:val="24"/>
                <w:szCs w:val="24"/>
                <w:highlight w:val="none"/>
              </w:rPr>
              <w:t>工业企业噪声源强调查清单（室外声源）</w:t>
            </w:r>
          </w:p>
          <w:tbl>
            <w:tblPr>
              <w:tblStyle w:val="37"/>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60"/>
              <w:gridCol w:w="1320"/>
              <w:gridCol w:w="893"/>
              <w:gridCol w:w="893"/>
              <w:gridCol w:w="892"/>
              <w:gridCol w:w="898"/>
              <w:gridCol w:w="896"/>
              <w:gridCol w:w="891"/>
              <w:gridCol w:w="891"/>
            </w:tblGrid>
            <w:tr w14:paraId="0910ED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Merge w:val="restart"/>
                  <w:vAlign w:val="center"/>
                </w:tcPr>
                <w:p w14:paraId="34F10407">
                  <w:pPr>
                    <w:spacing w:line="276" w:lineRule="auto"/>
                    <w:jc w:val="center"/>
                    <w:rPr>
                      <w:b/>
                      <w:color w:val="auto"/>
                      <w:szCs w:val="21"/>
                      <w:highlight w:val="none"/>
                    </w:rPr>
                  </w:pPr>
                  <w:r>
                    <w:rPr>
                      <w:rFonts w:hAnsi="宋体"/>
                      <w:b/>
                      <w:color w:val="auto"/>
                      <w:szCs w:val="21"/>
                      <w:highlight w:val="none"/>
                    </w:rPr>
                    <w:t>序号</w:t>
                  </w:r>
                </w:p>
              </w:tc>
              <w:tc>
                <w:tcPr>
                  <w:tcW w:w="1320" w:type="dxa"/>
                  <w:vMerge w:val="restart"/>
                  <w:vAlign w:val="center"/>
                </w:tcPr>
                <w:p w14:paraId="1F7E2889">
                  <w:pPr>
                    <w:spacing w:line="276" w:lineRule="auto"/>
                    <w:jc w:val="center"/>
                    <w:rPr>
                      <w:b/>
                      <w:color w:val="auto"/>
                      <w:szCs w:val="21"/>
                      <w:highlight w:val="none"/>
                    </w:rPr>
                  </w:pPr>
                  <w:r>
                    <w:rPr>
                      <w:rFonts w:hAnsi="宋体"/>
                      <w:b/>
                      <w:color w:val="auto"/>
                      <w:szCs w:val="21"/>
                      <w:highlight w:val="none"/>
                    </w:rPr>
                    <w:t>声源名称</w:t>
                  </w:r>
                </w:p>
              </w:tc>
              <w:tc>
                <w:tcPr>
                  <w:tcW w:w="2678" w:type="dxa"/>
                  <w:gridSpan w:val="3"/>
                  <w:vAlign w:val="center"/>
                </w:tcPr>
                <w:p w14:paraId="06C722D4">
                  <w:pPr>
                    <w:spacing w:line="276" w:lineRule="auto"/>
                    <w:jc w:val="center"/>
                    <w:rPr>
                      <w:b/>
                      <w:color w:val="auto"/>
                      <w:szCs w:val="21"/>
                      <w:highlight w:val="none"/>
                    </w:rPr>
                  </w:pPr>
                  <w:r>
                    <w:rPr>
                      <w:rFonts w:hAnsi="宋体"/>
                      <w:b/>
                      <w:color w:val="auto"/>
                      <w:szCs w:val="21"/>
                      <w:highlight w:val="none"/>
                    </w:rPr>
                    <w:t>空间相对位置</w:t>
                  </w:r>
                </w:p>
              </w:tc>
              <w:tc>
                <w:tcPr>
                  <w:tcW w:w="898" w:type="dxa"/>
                  <w:vAlign w:val="center"/>
                </w:tcPr>
                <w:p w14:paraId="5890BA33">
                  <w:pPr>
                    <w:spacing w:line="276" w:lineRule="auto"/>
                    <w:jc w:val="center"/>
                    <w:rPr>
                      <w:b/>
                      <w:color w:val="auto"/>
                      <w:szCs w:val="21"/>
                      <w:highlight w:val="none"/>
                    </w:rPr>
                  </w:pPr>
                  <w:r>
                    <w:rPr>
                      <w:rFonts w:hAnsi="宋体"/>
                      <w:b/>
                      <w:color w:val="auto"/>
                      <w:szCs w:val="21"/>
                      <w:highlight w:val="none"/>
                    </w:rPr>
                    <w:t>声源源强</w:t>
                  </w:r>
                </w:p>
              </w:tc>
              <w:tc>
                <w:tcPr>
                  <w:tcW w:w="896" w:type="dxa"/>
                  <w:vMerge w:val="restart"/>
                  <w:vAlign w:val="center"/>
                </w:tcPr>
                <w:p w14:paraId="02AA8317">
                  <w:pPr>
                    <w:spacing w:line="276" w:lineRule="auto"/>
                    <w:jc w:val="center"/>
                    <w:rPr>
                      <w:b/>
                      <w:color w:val="auto"/>
                      <w:szCs w:val="21"/>
                      <w:highlight w:val="none"/>
                    </w:rPr>
                  </w:pPr>
                  <w:r>
                    <w:rPr>
                      <w:rFonts w:hAnsi="宋体"/>
                      <w:b/>
                      <w:color w:val="auto"/>
                      <w:szCs w:val="21"/>
                      <w:highlight w:val="none"/>
                    </w:rPr>
                    <w:t>声源控制措施</w:t>
                  </w:r>
                </w:p>
              </w:tc>
              <w:tc>
                <w:tcPr>
                  <w:tcW w:w="891" w:type="dxa"/>
                  <w:vMerge w:val="restart"/>
                  <w:vAlign w:val="center"/>
                </w:tcPr>
                <w:p w14:paraId="5D8B98B5">
                  <w:pPr>
                    <w:spacing w:line="276" w:lineRule="auto"/>
                    <w:jc w:val="center"/>
                    <w:rPr>
                      <w:rFonts w:hAnsi="宋体"/>
                      <w:b/>
                      <w:color w:val="auto"/>
                      <w:szCs w:val="21"/>
                      <w:highlight w:val="none"/>
                    </w:rPr>
                  </w:pPr>
                  <w:r>
                    <w:rPr>
                      <w:rFonts w:hAnsi="宋体"/>
                      <w:b/>
                      <w:color w:val="auto"/>
                      <w:szCs w:val="21"/>
                      <w:highlight w:val="none"/>
                    </w:rPr>
                    <w:t>运行</w:t>
                  </w:r>
                </w:p>
                <w:p w14:paraId="47BC5141">
                  <w:pPr>
                    <w:spacing w:line="276" w:lineRule="auto"/>
                    <w:jc w:val="center"/>
                    <w:rPr>
                      <w:b/>
                      <w:color w:val="auto"/>
                      <w:szCs w:val="21"/>
                      <w:highlight w:val="none"/>
                    </w:rPr>
                  </w:pPr>
                  <w:r>
                    <w:rPr>
                      <w:rFonts w:hAnsi="宋体"/>
                      <w:b/>
                      <w:color w:val="auto"/>
                      <w:szCs w:val="21"/>
                      <w:highlight w:val="none"/>
                    </w:rPr>
                    <w:t>时段</w:t>
                  </w:r>
                </w:p>
              </w:tc>
              <w:tc>
                <w:tcPr>
                  <w:tcW w:w="891" w:type="dxa"/>
                  <w:vMerge w:val="restart"/>
                  <w:vAlign w:val="center"/>
                </w:tcPr>
                <w:p w14:paraId="7171BD7D">
                  <w:pPr>
                    <w:spacing w:line="276" w:lineRule="auto"/>
                    <w:jc w:val="center"/>
                    <w:rPr>
                      <w:rFonts w:hint="eastAsia" w:hAnsi="宋体"/>
                      <w:b/>
                      <w:color w:val="auto"/>
                      <w:szCs w:val="21"/>
                      <w:highlight w:val="none"/>
                      <w:lang w:val="en-US" w:eastAsia="zh-CN"/>
                    </w:rPr>
                  </w:pPr>
                  <w:r>
                    <w:rPr>
                      <w:rFonts w:hint="eastAsia" w:hAnsi="宋体"/>
                      <w:b/>
                      <w:color w:val="auto"/>
                      <w:szCs w:val="21"/>
                      <w:highlight w:val="none"/>
                      <w:lang w:val="en-US" w:eastAsia="zh-CN"/>
                    </w:rPr>
                    <w:t>降噪效果</w:t>
                  </w:r>
                </w:p>
                <w:p w14:paraId="52D599C4">
                  <w:pPr>
                    <w:spacing w:line="276" w:lineRule="auto"/>
                    <w:jc w:val="center"/>
                    <w:rPr>
                      <w:rFonts w:hint="eastAsia" w:hAnsi="宋体" w:eastAsia="宋体"/>
                      <w:b/>
                      <w:color w:val="auto"/>
                      <w:szCs w:val="21"/>
                      <w:highlight w:val="none"/>
                      <w:lang w:val="en-US" w:eastAsia="zh-CN"/>
                    </w:rPr>
                  </w:pPr>
                  <w:r>
                    <w:rPr>
                      <w:rFonts w:hint="default" w:ascii="Times New Roman" w:hAnsi="Times New Roman" w:eastAsia="宋体" w:cs="Times New Roman"/>
                      <w:b/>
                      <w:color w:val="auto"/>
                      <w:szCs w:val="21"/>
                      <w:highlight w:val="none"/>
                    </w:rPr>
                    <w:t>dB</w:t>
                  </w:r>
                  <w:r>
                    <w:rPr>
                      <w:rFonts w:hint="eastAsia" w:ascii="Times New Roman" w:hAnsi="Times New Roman" w:eastAsia="宋体" w:cs="Times New Roman"/>
                      <w:b/>
                      <w:color w:val="auto"/>
                      <w:szCs w:val="21"/>
                      <w:highlight w:val="none"/>
                    </w:rPr>
                    <w:t>（</w:t>
                  </w:r>
                  <w:r>
                    <w:rPr>
                      <w:rFonts w:hint="default" w:ascii="Times New Roman" w:hAnsi="Times New Roman" w:eastAsia="宋体" w:cs="Times New Roman"/>
                      <w:b/>
                      <w:color w:val="auto"/>
                      <w:szCs w:val="21"/>
                      <w:highlight w:val="none"/>
                    </w:rPr>
                    <w:t>A</w:t>
                  </w:r>
                  <w:r>
                    <w:rPr>
                      <w:rFonts w:hint="eastAsia" w:ascii="Times New Roman" w:hAnsi="Times New Roman" w:eastAsia="宋体" w:cs="Times New Roman"/>
                      <w:b/>
                      <w:color w:val="auto"/>
                      <w:szCs w:val="21"/>
                      <w:highlight w:val="none"/>
                    </w:rPr>
                    <w:t>）</w:t>
                  </w:r>
                </w:p>
              </w:tc>
            </w:tr>
            <w:tr w14:paraId="250F65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Merge w:val="continue"/>
                  <w:vAlign w:val="center"/>
                </w:tcPr>
                <w:p w14:paraId="48B9962B">
                  <w:pPr>
                    <w:spacing w:line="276" w:lineRule="auto"/>
                    <w:jc w:val="center"/>
                    <w:rPr>
                      <w:color w:val="auto"/>
                      <w:szCs w:val="21"/>
                      <w:highlight w:val="none"/>
                    </w:rPr>
                  </w:pPr>
                </w:p>
              </w:tc>
              <w:tc>
                <w:tcPr>
                  <w:tcW w:w="1320" w:type="dxa"/>
                  <w:vMerge w:val="continue"/>
                  <w:vAlign w:val="center"/>
                </w:tcPr>
                <w:p w14:paraId="0AB54585">
                  <w:pPr>
                    <w:spacing w:line="276" w:lineRule="auto"/>
                    <w:jc w:val="center"/>
                    <w:rPr>
                      <w:color w:val="auto"/>
                      <w:szCs w:val="21"/>
                      <w:highlight w:val="none"/>
                    </w:rPr>
                  </w:pPr>
                </w:p>
              </w:tc>
              <w:tc>
                <w:tcPr>
                  <w:tcW w:w="893" w:type="dxa"/>
                  <w:vAlign w:val="center"/>
                </w:tcPr>
                <w:p w14:paraId="49AE2CFF">
                  <w:pPr>
                    <w:spacing w:line="276" w:lineRule="auto"/>
                    <w:jc w:val="center"/>
                    <w:rPr>
                      <w:b/>
                      <w:color w:val="auto"/>
                      <w:szCs w:val="21"/>
                      <w:highlight w:val="none"/>
                    </w:rPr>
                  </w:pPr>
                  <w:r>
                    <w:rPr>
                      <w:rFonts w:hint="eastAsia"/>
                      <w:b/>
                      <w:color w:val="auto"/>
                      <w:szCs w:val="21"/>
                      <w:highlight w:val="none"/>
                    </w:rPr>
                    <w:t>X</w:t>
                  </w:r>
                </w:p>
              </w:tc>
              <w:tc>
                <w:tcPr>
                  <w:tcW w:w="893" w:type="dxa"/>
                  <w:vAlign w:val="center"/>
                </w:tcPr>
                <w:p w14:paraId="62B41A00">
                  <w:pPr>
                    <w:spacing w:line="276" w:lineRule="auto"/>
                    <w:jc w:val="center"/>
                    <w:rPr>
                      <w:b/>
                      <w:color w:val="auto"/>
                      <w:szCs w:val="21"/>
                      <w:highlight w:val="none"/>
                    </w:rPr>
                  </w:pPr>
                  <w:r>
                    <w:rPr>
                      <w:rFonts w:hint="eastAsia"/>
                      <w:b/>
                      <w:color w:val="auto"/>
                      <w:szCs w:val="21"/>
                      <w:highlight w:val="none"/>
                    </w:rPr>
                    <w:t>Y</w:t>
                  </w:r>
                </w:p>
              </w:tc>
              <w:tc>
                <w:tcPr>
                  <w:tcW w:w="892" w:type="dxa"/>
                  <w:vAlign w:val="center"/>
                </w:tcPr>
                <w:p w14:paraId="7DDB0C12">
                  <w:pPr>
                    <w:spacing w:line="276" w:lineRule="auto"/>
                    <w:jc w:val="center"/>
                    <w:rPr>
                      <w:b/>
                      <w:color w:val="auto"/>
                      <w:szCs w:val="21"/>
                      <w:highlight w:val="none"/>
                    </w:rPr>
                  </w:pPr>
                  <w:r>
                    <w:rPr>
                      <w:rFonts w:hint="eastAsia"/>
                      <w:b/>
                      <w:color w:val="auto"/>
                      <w:szCs w:val="21"/>
                      <w:highlight w:val="none"/>
                    </w:rPr>
                    <w:t>Z</w:t>
                  </w:r>
                </w:p>
              </w:tc>
              <w:tc>
                <w:tcPr>
                  <w:tcW w:w="898" w:type="dxa"/>
                  <w:vAlign w:val="center"/>
                </w:tcPr>
                <w:p w14:paraId="23169D32">
                  <w:pPr>
                    <w:spacing w:line="276" w:lineRule="auto"/>
                    <w:jc w:val="center"/>
                    <w:rPr>
                      <w:b/>
                      <w:color w:val="auto"/>
                      <w:szCs w:val="21"/>
                      <w:highlight w:val="none"/>
                    </w:rPr>
                  </w:pPr>
                  <w:r>
                    <w:rPr>
                      <w:rFonts w:hint="eastAsia"/>
                      <w:b/>
                      <w:color w:val="auto"/>
                      <w:szCs w:val="21"/>
                      <w:highlight w:val="none"/>
                      <w:lang w:val="en-US" w:eastAsia="zh-CN"/>
                    </w:rPr>
                    <w:t>距声源1m处的</w:t>
                  </w:r>
                  <w:r>
                    <w:rPr>
                      <w:rFonts w:hint="eastAsia"/>
                      <w:b/>
                      <w:color w:val="auto"/>
                      <w:szCs w:val="21"/>
                      <w:highlight w:val="none"/>
                    </w:rPr>
                    <w:t>声压级/dB（A）</w:t>
                  </w:r>
                </w:p>
              </w:tc>
              <w:tc>
                <w:tcPr>
                  <w:tcW w:w="896" w:type="dxa"/>
                  <w:vMerge w:val="continue"/>
                  <w:vAlign w:val="center"/>
                </w:tcPr>
                <w:p w14:paraId="282018CD">
                  <w:pPr>
                    <w:spacing w:line="276" w:lineRule="auto"/>
                    <w:jc w:val="center"/>
                    <w:rPr>
                      <w:color w:val="auto"/>
                      <w:szCs w:val="21"/>
                      <w:highlight w:val="none"/>
                    </w:rPr>
                  </w:pPr>
                </w:p>
              </w:tc>
              <w:tc>
                <w:tcPr>
                  <w:tcW w:w="891" w:type="dxa"/>
                  <w:vMerge w:val="continue"/>
                  <w:vAlign w:val="center"/>
                </w:tcPr>
                <w:p w14:paraId="7745B2E3">
                  <w:pPr>
                    <w:spacing w:line="276" w:lineRule="auto"/>
                    <w:jc w:val="center"/>
                    <w:rPr>
                      <w:color w:val="auto"/>
                      <w:szCs w:val="21"/>
                      <w:highlight w:val="none"/>
                    </w:rPr>
                  </w:pPr>
                </w:p>
              </w:tc>
              <w:tc>
                <w:tcPr>
                  <w:tcW w:w="891" w:type="dxa"/>
                  <w:vMerge w:val="continue"/>
                  <w:vAlign w:val="center"/>
                </w:tcPr>
                <w:p w14:paraId="207BBD46">
                  <w:pPr>
                    <w:spacing w:line="276" w:lineRule="auto"/>
                    <w:jc w:val="center"/>
                    <w:rPr>
                      <w:color w:val="auto"/>
                      <w:szCs w:val="21"/>
                      <w:highlight w:val="none"/>
                    </w:rPr>
                  </w:pPr>
                </w:p>
              </w:tc>
            </w:tr>
            <w:tr w14:paraId="511EFD5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Align w:val="center"/>
                </w:tcPr>
                <w:p w14:paraId="64281AB1">
                  <w:pPr>
                    <w:spacing w:line="276" w:lineRule="auto"/>
                    <w:jc w:val="center"/>
                    <w:rPr>
                      <w:color w:val="auto"/>
                      <w:szCs w:val="21"/>
                      <w:highlight w:val="none"/>
                    </w:rPr>
                  </w:pPr>
                  <w:r>
                    <w:rPr>
                      <w:rFonts w:hint="eastAsia"/>
                      <w:color w:val="auto"/>
                      <w:szCs w:val="21"/>
                      <w:highlight w:val="none"/>
                    </w:rPr>
                    <w:t>1</w:t>
                  </w:r>
                </w:p>
              </w:tc>
              <w:tc>
                <w:tcPr>
                  <w:tcW w:w="1320" w:type="dxa"/>
                  <w:vAlign w:val="center"/>
                </w:tcPr>
                <w:p w14:paraId="5B461FDF">
                  <w:pPr>
                    <w:spacing w:line="276" w:lineRule="auto"/>
                    <w:jc w:val="center"/>
                    <w:rPr>
                      <w:color w:val="auto"/>
                      <w:szCs w:val="21"/>
                      <w:highlight w:val="none"/>
                    </w:rPr>
                  </w:pPr>
                  <w:r>
                    <w:rPr>
                      <w:rFonts w:hint="eastAsia"/>
                      <w:color w:val="auto"/>
                      <w:szCs w:val="21"/>
                      <w:highlight w:val="none"/>
                    </w:rPr>
                    <w:t>丙烷压缩机</w:t>
                  </w:r>
                </w:p>
              </w:tc>
              <w:tc>
                <w:tcPr>
                  <w:tcW w:w="893" w:type="dxa"/>
                  <w:vAlign w:val="center"/>
                </w:tcPr>
                <w:p w14:paraId="601A25D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51.3</w:t>
                  </w:r>
                </w:p>
              </w:tc>
              <w:tc>
                <w:tcPr>
                  <w:tcW w:w="893" w:type="dxa"/>
                  <w:vAlign w:val="center"/>
                </w:tcPr>
                <w:p w14:paraId="31DB7C8B">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1.2</w:t>
                  </w:r>
                </w:p>
              </w:tc>
              <w:tc>
                <w:tcPr>
                  <w:tcW w:w="892" w:type="dxa"/>
                  <w:vAlign w:val="center"/>
                </w:tcPr>
                <w:p w14:paraId="7FE99555">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898" w:type="dxa"/>
                  <w:vAlign w:val="center"/>
                </w:tcPr>
                <w:p w14:paraId="2CEF5E7C">
                  <w:pPr>
                    <w:spacing w:line="276" w:lineRule="auto"/>
                    <w:jc w:val="center"/>
                    <w:rPr>
                      <w:color w:val="auto"/>
                      <w:szCs w:val="21"/>
                      <w:highlight w:val="none"/>
                    </w:rPr>
                  </w:pPr>
                  <w:r>
                    <w:rPr>
                      <w:rFonts w:hint="eastAsia"/>
                      <w:color w:val="auto"/>
                      <w:szCs w:val="21"/>
                      <w:highlight w:val="none"/>
                    </w:rPr>
                    <w:t>85</w:t>
                  </w:r>
                </w:p>
              </w:tc>
              <w:tc>
                <w:tcPr>
                  <w:tcW w:w="896" w:type="dxa"/>
                  <w:vMerge w:val="restart"/>
                  <w:vAlign w:val="center"/>
                </w:tcPr>
                <w:p w14:paraId="466397C1">
                  <w:pPr>
                    <w:spacing w:line="276" w:lineRule="auto"/>
                    <w:jc w:val="center"/>
                    <w:rPr>
                      <w:rFonts w:hint="eastAsia"/>
                      <w:color w:val="auto"/>
                      <w:szCs w:val="21"/>
                      <w:highlight w:val="none"/>
                      <w:lang w:val="en-US" w:eastAsia="zh-CN"/>
                    </w:rPr>
                  </w:pPr>
                  <w:r>
                    <w:rPr>
                      <w:rFonts w:hint="eastAsia"/>
                      <w:color w:val="auto"/>
                      <w:szCs w:val="21"/>
                      <w:highlight w:val="none"/>
                      <w:lang w:val="en-US" w:eastAsia="zh-CN"/>
                    </w:rPr>
                    <w:t>基础</w:t>
                  </w:r>
                </w:p>
                <w:p w14:paraId="5A33B736">
                  <w:pPr>
                    <w:spacing w:line="276" w:lineRule="auto"/>
                    <w:jc w:val="center"/>
                    <w:rPr>
                      <w:color w:val="auto"/>
                      <w:szCs w:val="21"/>
                      <w:highlight w:val="none"/>
                    </w:rPr>
                  </w:pPr>
                  <w:r>
                    <w:rPr>
                      <w:color w:val="auto"/>
                      <w:szCs w:val="21"/>
                      <w:highlight w:val="none"/>
                    </w:rPr>
                    <w:t>减振</w:t>
                  </w:r>
                </w:p>
              </w:tc>
              <w:tc>
                <w:tcPr>
                  <w:tcW w:w="891" w:type="dxa"/>
                  <w:vAlign w:val="center"/>
                </w:tcPr>
                <w:p w14:paraId="32553826">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昼间</w:t>
                  </w:r>
                </w:p>
              </w:tc>
              <w:tc>
                <w:tcPr>
                  <w:tcW w:w="891" w:type="dxa"/>
                  <w:vAlign w:val="center"/>
                </w:tcPr>
                <w:p w14:paraId="076226C2">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w:t>
                  </w:r>
                </w:p>
              </w:tc>
            </w:tr>
            <w:tr w14:paraId="6BB6DEA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Align w:val="center"/>
                </w:tcPr>
                <w:p w14:paraId="1A5977BD">
                  <w:pPr>
                    <w:spacing w:line="276" w:lineRule="auto"/>
                    <w:jc w:val="center"/>
                    <w:rPr>
                      <w:color w:val="auto"/>
                      <w:szCs w:val="21"/>
                      <w:highlight w:val="none"/>
                    </w:rPr>
                  </w:pPr>
                  <w:r>
                    <w:rPr>
                      <w:rFonts w:hint="eastAsia"/>
                      <w:color w:val="auto"/>
                      <w:szCs w:val="21"/>
                      <w:highlight w:val="none"/>
                    </w:rPr>
                    <w:t>2</w:t>
                  </w:r>
                </w:p>
              </w:tc>
              <w:tc>
                <w:tcPr>
                  <w:tcW w:w="1320" w:type="dxa"/>
                  <w:vAlign w:val="center"/>
                </w:tcPr>
                <w:p w14:paraId="03D3A110">
                  <w:pPr>
                    <w:spacing w:line="276" w:lineRule="auto"/>
                    <w:jc w:val="center"/>
                    <w:rPr>
                      <w:color w:val="auto"/>
                      <w:szCs w:val="21"/>
                      <w:highlight w:val="none"/>
                    </w:rPr>
                  </w:pPr>
                  <w:r>
                    <w:rPr>
                      <w:rFonts w:hint="eastAsia"/>
                      <w:color w:val="auto"/>
                      <w:szCs w:val="21"/>
                      <w:highlight w:val="none"/>
                      <w:lang w:val="en-US" w:eastAsia="zh-CN"/>
                    </w:rPr>
                    <w:t>丁</w:t>
                  </w:r>
                  <w:r>
                    <w:rPr>
                      <w:rFonts w:hint="eastAsia"/>
                      <w:color w:val="auto"/>
                      <w:szCs w:val="21"/>
                      <w:highlight w:val="none"/>
                    </w:rPr>
                    <w:t>烷压缩机</w:t>
                  </w:r>
                </w:p>
              </w:tc>
              <w:tc>
                <w:tcPr>
                  <w:tcW w:w="893" w:type="dxa"/>
                  <w:vAlign w:val="center"/>
                </w:tcPr>
                <w:p w14:paraId="663E276A">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50.4</w:t>
                  </w:r>
                </w:p>
              </w:tc>
              <w:tc>
                <w:tcPr>
                  <w:tcW w:w="893" w:type="dxa"/>
                  <w:vAlign w:val="center"/>
                </w:tcPr>
                <w:p w14:paraId="0FA2414B">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6.0</w:t>
                  </w:r>
                </w:p>
              </w:tc>
              <w:tc>
                <w:tcPr>
                  <w:tcW w:w="892" w:type="dxa"/>
                  <w:vAlign w:val="center"/>
                </w:tcPr>
                <w:p w14:paraId="5D2CA816">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898" w:type="dxa"/>
                  <w:vAlign w:val="center"/>
                </w:tcPr>
                <w:p w14:paraId="0D478710">
                  <w:pPr>
                    <w:spacing w:line="276" w:lineRule="auto"/>
                    <w:jc w:val="center"/>
                    <w:rPr>
                      <w:color w:val="auto"/>
                      <w:szCs w:val="21"/>
                      <w:highlight w:val="none"/>
                    </w:rPr>
                  </w:pPr>
                  <w:r>
                    <w:rPr>
                      <w:rFonts w:hint="eastAsia"/>
                      <w:color w:val="auto"/>
                      <w:szCs w:val="21"/>
                      <w:highlight w:val="none"/>
                    </w:rPr>
                    <w:t>85</w:t>
                  </w:r>
                </w:p>
              </w:tc>
              <w:tc>
                <w:tcPr>
                  <w:tcW w:w="896" w:type="dxa"/>
                  <w:vMerge w:val="continue"/>
                  <w:vAlign w:val="center"/>
                </w:tcPr>
                <w:p w14:paraId="7B816599">
                  <w:pPr>
                    <w:spacing w:line="276" w:lineRule="auto"/>
                    <w:jc w:val="center"/>
                    <w:rPr>
                      <w:color w:val="auto"/>
                      <w:szCs w:val="21"/>
                      <w:highlight w:val="none"/>
                    </w:rPr>
                  </w:pPr>
                </w:p>
              </w:tc>
              <w:tc>
                <w:tcPr>
                  <w:tcW w:w="891" w:type="dxa"/>
                  <w:vAlign w:val="center"/>
                </w:tcPr>
                <w:p w14:paraId="5DF3C73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昼间</w:t>
                  </w:r>
                </w:p>
              </w:tc>
              <w:tc>
                <w:tcPr>
                  <w:tcW w:w="891" w:type="dxa"/>
                  <w:vAlign w:val="center"/>
                </w:tcPr>
                <w:p w14:paraId="78A0447C">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w:t>
                  </w:r>
                </w:p>
              </w:tc>
            </w:tr>
            <w:tr w14:paraId="25CDFC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Align w:val="center"/>
                </w:tcPr>
                <w:p w14:paraId="37A31F8F">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1320" w:type="dxa"/>
                  <w:vAlign w:val="center"/>
                </w:tcPr>
                <w:p w14:paraId="5102FB0D">
                  <w:pPr>
                    <w:spacing w:line="276" w:lineRule="auto"/>
                    <w:jc w:val="center"/>
                    <w:rPr>
                      <w:rFonts w:hint="eastAsia" w:eastAsia="宋体"/>
                      <w:color w:val="auto"/>
                      <w:szCs w:val="21"/>
                      <w:highlight w:val="none"/>
                      <w:lang w:eastAsia="zh-CN"/>
                    </w:rPr>
                  </w:pPr>
                  <w:r>
                    <w:rPr>
                      <w:rFonts w:hint="eastAsia"/>
                      <w:color w:val="auto"/>
                      <w:szCs w:val="21"/>
                      <w:highlight w:val="none"/>
                    </w:rPr>
                    <w:t>丙烷</w:t>
                  </w:r>
                  <w:r>
                    <w:rPr>
                      <w:rFonts w:hint="eastAsia"/>
                      <w:color w:val="auto"/>
                      <w:szCs w:val="21"/>
                      <w:highlight w:val="none"/>
                      <w:lang w:val="en-US" w:eastAsia="zh-CN"/>
                    </w:rPr>
                    <w:t>出料泵</w:t>
                  </w:r>
                </w:p>
              </w:tc>
              <w:tc>
                <w:tcPr>
                  <w:tcW w:w="893" w:type="dxa"/>
                  <w:vAlign w:val="center"/>
                </w:tcPr>
                <w:p w14:paraId="21FD0527">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48.9</w:t>
                  </w:r>
                </w:p>
              </w:tc>
              <w:tc>
                <w:tcPr>
                  <w:tcW w:w="893" w:type="dxa"/>
                  <w:vAlign w:val="center"/>
                </w:tcPr>
                <w:p w14:paraId="5A12DC7E">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12.9</w:t>
                  </w:r>
                </w:p>
              </w:tc>
              <w:tc>
                <w:tcPr>
                  <w:tcW w:w="892" w:type="dxa"/>
                  <w:vAlign w:val="center"/>
                </w:tcPr>
                <w:p w14:paraId="714E9AF3">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898" w:type="dxa"/>
                  <w:vAlign w:val="center"/>
                </w:tcPr>
                <w:p w14:paraId="32BF00B2">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85</w:t>
                  </w:r>
                </w:p>
              </w:tc>
              <w:tc>
                <w:tcPr>
                  <w:tcW w:w="896" w:type="dxa"/>
                  <w:vMerge w:val="continue"/>
                  <w:vAlign w:val="center"/>
                </w:tcPr>
                <w:p w14:paraId="24F5EB0C">
                  <w:pPr>
                    <w:spacing w:line="276" w:lineRule="auto"/>
                    <w:jc w:val="center"/>
                    <w:rPr>
                      <w:color w:val="auto"/>
                      <w:szCs w:val="21"/>
                      <w:highlight w:val="none"/>
                    </w:rPr>
                  </w:pPr>
                </w:p>
              </w:tc>
              <w:tc>
                <w:tcPr>
                  <w:tcW w:w="891" w:type="dxa"/>
                  <w:vAlign w:val="center"/>
                </w:tcPr>
                <w:p w14:paraId="24D4CEA7">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昼间</w:t>
                  </w:r>
                </w:p>
              </w:tc>
              <w:tc>
                <w:tcPr>
                  <w:tcW w:w="891" w:type="dxa"/>
                  <w:vAlign w:val="center"/>
                </w:tcPr>
                <w:p w14:paraId="2264E2F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w:t>
                  </w:r>
                </w:p>
              </w:tc>
            </w:tr>
            <w:tr w14:paraId="71C8CA2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60" w:type="dxa"/>
                  <w:vAlign w:val="center"/>
                </w:tcPr>
                <w:p w14:paraId="3DCEC428">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1320" w:type="dxa"/>
                  <w:vAlign w:val="center"/>
                </w:tcPr>
                <w:p w14:paraId="26223146">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丁</w:t>
                  </w:r>
                  <w:r>
                    <w:rPr>
                      <w:rFonts w:hint="eastAsia"/>
                      <w:color w:val="auto"/>
                      <w:szCs w:val="21"/>
                      <w:highlight w:val="none"/>
                    </w:rPr>
                    <w:t>烷</w:t>
                  </w:r>
                  <w:r>
                    <w:rPr>
                      <w:rFonts w:hint="eastAsia"/>
                      <w:color w:val="auto"/>
                      <w:szCs w:val="21"/>
                      <w:highlight w:val="none"/>
                      <w:lang w:val="en-US" w:eastAsia="zh-CN"/>
                    </w:rPr>
                    <w:t>出料泵</w:t>
                  </w:r>
                </w:p>
              </w:tc>
              <w:tc>
                <w:tcPr>
                  <w:tcW w:w="893" w:type="dxa"/>
                  <w:vAlign w:val="center"/>
                </w:tcPr>
                <w:p w14:paraId="3F784C51">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47.4</w:t>
                  </w:r>
                </w:p>
              </w:tc>
              <w:tc>
                <w:tcPr>
                  <w:tcW w:w="893" w:type="dxa"/>
                  <w:vAlign w:val="center"/>
                </w:tcPr>
                <w:p w14:paraId="7B2CF94E">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17.7</w:t>
                  </w:r>
                </w:p>
              </w:tc>
              <w:tc>
                <w:tcPr>
                  <w:tcW w:w="892" w:type="dxa"/>
                  <w:vAlign w:val="center"/>
                </w:tcPr>
                <w:p w14:paraId="6E51C05F">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1.0</w:t>
                  </w:r>
                </w:p>
              </w:tc>
              <w:tc>
                <w:tcPr>
                  <w:tcW w:w="898" w:type="dxa"/>
                  <w:vAlign w:val="center"/>
                </w:tcPr>
                <w:p w14:paraId="7422E8A2">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85</w:t>
                  </w:r>
                </w:p>
              </w:tc>
              <w:tc>
                <w:tcPr>
                  <w:tcW w:w="896" w:type="dxa"/>
                  <w:vMerge w:val="continue"/>
                  <w:vAlign w:val="center"/>
                </w:tcPr>
                <w:p w14:paraId="079B27E9">
                  <w:pPr>
                    <w:spacing w:line="276" w:lineRule="auto"/>
                    <w:jc w:val="center"/>
                    <w:rPr>
                      <w:color w:val="auto"/>
                      <w:szCs w:val="21"/>
                      <w:highlight w:val="none"/>
                    </w:rPr>
                  </w:pPr>
                </w:p>
              </w:tc>
              <w:tc>
                <w:tcPr>
                  <w:tcW w:w="891" w:type="dxa"/>
                  <w:vAlign w:val="center"/>
                </w:tcPr>
                <w:p w14:paraId="7CFEA51A">
                  <w:pPr>
                    <w:spacing w:line="276" w:lineRule="auto"/>
                    <w:jc w:val="center"/>
                    <w:rPr>
                      <w:rFonts w:hint="eastAsia" w:eastAsia="宋体"/>
                      <w:color w:val="auto"/>
                      <w:szCs w:val="21"/>
                      <w:highlight w:val="none"/>
                      <w:lang w:val="en-US" w:eastAsia="zh-CN"/>
                    </w:rPr>
                  </w:pPr>
                  <w:r>
                    <w:rPr>
                      <w:rFonts w:hint="eastAsia"/>
                      <w:color w:val="auto"/>
                      <w:szCs w:val="21"/>
                      <w:highlight w:val="none"/>
                      <w:lang w:val="en-US" w:eastAsia="zh-CN"/>
                    </w:rPr>
                    <w:t>昼间</w:t>
                  </w:r>
                </w:p>
              </w:tc>
              <w:tc>
                <w:tcPr>
                  <w:tcW w:w="891" w:type="dxa"/>
                  <w:vAlign w:val="center"/>
                </w:tcPr>
                <w:p w14:paraId="57A165DC">
                  <w:pPr>
                    <w:spacing w:line="276" w:lineRule="auto"/>
                    <w:jc w:val="center"/>
                    <w:rPr>
                      <w:rFonts w:hint="default" w:eastAsia="宋体"/>
                      <w:color w:val="auto"/>
                      <w:szCs w:val="21"/>
                      <w:highlight w:val="none"/>
                      <w:lang w:val="en-US" w:eastAsia="zh-CN"/>
                    </w:rPr>
                  </w:pPr>
                  <w:r>
                    <w:rPr>
                      <w:rFonts w:hint="eastAsia"/>
                      <w:color w:val="auto"/>
                      <w:szCs w:val="21"/>
                      <w:highlight w:val="none"/>
                      <w:lang w:val="en-US" w:eastAsia="zh-CN"/>
                    </w:rPr>
                    <w:t>80</w:t>
                  </w:r>
                </w:p>
              </w:tc>
            </w:tr>
          </w:tbl>
          <w:p w14:paraId="7EFB5FD5">
            <w:pPr>
              <w:spacing w:line="360" w:lineRule="auto"/>
              <w:rPr>
                <w:rFonts w:hint="default" w:eastAsia="宋体"/>
                <w:b/>
                <w:color w:val="auto"/>
                <w:sz w:val="21"/>
                <w:szCs w:val="21"/>
                <w:highlight w:val="none"/>
                <w:lang w:val="en-US" w:eastAsia="zh-CN"/>
              </w:rPr>
            </w:pPr>
            <w:r>
              <w:rPr>
                <w:rFonts w:hint="eastAsia"/>
                <w:b/>
                <w:color w:val="auto"/>
                <w:sz w:val="21"/>
                <w:szCs w:val="21"/>
                <w:highlight w:val="none"/>
                <w:lang w:val="en-US" w:eastAsia="zh-CN"/>
              </w:rPr>
              <w:t>注：以厂区中心为坐标原点。</w:t>
            </w:r>
          </w:p>
          <w:p w14:paraId="6ED40AF1">
            <w:pPr>
              <w:keepNext w:val="0"/>
              <w:keepLines w:val="0"/>
              <w:suppressLineNumbers w:val="0"/>
              <w:spacing w:before="0" w:beforeAutospacing="0" w:after="0" w:afterAutospacing="0" w:line="360" w:lineRule="auto"/>
              <w:ind w:left="0" w:right="0" w:firstLine="482" w:firstLineChars="200"/>
              <w:rPr>
                <w:rFonts w:hint="default"/>
                <w:b/>
                <w:color w:val="auto"/>
                <w:sz w:val="24"/>
                <w:highlight w:val="none"/>
              </w:rPr>
            </w:pPr>
            <w:r>
              <w:rPr>
                <w:rFonts w:hint="eastAsia"/>
                <w:b/>
                <w:color w:val="auto"/>
                <w:sz w:val="24"/>
                <w:highlight w:val="none"/>
              </w:rPr>
              <w:t>2</w:t>
            </w:r>
            <w:r>
              <w:rPr>
                <w:rFonts w:hint="eastAsia"/>
                <w:b/>
                <w:color w:val="auto"/>
                <w:sz w:val="24"/>
                <w:highlight w:val="none"/>
                <w:lang w:val="en-US" w:eastAsia="zh-CN"/>
              </w:rPr>
              <w:t>.</w:t>
            </w:r>
            <w:r>
              <w:rPr>
                <w:rFonts w:hint="eastAsia"/>
                <w:b/>
                <w:color w:val="auto"/>
                <w:sz w:val="24"/>
                <w:highlight w:val="none"/>
              </w:rPr>
              <w:t>噪声预测结果</w:t>
            </w:r>
          </w:p>
          <w:p w14:paraId="188F7C97">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根据《环境影响评价技术导则</w:t>
            </w:r>
            <w:r>
              <w:rPr>
                <w:rFonts w:hint="eastAsia"/>
                <w:color w:val="auto"/>
                <w:sz w:val="24"/>
                <w:highlight w:val="none"/>
              </w:rPr>
              <w:t xml:space="preserve"> </w:t>
            </w:r>
            <w:r>
              <w:rPr>
                <w:rFonts w:hint="default"/>
                <w:color w:val="auto"/>
                <w:sz w:val="24"/>
                <w:highlight w:val="none"/>
              </w:rPr>
              <w:t>声环</w:t>
            </w:r>
            <w:r>
              <w:rPr>
                <w:rFonts w:hint="eastAsia"/>
                <w:color w:val="auto"/>
                <w:sz w:val="24"/>
                <w:highlight w:val="none"/>
              </w:rPr>
              <w:t>境》（HJ2.4-2021）的要求，本次声环境影响评价选用室内噪声模式和室外噪声模式进行预测，具体预测方法如下。</w:t>
            </w:r>
          </w:p>
          <w:p w14:paraId="49AD4ECB">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①指向性点声源的几何发散衰减</w:t>
            </w:r>
          </w:p>
          <w:p w14:paraId="3EBC39B7">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无指向性点声源几何发散衰减的基本公式是：</w:t>
            </w:r>
          </w:p>
          <w:p w14:paraId="30E650E9">
            <w:pPr>
              <w:keepNext w:val="0"/>
              <w:keepLines w:val="0"/>
              <w:suppressLineNumbers w:val="0"/>
              <w:autoSpaceDE w:val="0"/>
              <w:autoSpaceDN w:val="0"/>
              <w:adjustRightInd w:val="0"/>
              <w:spacing w:before="0" w:beforeAutospacing="0" w:after="0" w:afterAutospacing="0"/>
              <w:ind w:left="0" w:right="0"/>
              <w:jc w:val="left"/>
              <w:rPr>
                <w:rFonts w:hint="default"/>
                <w:color w:val="auto"/>
                <w:kern w:val="0"/>
                <w:sz w:val="24"/>
                <w:szCs w:val="24"/>
                <w:highlight w:val="none"/>
              </w:rPr>
            </w:pPr>
            <w:r>
              <w:rPr>
                <w:rFonts w:hint="default"/>
                <w:color w:val="auto"/>
                <w:kern w:val="0"/>
                <w:sz w:val="24"/>
                <w:szCs w:val="24"/>
                <w:highlight w:val="none"/>
              </w:rPr>
              <w:drawing>
                <wp:anchor distT="0" distB="0" distL="114300" distR="114300" simplePos="0" relativeHeight="251661312" behindDoc="0" locked="0" layoutInCell="1" allowOverlap="1">
                  <wp:simplePos x="0" y="0"/>
                  <wp:positionH relativeFrom="column">
                    <wp:posOffset>1016000</wp:posOffset>
                  </wp:positionH>
                  <wp:positionV relativeFrom="paragraph">
                    <wp:posOffset>86360</wp:posOffset>
                  </wp:positionV>
                  <wp:extent cx="2731770" cy="284480"/>
                  <wp:effectExtent l="0" t="0" r="11430" b="1270"/>
                  <wp:wrapNone/>
                  <wp:docPr id="295" name="图片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703"/>
                          <pic:cNvPicPr>
                            <a:picLocks noChangeAspect="1" noChangeArrowheads="1"/>
                          </pic:cNvPicPr>
                        </pic:nvPicPr>
                        <pic:blipFill>
                          <a:blip r:embed="rId11" cstate="print"/>
                          <a:srcRect/>
                          <a:stretch>
                            <a:fillRect/>
                          </a:stretch>
                        </pic:blipFill>
                        <pic:spPr>
                          <a:xfrm>
                            <a:off x="0" y="0"/>
                            <a:ext cx="2731878" cy="284671"/>
                          </a:xfrm>
                          <a:prstGeom prst="rect">
                            <a:avLst/>
                          </a:prstGeom>
                          <a:noFill/>
                          <a:ln w="9525">
                            <a:noFill/>
                            <a:miter lim="800000"/>
                            <a:headEnd/>
                            <a:tailEnd/>
                          </a:ln>
                        </pic:spPr>
                      </pic:pic>
                    </a:graphicData>
                  </a:graphic>
                </wp:anchor>
              </w:drawing>
            </w:r>
          </w:p>
          <w:p w14:paraId="41FB6CB9">
            <w:pPr>
              <w:keepNext w:val="0"/>
              <w:keepLines w:val="0"/>
              <w:suppressLineNumbers w:val="0"/>
              <w:spacing w:before="0" w:beforeAutospacing="0" w:after="0" w:afterAutospacing="0" w:line="360" w:lineRule="auto"/>
              <w:ind w:left="0" w:right="0"/>
              <w:rPr>
                <w:rFonts w:hint="default"/>
                <w:color w:val="auto"/>
                <w:sz w:val="24"/>
                <w:highlight w:val="none"/>
              </w:rPr>
            </w:pPr>
          </w:p>
          <w:p w14:paraId="556CBC4F">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式中：Lp（r）—预测点处声压级，dB；</w:t>
            </w:r>
          </w:p>
          <w:p w14:paraId="0AB017F0">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Lp（r</w:t>
            </w:r>
            <w:r>
              <w:rPr>
                <w:rFonts w:hint="eastAsia"/>
                <w:color w:val="auto"/>
                <w:sz w:val="24"/>
                <w:highlight w:val="none"/>
                <w:vertAlign w:val="subscript"/>
              </w:rPr>
              <w:t>0</w:t>
            </w:r>
            <w:r>
              <w:rPr>
                <w:rFonts w:hint="eastAsia"/>
                <w:color w:val="auto"/>
                <w:sz w:val="24"/>
                <w:highlight w:val="none"/>
              </w:rPr>
              <w:t>）—参考位置r</w:t>
            </w:r>
            <w:r>
              <w:rPr>
                <w:rFonts w:hint="eastAsia"/>
                <w:color w:val="auto"/>
                <w:sz w:val="24"/>
                <w:highlight w:val="none"/>
                <w:vertAlign w:val="subscript"/>
              </w:rPr>
              <w:t>0</w:t>
            </w:r>
            <w:r>
              <w:rPr>
                <w:rFonts w:hint="eastAsia"/>
                <w:color w:val="auto"/>
                <w:sz w:val="24"/>
                <w:highlight w:val="none"/>
              </w:rPr>
              <w:t>处的声压级，dB；</w:t>
            </w:r>
          </w:p>
          <w:p w14:paraId="5D71063E">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r—预测点距声源的距离；</w:t>
            </w:r>
          </w:p>
          <w:p w14:paraId="4BF5A3DC">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r</w:t>
            </w:r>
            <w:r>
              <w:rPr>
                <w:rFonts w:hint="eastAsia"/>
                <w:color w:val="auto"/>
                <w:sz w:val="24"/>
                <w:highlight w:val="none"/>
                <w:vertAlign w:val="subscript"/>
              </w:rPr>
              <w:t>0</w:t>
            </w:r>
            <w:r>
              <w:rPr>
                <w:rFonts w:hint="eastAsia"/>
                <w:color w:val="auto"/>
                <w:sz w:val="24"/>
                <w:highlight w:val="none"/>
              </w:rPr>
              <w:t>—参考位置距声源的距离；</w:t>
            </w:r>
          </w:p>
          <w:p w14:paraId="5075F15A">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上式中第二项表示了点声源的几何发散衰减；</w:t>
            </w:r>
          </w:p>
          <w:p w14:paraId="1DA1B399">
            <w:pPr>
              <w:keepNext w:val="0"/>
              <w:keepLines w:val="0"/>
              <w:suppressLineNumbers w:val="0"/>
              <w:spacing w:before="0" w:beforeAutospacing="0" w:after="0" w:afterAutospacing="0"/>
              <w:ind w:left="0" w:right="0"/>
              <w:rPr>
                <w:rFonts w:hint="default" w:ascii="宋体" w:hAnsi="Courier New"/>
                <w:color w:val="auto"/>
                <w:kern w:val="0"/>
                <w:sz w:val="26"/>
                <w:szCs w:val="20"/>
                <w:highlight w:val="none"/>
              </w:rPr>
            </w:pPr>
            <w:r>
              <w:rPr>
                <w:rFonts w:hint="default" w:ascii="宋体" w:hAnsi="Courier New"/>
                <w:color w:val="auto"/>
                <w:kern w:val="0"/>
                <w:sz w:val="26"/>
                <w:szCs w:val="20"/>
                <w:highlight w:val="none"/>
              </w:rPr>
              <w:drawing>
                <wp:anchor distT="0" distB="0" distL="114300" distR="114300" simplePos="0" relativeHeight="251662336" behindDoc="0" locked="0" layoutInCell="1" allowOverlap="1">
                  <wp:simplePos x="0" y="0"/>
                  <wp:positionH relativeFrom="column">
                    <wp:posOffset>1719580</wp:posOffset>
                  </wp:positionH>
                  <wp:positionV relativeFrom="paragraph">
                    <wp:posOffset>17780</wp:posOffset>
                  </wp:positionV>
                  <wp:extent cx="2066925" cy="295275"/>
                  <wp:effectExtent l="0" t="0" r="9525" b="9525"/>
                  <wp:wrapNone/>
                  <wp:docPr id="296" name="图片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704"/>
                          <pic:cNvPicPr>
                            <a:picLocks noChangeAspect="1" noChangeArrowheads="1"/>
                          </pic:cNvPicPr>
                        </pic:nvPicPr>
                        <pic:blipFill>
                          <a:blip r:embed="rId12" cstate="print"/>
                          <a:srcRect/>
                          <a:stretch>
                            <a:fillRect/>
                          </a:stretch>
                        </pic:blipFill>
                        <pic:spPr>
                          <a:xfrm>
                            <a:off x="0" y="0"/>
                            <a:ext cx="2066925" cy="295275"/>
                          </a:xfrm>
                          <a:prstGeom prst="rect">
                            <a:avLst/>
                          </a:prstGeom>
                          <a:noFill/>
                          <a:ln w="9525">
                            <a:noFill/>
                            <a:miter lim="800000"/>
                            <a:headEnd/>
                            <a:tailEnd/>
                          </a:ln>
                        </pic:spPr>
                      </pic:pic>
                    </a:graphicData>
                  </a:graphic>
                </wp:anchor>
              </w:drawing>
            </w:r>
          </w:p>
          <w:p w14:paraId="6CD8B70A">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式中：A</w:t>
            </w:r>
            <w:r>
              <w:rPr>
                <w:rFonts w:hint="eastAsia"/>
                <w:color w:val="auto"/>
                <w:sz w:val="24"/>
                <w:highlight w:val="none"/>
                <w:vertAlign w:val="subscript"/>
              </w:rPr>
              <w:t>div</w:t>
            </w:r>
            <w:r>
              <w:rPr>
                <w:rFonts w:hint="eastAsia"/>
                <w:color w:val="auto"/>
                <w:sz w:val="24"/>
                <w:highlight w:val="none"/>
              </w:rPr>
              <w:t>—几何发散引起的衰减，dB；</w:t>
            </w:r>
          </w:p>
          <w:p w14:paraId="679F956E">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r—预测点距声源的距离；</w:t>
            </w:r>
          </w:p>
          <w:p w14:paraId="526F3518">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r</w:t>
            </w:r>
            <w:r>
              <w:rPr>
                <w:rFonts w:hint="eastAsia"/>
                <w:color w:val="auto"/>
                <w:sz w:val="24"/>
                <w:highlight w:val="none"/>
                <w:vertAlign w:val="subscript"/>
              </w:rPr>
              <w:t>0</w:t>
            </w:r>
            <w:r>
              <w:rPr>
                <w:rFonts w:hint="eastAsia"/>
                <w:color w:val="auto"/>
                <w:sz w:val="24"/>
                <w:highlight w:val="none"/>
              </w:rPr>
              <w:t>—参考位置距声源的距离。</w:t>
            </w:r>
          </w:p>
          <w:p w14:paraId="4946C95F">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②面声源的几何发散衰减</w:t>
            </w:r>
          </w:p>
          <w:p w14:paraId="5EAD4A9F">
            <w:pPr>
              <w:keepNext w:val="0"/>
              <w:keepLines w:val="0"/>
              <w:suppressLineNumbers w:val="0"/>
              <w:tabs>
                <w:tab w:val="left" w:pos="462"/>
              </w:tabs>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车间透声的墙壁可认为是面声源。</w:t>
            </w:r>
            <w:r>
              <w:rPr>
                <w:rFonts w:hint="default"/>
                <w:color w:val="auto"/>
                <w:sz w:val="24"/>
                <w:highlight w:val="none"/>
              </w:rPr>
              <w:t>面声源衰减规律如下：当预测点和面声源中心距离r处于以下条件时，可按下述方法近似计算：r&lt;a/π时，几乎不衰减（Adiv≈0）；当a/π&lt;r&lt;b/π，距离加倍衰减3dB左右，类似线声源衰减特性（Adiv≈10lg（r/r0））；当r&gt;b/π时，距离加倍衰减趋近于6dB，类似点声源衰减特性（Adiv≈20lg（r/r0））。其中面声源的b&gt;a。下图中虚线为实际衰减量。</w:t>
            </w:r>
          </w:p>
          <w:p w14:paraId="6893FA19">
            <w:pPr>
              <w:keepNext w:val="0"/>
              <w:keepLines w:val="0"/>
              <w:suppressLineNumbers w:val="0"/>
              <w:spacing w:before="0" w:beforeAutospacing="0" w:after="0" w:afterAutospacing="0"/>
              <w:ind w:left="0" w:right="0"/>
              <w:rPr>
                <w:rFonts w:hint="default"/>
                <w:color w:val="auto"/>
                <w:sz w:val="28"/>
                <w:szCs w:val="20"/>
                <w:highlight w:val="none"/>
              </w:rPr>
            </w:pPr>
          </w:p>
          <w:p w14:paraId="3998E332">
            <w:pPr>
              <w:keepNext w:val="0"/>
              <w:keepLines w:val="0"/>
              <w:suppressLineNumbers w:val="0"/>
              <w:spacing w:before="0" w:beforeAutospacing="0" w:after="0" w:afterAutospacing="0"/>
              <w:ind w:left="0" w:right="0"/>
              <w:rPr>
                <w:rFonts w:hint="default"/>
                <w:color w:val="auto"/>
                <w:sz w:val="28"/>
                <w:szCs w:val="20"/>
                <w:highlight w:val="none"/>
              </w:rPr>
            </w:pPr>
          </w:p>
          <w:p w14:paraId="73F92F5E">
            <w:pPr>
              <w:keepNext w:val="0"/>
              <w:keepLines w:val="0"/>
              <w:suppressLineNumbers w:val="0"/>
              <w:spacing w:before="0" w:beforeAutospacing="0" w:after="0" w:afterAutospacing="0"/>
              <w:ind w:left="0" w:right="0"/>
              <w:rPr>
                <w:rFonts w:hint="default"/>
                <w:color w:val="auto"/>
                <w:sz w:val="28"/>
                <w:szCs w:val="20"/>
                <w:highlight w:val="none"/>
              </w:rPr>
            </w:pPr>
          </w:p>
          <w:p w14:paraId="527C2256">
            <w:pPr>
              <w:keepNext w:val="0"/>
              <w:keepLines w:val="0"/>
              <w:suppressLineNumbers w:val="0"/>
              <w:spacing w:before="0" w:beforeAutospacing="0" w:after="0" w:afterAutospacing="0"/>
              <w:ind w:left="0" w:right="0"/>
              <w:rPr>
                <w:rFonts w:hint="default"/>
                <w:color w:val="auto"/>
                <w:sz w:val="28"/>
                <w:szCs w:val="20"/>
                <w:highlight w:val="none"/>
              </w:rPr>
            </w:pPr>
          </w:p>
          <w:p w14:paraId="0459EB16">
            <w:pPr>
              <w:keepNext w:val="0"/>
              <w:keepLines w:val="0"/>
              <w:suppressLineNumbers w:val="0"/>
              <w:spacing w:before="0" w:beforeAutospacing="0" w:after="0" w:afterAutospacing="0"/>
              <w:ind w:left="0" w:right="0"/>
              <w:rPr>
                <w:rFonts w:hint="default"/>
                <w:color w:val="auto"/>
                <w:sz w:val="28"/>
                <w:szCs w:val="20"/>
                <w:highlight w:val="none"/>
              </w:rPr>
            </w:pPr>
            <w:r>
              <w:rPr>
                <w:rFonts w:hint="default"/>
                <w:color w:val="auto"/>
                <w:sz w:val="28"/>
                <w:szCs w:val="20"/>
                <w:highlight w:val="none"/>
              </w:rPr>
              <w:drawing>
                <wp:anchor distT="0" distB="0" distL="114300" distR="114300" simplePos="0" relativeHeight="251663360" behindDoc="0" locked="0" layoutInCell="1" allowOverlap="1">
                  <wp:simplePos x="0" y="0"/>
                  <wp:positionH relativeFrom="column">
                    <wp:posOffset>1087755</wp:posOffset>
                  </wp:positionH>
                  <wp:positionV relativeFrom="paragraph">
                    <wp:posOffset>25400</wp:posOffset>
                  </wp:positionV>
                  <wp:extent cx="2686050" cy="1990725"/>
                  <wp:effectExtent l="0" t="0" r="0" b="9525"/>
                  <wp:wrapNone/>
                  <wp:docPr id="29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5"/>
                          <pic:cNvPicPr>
                            <a:picLocks noChangeAspect="1" noChangeArrowheads="1"/>
                          </pic:cNvPicPr>
                        </pic:nvPicPr>
                        <pic:blipFill>
                          <a:blip r:embed="rId13" cstate="print"/>
                          <a:srcRect/>
                          <a:stretch>
                            <a:fillRect/>
                          </a:stretch>
                        </pic:blipFill>
                        <pic:spPr>
                          <a:xfrm>
                            <a:off x="0" y="0"/>
                            <a:ext cx="2686050" cy="1990725"/>
                          </a:xfrm>
                          <a:prstGeom prst="rect">
                            <a:avLst/>
                          </a:prstGeom>
                          <a:noFill/>
                          <a:ln w="9525">
                            <a:noFill/>
                            <a:miter lim="800000"/>
                            <a:headEnd/>
                            <a:tailEnd/>
                          </a:ln>
                        </pic:spPr>
                      </pic:pic>
                    </a:graphicData>
                  </a:graphic>
                </wp:anchor>
              </w:drawing>
            </w:r>
          </w:p>
          <w:p w14:paraId="2EB587B8">
            <w:pPr>
              <w:keepNext w:val="0"/>
              <w:keepLines w:val="0"/>
              <w:suppressLineNumbers w:val="0"/>
              <w:spacing w:before="0" w:beforeAutospacing="0" w:after="0" w:afterAutospacing="0"/>
              <w:ind w:left="0" w:right="0"/>
              <w:rPr>
                <w:rFonts w:hint="default"/>
                <w:color w:val="auto"/>
                <w:highlight w:val="none"/>
              </w:rPr>
            </w:pPr>
          </w:p>
          <w:p w14:paraId="4CE316DB">
            <w:pPr>
              <w:keepNext w:val="0"/>
              <w:keepLines w:val="0"/>
              <w:suppressLineNumbers w:val="0"/>
              <w:spacing w:before="0" w:beforeAutospacing="0" w:after="0" w:afterAutospacing="0"/>
              <w:ind w:left="0" w:right="0"/>
              <w:rPr>
                <w:rFonts w:hint="default" w:ascii="宋体" w:hAnsi="Courier New"/>
                <w:color w:val="auto"/>
                <w:kern w:val="0"/>
                <w:sz w:val="26"/>
                <w:szCs w:val="20"/>
                <w:highlight w:val="none"/>
              </w:rPr>
            </w:pPr>
          </w:p>
          <w:p w14:paraId="6E163AA7">
            <w:pPr>
              <w:keepNext w:val="0"/>
              <w:keepLines w:val="0"/>
              <w:suppressLineNumbers w:val="0"/>
              <w:spacing w:before="0" w:beforeAutospacing="0" w:after="0" w:afterAutospacing="0"/>
              <w:ind w:left="0" w:right="0"/>
              <w:rPr>
                <w:rFonts w:hint="default"/>
                <w:color w:val="auto"/>
                <w:sz w:val="28"/>
                <w:szCs w:val="20"/>
                <w:highlight w:val="none"/>
              </w:rPr>
            </w:pPr>
          </w:p>
          <w:p w14:paraId="151CF808">
            <w:pPr>
              <w:keepNext w:val="0"/>
              <w:keepLines w:val="0"/>
              <w:suppressLineNumbers w:val="0"/>
              <w:spacing w:before="0" w:beforeAutospacing="0" w:after="0" w:afterAutospacing="0"/>
              <w:ind w:left="0" w:right="0"/>
              <w:rPr>
                <w:rFonts w:hint="default"/>
                <w:color w:val="auto"/>
                <w:highlight w:val="none"/>
              </w:rPr>
            </w:pPr>
          </w:p>
          <w:p w14:paraId="2B527400">
            <w:pPr>
              <w:keepNext w:val="0"/>
              <w:keepLines w:val="0"/>
              <w:suppressLineNumbers w:val="0"/>
              <w:spacing w:before="0" w:beforeAutospacing="0" w:after="0" w:afterAutospacing="0"/>
              <w:ind w:left="0" w:right="0"/>
              <w:rPr>
                <w:rFonts w:hint="default" w:ascii="宋体" w:hAnsi="Courier New"/>
                <w:color w:val="auto"/>
                <w:kern w:val="0"/>
                <w:sz w:val="26"/>
                <w:szCs w:val="20"/>
                <w:highlight w:val="none"/>
              </w:rPr>
            </w:pPr>
          </w:p>
          <w:p w14:paraId="21A86BE8">
            <w:pPr>
              <w:keepNext w:val="0"/>
              <w:keepLines w:val="0"/>
              <w:suppressLineNumbers w:val="0"/>
              <w:spacing w:before="0" w:beforeAutospacing="0" w:after="0" w:afterAutospacing="0" w:line="360" w:lineRule="auto"/>
              <w:ind w:left="0" w:right="0"/>
              <w:jc w:val="center"/>
              <w:rPr>
                <w:rFonts w:hint="default" w:eastAsia="黑体"/>
                <w:color w:val="auto"/>
                <w:sz w:val="24"/>
                <w:highlight w:val="none"/>
              </w:rPr>
            </w:pPr>
            <w:r>
              <w:rPr>
                <w:rFonts w:hint="eastAsia" w:eastAsia="黑体"/>
                <w:color w:val="auto"/>
                <w:sz w:val="24"/>
                <w:highlight w:val="none"/>
              </w:rPr>
              <w:t>图</w:t>
            </w:r>
            <w:r>
              <w:rPr>
                <w:rFonts w:hint="eastAsia" w:eastAsia="黑体"/>
                <w:color w:val="auto"/>
                <w:sz w:val="24"/>
                <w:highlight w:val="none"/>
                <w:lang w:val="en-US" w:eastAsia="zh-CN"/>
              </w:rPr>
              <w:t>4-2</w:t>
            </w:r>
            <w:r>
              <w:rPr>
                <w:rFonts w:hint="eastAsia" w:eastAsia="黑体"/>
                <w:color w:val="auto"/>
                <w:sz w:val="24"/>
                <w:highlight w:val="none"/>
              </w:rPr>
              <w:t xml:space="preserve"> </w:t>
            </w:r>
            <w:r>
              <w:rPr>
                <w:rFonts w:hint="default" w:eastAsia="黑体"/>
                <w:color w:val="auto"/>
                <w:sz w:val="24"/>
                <w:highlight w:val="none"/>
              </w:rPr>
              <w:t>长方形面声源中心轴线上的衰减特性</w:t>
            </w:r>
          </w:p>
          <w:p w14:paraId="2ED35A05">
            <w:pPr>
              <w:keepNext w:val="0"/>
              <w:keepLines w:val="0"/>
              <w:suppressLineNumbers w:val="0"/>
              <w:tabs>
                <w:tab w:val="left" w:pos="462"/>
              </w:tabs>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③预测点的等效声级贡献值</w:t>
            </w:r>
          </w:p>
          <w:p w14:paraId="37370CC3">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设第i个室外声源在预测点产生的A声级为L</w:t>
            </w:r>
            <w:r>
              <w:rPr>
                <w:rFonts w:hint="eastAsia"/>
                <w:color w:val="auto"/>
                <w:sz w:val="24"/>
                <w:highlight w:val="none"/>
                <w:vertAlign w:val="subscript"/>
              </w:rPr>
              <w:t>A</w:t>
            </w:r>
            <w:r>
              <w:rPr>
                <w:rFonts w:hint="default"/>
                <w:color w:val="auto"/>
                <w:sz w:val="24"/>
                <w:highlight w:val="none"/>
                <w:vertAlign w:val="subscript"/>
              </w:rPr>
              <w:t>i</w:t>
            </w:r>
            <w:r>
              <w:rPr>
                <w:rFonts w:hint="default"/>
                <w:color w:val="auto"/>
                <w:sz w:val="24"/>
                <w:highlight w:val="none"/>
              </w:rPr>
              <w:t>，在T时间内该声源工作时间为t</w:t>
            </w:r>
            <w:r>
              <w:rPr>
                <w:rFonts w:hint="default"/>
                <w:color w:val="auto"/>
                <w:sz w:val="24"/>
                <w:highlight w:val="none"/>
                <w:vertAlign w:val="subscript"/>
              </w:rPr>
              <w:t>i</w:t>
            </w:r>
            <w:r>
              <w:rPr>
                <w:rFonts w:hint="default"/>
                <w:color w:val="auto"/>
                <w:sz w:val="24"/>
                <w:highlight w:val="none"/>
              </w:rPr>
              <w:t>；第j个等效室外声源在预测点产生的A声级为L</w:t>
            </w:r>
            <w:r>
              <w:rPr>
                <w:rFonts w:hint="default"/>
                <w:color w:val="auto"/>
                <w:sz w:val="24"/>
                <w:highlight w:val="none"/>
                <w:vertAlign w:val="subscript"/>
              </w:rPr>
              <w:t>Aj</w:t>
            </w:r>
            <w:r>
              <w:rPr>
                <w:rFonts w:hint="default"/>
                <w:color w:val="auto"/>
                <w:sz w:val="24"/>
                <w:highlight w:val="none"/>
              </w:rPr>
              <w:t>，在T时间内该声源工作时间为t</w:t>
            </w:r>
            <w:r>
              <w:rPr>
                <w:rFonts w:hint="default"/>
                <w:color w:val="auto"/>
                <w:sz w:val="24"/>
                <w:highlight w:val="none"/>
                <w:vertAlign w:val="subscript"/>
              </w:rPr>
              <w:t>j</w:t>
            </w:r>
            <w:r>
              <w:rPr>
                <w:rFonts w:hint="default"/>
                <w:color w:val="auto"/>
                <w:sz w:val="24"/>
                <w:highlight w:val="none"/>
              </w:rPr>
              <w:t>，则拟建工程声源对预测点产生的贡献值（L</w:t>
            </w:r>
            <w:r>
              <w:rPr>
                <w:rFonts w:hint="default"/>
                <w:color w:val="auto"/>
                <w:sz w:val="24"/>
                <w:highlight w:val="none"/>
                <w:vertAlign w:val="subscript"/>
              </w:rPr>
              <w:t>eqg</w:t>
            </w:r>
            <w:r>
              <w:rPr>
                <w:rFonts w:hint="default"/>
                <w:color w:val="auto"/>
                <w:sz w:val="24"/>
                <w:highlight w:val="none"/>
              </w:rPr>
              <w:t>）为：</w:t>
            </w:r>
          </w:p>
          <w:p w14:paraId="42687D48">
            <w:pPr>
              <w:keepNext w:val="0"/>
              <w:keepLines w:val="0"/>
              <w:suppressLineNumbers w:val="0"/>
              <w:spacing w:before="0" w:beforeAutospacing="0" w:after="0" w:afterAutospacing="0" w:line="360" w:lineRule="auto"/>
              <w:ind w:left="0" w:right="0" w:firstLine="480" w:firstLineChars="200"/>
              <w:jc w:val="center"/>
              <w:rPr>
                <w:rFonts w:hint="default"/>
                <w:color w:val="auto"/>
                <w:sz w:val="24"/>
                <w:highlight w:val="none"/>
              </w:rPr>
            </w:pPr>
            <m:oMathPara>
              <m:oMath>
                <m:sSub>
                  <m:sSubPr>
                    <m:ctrlPr>
                      <w:rPr>
                        <w:rFonts w:hint="default" w:ascii="Cambria Math" w:hAnsi="Cambria Math"/>
                        <w:color w:val="auto"/>
                        <w:sz w:val="24"/>
                        <w:highlight w:val="none"/>
                      </w:rPr>
                    </m:ctrlPr>
                  </m:sSubPr>
                  <m:e>
                    <m:r>
                      <m:rPr>
                        <m:nor/>
                        <m:sty m:val="p"/>
                      </m:rPr>
                      <w:rPr>
                        <w:rFonts w:hint="default"/>
                        <w:b w:val="0"/>
                        <w:i w:val="0"/>
                        <w:color w:val="auto"/>
                        <w:sz w:val="24"/>
                        <w:highlight w:val="none"/>
                      </w:rPr>
                      <m:t>L</m:t>
                    </m:r>
                    <m:ctrlPr>
                      <w:rPr>
                        <w:rFonts w:hint="default" w:ascii="Cambria Math" w:hAnsi="Cambria Math"/>
                        <w:color w:val="auto"/>
                        <w:sz w:val="24"/>
                        <w:highlight w:val="none"/>
                      </w:rPr>
                    </m:ctrlPr>
                  </m:e>
                  <m:sub>
                    <m:r>
                      <m:rPr>
                        <m:nor/>
                        <m:sty m:val="p"/>
                      </m:rPr>
                      <w:rPr>
                        <w:rFonts w:hint="default"/>
                        <w:b w:val="0"/>
                        <w:i w:val="0"/>
                        <w:color w:val="auto"/>
                        <w:sz w:val="24"/>
                        <w:highlight w:val="none"/>
                      </w:rPr>
                      <m:t>eqg</m:t>
                    </m:r>
                    <m:ctrlPr>
                      <w:rPr>
                        <w:rFonts w:hint="default" w:ascii="Cambria Math" w:hAnsi="Cambria Math"/>
                        <w:color w:val="auto"/>
                        <w:sz w:val="24"/>
                        <w:highlight w:val="none"/>
                      </w:rPr>
                    </m:ctrlPr>
                  </m:sub>
                </m:sSub>
                <m:r>
                  <m:rPr>
                    <m:nor/>
                    <m:sty m:val="p"/>
                  </m:rPr>
                  <w:rPr>
                    <w:rFonts w:hint="default"/>
                    <w:b w:val="0"/>
                    <w:i w:val="0"/>
                    <w:color w:val="auto"/>
                    <w:sz w:val="24"/>
                    <w:highlight w:val="none"/>
                  </w:rPr>
                  <m:t>=10lg</m:t>
                </m:r>
                <m:d>
                  <m:dPr>
                    <m:begChr m:val="["/>
                    <m:endChr m:val="]"/>
                    <m:ctrlPr>
                      <w:rPr>
                        <w:rFonts w:hint="default" w:ascii="Cambria Math" w:hAnsi="Cambria Math"/>
                        <w:color w:val="auto"/>
                        <w:sz w:val="24"/>
                        <w:highlight w:val="none"/>
                      </w:rPr>
                    </m:ctrlPr>
                  </m:dPr>
                  <m:e>
                    <m:f>
                      <m:fPr>
                        <m:ctrlPr>
                          <w:rPr>
                            <w:rFonts w:hint="default" w:ascii="Cambria Math" w:hAnsi="Cambria Math"/>
                            <w:color w:val="auto"/>
                            <w:sz w:val="24"/>
                            <w:highlight w:val="none"/>
                          </w:rPr>
                        </m:ctrlPr>
                      </m:fPr>
                      <m:num>
                        <m:r>
                          <m:rPr>
                            <m:nor/>
                            <m:sty m:val="p"/>
                          </m:rPr>
                          <w:rPr>
                            <w:rFonts w:hint="default"/>
                            <w:b w:val="0"/>
                            <w:i w:val="0"/>
                            <w:color w:val="auto"/>
                            <w:sz w:val="24"/>
                            <w:highlight w:val="none"/>
                          </w:rPr>
                          <m:t>1</m:t>
                        </m:r>
                        <m:ctrlPr>
                          <w:rPr>
                            <w:rFonts w:hint="default" w:ascii="Cambria Math" w:hAnsi="Cambria Math"/>
                            <w:color w:val="auto"/>
                            <w:sz w:val="24"/>
                            <w:highlight w:val="none"/>
                          </w:rPr>
                        </m:ctrlPr>
                      </m:num>
                      <m:den>
                        <m:r>
                          <m:rPr>
                            <m:nor/>
                            <m:sty m:val="p"/>
                          </m:rPr>
                          <w:rPr>
                            <w:rFonts w:hint="default"/>
                            <w:b w:val="0"/>
                            <w:i w:val="0"/>
                            <w:color w:val="auto"/>
                            <w:sz w:val="24"/>
                            <w:highlight w:val="none"/>
                          </w:rPr>
                          <m:t>T</m:t>
                        </m:r>
                        <m:ctrlPr>
                          <w:rPr>
                            <w:rFonts w:hint="default" w:ascii="Cambria Math" w:hAnsi="Cambria Math"/>
                            <w:color w:val="auto"/>
                            <w:sz w:val="24"/>
                            <w:highlight w:val="none"/>
                          </w:rPr>
                        </m:ctrlPr>
                      </m:den>
                    </m:f>
                    <m:d>
                      <m:dPr>
                        <m:ctrlPr>
                          <w:rPr>
                            <w:rFonts w:hint="default" w:ascii="Cambria Math" w:hAnsi="Cambria Math"/>
                            <w:color w:val="auto"/>
                            <w:sz w:val="24"/>
                            <w:highlight w:val="none"/>
                          </w:rPr>
                        </m:ctrlPr>
                      </m:dPr>
                      <m:e>
                        <m:nary>
                          <m:naryPr>
                            <m:chr m:val="∑"/>
                            <m:limLoc m:val="undOvr"/>
                            <m:ctrlPr>
                              <w:rPr>
                                <w:rFonts w:hint="default" w:ascii="Cambria Math" w:hAnsi="Cambria Math"/>
                                <w:color w:val="auto"/>
                                <w:sz w:val="24"/>
                                <w:highlight w:val="none"/>
                              </w:rPr>
                            </m:ctrlPr>
                          </m:naryPr>
                          <m:sub>
                            <m:r>
                              <m:rPr>
                                <m:nor/>
                                <m:sty m:val="p"/>
                              </m:rPr>
                              <w:rPr>
                                <w:rFonts w:hint="default"/>
                                <w:b w:val="0"/>
                                <w:i w:val="0"/>
                                <w:color w:val="auto"/>
                                <w:sz w:val="24"/>
                                <w:highlight w:val="none"/>
                              </w:rPr>
                              <m:t>i=1</m:t>
                            </m:r>
                            <m:ctrlPr>
                              <w:rPr>
                                <w:rFonts w:hint="default" w:ascii="Cambria Math" w:hAnsi="Cambria Math"/>
                                <w:color w:val="auto"/>
                                <w:sz w:val="24"/>
                                <w:highlight w:val="none"/>
                              </w:rPr>
                            </m:ctrlPr>
                          </m:sub>
                          <m:sup>
                            <m:r>
                              <m:rPr>
                                <m:nor/>
                                <m:sty m:val="p"/>
                              </m:rPr>
                              <w:rPr>
                                <w:rFonts w:hint="default"/>
                                <w:b w:val="0"/>
                                <w:i w:val="0"/>
                                <w:color w:val="auto"/>
                                <w:sz w:val="24"/>
                                <w:highlight w:val="none"/>
                              </w:rPr>
                              <m:t>N</m:t>
                            </m:r>
                            <m:ctrlPr>
                              <w:rPr>
                                <w:rFonts w:hint="default" w:ascii="Cambria Math" w:hAnsi="Cambria Math"/>
                                <w:color w:val="auto"/>
                                <w:sz w:val="24"/>
                                <w:highlight w:val="none"/>
                              </w:rPr>
                            </m:ctrlPr>
                          </m:sup>
                          <m:e>
                            <m:sSub>
                              <m:sSubPr>
                                <m:ctrlPr>
                                  <w:rPr>
                                    <w:rFonts w:hint="default" w:ascii="Cambria Math" w:hAnsi="Cambria Math"/>
                                    <w:color w:val="auto"/>
                                    <w:sz w:val="24"/>
                                    <w:highlight w:val="none"/>
                                  </w:rPr>
                                </m:ctrlPr>
                              </m:sSubPr>
                              <m:e>
                                <m:r>
                                  <m:rPr>
                                    <m:nor/>
                                    <m:sty m:val="p"/>
                                  </m:rPr>
                                  <w:rPr>
                                    <w:rFonts w:hint="default"/>
                                    <w:b w:val="0"/>
                                    <w:i w:val="0"/>
                                    <w:color w:val="auto"/>
                                    <w:sz w:val="24"/>
                                    <w:highlight w:val="none"/>
                                  </w:rPr>
                                  <m:t>t</m:t>
                                </m:r>
                                <m:ctrlPr>
                                  <w:rPr>
                                    <w:rFonts w:hint="default" w:ascii="Cambria Math" w:hAnsi="Cambria Math"/>
                                    <w:color w:val="auto"/>
                                    <w:sz w:val="24"/>
                                    <w:highlight w:val="none"/>
                                  </w:rPr>
                                </m:ctrlPr>
                              </m:e>
                              <m:sub>
                                <m:r>
                                  <m:rPr>
                                    <m:nor/>
                                    <m:sty m:val="p"/>
                                  </m:rPr>
                                  <w:rPr>
                                    <w:rFonts w:hint="default"/>
                                    <w:b w:val="0"/>
                                    <w:i w:val="0"/>
                                    <w:color w:val="auto"/>
                                    <w:sz w:val="24"/>
                                    <w:highlight w:val="none"/>
                                  </w:rPr>
                                  <m:t>i</m:t>
                                </m:r>
                                <m:ctrlPr>
                                  <w:rPr>
                                    <w:rFonts w:hint="default" w:ascii="Cambria Math" w:hAnsi="Cambria Math"/>
                                    <w:color w:val="auto"/>
                                    <w:sz w:val="24"/>
                                    <w:highlight w:val="none"/>
                                  </w:rPr>
                                </m:ctrlPr>
                              </m:sub>
                            </m:sSub>
                            <m:sSup>
                              <m:sSupPr>
                                <m:ctrlPr>
                                  <w:rPr>
                                    <w:rFonts w:hint="default" w:ascii="Cambria Math" w:hAnsi="Cambria Math"/>
                                    <w:color w:val="auto"/>
                                    <w:sz w:val="24"/>
                                    <w:highlight w:val="none"/>
                                  </w:rPr>
                                </m:ctrlPr>
                              </m:sSupPr>
                              <m:e>
                                <m:r>
                                  <m:rPr>
                                    <m:nor/>
                                    <m:sty m:val="p"/>
                                  </m:rPr>
                                  <w:rPr>
                                    <w:rFonts w:hint="default"/>
                                    <w:b w:val="0"/>
                                    <w:i w:val="0"/>
                                    <w:color w:val="auto"/>
                                    <w:sz w:val="24"/>
                                    <w:highlight w:val="none"/>
                                  </w:rPr>
                                  <m:t>10</m:t>
                                </m:r>
                                <m:ctrlPr>
                                  <w:rPr>
                                    <w:rFonts w:hint="default" w:ascii="Cambria Math" w:hAnsi="Cambria Math"/>
                                    <w:color w:val="auto"/>
                                    <w:sz w:val="24"/>
                                    <w:highlight w:val="none"/>
                                  </w:rPr>
                                </m:ctrlPr>
                              </m:e>
                              <m:sup>
                                <m:r>
                                  <m:rPr>
                                    <m:nor/>
                                    <m:sty m:val="p"/>
                                  </m:rPr>
                                  <w:rPr>
                                    <w:rFonts w:hint="default"/>
                                    <w:b w:val="0"/>
                                    <w:i w:val="0"/>
                                    <w:color w:val="auto"/>
                                    <w:sz w:val="24"/>
                                    <w:highlight w:val="none"/>
                                  </w:rPr>
                                  <m:t>0.1</m:t>
                                </m:r>
                                <m:sSub>
                                  <m:sSubPr>
                                    <m:ctrlPr>
                                      <w:rPr>
                                        <w:rFonts w:hint="default" w:ascii="Cambria Math" w:hAnsi="Cambria Math"/>
                                        <w:color w:val="auto"/>
                                        <w:sz w:val="24"/>
                                        <w:highlight w:val="none"/>
                                      </w:rPr>
                                    </m:ctrlPr>
                                  </m:sSubPr>
                                  <m:e>
                                    <m:r>
                                      <m:rPr>
                                        <m:nor/>
                                        <m:sty m:val="p"/>
                                      </m:rPr>
                                      <w:rPr>
                                        <w:rFonts w:hint="default"/>
                                        <w:b w:val="0"/>
                                        <w:i w:val="0"/>
                                        <w:color w:val="auto"/>
                                        <w:sz w:val="24"/>
                                        <w:highlight w:val="none"/>
                                      </w:rPr>
                                      <m:t>L</m:t>
                                    </m:r>
                                    <m:ctrlPr>
                                      <w:rPr>
                                        <w:rFonts w:hint="default" w:ascii="Cambria Math" w:hAnsi="Cambria Math"/>
                                        <w:color w:val="auto"/>
                                        <w:sz w:val="24"/>
                                        <w:highlight w:val="none"/>
                                      </w:rPr>
                                    </m:ctrlPr>
                                  </m:e>
                                  <m:sub>
                                    <m:r>
                                      <m:rPr>
                                        <m:nor/>
                                        <m:sty m:val="p"/>
                                      </m:rPr>
                                      <w:rPr>
                                        <w:rFonts w:hint="default"/>
                                        <w:b w:val="0"/>
                                        <w:i w:val="0"/>
                                        <w:color w:val="auto"/>
                                        <w:sz w:val="24"/>
                                        <w:highlight w:val="none"/>
                                      </w:rPr>
                                      <m:t>Ai</m:t>
                                    </m:r>
                                    <m:ctrlPr>
                                      <w:rPr>
                                        <w:rFonts w:hint="default" w:ascii="Cambria Math" w:hAnsi="Cambria Math"/>
                                        <w:color w:val="auto"/>
                                        <w:sz w:val="24"/>
                                        <w:highlight w:val="none"/>
                                      </w:rPr>
                                    </m:ctrlPr>
                                  </m:sub>
                                </m:sSub>
                                <m:ctrlPr>
                                  <w:rPr>
                                    <w:rFonts w:hint="default" w:ascii="Cambria Math" w:hAnsi="Cambria Math"/>
                                    <w:color w:val="auto"/>
                                    <w:sz w:val="24"/>
                                    <w:highlight w:val="none"/>
                                  </w:rPr>
                                </m:ctrlPr>
                              </m:sup>
                            </m:sSup>
                            <m:r>
                              <m:rPr>
                                <m:nor/>
                                <m:sty m:val="p"/>
                              </m:rPr>
                              <w:rPr>
                                <w:rFonts w:hint="default"/>
                                <w:b w:val="0"/>
                                <w:i w:val="0"/>
                                <w:color w:val="auto"/>
                                <w:sz w:val="24"/>
                                <w:highlight w:val="none"/>
                              </w:rPr>
                              <m:t>+</m:t>
                            </m:r>
                            <m:nary>
                              <m:naryPr>
                                <m:chr m:val="∑"/>
                                <m:limLoc m:val="undOvr"/>
                                <m:ctrlPr>
                                  <w:rPr>
                                    <w:rFonts w:hint="default" w:ascii="Cambria Math" w:hAnsi="Cambria Math"/>
                                    <w:color w:val="auto"/>
                                    <w:sz w:val="24"/>
                                    <w:highlight w:val="none"/>
                                  </w:rPr>
                                </m:ctrlPr>
                              </m:naryPr>
                              <m:sub>
                                <m:r>
                                  <m:rPr>
                                    <m:nor/>
                                    <m:sty m:val="p"/>
                                  </m:rPr>
                                  <w:rPr>
                                    <w:rFonts w:hint="default"/>
                                    <w:b w:val="0"/>
                                    <w:i w:val="0"/>
                                    <w:color w:val="auto"/>
                                    <w:sz w:val="24"/>
                                    <w:highlight w:val="none"/>
                                  </w:rPr>
                                  <m:t>j=1</m:t>
                                </m:r>
                                <m:ctrlPr>
                                  <w:rPr>
                                    <w:rFonts w:hint="default" w:ascii="Cambria Math" w:hAnsi="Cambria Math"/>
                                    <w:color w:val="auto"/>
                                    <w:sz w:val="24"/>
                                    <w:highlight w:val="none"/>
                                  </w:rPr>
                                </m:ctrlPr>
                              </m:sub>
                              <m:sup>
                                <m:r>
                                  <m:rPr>
                                    <m:nor/>
                                    <m:sty m:val="p"/>
                                  </m:rPr>
                                  <w:rPr>
                                    <w:rFonts w:hint="default"/>
                                    <w:b w:val="0"/>
                                    <w:i w:val="0"/>
                                    <w:color w:val="auto"/>
                                    <w:sz w:val="24"/>
                                    <w:highlight w:val="none"/>
                                  </w:rPr>
                                  <m:t>M</m:t>
                                </m:r>
                                <m:ctrlPr>
                                  <w:rPr>
                                    <w:rFonts w:hint="default" w:ascii="Cambria Math" w:hAnsi="Cambria Math"/>
                                    <w:color w:val="auto"/>
                                    <w:sz w:val="24"/>
                                    <w:highlight w:val="none"/>
                                  </w:rPr>
                                </m:ctrlPr>
                              </m:sup>
                              <m:e>
                                <m:sSub>
                                  <m:sSubPr>
                                    <m:ctrlPr>
                                      <w:rPr>
                                        <w:rFonts w:hint="default" w:ascii="Cambria Math" w:hAnsi="Cambria Math"/>
                                        <w:color w:val="auto"/>
                                        <w:sz w:val="24"/>
                                        <w:highlight w:val="none"/>
                                      </w:rPr>
                                    </m:ctrlPr>
                                  </m:sSubPr>
                                  <m:e>
                                    <m:r>
                                      <m:rPr>
                                        <m:nor/>
                                        <m:sty m:val="p"/>
                                      </m:rPr>
                                      <w:rPr>
                                        <w:rFonts w:hint="default"/>
                                        <w:b w:val="0"/>
                                        <w:i w:val="0"/>
                                        <w:color w:val="auto"/>
                                        <w:sz w:val="24"/>
                                        <w:highlight w:val="none"/>
                                      </w:rPr>
                                      <m:t>t</m:t>
                                    </m:r>
                                    <m:ctrlPr>
                                      <w:rPr>
                                        <w:rFonts w:hint="default" w:ascii="Cambria Math" w:hAnsi="Cambria Math"/>
                                        <w:color w:val="auto"/>
                                        <w:sz w:val="24"/>
                                        <w:highlight w:val="none"/>
                                      </w:rPr>
                                    </m:ctrlPr>
                                  </m:e>
                                  <m:sub>
                                    <m:r>
                                      <m:rPr>
                                        <m:nor/>
                                        <m:sty m:val="p"/>
                                      </m:rPr>
                                      <w:rPr>
                                        <w:rFonts w:hint="default"/>
                                        <w:b w:val="0"/>
                                        <w:i w:val="0"/>
                                        <w:color w:val="auto"/>
                                        <w:sz w:val="24"/>
                                        <w:highlight w:val="none"/>
                                      </w:rPr>
                                      <m:t>j</m:t>
                                    </m:r>
                                    <m:ctrlPr>
                                      <w:rPr>
                                        <w:rFonts w:hint="default" w:ascii="Cambria Math" w:hAnsi="Cambria Math"/>
                                        <w:color w:val="auto"/>
                                        <w:sz w:val="24"/>
                                        <w:highlight w:val="none"/>
                                      </w:rPr>
                                    </m:ctrlPr>
                                  </m:sub>
                                </m:sSub>
                                <m:sSup>
                                  <m:sSupPr>
                                    <m:ctrlPr>
                                      <w:rPr>
                                        <w:rFonts w:hint="default" w:ascii="Cambria Math" w:hAnsi="Cambria Math"/>
                                        <w:color w:val="auto"/>
                                        <w:sz w:val="24"/>
                                        <w:highlight w:val="none"/>
                                      </w:rPr>
                                    </m:ctrlPr>
                                  </m:sSupPr>
                                  <m:e>
                                    <m:r>
                                      <m:rPr>
                                        <m:nor/>
                                        <m:sty m:val="p"/>
                                      </m:rPr>
                                      <w:rPr>
                                        <w:rFonts w:hint="default"/>
                                        <w:b w:val="0"/>
                                        <w:i w:val="0"/>
                                        <w:color w:val="auto"/>
                                        <w:sz w:val="24"/>
                                        <w:highlight w:val="none"/>
                                      </w:rPr>
                                      <m:t>10</m:t>
                                    </m:r>
                                    <m:ctrlPr>
                                      <w:rPr>
                                        <w:rFonts w:hint="default" w:ascii="Cambria Math" w:hAnsi="Cambria Math"/>
                                        <w:color w:val="auto"/>
                                        <w:sz w:val="24"/>
                                        <w:highlight w:val="none"/>
                                      </w:rPr>
                                    </m:ctrlPr>
                                  </m:e>
                                  <m:sup>
                                    <m:r>
                                      <m:rPr>
                                        <m:nor/>
                                        <m:sty m:val="p"/>
                                      </m:rPr>
                                      <w:rPr>
                                        <w:rFonts w:hint="default"/>
                                        <w:b w:val="0"/>
                                        <w:i w:val="0"/>
                                        <w:color w:val="auto"/>
                                        <w:sz w:val="24"/>
                                        <w:highlight w:val="none"/>
                                      </w:rPr>
                                      <m:t>0.1</m:t>
                                    </m:r>
                                    <m:sSub>
                                      <m:sSubPr>
                                        <m:ctrlPr>
                                          <w:rPr>
                                            <w:rFonts w:hint="default" w:ascii="Cambria Math" w:hAnsi="Cambria Math"/>
                                            <w:color w:val="auto"/>
                                            <w:sz w:val="24"/>
                                            <w:highlight w:val="none"/>
                                          </w:rPr>
                                        </m:ctrlPr>
                                      </m:sSubPr>
                                      <m:e>
                                        <m:r>
                                          <m:rPr>
                                            <m:nor/>
                                            <m:sty m:val="p"/>
                                          </m:rPr>
                                          <w:rPr>
                                            <w:rFonts w:hint="default"/>
                                            <w:b w:val="0"/>
                                            <w:i w:val="0"/>
                                            <w:color w:val="auto"/>
                                            <w:sz w:val="24"/>
                                            <w:highlight w:val="none"/>
                                          </w:rPr>
                                          <m:t>L</m:t>
                                        </m:r>
                                        <m:ctrlPr>
                                          <w:rPr>
                                            <w:rFonts w:hint="default" w:ascii="Cambria Math" w:hAnsi="Cambria Math"/>
                                            <w:color w:val="auto"/>
                                            <w:sz w:val="24"/>
                                            <w:highlight w:val="none"/>
                                          </w:rPr>
                                        </m:ctrlPr>
                                      </m:e>
                                      <m:sub>
                                        <m:r>
                                          <m:rPr>
                                            <m:nor/>
                                            <m:sty m:val="p"/>
                                          </m:rPr>
                                          <w:rPr>
                                            <w:rFonts w:hint="default"/>
                                            <w:b w:val="0"/>
                                            <w:i w:val="0"/>
                                            <w:color w:val="auto"/>
                                            <w:sz w:val="24"/>
                                            <w:highlight w:val="none"/>
                                          </w:rPr>
                                          <m:t>Aj</m:t>
                                        </m:r>
                                        <m:ctrlPr>
                                          <w:rPr>
                                            <w:rFonts w:hint="default" w:ascii="Cambria Math" w:hAnsi="Cambria Math"/>
                                            <w:color w:val="auto"/>
                                            <w:sz w:val="24"/>
                                            <w:highlight w:val="none"/>
                                          </w:rPr>
                                        </m:ctrlPr>
                                      </m:sub>
                                    </m:sSub>
                                    <m:ctrlPr>
                                      <w:rPr>
                                        <w:rFonts w:hint="default" w:ascii="Cambria Math" w:hAnsi="Cambria Math"/>
                                        <w:color w:val="auto"/>
                                        <w:sz w:val="24"/>
                                        <w:highlight w:val="none"/>
                                      </w:rPr>
                                    </m:ctrlPr>
                                  </m:sup>
                                </m:sSup>
                                <m:ctrlPr>
                                  <w:rPr>
                                    <w:rFonts w:hint="default" w:ascii="Cambria Math" w:hAnsi="Cambria Math"/>
                                    <w:color w:val="auto"/>
                                    <w:sz w:val="24"/>
                                    <w:highlight w:val="none"/>
                                  </w:rPr>
                                </m:ctrlPr>
                              </m:e>
                            </m:nary>
                            <m:ctrlPr>
                              <w:rPr>
                                <w:rFonts w:hint="default" w:ascii="Cambria Math" w:hAnsi="Cambria Math"/>
                                <w:color w:val="auto"/>
                                <w:sz w:val="24"/>
                                <w:highlight w:val="none"/>
                              </w:rPr>
                            </m:ctrlPr>
                          </m:e>
                        </m:nary>
                        <m:ctrlPr>
                          <w:rPr>
                            <w:rFonts w:hint="default" w:ascii="Cambria Math" w:hAnsi="Cambria Math"/>
                            <w:color w:val="auto"/>
                            <w:sz w:val="24"/>
                            <w:highlight w:val="none"/>
                          </w:rPr>
                        </m:ctrlPr>
                      </m:e>
                    </m:d>
                    <m:ctrlPr>
                      <w:rPr>
                        <w:rFonts w:hint="default" w:ascii="Cambria Math" w:hAnsi="Cambria Math"/>
                        <w:color w:val="auto"/>
                        <w:sz w:val="24"/>
                        <w:highlight w:val="none"/>
                      </w:rPr>
                    </m:ctrlPr>
                  </m:e>
                </m:d>
              </m:oMath>
            </m:oMathPara>
          </w:p>
          <w:p w14:paraId="29786CCA">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hAnsi="宋体"/>
                <w:color w:val="auto"/>
                <w:sz w:val="24"/>
                <w:highlight w:val="none"/>
              </w:rPr>
              <w:t>式中：</w:t>
            </w:r>
            <w:r>
              <w:rPr>
                <w:rFonts w:hint="default"/>
                <w:color w:val="auto"/>
                <w:sz w:val="24"/>
                <w:highlight w:val="none"/>
              </w:rPr>
              <w:t>tj—</w:t>
            </w:r>
            <w:r>
              <w:rPr>
                <w:rFonts w:hint="default" w:hAnsi="宋体"/>
                <w:color w:val="auto"/>
                <w:sz w:val="24"/>
                <w:highlight w:val="none"/>
              </w:rPr>
              <w:t>在</w:t>
            </w:r>
            <w:r>
              <w:rPr>
                <w:rFonts w:hint="default"/>
                <w:color w:val="auto"/>
                <w:sz w:val="24"/>
                <w:highlight w:val="none"/>
              </w:rPr>
              <w:t>T</w:t>
            </w:r>
            <w:r>
              <w:rPr>
                <w:rFonts w:hint="default" w:hAnsi="宋体"/>
                <w:color w:val="auto"/>
                <w:sz w:val="24"/>
                <w:highlight w:val="none"/>
              </w:rPr>
              <w:t>时间内</w:t>
            </w:r>
            <w:r>
              <w:rPr>
                <w:rFonts w:hint="default"/>
                <w:color w:val="auto"/>
                <w:sz w:val="24"/>
                <w:highlight w:val="none"/>
              </w:rPr>
              <w:t>j</w:t>
            </w:r>
            <w:r>
              <w:rPr>
                <w:rFonts w:hint="default" w:hAnsi="宋体"/>
                <w:color w:val="auto"/>
                <w:sz w:val="24"/>
                <w:highlight w:val="none"/>
              </w:rPr>
              <w:t>声源工作时间，</w:t>
            </w:r>
            <w:r>
              <w:rPr>
                <w:rFonts w:hint="default"/>
                <w:color w:val="auto"/>
                <w:sz w:val="24"/>
                <w:highlight w:val="none"/>
              </w:rPr>
              <w:t>s</w:t>
            </w:r>
            <w:r>
              <w:rPr>
                <w:rFonts w:hint="default" w:hAnsi="宋体"/>
                <w:color w:val="auto"/>
                <w:sz w:val="24"/>
                <w:highlight w:val="none"/>
              </w:rPr>
              <w:t>；</w:t>
            </w:r>
          </w:p>
          <w:p w14:paraId="595EFD63">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Ti—</w:t>
            </w:r>
            <w:r>
              <w:rPr>
                <w:rFonts w:hint="default" w:hAnsi="宋体"/>
                <w:color w:val="auto"/>
                <w:sz w:val="24"/>
                <w:highlight w:val="none"/>
              </w:rPr>
              <w:t>在</w:t>
            </w:r>
            <w:r>
              <w:rPr>
                <w:rFonts w:hint="default"/>
                <w:color w:val="auto"/>
                <w:sz w:val="24"/>
                <w:highlight w:val="none"/>
              </w:rPr>
              <w:t>T</w:t>
            </w:r>
            <w:r>
              <w:rPr>
                <w:rFonts w:hint="default" w:hAnsi="宋体"/>
                <w:color w:val="auto"/>
                <w:sz w:val="24"/>
                <w:highlight w:val="none"/>
              </w:rPr>
              <w:t>时间内</w:t>
            </w:r>
            <w:r>
              <w:rPr>
                <w:rFonts w:hint="default"/>
                <w:color w:val="auto"/>
                <w:sz w:val="24"/>
                <w:highlight w:val="none"/>
              </w:rPr>
              <w:t>i</w:t>
            </w:r>
            <w:r>
              <w:rPr>
                <w:rFonts w:hint="default" w:hAnsi="宋体"/>
                <w:color w:val="auto"/>
                <w:sz w:val="24"/>
                <w:highlight w:val="none"/>
              </w:rPr>
              <w:t>声源工作时间，</w:t>
            </w:r>
            <w:r>
              <w:rPr>
                <w:rFonts w:hint="default"/>
                <w:color w:val="auto"/>
                <w:sz w:val="24"/>
                <w:highlight w:val="none"/>
              </w:rPr>
              <w:t>s</w:t>
            </w:r>
            <w:r>
              <w:rPr>
                <w:rFonts w:hint="default" w:hAnsi="宋体"/>
                <w:color w:val="auto"/>
                <w:sz w:val="24"/>
                <w:highlight w:val="none"/>
              </w:rPr>
              <w:t>；</w:t>
            </w:r>
          </w:p>
          <w:p w14:paraId="40DA4D11">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T—</w:t>
            </w:r>
            <w:r>
              <w:rPr>
                <w:rFonts w:hint="default" w:hAnsi="宋体"/>
                <w:color w:val="auto"/>
                <w:sz w:val="24"/>
                <w:highlight w:val="none"/>
              </w:rPr>
              <w:t>用于计算等效声级的时间，</w:t>
            </w:r>
            <w:r>
              <w:rPr>
                <w:rFonts w:hint="default"/>
                <w:color w:val="auto"/>
                <w:sz w:val="24"/>
                <w:highlight w:val="none"/>
              </w:rPr>
              <w:t>s</w:t>
            </w:r>
            <w:r>
              <w:rPr>
                <w:rFonts w:hint="default" w:hAnsi="宋体"/>
                <w:color w:val="auto"/>
                <w:sz w:val="24"/>
                <w:highlight w:val="none"/>
              </w:rPr>
              <w:t>；</w:t>
            </w:r>
          </w:p>
          <w:p w14:paraId="208AAD4A">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default"/>
                <w:color w:val="auto"/>
                <w:sz w:val="24"/>
                <w:highlight w:val="none"/>
              </w:rPr>
              <w:t>N—</w:t>
            </w:r>
            <w:r>
              <w:rPr>
                <w:rFonts w:hint="default" w:hAnsi="宋体"/>
                <w:color w:val="auto"/>
                <w:sz w:val="24"/>
                <w:highlight w:val="none"/>
              </w:rPr>
              <w:t>室外声源个数；</w:t>
            </w:r>
          </w:p>
          <w:p w14:paraId="2F3893A1">
            <w:pPr>
              <w:keepNext w:val="0"/>
              <w:keepLines w:val="0"/>
              <w:suppressLineNumbers w:val="0"/>
              <w:spacing w:before="0" w:beforeAutospacing="0" w:after="0" w:afterAutospacing="0" w:line="360" w:lineRule="auto"/>
              <w:ind w:left="0" w:right="0" w:firstLine="480" w:firstLineChars="200"/>
              <w:rPr>
                <w:rFonts w:hint="default" w:hAnsi="宋体"/>
                <w:color w:val="auto"/>
                <w:sz w:val="24"/>
                <w:highlight w:val="none"/>
              </w:rPr>
            </w:pPr>
            <w:r>
              <w:rPr>
                <w:rFonts w:hint="default"/>
                <w:color w:val="auto"/>
                <w:sz w:val="24"/>
                <w:highlight w:val="none"/>
              </w:rPr>
              <w:t>M—</w:t>
            </w:r>
            <w:r>
              <w:rPr>
                <w:rFonts w:hint="default" w:hAnsi="宋体"/>
                <w:color w:val="auto"/>
                <w:sz w:val="24"/>
                <w:highlight w:val="none"/>
              </w:rPr>
              <w:t>等效室外声源个数。</w:t>
            </w:r>
          </w:p>
          <w:p w14:paraId="4BFE6A9F">
            <w:pPr>
              <w:keepNext w:val="0"/>
              <w:keepLines w:val="0"/>
              <w:suppressLineNumbers w:val="0"/>
              <w:spacing w:before="0" w:beforeAutospacing="0" w:after="0" w:afterAutospacing="0" w:line="360" w:lineRule="auto"/>
              <w:ind w:left="0" w:right="0" w:firstLine="480" w:firstLineChars="200"/>
              <w:rPr>
                <w:rFonts w:hint="default" w:hAnsi="宋体"/>
                <w:color w:val="auto"/>
                <w:sz w:val="24"/>
                <w:highlight w:val="none"/>
              </w:rPr>
            </w:pPr>
            <w:r>
              <w:rPr>
                <w:rFonts w:hint="eastAsia" w:hAnsi="宋体"/>
                <w:color w:val="auto"/>
                <w:sz w:val="24"/>
                <w:highlight w:val="none"/>
              </w:rPr>
              <w:t>④预测结果及评价</w:t>
            </w:r>
          </w:p>
          <w:p w14:paraId="56BD75B1">
            <w:pPr>
              <w:keepNext w:val="0"/>
              <w:keepLines w:val="0"/>
              <w:suppressLineNumbers w:val="0"/>
              <w:spacing w:before="0" w:beforeAutospacing="0" w:after="0" w:afterAutospacing="0" w:line="360" w:lineRule="auto"/>
              <w:ind w:left="0" w:right="0" w:firstLine="480" w:firstLineChars="200"/>
              <w:rPr>
                <w:rFonts w:hint="default"/>
                <w:color w:val="auto"/>
                <w:spacing w:val="-4"/>
                <w:sz w:val="24"/>
                <w:szCs w:val="24"/>
                <w:highlight w:val="none"/>
              </w:rPr>
            </w:pPr>
            <w:r>
              <w:rPr>
                <w:rFonts w:hint="eastAsia" w:hAnsi="宋体"/>
                <w:color w:val="auto"/>
                <w:sz w:val="24"/>
                <w:highlight w:val="none"/>
              </w:rPr>
              <w:t>根据项目设备噪声源强分布，利用上述的噪声预测模式，预测本工程的主要设备噪声源在采取相应的降噪措施后对厂界环境噪声的贡献值，得出预测结果见下表。</w:t>
            </w:r>
          </w:p>
          <w:p w14:paraId="680A05E9">
            <w:pPr>
              <w:keepNext w:val="0"/>
              <w:keepLines w:val="0"/>
              <w:suppressLineNumbers w:val="0"/>
              <w:spacing w:before="0" w:beforeAutospacing="0" w:after="0" w:afterAutospacing="0" w:line="360" w:lineRule="auto"/>
              <w:ind w:left="0" w:right="0" w:firstLine="464" w:firstLineChars="200"/>
              <w:rPr>
                <w:rFonts w:hint="default"/>
                <w:color w:val="auto"/>
                <w:spacing w:val="-4"/>
                <w:sz w:val="24"/>
                <w:szCs w:val="24"/>
                <w:highlight w:val="none"/>
              </w:rPr>
            </w:pPr>
            <w:r>
              <w:rPr>
                <w:rFonts w:hint="eastAsia"/>
                <w:color w:val="auto"/>
                <w:spacing w:val="-4"/>
                <w:sz w:val="24"/>
                <w:szCs w:val="24"/>
                <w:highlight w:val="none"/>
              </w:rPr>
              <w:t>根据预测模式计算出噪声源</w:t>
            </w:r>
            <w:r>
              <w:rPr>
                <w:rFonts w:hint="eastAsia"/>
                <w:color w:val="auto"/>
                <w:spacing w:val="-4"/>
                <w:sz w:val="24"/>
                <w:szCs w:val="24"/>
                <w:highlight w:val="none"/>
                <w:lang w:val="en-US" w:eastAsia="zh-CN"/>
              </w:rPr>
              <w:t>叠加现状值后</w:t>
            </w:r>
            <w:r>
              <w:rPr>
                <w:rFonts w:hint="eastAsia"/>
                <w:color w:val="auto"/>
                <w:spacing w:val="-4"/>
                <w:sz w:val="24"/>
                <w:szCs w:val="24"/>
                <w:highlight w:val="none"/>
              </w:rPr>
              <w:t>传播至各厂界</w:t>
            </w:r>
            <w:r>
              <w:rPr>
                <w:rFonts w:hint="default"/>
                <w:color w:val="auto"/>
                <w:spacing w:val="-4"/>
                <w:sz w:val="24"/>
                <w:szCs w:val="24"/>
                <w:highlight w:val="none"/>
              </w:rPr>
              <w:t>1m</w:t>
            </w:r>
            <w:r>
              <w:rPr>
                <w:rFonts w:hint="eastAsia"/>
                <w:color w:val="auto"/>
                <w:spacing w:val="-4"/>
                <w:sz w:val="24"/>
                <w:szCs w:val="24"/>
                <w:highlight w:val="none"/>
              </w:rPr>
              <w:t>处噪声值，结果见下表：</w:t>
            </w:r>
          </w:p>
          <w:p w14:paraId="0E7A7B0B">
            <w:pPr>
              <w:keepNext w:val="0"/>
              <w:keepLines w:val="0"/>
              <w:suppressLineNumbers w:val="0"/>
              <w:spacing w:before="0" w:beforeAutospacing="0" w:after="0" w:afterAutospacing="0" w:line="360" w:lineRule="auto"/>
              <w:ind w:left="0" w:right="0"/>
              <w:jc w:val="center"/>
              <w:rPr>
                <w:rFonts w:hint="default" w:eastAsia="黑体"/>
                <w:color w:val="auto"/>
                <w:szCs w:val="21"/>
                <w:highlight w:val="none"/>
              </w:rPr>
            </w:pPr>
            <w:r>
              <w:rPr>
                <w:rFonts w:hint="eastAsia" w:hAnsi="黑体" w:eastAsia="黑体"/>
                <w:color w:val="auto"/>
                <w:sz w:val="24"/>
                <w:szCs w:val="24"/>
                <w:highlight w:val="none"/>
              </w:rPr>
              <w:t>表</w:t>
            </w:r>
            <w:r>
              <w:rPr>
                <w:rFonts w:hint="eastAsia" w:hAnsi="黑体" w:eastAsia="黑体"/>
                <w:color w:val="auto"/>
                <w:sz w:val="24"/>
                <w:szCs w:val="24"/>
                <w:highlight w:val="none"/>
                <w:lang w:val="en-US" w:eastAsia="zh-CN"/>
              </w:rPr>
              <w:t>4-2</w:t>
            </w:r>
            <w:r>
              <w:rPr>
                <w:rFonts w:hint="default" w:hAnsi="黑体" w:eastAsia="黑体"/>
                <w:color w:val="auto"/>
                <w:sz w:val="24"/>
                <w:szCs w:val="24"/>
                <w:highlight w:val="none"/>
              </w:rPr>
              <w:t xml:space="preserve"> </w:t>
            </w:r>
            <w:r>
              <w:rPr>
                <w:rFonts w:hint="eastAsia" w:hAnsi="黑体" w:eastAsia="黑体"/>
                <w:color w:val="auto"/>
                <w:sz w:val="24"/>
                <w:szCs w:val="24"/>
                <w:highlight w:val="none"/>
              </w:rPr>
              <w:t>项目噪声预测结果</w:t>
            </w:r>
            <w:r>
              <w:rPr>
                <w:rFonts w:hint="eastAsia" w:hAnsi="黑体" w:eastAsia="黑体"/>
                <w:color w:val="auto"/>
                <w:sz w:val="24"/>
                <w:szCs w:val="24"/>
                <w:highlight w:val="none"/>
                <w:lang w:val="en-US" w:eastAsia="zh-CN"/>
              </w:rPr>
              <w:t xml:space="preserve"> </w:t>
            </w:r>
            <w:r>
              <w:rPr>
                <w:rFonts w:hint="eastAsia" w:hAnsi="黑体" w:eastAsia="黑体"/>
                <w:color w:val="auto"/>
                <w:sz w:val="24"/>
                <w:szCs w:val="24"/>
                <w:highlight w:val="none"/>
              </w:rPr>
              <w:t>单位</w:t>
            </w:r>
            <w:r>
              <w:rPr>
                <w:rFonts w:hint="default" w:hAnsi="黑体" w:eastAsia="黑体"/>
                <w:color w:val="auto"/>
                <w:sz w:val="24"/>
                <w:szCs w:val="24"/>
                <w:highlight w:val="none"/>
              </w:rPr>
              <w:t>dB</w:t>
            </w:r>
            <w:r>
              <w:rPr>
                <w:rFonts w:hint="eastAsia" w:hAnsi="黑体" w:eastAsia="黑体"/>
                <w:color w:val="auto"/>
                <w:sz w:val="24"/>
                <w:szCs w:val="24"/>
                <w:highlight w:val="none"/>
              </w:rPr>
              <w:t>（</w:t>
            </w:r>
            <w:r>
              <w:rPr>
                <w:rFonts w:hint="default" w:hAnsi="黑体" w:eastAsia="黑体"/>
                <w:color w:val="auto"/>
                <w:sz w:val="24"/>
                <w:szCs w:val="24"/>
                <w:highlight w:val="none"/>
              </w:rPr>
              <w:t>A</w:t>
            </w:r>
            <w:r>
              <w:rPr>
                <w:rFonts w:hint="eastAsia" w:hAnsi="黑体" w:eastAsia="黑体"/>
                <w:color w:val="auto"/>
                <w:sz w:val="24"/>
                <w:szCs w:val="24"/>
                <w:highlight w:val="none"/>
              </w:rPr>
              <w:t>）</w:t>
            </w:r>
          </w:p>
          <w:tbl>
            <w:tblPr>
              <w:tblStyle w:val="36"/>
              <w:tblW w:w="8018" w:type="dxa"/>
              <w:jc w:val="center"/>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Layout w:type="autofit"/>
              <w:tblCellMar>
                <w:top w:w="0" w:type="dxa"/>
                <w:left w:w="108" w:type="dxa"/>
                <w:bottom w:w="0" w:type="dxa"/>
                <w:right w:w="108" w:type="dxa"/>
              </w:tblCellMar>
            </w:tblPr>
            <w:tblGrid>
              <w:gridCol w:w="947"/>
              <w:gridCol w:w="807"/>
              <w:gridCol w:w="1048"/>
              <w:gridCol w:w="1036"/>
              <w:gridCol w:w="1049"/>
              <w:gridCol w:w="1040"/>
              <w:gridCol w:w="1048"/>
              <w:gridCol w:w="1043"/>
            </w:tblGrid>
            <w:tr w14:paraId="60A60766">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189" w:hRule="atLeast"/>
                <w:jc w:val="center"/>
              </w:trPr>
              <w:tc>
                <w:tcPr>
                  <w:tcW w:w="591" w:type="pct"/>
                  <w:vMerge w:val="restart"/>
                  <w:vAlign w:val="center"/>
                </w:tcPr>
                <w:p w14:paraId="7EBE2646">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预测点</w:t>
                  </w:r>
                </w:p>
              </w:tc>
              <w:tc>
                <w:tcPr>
                  <w:tcW w:w="1156" w:type="pct"/>
                  <w:gridSpan w:val="2"/>
                  <w:vAlign w:val="center"/>
                </w:tcPr>
                <w:p w14:paraId="4785B642">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lang w:val="en-US" w:eastAsia="zh-CN"/>
                    </w:rPr>
                    <w:t>现状</w:t>
                  </w:r>
                  <w:r>
                    <w:rPr>
                      <w:rFonts w:hint="eastAsia"/>
                      <w:b/>
                      <w:bCs/>
                      <w:color w:val="auto"/>
                      <w:szCs w:val="21"/>
                      <w:highlight w:val="none"/>
                    </w:rPr>
                    <w:t>值</w:t>
                  </w:r>
                </w:p>
              </w:tc>
              <w:tc>
                <w:tcPr>
                  <w:tcW w:w="1300" w:type="pct"/>
                  <w:gridSpan w:val="2"/>
                  <w:vAlign w:val="center"/>
                </w:tcPr>
                <w:p w14:paraId="536AF6B8">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贡献值</w:t>
                  </w:r>
                </w:p>
              </w:tc>
              <w:tc>
                <w:tcPr>
                  <w:tcW w:w="1301" w:type="pct"/>
                  <w:gridSpan w:val="2"/>
                  <w:vAlign w:val="center"/>
                </w:tcPr>
                <w:p w14:paraId="4F7CD1DA">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预测值</w:t>
                  </w:r>
                </w:p>
              </w:tc>
              <w:tc>
                <w:tcPr>
                  <w:tcW w:w="650" w:type="pct"/>
                  <w:vMerge w:val="restart"/>
                  <w:vAlign w:val="center"/>
                </w:tcPr>
                <w:p w14:paraId="739D47C5">
                  <w:pPr>
                    <w:pStyle w:val="10"/>
                    <w:keepNext w:val="0"/>
                    <w:keepLines w:val="0"/>
                    <w:suppressLineNumbers w:val="0"/>
                    <w:spacing w:before="0" w:beforeAutospacing="0" w:after="0" w:afterAutospacing="0" w:line="276" w:lineRule="auto"/>
                    <w:ind w:left="0" w:leftChars="0" w:right="0"/>
                    <w:jc w:val="center"/>
                    <w:rPr>
                      <w:rFonts w:hint="eastAsia"/>
                      <w:b/>
                      <w:bCs/>
                      <w:color w:val="auto"/>
                      <w:szCs w:val="21"/>
                      <w:highlight w:val="none"/>
                    </w:rPr>
                  </w:pPr>
                  <w:r>
                    <w:rPr>
                      <w:rFonts w:hint="eastAsia"/>
                      <w:b/>
                      <w:bCs/>
                      <w:color w:val="auto"/>
                      <w:szCs w:val="21"/>
                      <w:highlight w:val="none"/>
                    </w:rPr>
                    <w:t>达标</w:t>
                  </w:r>
                </w:p>
                <w:p w14:paraId="0B09C183">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情况</w:t>
                  </w:r>
                </w:p>
              </w:tc>
            </w:tr>
            <w:tr w14:paraId="1F73A2AB">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184" w:hRule="atLeast"/>
                <w:jc w:val="center"/>
              </w:trPr>
              <w:tc>
                <w:tcPr>
                  <w:tcW w:w="591" w:type="pct"/>
                  <w:vMerge w:val="continue"/>
                  <w:vAlign w:val="center"/>
                </w:tcPr>
                <w:p w14:paraId="21D63409">
                  <w:pPr>
                    <w:keepNext w:val="0"/>
                    <w:keepLines w:val="0"/>
                    <w:widowControl/>
                    <w:suppressLineNumbers w:val="0"/>
                    <w:spacing w:before="0" w:beforeAutospacing="0" w:after="0" w:afterAutospacing="0" w:line="276" w:lineRule="auto"/>
                    <w:ind w:left="0" w:right="0"/>
                    <w:jc w:val="left"/>
                    <w:rPr>
                      <w:rFonts w:hint="default"/>
                      <w:b/>
                      <w:bCs/>
                      <w:color w:val="auto"/>
                      <w:szCs w:val="21"/>
                      <w:highlight w:val="none"/>
                    </w:rPr>
                  </w:pPr>
                </w:p>
              </w:tc>
              <w:tc>
                <w:tcPr>
                  <w:tcW w:w="503" w:type="pct"/>
                  <w:vAlign w:val="center"/>
                </w:tcPr>
                <w:p w14:paraId="03299D9A">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昼间</w:t>
                  </w:r>
                </w:p>
              </w:tc>
              <w:tc>
                <w:tcPr>
                  <w:tcW w:w="652" w:type="pct"/>
                  <w:vAlign w:val="center"/>
                </w:tcPr>
                <w:p w14:paraId="2C3776A8">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夜间</w:t>
                  </w:r>
                </w:p>
              </w:tc>
              <w:tc>
                <w:tcPr>
                  <w:tcW w:w="646" w:type="pct"/>
                  <w:vAlign w:val="center"/>
                </w:tcPr>
                <w:p w14:paraId="165796E6">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昼间</w:t>
                  </w:r>
                </w:p>
              </w:tc>
              <w:tc>
                <w:tcPr>
                  <w:tcW w:w="653" w:type="pct"/>
                  <w:vAlign w:val="center"/>
                </w:tcPr>
                <w:p w14:paraId="7263976D">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夜间</w:t>
                  </w:r>
                </w:p>
              </w:tc>
              <w:tc>
                <w:tcPr>
                  <w:tcW w:w="648" w:type="pct"/>
                  <w:vAlign w:val="center"/>
                </w:tcPr>
                <w:p w14:paraId="5B4F09D3">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昼间</w:t>
                  </w:r>
                </w:p>
              </w:tc>
              <w:tc>
                <w:tcPr>
                  <w:tcW w:w="652" w:type="pct"/>
                  <w:vAlign w:val="center"/>
                </w:tcPr>
                <w:p w14:paraId="5831B849">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r>
                    <w:rPr>
                      <w:rFonts w:hint="eastAsia"/>
                      <w:b/>
                      <w:bCs/>
                      <w:color w:val="auto"/>
                      <w:szCs w:val="21"/>
                      <w:highlight w:val="none"/>
                    </w:rPr>
                    <w:t>夜间</w:t>
                  </w:r>
                </w:p>
              </w:tc>
              <w:tc>
                <w:tcPr>
                  <w:tcW w:w="650" w:type="pct"/>
                  <w:vMerge w:val="continue"/>
                  <w:vAlign w:val="center"/>
                </w:tcPr>
                <w:p w14:paraId="2120C48D">
                  <w:pPr>
                    <w:pStyle w:val="10"/>
                    <w:keepNext w:val="0"/>
                    <w:keepLines w:val="0"/>
                    <w:suppressLineNumbers w:val="0"/>
                    <w:spacing w:before="0" w:beforeAutospacing="0" w:after="0" w:afterAutospacing="0" w:line="276" w:lineRule="auto"/>
                    <w:ind w:left="0" w:leftChars="0" w:right="0"/>
                    <w:jc w:val="center"/>
                    <w:rPr>
                      <w:rFonts w:hint="default"/>
                      <w:b/>
                      <w:bCs/>
                      <w:color w:val="auto"/>
                      <w:szCs w:val="21"/>
                      <w:highlight w:val="none"/>
                    </w:rPr>
                  </w:pPr>
                </w:p>
              </w:tc>
            </w:tr>
            <w:tr w14:paraId="5CC9E4CF">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268" w:hRule="atLeast"/>
                <w:jc w:val="center"/>
              </w:trPr>
              <w:tc>
                <w:tcPr>
                  <w:tcW w:w="591" w:type="pct"/>
                  <w:vAlign w:val="center"/>
                </w:tcPr>
                <w:p w14:paraId="2CFFCA97">
                  <w:pPr>
                    <w:pStyle w:val="10"/>
                    <w:keepNext w:val="0"/>
                    <w:keepLines w:val="0"/>
                    <w:suppressLineNumbers w:val="0"/>
                    <w:spacing w:before="0" w:beforeAutospacing="0" w:after="0" w:afterAutospacing="0" w:line="276" w:lineRule="auto"/>
                    <w:ind w:left="0" w:leftChars="0" w:right="0"/>
                    <w:jc w:val="center"/>
                    <w:rPr>
                      <w:rFonts w:hint="default"/>
                      <w:color w:val="auto"/>
                      <w:szCs w:val="21"/>
                      <w:highlight w:val="none"/>
                    </w:rPr>
                  </w:pPr>
                  <w:r>
                    <w:rPr>
                      <w:rFonts w:hint="eastAsia"/>
                      <w:color w:val="auto"/>
                      <w:szCs w:val="21"/>
                      <w:highlight w:val="none"/>
                    </w:rPr>
                    <w:t>东厂界</w:t>
                  </w:r>
                </w:p>
              </w:tc>
              <w:tc>
                <w:tcPr>
                  <w:tcW w:w="503" w:type="pct"/>
                  <w:vAlign w:val="center"/>
                </w:tcPr>
                <w:p w14:paraId="0F6EB825">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58</w:t>
                  </w:r>
                </w:p>
              </w:tc>
              <w:tc>
                <w:tcPr>
                  <w:tcW w:w="652" w:type="pct"/>
                  <w:vAlign w:val="center"/>
                </w:tcPr>
                <w:p w14:paraId="52282FE3">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46" w:type="pct"/>
                  <w:vAlign w:val="center"/>
                </w:tcPr>
                <w:p w14:paraId="4A7EC084">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48.8</w:t>
                  </w:r>
                </w:p>
              </w:tc>
              <w:tc>
                <w:tcPr>
                  <w:tcW w:w="1048" w:type="dxa"/>
                  <w:vAlign w:val="center"/>
                </w:tcPr>
                <w:p w14:paraId="57B7B8E3">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040" w:type="dxa"/>
                  <w:vAlign w:val="center"/>
                </w:tcPr>
                <w:p w14:paraId="3BAE6743">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58.5</w:t>
                  </w:r>
                </w:p>
              </w:tc>
              <w:tc>
                <w:tcPr>
                  <w:tcW w:w="1048" w:type="dxa"/>
                  <w:vAlign w:val="center"/>
                </w:tcPr>
                <w:p w14:paraId="09E9409A">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50" w:type="pct"/>
                  <w:vAlign w:val="center"/>
                </w:tcPr>
                <w:p w14:paraId="5BC09A78">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达标</w:t>
                  </w:r>
                </w:p>
              </w:tc>
            </w:tr>
            <w:tr w14:paraId="15FB617E">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274" w:hRule="atLeast"/>
                <w:jc w:val="center"/>
              </w:trPr>
              <w:tc>
                <w:tcPr>
                  <w:tcW w:w="591" w:type="pct"/>
                  <w:vAlign w:val="center"/>
                </w:tcPr>
                <w:p w14:paraId="0DD9CE2E">
                  <w:pPr>
                    <w:pStyle w:val="10"/>
                    <w:keepNext w:val="0"/>
                    <w:keepLines w:val="0"/>
                    <w:suppressLineNumbers w:val="0"/>
                    <w:spacing w:before="0" w:beforeAutospacing="0" w:after="0" w:afterAutospacing="0" w:line="276" w:lineRule="auto"/>
                    <w:ind w:left="0" w:leftChars="0" w:right="0"/>
                    <w:jc w:val="center"/>
                    <w:rPr>
                      <w:rFonts w:hint="default"/>
                      <w:color w:val="auto"/>
                      <w:szCs w:val="21"/>
                      <w:highlight w:val="none"/>
                    </w:rPr>
                  </w:pPr>
                  <w:r>
                    <w:rPr>
                      <w:rFonts w:hint="eastAsia"/>
                      <w:color w:val="auto"/>
                      <w:szCs w:val="21"/>
                      <w:highlight w:val="none"/>
                    </w:rPr>
                    <w:t>南厂界</w:t>
                  </w:r>
                </w:p>
              </w:tc>
              <w:tc>
                <w:tcPr>
                  <w:tcW w:w="503" w:type="pct"/>
                  <w:vAlign w:val="center"/>
                </w:tcPr>
                <w:p w14:paraId="498F63DE">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50</w:t>
                  </w:r>
                </w:p>
              </w:tc>
              <w:tc>
                <w:tcPr>
                  <w:tcW w:w="652" w:type="pct"/>
                  <w:vAlign w:val="center"/>
                </w:tcPr>
                <w:p w14:paraId="6445ED1E">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46" w:type="pct"/>
                  <w:vAlign w:val="center"/>
                </w:tcPr>
                <w:p w14:paraId="3681D98A">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35.9</w:t>
                  </w:r>
                </w:p>
              </w:tc>
              <w:tc>
                <w:tcPr>
                  <w:tcW w:w="1048" w:type="dxa"/>
                  <w:vAlign w:val="center"/>
                </w:tcPr>
                <w:p w14:paraId="3A4A3754">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040" w:type="dxa"/>
                  <w:vAlign w:val="center"/>
                </w:tcPr>
                <w:p w14:paraId="41609BE9">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50.2</w:t>
                  </w:r>
                </w:p>
              </w:tc>
              <w:tc>
                <w:tcPr>
                  <w:tcW w:w="1048" w:type="dxa"/>
                  <w:vAlign w:val="center"/>
                </w:tcPr>
                <w:p w14:paraId="0BBAEC2B">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50" w:type="pct"/>
                  <w:vAlign w:val="center"/>
                </w:tcPr>
                <w:p w14:paraId="5961AC0A">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达标</w:t>
                  </w:r>
                </w:p>
              </w:tc>
            </w:tr>
            <w:tr w14:paraId="64F6E11B">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273" w:hRule="atLeast"/>
                <w:jc w:val="center"/>
              </w:trPr>
              <w:tc>
                <w:tcPr>
                  <w:tcW w:w="591" w:type="pct"/>
                  <w:vAlign w:val="center"/>
                </w:tcPr>
                <w:p w14:paraId="6088BB3F">
                  <w:pPr>
                    <w:pStyle w:val="10"/>
                    <w:keepNext w:val="0"/>
                    <w:keepLines w:val="0"/>
                    <w:suppressLineNumbers w:val="0"/>
                    <w:spacing w:before="0" w:beforeAutospacing="0" w:after="0" w:afterAutospacing="0" w:line="276" w:lineRule="auto"/>
                    <w:ind w:left="0" w:leftChars="0" w:right="0"/>
                    <w:jc w:val="center"/>
                    <w:rPr>
                      <w:rFonts w:hint="default"/>
                      <w:color w:val="auto"/>
                      <w:szCs w:val="21"/>
                      <w:highlight w:val="none"/>
                    </w:rPr>
                  </w:pPr>
                  <w:r>
                    <w:rPr>
                      <w:rFonts w:hint="eastAsia"/>
                      <w:color w:val="auto"/>
                      <w:szCs w:val="21"/>
                      <w:highlight w:val="none"/>
                    </w:rPr>
                    <w:t>西厂界</w:t>
                  </w:r>
                </w:p>
              </w:tc>
              <w:tc>
                <w:tcPr>
                  <w:tcW w:w="503" w:type="pct"/>
                  <w:vAlign w:val="center"/>
                </w:tcPr>
                <w:p w14:paraId="2E227E3B">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59</w:t>
                  </w:r>
                </w:p>
              </w:tc>
              <w:tc>
                <w:tcPr>
                  <w:tcW w:w="652" w:type="pct"/>
                  <w:vAlign w:val="center"/>
                </w:tcPr>
                <w:p w14:paraId="5B4AEF0C">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46" w:type="pct"/>
                  <w:vAlign w:val="center"/>
                </w:tcPr>
                <w:p w14:paraId="6604F5D1">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31.8</w:t>
                  </w:r>
                </w:p>
              </w:tc>
              <w:tc>
                <w:tcPr>
                  <w:tcW w:w="1048" w:type="dxa"/>
                  <w:vAlign w:val="center"/>
                </w:tcPr>
                <w:p w14:paraId="3C2D6AC8">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040" w:type="dxa"/>
                  <w:vAlign w:val="center"/>
                </w:tcPr>
                <w:p w14:paraId="54DFC435">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59.0</w:t>
                  </w:r>
                </w:p>
              </w:tc>
              <w:tc>
                <w:tcPr>
                  <w:tcW w:w="1048" w:type="dxa"/>
                  <w:vAlign w:val="center"/>
                </w:tcPr>
                <w:p w14:paraId="23767C59">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50" w:type="pct"/>
                  <w:vAlign w:val="center"/>
                </w:tcPr>
                <w:p w14:paraId="11B28124">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达标</w:t>
                  </w:r>
                </w:p>
              </w:tc>
            </w:tr>
            <w:tr w14:paraId="726AF3AD">
              <w:tblPrEx>
                <w:tblBorders>
                  <w:top w:val="single" w:color="auto" w:sz="12" w:space="0"/>
                  <w:left w:val="none" w:color="auto" w:sz="0" w:space="0"/>
                  <w:bottom w:val="single" w:color="auto" w:sz="12" w:space="0"/>
                  <w:right w:val="none" w:color="auto" w:sz="0" w:space="0"/>
                  <w:insideH w:val="single" w:color="auto" w:sz="8" w:space="0"/>
                  <w:insideV w:val="single" w:color="auto" w:sz="4" w:space="0"/>
                </w:tblBorders>
                <w:tblCellMar>
                  <w:top w:w="0" w:type="dxa"/>
                  <w:left w:w="108" w:type="dxa"/>
                  <w:bottom w:w="0" w:type="dxa"/>
                  <w:right w:w="108" w:type="dxa"/>
                </w:tblCellMar>
              </w:tblPrEx>
              <w:trPr>
                <w:trHeight w:val="324" w:hRule="atLeast"/>
                <w:jc w:val="center"/>
              </w:trPr>
              <w:tc>
                <w:tcPr>
                  <w:tcW w:w="591" w:type="pct"/>
                  <w:vAlign w:val="center"/>
                </w:tcPr>
                <w:p w14:paraId="7E3746E7">
                  <w:pPr>
                    <w:pStyle w:val="10"/>
                    <w:keepNext w:val="0"/>
                    <w:keepLines w:val="0"/>
                    <w:suppressLineNumbers w:val="0"/>
                    <w:spacing w:before="0" w:beforeAutospacing="0" w:after="0" w:afterAutospacing="0" w:line="276" w:lineRule="auto"/>
                    <w:ind w:left="0" w:leftChars="0" w:right="0"/>
                    <w:jc w:val="center"/>
                    <w:rPr>
                      <w:rFonts w:hint="default"/>
                      <w:color w:val="auto"/>
                      <w:szCs w:val="21"/>
                      <w:highlight w:val="none"/>
                    </w:rPr>
                  </w:pPr>
                  <w:r>
                    <w:rPr>
                      <w:rFonts w:hint="eastAsia"/>
                      <w:color w:val="auto"/>
                      <w:szCs w:val="21"/>
                      <w:highlight w:val="none"/>
                    </w:rPr>
                    <w:t>北厂界</w:t>
                  </w:r>
                </w:p>
              </w:tc>
              <w:tc>
                <w:tcPr>
                  <w:tcW w:w="503" w:type="pct"/>
                  <w:vAlign w:val="center"/>
                </w:tcPr>
                <w:p w14:paraId="3E9FA809">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57</w:t>
                  </w:r>
                </w:p>
              </w:tc>
              <w:tc>
                <w:tcPr>
                  <w:tcW w:w="652" w:type="pct"/>
                  <w:vAlign w:val="center"/>
                </w:tcPr>
                <w:p w14:paraId="5029E4E3">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46" w:type="pct"/>
                  <w:vAlign w:val="center"/>
                </w:tcPr>
                <w:p w14:paraId="7B474D8F">
                  <w:pPr>
                    <w:keepNext w:val="0"/>
                    <w:keepLines w:val="0"/>
                    <w:suppressLineNumbers w:val="0"/>
                    <w:spacing w:before="0" w:beforeAutospacing="0" w:after="0" w:afterAutospacing="0" w:line="276" w:lineRule="auto"/>
                    <w:ind w:left="0" w:right="0"/>
                    <w:jc w:val="center"/>
                    <w:rPr>
                      <w:rFonts w:hint="default" w:eastAsia="宋体"/>
                      <w:color w:val="auto"/>
                      <w:szCs w:val="21"/>
                      <w:highlight w:val="none"/>
                      <w:lang w:val="en-US" w:eastAsia="zh-CN"/>
                    </w:rPr>
                  </w:pPr>
                  <w:r>
                    <w:rPr>
                      <w:rFonts w:hint="eastAsia" w:eastAsia="宋体"/>
                      <w:color w:val="auto"/>
                      <w:szCs w:val="21"/>
                      <w:highlight w:val="none"/>
                      <w:lang w:val="en-US" w:eastAsia="zh-CN"/>
                    </w:rPr>
                    <w:t>35.8</w:t>
                  </w:r>
                </w:p>
              </w:tc>
              <w:tc>
                <w:tcPr>
                  <w:tcW w:w="1048" w:type="dxa"/>
                  <w:vAlign w:val="center"/>
                </w:tcPr>
                <w:p w14:paraId="34A8980F">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040" w:type="dxa"/>
                  <w:vAlign w:val="center"/>
                </w:tcPr>
                <w:p w14:paraId="063F50ED">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57.0</w:t>
                  </w:r>
                </w:p>
              </w:tc>
              <w:tc>
                <w:tcPr>
                  <w:tcW w:w="1048" w:type="dxa"/>
                  <w:vAlign w:val="center"/>
                </w:tcPr>
                <w:p w14:paraId="694D5BFD">
                  <w:pPr>
                    <w:keepNext w:val="0"/>
                    <w:keepLines w:val="0"/>
                    <w:suppressLineNumbers w:val="0"/>
                    <w:spacing w:before="0" w:beforeAutospacing="0" w:after="0" w:afterAutospacing="0" w:line="276" w:lineRule="auto"/>
                    <w:ind w:left="0" w:leftChars="0" w:right="0" w:rightChars="0"/>
                    <w:jc w:val="center"/>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650" w:type="pct"/>
                  <w:vAlign w:val="center"/>
                </w:tcPr>
                <w:p w14:paraId="4A54CE86">
                  <w:pPr>
                    <w:keepNext w:val="0"/>
                    <w:keepLines w:val="0"/>
                    <w:suppressLineNumbers w:val="0"/>
                    <w:spacing w:before="0" w:beforeAutospacing="0" w:after="0" w:afterAutospacing="0" w:line="276" w:lineRule="auto"/>
                    <w:ind w:left="0" w:right="0"/>
                    <w:jc w:val="center"/>
                    <w:rPr>
                      <w:rFonts w:hint="default"/>
                      <w:color w:val="auto"/>
                      <w:szCs w:val="21"/>
                      <w:highlight w:val="none"/>
                    </w:rPr>
                  </w:pPr>
                  <w:r>
                    <w:rPr>
                      <w:rFonts w:hint="default"/>
                      <w:color w:val="auto"/>
                      <w:szCs w:val="21"/>
                      <w:highlight w:val="none"/>
                    </w:rPr>
                    <w:t>达标</w:t>
                  </w:r>
                </w:p>
              </w:tc>
            </w:tr>
          </w:tbl>
          <w:p w14:paraId="56146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76" w:lineRule="auto"/>
              <w:ind w:left="0" w:right="0"/>
              <w:textAlignment w:val="auto"/>
              <w:rPr>
                <w:rFonts w:hint="default" w:eastAsia="宋体"/>
                <w:b/>
                <w:bCs/>
                <w:color w:val="auto"/>
                <w:sz w:val="21"/>
                <w:szCs w:val="21"/>
                <w:highlight w:val="none"/>
                <w:lang w:val="en-US" w:eastAsia="zh-CN"/>
              </w:rPr>
            </w:pPr>
            <w:r>
              <w:rPr>
                <w:rFonts w:hint="eastAsia"/>
                <w:b/>
                <w:bCs/>
                <w:color w:val="auto"/>
                <w:sz w:val="21"/>
                <w:szCs w:val="21"/>
                <w:highlight w:val="none"/>
                <w:lang w:val="en-US" w:eastAsia="zh-CN"/>
              </w:rPr>
              <w:t>注：噪声现状值引用《年产40万瓶乙烯存储充装科技项目竣工环境保护验收报告》各厂界噪声最大值，根据调查，近2年区域声源无显著变化，引用数据满足时效性。</w:t>
            </w:r>
          </w:p>
          <w:p w14:paraId="2A10D613">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szCs w:val="28"/>
                <w:highlight w:val="none"/>
              </w:rPr>
              <w:t>根据预测结果可知，</w:t>
            </w:r>
            <w:r>
              <w:rPr>
                <w:rFonts w:hint="eastAsia"/>
                <w:color w:val="auto"/>
                <w:sz w:val="24"/>
                <w:szCs w:val="28"/>
                <w:highlight w:val="none"/>
                <w:lang w:val="en-US" w:eastAsia="zh-CN"/>
              </w:rPr>
              <w:t>本次改建后项目各</w:t>
            </w:r>
            <w:r>
              <w:rPr>
                <w:rFonts w:hint="eastAsia"/>
                <w:color w:val="auto"/>
                <w:sz w:val="24"/>
                <w:szCs w:val="28"/>
                <w:highlight w:val="none"/>
              </w:rPr>
              <w:t>厂界</w:t>
            </w:r>
            <w:r>
              <w:rPr>
                <w:rFonts w:hint="eastAsia"/>
                <w:color w:val="auto"/>
                <w:sz w:val="24"/>
                <w:szCs w:val="28"/>
                <w:highlight w:val="none"/>
                <w:lang w:val="en-US" w:eastAsia="zh-CN"/>
              </w:rPr>
              <w:t>昼间噪声均满足</w:t>
            </w:r>
            <w:r>
              <w:rPr>
                <w:rFonts w:hint="eastAsia"/>
                <w:color w:val="auto"/>
                <w:kern w:val="0"/>
                <w:sz w:val="24"/>
                <w:highlight w:val="none"/>
              </w:rPr>
              <w:t>《工业企业厂界环境噪声排放标准》（GB12348-2008）</w:t>
            </w:r>
            <w:r>
              <w:rPr>
                <w:rFonts w:hint="eastAsia"/>
                <w:color w:val="auto"/>
                <w:kern w:val="0"/>
                <w:sz w:val="24"/>
                <w:highlight w:val="none"/>
                <w:lang w:val="en-US" w:eastAsia="zh-CN"/>
              </w:rPr>
              <w:t>3</w:t>
            </w:r>
            <w:r>
              <w:rPr>
                <w:rFonts w:hint="eastAsia"/>
                <w:color w:val="auto"/>
                <w:kern w:val="0"/>
                <w:sz w:val="24"/>
                <w:highlight w:val="none"/>
              </w:rPr>
              <w:t>类标准限值（昼间：</w:t>
            </w:r>
            <w:r>
              <w:rPr>
                <w:rFonts w:hint="eastAsia"/>
                <w:color w:val="auto"/>
                <w:kern w:val="0"/>
                <w:sz w:val="24"/>
                <w:highlight w:val="none"/>
                <w:lang w:val="en-US" w:eastAsia="zh-CN"/>
              </w:rPr>
              <w:t>65</w:t>
            </w:r>
            <w:r>
              <w:rPr>
                <w:rFonts w:hint="eastAsia"/>
                <w:color w:val="auto"/>
                <w:kern w:val="0"/>
                <w:sz w:val="24"/>
                <w:highlight w:val="none"/>
              </w:rPr>
              <w:t>dB（A）、夜间：</w:t>
            </w:r>
            <w:r>
              <w:rPr>
                <w:rFonts w:hint="eastAsia"/>
                <w:color w:val="auto"/>
                <w:kern w:val="0"/>
                <w:sz w:val="24"/>
                <w:highlight w:val="none"/>
                <w:lang w:val="en-US" w:eastAsia="zh-CN"/>
              </w:rPr>
              <w:t>55</w:t>
            </w:r>
            <w:r>
              <w:rPr>
                <w:rFonts w:hint="eastAsia"/>
                <w:color w:val="auto"/>
                <w:kern w:val="0"/>
                <w:sz w:val="24"/>
                <w:highlight w:val="none"/>
              </w:rPr>
              <w:t>dB（A））</w:t>
            </w:r>
            <w:r>
              <w:rPr>
                <w:rFonts w:hint="eastAsia"/>
                <w:color w:val="auto"/>
                <w:kern w:val="0"/>
                <w:sz w:val="24"/>
                <w:highlight w:val="none"/>
                <w:lang w:eastAsia="zh-CN"/>
              </w:rPr>
              <w:t>，</w:t>
            </w:r>
            <w:r>
              <w:rPr>
                <w:rFonts w:hint="eastAsia"/>
                <w:color w:val="auto"/>
                <w:sz w:val="24"/>
                <w:szCs w:val="28"/>
                <w:highlight w:val="none"/>
              </w:rPr>
              <w:t>对周边环境影响较小。</w:t>
            </w:r>
          </w:p>
          <w:p w14:paraId="48A99369">
            <w:pPr>
              <w:keepNext w:val="0"/>
              <w:keepLines w:val="0"/>
              <w:suppressLineNumbers w:val="0"/>
              <w:spacing w:before="0" w:beforeAutospacing="0" w:after="0" w:afterAutospacing="0" w:line="360" w:lineRule="auto"/>
              <w:ind w:left="0" w:right="0" w:firstLine="482" w:firstLineChars="200"/>
              <w:rPr>
                <w:rFonts w:hint="default"/>
                <w:b/>
                <w:color w:val="auto"/>
                <w:sz w:val="24"/>
                <w:szCs w:val="28"/>
                <w:highlight w:val="none"/>
              </w:rPr>
            </w:pPr>
            <w:r>
              <w:rPr>
                <w:rFonts w:hint="eastAsia"/>
                <w:b/>
                <w:color w:val="auto"/>
                <w:sz w:val="24"/>
                <w:szCs w:val="28"/>
                <w:highlight w:val="none"/>
              </w:rPr>
              <w:t>3</w:t>
            </w:r>
            <w:r>
              <w:rPr>
                <w:rFonts w:hint="eastAsia"/>
                <w:b/>
                <w:color w:val="auto"/>
                <w:sz w:val="24"/>
                <w:szCs w:val="28"/>
                <w:highlight w:val="none"/>
                <w:lang w:val="en-US" w:eastAsia="zh-CN"/>
              </w:rPr>
              <w:t>.</w:t>
            </w:r>
            <w:r>
              <w:rPr>
                <w:rFonts w:hint="eastAsia"/>
                <w:b/>
                <w:bCs/>
                <w:color w:val="auto"/>
                <w:sz w:val="24"/>
                <w:highlight w:val="none"/>
              </w:rPr>
              <w:t>噪声污染防治措施</w:t>
            </w:r>
          </w:p>
          <w:p w14:paraId="50C6728F">
            <w:pPr>
              <w:keepNext w:val="0"/>
              <w:keepLines w:val="0"/>
              <w:widowControl/>
              <w:suppressLineNumbers w:val="0"/>
              <w:spacing w:before="0" w:beforeAutospacing="0" w:after="0" w:afterAutospacing="0" w:line="360" w:lineRule="auto"/>
              <w:ind w:left="0" w:right="0" w:firstLine="480" w:firstLineChars="200"/>
              <w:rPr>
                <w:rFonts w:hint="default"/>
                <w:color w:val="auto"/>
                <w:highlight w:val="none"/>
              </w:rPr>
            </w:pPr>
            <w:r>
              <w:rPr>
                <w:rFonts w:hint="eastAsia" w:ascii="宋体" w:hAnsi="宋体" w:cs="宋体"/>
                <w:color w:val="auto"/>
                <w:kern w:val="0"/>
                <w:sz w:val="24"/>
                <w:highlight w:val="none"/>
              </w:rPr>
              <w:t>为尽可能降低噪声对周围环境的影响，建议采取如下防治措施：</w:t>
            </w:r>
          </w:p>
          <w:p w14:paraId="1857156B">
            <w:pPr>
              <w:keepNext w:val="0"/>
              <w:keepLines w:val="0"/>
              <w:widowControl/>
              <w:suppressLineNumbers w:val="0"/>
              <w:spacing w:before="0" w:beforeAutospacing="0" w:after="0" w:afterAutospacing="0" w:line="360" w:lineRule="auto"/>
              <w:ind w:left="0" w:right="0" w:firstLine="480" w:firstLineChars="200"/>
              <w:rPr>
                <w:rFonts w:hint="default"/>
                <w:color w:val="auto"/>
                <w:highlight w:val="none"/>
              </w:rPr>
            </w:pPr>
            <w:r>
              <w:rPr>
                <w:rFonts w:hint="eastAsia" w:ascii="宋体" w:hAnsi="宋体" w:cs="宋体"/>
                <w:color w:val="auto"/>
                <w:kern w:val="0"/>
                <w:sz w:val="24"/>
                <w:highlight w:val="none"/>
              </w:rPr>
              <w:t>（</w:t>
            </w:r>
            <w:r>
              <w:rPr>
                <w:rFonts w:hint="default"/>
                <w:color w:val="auto"/>
                <w:kern w:val="0"/>
                <w:sz w:val="24"/>
                <w:highlight w:val="none"/>
              </w:rPr>
              <w:t>1</w:t>
            </w:r>
            <w:r>
              <w:rPr>
                <w:rFonts w:hint="eastAsia" w:ascii="宋体" w:hAnsi="宋体" w:cs="宋体"/>
                <w:color w:val="auto"/>
                <w:kern w:val="0"/>
                <w:sz w:val="24"/>
                <w:highlight w:val="none"/>
              </w:rPr>
              <w:t>）从声源上降低噪声是最积极的措施，设备选型考虑尽可能采用低噪声设备，</w:t>
            </w:r>
            <w:r>
              <w:rPr>
                <w:rFonts w:hint="eastAsia" w:ascii="宋体" w:hAnsi="宋体" w:cs="宋体"/>
                <w:color w:val="auto"/>
                <w:kern w:val="0"/>
                <w:sz w:val="24"/>
                <w:highlight w:val="none"/>
                <w:lang w:val="en-US" w:eastAsia="zh-CN"/>
              </w:rPr>
              <w:t>产</w:t>
            </w:r>
            <w:r>
              <w:rPr>
                <w:rFonts w:hint="eastAsia" w:ascii="宋体" w:hAnsi="宋体" w:cs="宋体"/>
                <w:color w:val="auto"/>
                <w:kern w:val="0"/>
                <w:sz w:val="24"/>
                <w:highlight w:val="none"/>
              </w:rPr>
              <w:t>噪设备底部应安装</w:t>
            </w:r>
            <w:r>
              <w:rPr>
                <w:rFonts w:hint="eastAsia" w:ascii="宋体" w:hAnsi="宋体" w:cs="宋体"/>
                <w:color w:val="auto"/>
                <w:kern w:val="0"/>
                <w:sz w:val="24"/>
                <w:highlight w:val="none"/>
                <w:lang w:val="en-US" w:eastAsia="zh-CN"/>
              </w:rPr>
              <w:t>减振垫等</w:t>
            </w:r>
            <w:r>
              <w:rPr>
                <w:rFonts w:hint="eastAsia" w:ascii="宋体" w:hAnsi="宋体" w:cs="宋体"/>
                <w:color w:val="auto"/>
                <w:kern w:val="0"/>
                <w:sz w:val="24"/>
                <w:highlight w:val="none"/>
              </w:rPr>
              <w:t>减振基础；</w:t>
            </w:r>
          </w:p>
          <w:p w14:paraId="6BFB7D36">
            <w:pPr>
              <w:keepNext w:val="0"/>
              <w:keepLines w:val="0"/>
              <w:widowControl/>
              <w:suppressLineNumbers w:val="0"/>
              <w:spacing w:before="0" w:beforeAutospacing="0" w:after="0" w:afterAutospacing="0" w:line="360" w:lineRule="auto"/>
              <w:ind w:left="0" w:right="0" w:firstLine="480" w:firstLineChars="200"/>
              <w:rPr>
                <w:rFonts w:hint="default"/>
                <w:color w:val="auto"/>
                <w:highlight w:val="none"/>
              </w:rPr>
            </w:pPr>
            <w:r>
              <w:rPr>
                <w:rFonts w:hint="eastAsia" w:ascii="宋体" w:hAnsi="宋体" w:cs="宋体"/>
                <w:color w:val="auto"/>
                <w:kern w:val="0"/>
                <w:sz w:val="24"/>
                <w:highlight w:val="none"/>
              </w:rPr>
              <w:t>（</w:t>
            </w:r>
            <w:r>
              <w:rPr>
                <w:rFonts w:hint="eastAsia"/>
                <w:color w:val="auto"/>
                <w:kern w:val="0"/>
                <w:sz w:val="24"/>
                <w:highlight w:val="none"/>
                <w:lang w:val="en-US" w:eastAsia="zh-CN"/>
              </w:rPr>
              <w:t>2</w:t>
            </w:r>
            <w:r>
              <w:rPr>
                <w:rFonts w:hint="eastAsia" w:ascii="宋体" w:hAnsi="宋体" w:cs="宋体"/>
                <w:color w:val="auto"/>
                <w:kern w:val="0"/>
                <w:sz w:val="24"/>
                <w:highlight w:val="none"/>
              </w:rPr>
              <w:t>）合理布局，高噪声的生产设备</w:t>
            </w:r>
            <w:r>
              <w:rPr>
                <w:rFonts w:hint="eastAsia" w:ascii="宋体" w:hAnsi="宋体" w:cs="宋体"/>
                <w:color w:val="auto"/>
                <w:kern w:val="0"/>
                <w:sz w:val="24"/>
                <w:highlight w:val="none"/>
                <w:lang w:val="en-US" w:eastAsia="zh-CN"/>
              </w:rPr>
              <w:t>尽量布</w:t>
            </w:r>
            <w:r>
              <w:rPr>
                <w:rFonts w:hint="eastAsia" w:ascii="宋体" w:hAnsi="宋体" w:cs="宋体"/>
                <w:color w:val="auto"/>
                <w:kern w:val="0"/>
                <w:sz w:val="24"/>
                <w:highlight w:val="none"/>
              </w:rPr>
              <w:t>置于</w:t>
            </w:r>
            <w:r>
              <w:rPr>
                <w:rFonts w:hint="eastAsia" w:ascii="宋体" w:hAnsi="宋体" w:cs="宋体"/>
                <w:color w:val="auto"/>
                <w:kern w:val="0"/>
                <w:sz w:val="24"/>
                <w:highlight w:val="none"/>
                <w:lang w:val="en-US" w:eastAsia="zh-CN"/>
              </w:rPr>
              <w:t>项目区中部</w:t>
            </w:r>
            <w:r>
              <w:rPr>
                <w:rFonts w:hint="eastAsia" w:ascii="宋体" w:hAnsi="宋体" w:cs="宋体"/>
                <w:color w:val="auto"/>
                <w:kern w:val="0"/>
                <w:sz w:val="24"/>
                <w:highlight w:val="none"/>
              </w:rPr>
              <w:t>，减少噪声对外界环境影响。</w:t>
            </w:r>
          </w:p>
          <w:p w14:paraId="6969525B">
            <w:pPr>
              <w:keepNext w:val="0"/>
              <w:keepLines w:val="0"/>
              <w:widowControl/>
              <w:suppressLineNumbers w:val="0"/>
              <w:spacing w:before="0" w:beforeAutospacing="0" w:after="0" w:afterAutospacing="0" w:line="360" w:lineRule="auto"/>
              <w:ind w:left="0" w:right="0" w:firstLine="480" w:firstLineChars="200"/>
              <w:rPr>
                <w:rFonts w:hint="default" w:ascii="宋体" w:hAnsi="宋体" w:cs="宋体"/>
                <w:color w:val="auto"/>
                <w:kern w:val="0"/>
                <w:sz w:val="24"/>
                <w:highlight w:val="none"/>
              </w:rPr>
            </w:pPr>
            <w:r>
              <w:rPr>
                <w:rFonts w:hint="eastAsia" w:ascii="宋体" w:hAnsi="宋体" w:cs="宋体"/>
                <w:color w:val="auto"/>
                <w:kern w:val="0"/>
                <w:sz w:val="24"/>
                <w:highlight w:val="none"/>
              </w:rPr>
              <w:t>（</w:t>
            </w:r>
            <w:r>
              <w:rPr>
                <w:rFonts w:hint="eastAsia"/>
                <w:color w:val="auto"/>
                <w:kern w:val="0"/>
                <w:sz w:val="24"/>
                <w:highlight w:val="none"/>
                <w:lang w:val="en-US" w:eastAsia="zh-CN"/>
              </w:rPr>
              <w:t>3</w:t>
            </w:r>
            <w:r>
              <w:rPr>
                <w:rFonts w:hint="eastAsia" w:ascii="宋体" w:hAnsi="宋体" w:cs="宋体"/>
                <w:color w:val="auto"/>
                <w:kern w:val="0"/>
                <w:sz w:val="24"/>
                <w:highlight w:val="none"/>
              </w:rPr>
              <w:t>）加强设备维护，定期检查、维修设备</w:t>
            </w:r>
            <w:r>
              <w:rPr>
                <w:rFonts w:hint="eastAsia" w:ascii="宋体" w:hAnsi="宋体" w:cs="宋体"/>
                <w:color w:val="auto"/>
                <w:kern w:val="0"/>
                <w:sz w:val="24"/>
                <w:highlight w:val="none"/>
                <w:lang w:eastAsia="zh-CN"/>
              </w:rPr>
              <w:t>，</w:t>
            </w:r>
            <w:r>
              <w:rPr>
                <w:rFonts w:hint="eastAsia" w:ascii="宋体" w:hAnsi="宋体" w:cs="宋体"/>
                <w:color w:val="auto"/>
                <w:kern w:val="0"/>
                <w:sz w:val="24"/>
                <w:highlight w:val="none"/>
              </w:rPr>
              <w:t>确保设备处于良好运转状态，杜绝因设备不正常运转时产生的高噪声现象。</w:t>
            </w:r>
          </w:p>
          <w:p w14:paraId="037B590F">
            <w:pPr>
              <w:keepNext w:val="0"/>
              <w:keepLines w:val="0"/>
              <w:suppressLineNumbers w:val="0"/>
              <w:spacing w:before="0" w:beforeAutospacing="0" w:after="0" w:afterAutospacing="0" w:line="360" w:lineRule="auto"/>
              <w:ind w:left="0" w:right="0" w:firstLine="480" w:firstLineChars="200"/>
              <w:rPr>
                <w:rFonts w:hint="default"/>
                <w:bCs/>
                <w:color w:val="auto"/>
                <w:spacing w:val="6"/>
                <w:sz w:val="24"/>
                <w:highlight w:val="none"/>
              </w:rPr>
            </w:pPr>
            <w:r>
              <w:rPr>
                <w:rFonts w:hint="eastAsia" w:ascii="宋体" w:hAnsi="宋体" w:cs="宋体"/>
                <w:color w:val="auto"/>
                <w:kern w:val="0"/>
                <w:sz w:val="24"/>
                <w:highlight w:val="none"/>
              </w:rPr>
              <w:t>（</w:t>
            </w:r>
            <w:r>
              <w:rPr>
                <w:rFonts w:hint="eastAsia"/>
                <w:color w:val="auto"/>
                <w:kern w:val="0"/>
                <w:sz w:val="24"/>
                <w:highlight w:val="none"/>
                <w:lang w:val="en-US" w:eastAsia="zh-CN"/>
              </w:rPr>
              <w:t>4</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压缩机、出料泵等设备可</w:t>
            </w:r>
            <w:r>
              <w:rPr>
                <w:rFonts w:hint="eastAsia" w:ascii="宋体" w:hAnsi="宋体" w:cs="宋体"/>
                <w:color w:val="auto"/>
                <w:kern w:val="0"/>
                <w:sz w:val="24"/>
                <w:highlight w:val="none"/>
              </w:rPr>
              <w:t>设置隔声</w:t>
            </w:r>
            <w:r>
              <w:rPr>
                <w:rFonts w:hint="eastAsia" w:ascii="宋体" w:hAnsi="宋体" w:cs="宋体"/>
                <w:color w:val="auto"/>
                <w:kern w:val="0"/>
                <w:sz w:val="24"/>
                <w:highlight w:val="none"/>
                <w:lang w:val="en-US" w:eastAsia="zh-CN"/>
              </w:rPr>
              <w:t>罩</w:t>
            </w:r>
            <w:r>
              <w:rPr>
                <w:rFonts w:hint="eastAsia" w:ascii="宋体" w:hAnsi="宋体" w:cs="宋体"/>
                <w:color w:val="auto"/>
                <w:kern w:val="0"/>
                <w:sz w:val="24"/>
                <w:highlight w:val="none"/>
              </w:rPr>
              <w:t>，</w:t>
            </w:r>
            <w:r>
              <w:rPr>
                <w:rFonts w:hint="eastAsia"/>
                <w:bCs/>
                <w:color w:val="auto"/>
                <w:spacing w:val="6"/>
                <w:sz w:val="24"/>
                <w:highlight w:val="none"/>
              </w:rPr>
              <w:t>可将设备运行噪声对周边影响降到最低。</w:t>
            </w:r>
          </w:p>
          <w:p w14:paraId="682F2826">
            <w:pPr>
              <w:keepNext w:val="0"/>
              <w:keepLines w:val="0"/>
              <w:suppressLineNumbers w:val="0"/>
              <w:spacing w:before="0" w:beforeAutospacing="0" w:after="0" w:afterAutospacing="0" w:line="360" w:lineRule="auto"/>
              <w:ind w:left="0" w:right="0" w:firstLine="482" w:firstLineChars="200"/>
              <w:rPr>
                <w:rFonts w:hint="default"/>
                <w:b/>
                <w:color w:val="auto"/>
                <w:sz w:val="24"/>
                <w:highlight w:val="none"/>
              </w:rPr>
            </w:pPr>
            <w:r>
              <w:rPr>
                <w:rFonts w:hint="eastAsia"/>
                <w:b/>
                <w:color w:val="auto"/>
                <w:sz w:val="24"/>
                <w:highlight w:val="none"/>
              </w:rPr>
              <w:t>4</w:t>
            </w:r>
            <w:r>
              <w:rPr>
                <w:rFonts w:hint="eastAsia"/>
                <w:b/>
                <w:color w:val="auto"/>
                <w:sz w:val="24"/>
                <w:highlight w:val="none"/>
                <w:lang w:val="en-US" w:eastAsia="zh-CN"/>
              </w:rPr>
              <w:t>.</w:t>
            </w:r>
            <w:r>
              <w:rPr>
                <w:rFonts w:hint="eastAsia"/>
                <w:b/>
                <w:color w:val="auto"/>
                <w:sz w:val="24"/>
                <w:highlight w:val="none"/>
              </w:rPr>
              <w:t>环境监测计划</w:t>
            </w:r>
          </w:p>
          <w:p w14:paraId="0FEBBC2A">
            <w:pPr>
              <w:keepNext w:val="0"/>
              <w:keepLines w:val="0"/>
              <w:suppressLineNumbers w:val="0"/>
              <w:spacing w:before="0" w:beforeAutospacing="0" w:after="0" w:afterAutospacing="0" w:line="360" w:lineRule="auto"/>
              <w:ind w:left="0" w:right="0" w:firstLine="480" w:firstLineChars="200"/>
              <w:rPr>
                <w:rFonts w:hint="default"/>
                <w:color w:val="auto"/>
                <w:sz w:val="24"/>
                <w:highlight w:val="none"/>
              </w:rPr>
            </w:pPr>
            <w:r>
              <w:rPr>
                <w:rFonts w:hint="eastAsia"/>
                <w:color w:val="auto"/>
                <w:sz w:val="24"/>
                <w:highlight w:val="none"/>
              </w:rPr>
              <w:t>项目噪声监测频次参照《排污单位自行监测技术指南</w:t>
            </w:r>
            <w:r>
              <w:rPr>
                <w:rFonts w:hint="default"/>
                <w:color w:val="auto"/>
                <w:sz w:val="24"/>
                <w:highlight w:val="none"/>
              </w:rPr>
              <w:t xml:space="preserve"> </w:t>
            </w:r>
            <w:r>
              <w:rPr>
                <w:rFonts w:hint="eastAsia"/>
                <w:color w:val="auto"/>
                <w:sz w:val="24"/>
                <w:highlight w:val="none"/>
              </w:rPr>
              <w:t>总则》（</w:t>
            </w:r>
            <w:r>
              <w:rPr>
                <w:rFonts w:hint="default"/>
                <w:color w:val="auto"/>
                <w:sz w:val="24"/>
                <w:highlight w:val="none"/>
              </w:rPr>
              <w:t>HJ819-2017</w:t>
            </w:r>
            <w:r>
              <w:rPr>
                <w:rFonts w:hint="eastAsia"/>
                <w:color w:val="auto"/>
                <w:sz w:val="24"/>
                <w:highlight w:val="none"/>
              </w:rPr>
              <w:t>）、《排污许可证申请与核发技术规范 工业噪声》（H</w:t>
            </w:r>
            <w:r>
              <w:rPr>
                <w:rFonts w:hint="default"/>
                <w:color w:val="auto"/>
                <w:sz w:val="24"/>
                <w:highlight w:val="none"/>
              </w:rPr>
              <w:t>J1301-2023</w:t>
            </w:r>
            <w:r>
              <w:rPr>
                <w:rFonts w:hint="eastAsia"/>
                <w:color w:val="auto"/>
                <w:sz w:val="24"/>
                <w:highlight w:val="none"/>
              </w:rPr>
              <w:t>）中规定执行。</w:t>
            </w:r>
          </w:p>
          <w:p w14:paraId="0EC74138">
            <w:pPr>
              <w:spacing w:line="360" w:lineRule="auto"/>
              <w:ind w:firstLine="482" w:firstLineChars="200"/>
              <w:jc w:val="left"/>
              <w:rPr>
                <w:b/>
                <w:snapToGrid w:val="0"/>
                <w:color w:val="auto"/>
                <w:kern w:val="0"/>
                <w:sz w:val="24"/>
                <w:highlight w:val="none"/>
              </w:rPr>
            </w:pPr>
            <w:r>
              <w:rPr>
                <w:rFonts w:hint="eastAsia"/>
                <w:b/>
                <w:snapToGrid w:val="0"/>
                <w:color w:val="auto"/>
                <w:kern w:val="0"/>
                <w:sz w:val="24"/>
                <w:highlight w:val="none"/>
              </w:rPr>
              <w:t>四、</w:t>
            </w:r>
            <w:r>
              <w:rPr>
                <w:rFonts w:hint="eastAsia" w:hAnsi="宋体"/>
                <w:b/>
                <w:snapToGrid w:val="0"/>
                <w:color w:val="auto"/>
                <w:kern w:val="0"/>
                <w:sz w:val="24"/>
                <w:highlight w:val="none"/>
              </w:rPr>
              <w:t>固废</w:t>
            </w:r>
            <w:r>
              <w:rPr>
                <w:rFonts w:hAnsi="宋体"/>
                <w:b/>
                <w:snapToGrid w:val="0"/>
                <w:color w:val="auto"/>
                <w:kern w:val="0"/>
                <w:sz w:val="24"/>
                <w:highlight w:val="none"/>
              </w:rPr>
              <w:t>源强</w:t>
            </w:r>
            <w:r>
              <w:rPr>
                <w:rFonts w:hint="eastAsia"/>
                <w:b/>
                <w:bCs/>
                <w:color w:val="auto"/>
                <w:sz w:val="24"/>
                <w:szCs w:val="28"/>
                <w:highlight w:val="none"/>
              </w:rPr>
              <w:t>及环境影响和污染防治措施</w:t>
            </w:r>
          </w:p>
          <w:p w14:paraId="56BEC7B6">
            <w:pPr>
              <w:pStyle w:val="52"/>
              <w:adjustRightInd/>
              <w:spacing w:line="360" w:lineRule="auto"/>
              <w:ind w:firstLine="482" w:firstLineChars="200"/>
              <w:rPr>
                <w:rFonts w:hAnsi="宋体"/>
                <w:b/>
                <w:color w:val="auto"/>
                <w:kern w:val="2"/>
                <w:szCs w:val="22"/>
                <w:highlight w:val="none"/>
              </w:rPr>
            </w:pPr>
            <w:r>
              <w:rPr>
                <w:rFonts w:hint="eastAsia" w:hAnsi="宋体"/>
                <w:b/>
                <w:color w:val="auto"/>
                <w:kern w:val="2"/>
                <w:szCs w:val="22"/>
                <w:highlight w:val="none"/>
              </w:rPr>
              <w:t>1、固废源强</w:t>
            </w:r>
          </w:p>
          <w:p w14:paraId="0EA65408">
            <w:pPr>
              <w:pStyle w:val="52"/>
              <w:adjustRightInd/>
              <w:spacing w:line="360" w:lineRule="auto"/>
              <w:ind w:firstLine="480" w:firstLineChars="200"/>
              <w:rPr>
                <w:rFonts w:hAnsi="宋体"/>
                <w:color w:val="auto"/>
                <w:kern w:val="2"/>
                <w:szCs w:val="22"/>
                <w:highlight w:val="none"/>
              </w:rPr>
            </w:pPr>
            <w:r>
              <w:rPr>
                <w:rFonts w:hint="eastAsia" w:hAnsi="宋体"/>
                <w:color w:val="auto"/>
                <w:kern w:val="2"/>
                <w:szCs w:val="22"/>
                <w:highlight w:val="none"/>
                <w:lang w:val="en-US" w:eastAsia="zh-CN"/>
              </w:rPr>
              <w:t>本次改建</w:t>
            </w:r>
            <w:r>
              <w:rPr>
                <w:rFonts w:hint="eastAsia" w:hAnsi="宋体"/>
                <w:color w:val="auto"/>
                <w:kern w:val="2"/>
                <w:szCs w:val="22"/>
                <w:highlight w:val="none"/>
              </w:rPr>
              <w:t>项目</w:t>
            </w:r>
            <w:r>
              <w:rPr>
                <w:rFonts w:hint="eastAsia" w:hAnsi="宋体"/>
                <w:color w:val="auto"/>
                <w:kern w:val="2"/>
                <w:szCs w:val="22"/>
                <w:highlight w:val="none"/>
                <w:lang w:val="en-US" w:eastAsia="zh-CN"/>
              </w:rPr>
              <w:t>新增丙烷、丁烷</w:t>
            </w:r>
            <w:r>
              <w:rPr>
                <w:rFonts w:hint="eastAsia" w:hAnsi="宋体"/>
                <w:color w:val="auto"/>
                <w:kern w:val="2"/>
                <w:szCs w:val="22"/>
                <w:highlight w:val="none"/>
              </w:rPr>
              <w:t>存储</w:t>
            </w:r>
            <w:r>
              <w:rPr>
                <w:rFonts w:hint="eastAsia" w:hAnsi="宋体"/>
                <w:color w:val="auto"/>
                <w:kern w:val="2"/>
                <w:szCs w:val="22"/>
                <w:highlight w:val="none"/>
                <w:lang w:val="en-US" w:eastAsia="zh-CN"/>
              </w:rPr>
              <w:t>及</w:t>
            </w:r>
            <w:r>
              <w:rPr>
                <w:rFonts w:hint="eastAsia" w:hAnsi="宋体"/>
                <w:color w:val="auto"/>
                <w:kern w:val="2"/>
                <w:szCs w:val="22"/>
                <w:highlight w:val="none"/>
              </w:rPr>
              <w:t>充装，运营期</w:t>
            </w:r>
            <w:r>
              <w:rPr>
                <w:rFonts w:hint="eastAsia" w:hAnsi="宋体"/>
                <w:color w:val="auto"/>
                <w:kern w:val="2"/>
                <w:szCs w:val="22"/>
                <w:highlight w:val="none"/>
                <w:lang w:val="en-US" w:eastAsia="zh-CN"/>
              </w:rPr>
              <w:t>不新增劳动定员，新增工作岗位由厂区现有员工自由调度，不新增</w:t>
            </w:r>
            <w:r>
              <w:rPr>
                <w:rFonts w:hint="eastAsia" w:hAnsi="宋体"/>
                <w:color w:val="auto"/>
                <w:kern w:val="2"/>
                <w:szCs w:val="22"/>
                <w:highlight w:val="none"/>
              </w:rPr>
              <w:t>员工生活垃圾。</w:t>
            </w:r>
          </w:p>
          <w:p w14:paraId="518D6D57">
            <w:pPr>
              <w:spacing w:line="360" w:lineRule="auto"/>
              <w:ind w:firstLine="480" w:firstLineChars="200"/>
              <w:rPr>
                <w:color w:val="auto"/>
                <w:sz w:val="24"/>
                <w:highlight w:val="none"/>
              </w:rPr>
            </w:pPr>
            <w:r>
              <w:rPr>
                <w:rFonts w:hint="eastAsia"/>
                <w:color w:val="auto"/>
                <w:sz w:val="24"/>
                <w:highlight w:val="none"/>
                <w:lang w:val="en-US" w:eastAsia="zh-CN"/>
              </w:rPr>
              <w:t>现有厂区</w:t>
            </w:r>
            <w:r>
              <w:rPr>
                <w:rFonts w:hint="eastAsia"/>
                <w:color w:val="auto"/>
                <w:sz w:val="24"/>
                <w:highlight w:val="none"/>
              </w:rPr>
              <w:t>生活垃圾</w:t>
            </w:r>
            <w:r>
              <w:rPr>
                <w:rFonts w:hint="eastAsia" w:hAnsi="宋体"/>
                <w:color w:val="auto"/>
                <w:sz w:val="24"/>
                <w:highlight w:val="none"/>
              </w:rPr>
              <w:t>，按日常管理要求</w:t>
            </w:r>
            <w:r>
              <w:rPr>
                <w:rFonts w:hint="eastAsia" w:hAnsi="宋体"/>
                <w:color w:val="auto"/>
                <w:sz w:val="24"/>
                <w:highlight w:val="none"/>
                <w:lang w:eastAsia="zh-CN"/>
              </w:rPr>
              <w:t>，</w:t>
            </w:r>
            <w:r>
              <w:rPr>
                <w:rFonts w:hint="eastAsia"/>
                <w:color w:val="auto"/>
                <w:sz w:val="24"/>
                <w:highlight w:val="none"/>
              </w:rPr>
              <w:t>交由环卫部门统一收集管理。</w:t>
            </w:r>
          </w:p>
          <w:p w14:paraId="4F837ACD">
            <w:pPr>
              <w:pStyle w:val="52"/>
              <w:adjustRightInd/>
              <w:spacing w:line="360" w:lineRule="auto"/>
              <w:ind w:firstLine="480" w:firstLineChars="200"/>
              <w:rPr>
                <w:rFonts w:hint="eastAsia"/>
                <w:color w:val="auto"/>
                <w:highlight w:val="none"/>
                <w:u w:val="single"/>
                <w:lang w:val="en-US" w:eastAsia="zh-CN"/>
              </w:rPr>
            </w:pPr>
            <w:r>
              <w:rPr>
                <w:rFonts w:hint="eastAsia"/>
                <w:color w:val="auto"/>
                <w:highlight w:val="none"/>
                <w:u w:val="single"/>
                <w:lang w:val="en-US" w:eastAsia="zh-CN"/>
              </w:rPr>
              <w:t>本次改建项目，</w:t>
            </w:r>
            <w:r>
              <w:rPr>
                <w:rFonts w:hint="eastAsia"/>
                <w:color w:val="auto"/>
                <w:highlight w:val="none"/>
                <w:u w:val="single"/>
              </w:rPr>
              <w:t>运营期每</w:t>
            </w:r>
            <w:r>
              <w:rPr>
                <w:rFonts w:hint="eastAsia"/>
                <w:color w:val="auto"/>
                <w:highlight w:val="none"/>
                <w:u w:val="single"/>
                <w:lang w:val="en-US" w:eastAsia="zh-CN"/>
              </w:rPr>
              <w:t>5~6</w:t>
            </w:r>
            <w:r>
              <w:rPr>
                <w:rFonts w:hint="eastAsia"/>
                <w:color w:val="auto"/>
                <w:highlight w:val="none"/>
                <w:u w:val="single"/>
              </w:rPr>
              <w:t>年</w:t>
            </w:r>
            <w:r>
              <w:rPr>
                <w:rFonts w:hint="eastAsia"/>
                <w:color w:val="auto"/>
                <w:highlight w:val="none"/>
                <w:u w:val="single"/>
                <w:lang w:val="en-US" w:eastAsia="zh-CN"/>
              </w:rPr>
              <w:t>对丙烷/丁烷压力储罐</w:t>
            </w:r>
            <w:r>
              <w:rPr>
                <w:rFonts w:hint="eastAsia"/>
                <w:color w:val="auto"/>
                <w:highlight w:val="none"/>
                <w:u w:val="single"/>
              </w:rPr>
              <w:t>开展1次设备检修，检修前使用氮气对设备和管道进行吹扫</w:t>
            </w:r>
            <w:r>
              <w:rPr>
                <w:rFonts w:hint="eastAsia"/>
                <w:color w:val="auto"/>
                <w:highlight w:val="none"/>
                <w:u w:val="single"/>
                <w:lang w:val="en-US" w:eastAsia="zh-CN"/>
              </w:rPr>
              <w:t>1~2次后</w:t>
            </w:r>
            <w:r>
              <w:rPr>
                <w:rFonts w:hint="eastAsia"/>
                <w:color w:val="auto"/>
                <w:highlight w:val="none"/>
                <w:u w:val="single"/>
              </w:rPr>
              <w:t>将内部</w:t>
            </w:r>
            <w:r>
              <w:rPr>
                <w:rFonts w:hint="eastAsia"/>
                <w:color w:val="auto"/>
                <w:highlight w:val="none"/>
                <w:u w:val="single"/>
                <w:lang w:val="en-US" w:eastAsia="zh-CN"/>
              </w:rPr>
              <w:t>丙烷/丁烷</w:t>
            </w:r>
            <w:r>
              <w:rPr>
                <w:rFonts w:hint="eastAsia"/>
                <w:color w:val="auto"/>
                <w:highlight w:val="none"/>
                <w:u w:val="single"/>
              </w:rPr>
              <w:t>全部置换并抽真空</w:t>
            </w:r>
            <w:r>
              <w:rPr>
                <w:rFonts w:hint="eastAsia"/>
                <w:color w:val="auto"/>
                <w:highlight w:val="none"/>
                <w:u w:val="single"/>
                <w:lang w:eastAsia="zh-CN"/>
              </w:rPr>
              <w:t>；根据建设单位提供</w:t>
            </w:r>
            <w:r>
              <w:rPr>
                <w:rFonts w:hint="eastAsia"/>
                <w:color w:val="auto"/>
                <w:highlight w:val="none"/>
                <w:u w:val="single"/>
                <w:lang w:val="en-US" w:eastAsia="zh-CN"/>
              </w:rPr>
              <w:t>信息</w:t>
            </w:r>
            <w:r>
              <w:rPr>
                <w:rFonts w:hint="eastAsia"/>
                <w:color w:val="auto"/>
                <w:highlight w:val="none"/>
                <w:u w:val="single"/>
                <w:lang w:eastAsia="zh-CN"/>
              </w:rPr>
              <w:t>，委托有资质的第三方公司对丙烷、丁烷储罐</w:t>
            </w:r>
            <w:r>
              <w:rPr>
                <w:rFonts w:hint="eastAsia"/>
                <w:color w:val="auto"/>
                <w:highlight w:val="none"/>
                <w:u w:val="single"/>
                <w:lang w:val="en-US" w:eastAsia="zh-CN"/>
              </w:rPr>
              <w:t>进厂</w:t>
            </w:r>
            <w:r>
              <w:rPr>
                <w:rFonts w:hint="eastAsia"/>
                <w:color w:val="auto"/>
                <w:highlight w:val="none"/>
                <w:u w:val="single"/>
                <w:lang w:eastAsia="zh-CN"/>
              </w:rPr>
              <w:t>检维修</w:t>
            </w:r>
            <w:r>
              <w:rPr>
                <w:rFonts w:hint="eastAsia"/>
                <w:color w:val="auto"/>
                <w:highlight w:val="none"/>
                <w:u w:val="single"/>
                <w:lang w:val="en-US" w:eastAsia="zh-CN"/>
              </w:rPr>
              <w:t>并开展罐内</w:t>
            </w:r>
            <w:r>
              <w:rPr>
                <w:rFonts w:hint="eastAsia"/>
                <w:color w:val="auto"/>
                <w:highlight w:val="none"/>
                <w:u w:val="single"/>
                <w:lang w:eastAsia="zh-CN"/>
              </w:rPr>
              <w:t>清洗作业，</w:t>
            </w:r>
            <w:r>
              <w:rPr>
                <w:rFonts w:hint="eastAsia"/>
                <w:color w:val="auto"/>
                <w:highlight w:val="none"/>
                <w:u w:val="single"/>
                <w:lang w:val="en-US" w:eastAsia="zh-CN"/>
              </w:rPr>
              <w:t>使用高压水枪对罐内进行冲洗，产生的储罐冲洗废液中含部分罐底残液</w:t>
            </w:r>
            <w:r>
              <w:rPr>
                <w:rFonts w:hint="eastAsia"/>
                <w:color w:val="auto"/>
                <w:highlight w:val="none"/>
                <w:u w:val="single"/>
                <w:lang w:eastAsia="zh-CN"/>
              </w:rPr>
              <w:t>，储罐冲洗废液由有资质的第三方检</w:t>
            </w:r>
            <w:r>
              <w:rPr>
                <w:rFonts w:hint="eastAsia"/>
                <w:color w:val="auto"/>
                <w:highlight w:val="none"/>
                <w:u w:val="single"/>
                <w:lang w:val="en-US" w:eastAsia="zh-CN"/>
              </w:rPr>
              <w:t>维</w:t>
            </w:r>
            <w:r>
              <w:rPr>
                <w:rFonts w:hint="eastAsia"/>
                <w:color w:val="auto"/>
                <w:highlight w:val="none"/>
                <w:u w:val="single"/>
                <w:lang w:eastAsia="zh-CN"/>
              </w:rPr>
              <w:t>修单位直接带走处理，不在厂区内暂存</w:t>
            </w:r>
            <w:r>
              <w:rPr>
                <w:rFonts w:hint="eastAsia"/>
                <w:color w:val="auto"/>
                <w:highlight w:val="none"/>
                <w:u w:val="single"/>
              </w:rPr>
              <w:t>；检修后再次使用氮气对设备和管道进行吹扫，清除管道内</w:t>
            </w:r>
            <w:r>
              <w:rPr>
                <w:rFonts w:hint="eastAsia"/>
                <w:color w:val="auto"/>
                <w:highlight w:val="none"/>
                <w:u w:val="single"/>
                <w:lang w:val="en-US" w:eastAsia="zh-CN"/>
              </w:rPr>
              <w:t>丙烷/丁烷</w:t>
            </w:r>
            <w:r>
              <w:rPr>
                <w:rFonts w:hint="eastAsia"/>
                <w:color w:val="auto"/>
                <w:highlight w:val="none"/>
                <w:u w:val="single"/>
              </w:rPr>
              <w:t>、空气及杂质，吹扫完成后管道可保持清洁状态，</w:t>
            </w:r>
            <w:r>
              <w:rPr>
                <w:rFonts w:hint="eastAsia"/>
                <w:color w:val="auto"/>
                <w:highlight w:val="none"/>
                <w:u w:val="single"/>
                <w:lang w:val="en-US" w:eastAsia="zh-CN"/>
              </w:rPr>
              <w:t>管道</w:t>
            </w:r>
            <w:r>
              <w:rPr>
                <w:rFonts w:hint="eastAsia"/>
                <w:color w:val="auto"/>
                <w:highlight w:val="none"/>
                <w:u w:val="single"/>
              </w:rPr>
              <w:t>无需再清洗。</w:t>
            </w:r>
            <w:r>
              <w:rPr>
                <w:rFonts w:hint="eastAsia"/>
                <w:color w:val="auto"/>
                <w:highlight w:val="none"/>
                <w:u w:val="single"/>
                <w:lang w:val="en-US" w:eastAsia="zh-CN"/>
              </w:rPr>
              <w:t>因此，</w:t>
            </w:r>
            <w:r>
              <w:rPr>
                <w:rFonts w:hint="eastAsia"/>
                <w:color w:val="auto"/>
                <w:highlight w:val="none"/>
                <w:u w:val="single"/>
              </w:rPr>
              <w:t>运营期设备检修环节</w:t>
            </w:r>
            <w:r>
              <w:rPr>
                <w:rFonts w:hint="eastAsia"/>
                <w:color w:val="auto"/>
                <w:highlight w:val="none"/>
                <w:u w:val="single"/>
                <w:lang w:val="en-US" w:eastAsia="zh-CN"/>
              </w:rPr>
              <w:t>仅涉及储罐冲洗废液（S</w:t>
            </w:r>
            <w:r>
              <w:rPr>
                <w:rFonts w:hint="eastAsia"/>
                <w:color w:val="auto"/>
                <w:highlight w:val="none"/>
                <w:u w:val="single"/>
                <w:vertAlign w:val="subscript"/>
                <w:lang w:val="en-US" w:eastAsia="zh-CN"/>
              </w:rPr>
              <w:t>1</w:t>
            </w:r>
            <w:r>
              <w:rPr>
                <w:rFonts w:hint="eastAsia"/>
                <w:color w:val="auto"/>
                <w:highlight w:val="none"/>
                <w:u w:val="single"/>
                <w:lang w:val="en-US" w:eastAsia="zh-CN"/>
              </w:rPr>
              <w:t>）。</w:t>
            </w:r>
          </w:p>
          <w:p w14:paraId="52FEE0C2">
            <w:pPr>
              <w:pStyle w:val="52"/>
              <w:adjustRightInd/>
              <w:spacing w:line="360" w:lineRule="auto"/>
              <w:ind w:firstLine="480" w:firstLineChars="200"/>
              <w:rPr>
                <w:rFonts w:hint="default"/>
                <w:color w:val="auto"/>
                <w:highlight w:val="none"/>
                <w:u w:val="single"/>
                <w:lang w:val="en-US" w:eastAsia="zh-CN"/>
              </w:rPr>
            </w:pPr>
            <w:r>
              <w:rPr>
                <w:rFonts w:hint="eastAsia"/>
                <w:color w:val="auto"/>
                <w:highlight w:val="none"/>
                <w:u w:val="single"/>
                <w:lang w:val="en-US" w:eastAsia="zh-CN"/>
              </w:rPr>
              <w:t>根据建设单位提供资料，储罐冲洗废液产生量约6m</w:t>
            </w:r>
            <w:r>
              <w:rPr>
                <w:rFonts w:hint="eastAsia"/>
                <w:color w:val="auto"/>
                <w:highlight w:val="none"/>
                <w:u w:val="single"/>
                <w:vertAlign w:val="superscript"/>
                <w:lang w:val="en-US" w:eastAsia="zh-CN"/>
              </w:rPr>
              <w:t>3</w:t>
            </w:r>
            <w:r>
              <w:rPr>
                <w:rFonts w:hint="eastAsia"/>
                <w:color w:val="auto"/>
                <w:highlight w:val="none"/>
                <w:u w:val="single"/>
                <w:lang w:val="en-US" w:eastAsia="zh-CN"/>
              </w:rPr>
              <w:t>/次，废液主要为高浓度含轻烃/含油废水，主要污染因子涉及COD、石油类、SS（涉铁锈漆皮等）。</w:t>
            </w:r>
          </w:p>
          <w:p w14:paraId="0C38C1B4">
            <w:pPr>
              <w:pStyle w:val="52"/>
              <w:adjustRightInd/>
              <w:spacing w:line="360" w:lineRule="auto"/>
              <w:ind w:firstLine="480" w:firstLineChars="200"/>
              <w:rPr>
                <w:rFonts w:hint="eastAsia"/>
                <w:b/>
                <w:snapToGrid w:val="0"/>
                <w:color w:val="auto"/>
                <w:kern w:val="0"/>
                <w:sz w:val="24"/>
                <w:highlight w:val="none"/>
              </w:rPr>
            </w:pPr>
            <w:r>
              <w:rPr>
                <w:rFonts w:hint="eastAsia"/>
                <w:color w:val="auto"/>
                <w:sz w:val="24"/>
                <w:highlight w:val="none"/>
              </w:rPr>
              <w:t>根据</w:t>
            </w:r>
            <w:r>
              <w:rPr>
                <w:rFonts w:hint="eastAsia"/>
                <w:color w:val="auto"/>
                <w:sz w:val="24"/>
                <w:szCs w:val="24"/>
                <w:highlight w:val="none"/>
              </w:rPr>
              <w:t>《国家危险废物名录</w:t>
            </w:r>
            <w:r>
              <w:rPr>
                <w:rFonts w:hint="eastAsia"/>
                <w:color w:val="auto"/>
                <w:sz w:val="24"/>
                <w:szCs w:val="24"/>
                <w:highlight w:val="none"/>
                <w:lang w:eastAsia="zh-CN"/>
              </w:rPr>
              <w:t>（</w:t>
            </w:r>
            <w:r>
              <w:rPr>
                <w:rFonts w:hint="eastAsia"/>
                <w:color w:val="auto"/>
                <w:sz w:val="24"/>
                <w:szCs w:val="24"/>
                <w:highlight w:val="none"/>
                <w:lang w:val="en-US" w:eastAsia="zh-CN"/>
              </w:rPr>
              <w:t>2025年版</w:t>
            </w:r>
            <w:r>
              <w:rPr>
                <w:rFonts w:hint="eastAsia"/>
                <w:color w:val="auto"/>
                <w:sz w:val="24"/>
                <w:szCs w:val="24"/>
                <w:highlight w:val="none"/>
                <w:lang w:eastAsia="zh-CN"/>
              </w:rPr>
              <w:t>）</w:t>
            </w:r>
            <w:r>
              <w:rPr>
                <w:rFonts w:hint="eastAsia"/>
                <w:color w:val="auto"/>
                <w:sz w:val="24"/>
                <w:szCs w:val="24"/>
                <w:highlight w:val="none"/>
              </w:rPr>
              <w:t>》，储罐冲洗废液</w:t>
            </w:r>
            <w:r>
              <w:rPr>
                <w:rFonts w:hint="eastAsia"/>
                <w:bCs/>
                <w:color w:val="auto"/>
                <w:sz w:val="24"/>
                <w:highlight w:val="none"/>
              </w:rPr>
              <w:t>属于</w:t>
            </w:r>
            <w:r>
              <w:rPr>
                <w:rFonts w:hint="default"/>
                <w:color w:val="auto"/>
                <w:sz w:val="24"/>
                <w:szCs w:val="24"/>
                <w:highlight w:val="none"/>
              </w:rPr>
              <w:t>HW09油/水、烃/水混合物或乳化液</w:t>
            </w:r>
            <w:r>
              <w:rPr>
                <w:rFonts w:hint="eastAsia"/>
                <w:color w:val="auto"/>
                <w:sz w:val="24"/>
                <w:szCs w:val="24"/>
                <w:highlight w:val="none"/>
              </w:rPr>
              <w:t>，危废代码</w:t>
            </w:r>
            <w:r>
              <w:rPr>
                <w:rFonts w:hint="default"/>
                <w:color w:val="auto"/>
                <w:sz w:val="24"/>
                <w:szCs w:val="24"/>
                <w:highlight w:val="none"/>
              </w:rPr>
              <w:t>900-007-09</w:t>
            </w:r>
            <w:r>
              <w:rPr>
                <w:rFonts w:hint="eastAsia"/>
                <w:color w:val="auto"/>
                <w:sz w:val="24"/>
                <w:szCs w:val="24"/>
                <w:highlight w:val="none"/>
                <w:lang w:val="en-US" w:eastAsia="zh-CN"/>
              </w:rPr>
              <w:t>，“其他工艺过程中产生的油/水、烃/水混合物或乳化液”，</w:t>
            </w:r>
            <w:r>
              <w:rPr>
                <w:rFonts w:hint="eastAsia"/>
                <w:color w:val="auto"/>
                <w:highlight w:val="none"/>
                <w:u w:val="none"/>
                <w:lang w:val="en-US" w:eastAsia="zh-CN"/>
              </w:rPr>
              <w:t>作为危险废物，由委托的有资质的第三方检维修单位直接带走处置，不在厂区内暂存</w:t>
            </w:r>
            <w:r>
              <w:rPr>
                <w:rFonts w:hint="eastAsia"/>
                <w:color w:val="auto"/>
                <w:highlight w:val="none"/>
                <w:u w:val="none"/>
              </w:rPr>
              <w:t>。</w:t>
            </w:r>
          </w:p>
          <w:p w14:paraId="13FA7D2E">
            <w:pPr>
              <w:spacing w:line="360" w:lineRule="auto"/>
              <w:ind w:firstLine="482" w:firstLineChars="200"/>
              <w:jc w:val="left"/>
              <w:rPr>
                <w:b/>
                <w:snapToGrid w:val="0"/>
                <w:color w:val="auto"/>
                <w:kern w:val="0"/>
                <w:sz w:val="24"/>
                <w:highlight w:val="none"/>
              </w:rPr>
            </w:pPr>
            <w:r>
              <w:rPr>
                <w:rFonts w:hint="eastAsia"/>
                <w:b/>
                <w:snapToGrid w:val="0"/>
                <w:color w:val="auto"/>
                <w:kern w:val="0"/>
                <w:sz w:val="24"/>
                <w:highlight w:val="none"/>
              </w:rPr>
              <w:t>五、土壤、地下水环境影响分析</w:t>
            </w:r>
          </w:p>
          <w:p w14:paraId="06E334B6">
            <w:pPr>
              <w:spacing w:line="360" w:lineRule="auto"/>
              <w:ind w:firstLine="480" w:firstLineChars="200"/>
              <w:jc w:val="left"/>
              <w:rPr>
                <w:color w:val="auto"/>
                <w:sz w:val="24"/>
                <w:szCs w:val="24"/>
                <w:highlight w:val="none"/>
              </w:rPr>
            </w:pPr>
            <w:r>
              <w:rPr>
                <w:rFonts w:hint="eastAsia"/>
                <w:color w:val="auto"/>
                <w:sz w:val="24"/>
                <w:szCs w:val="24"/>
                <w:highlight w:val="none"/>
              </w:rPr>
              <w:t>为更好的保护地下水环境、土壤环境，将本项目对地下水、土壤的影响降至最低，建议采取以下的污染防治措施：</w:t>
            </w:r>
          </w:p>
          <w:p w14:paraId="6A17EBBD">
            <w:pPr>
              <w:pStyle w:val="52"/>
              <w:adjustRightInd/>
              <w:spacing w:line="360" w:lineRule="auto"/>
              <w:ind w:firstLine="480" w:firstLineChars="200"/>
              <w:rPr>
                <w:color w:val="auto"/>
                <w:highlight w:val="none"/>
              </w:rPr>
            </w:pPr>
            <w:r>
              <w:rPr>
                <w:rFonts w:hint="eastAsia"/>
                <w:color w:val="auto"/>
                <w:highlight w:val="none"/>
              </w:rPr>
              <w:t>（1）源头控制</w:t>
            </w:r>
          </w:p>
          <w:p w14:paraId="24853CC9">
            <w:pPr>
              <w:pStyle w:val="52"/>
              <w:adjustRightInd/>
              <w:spacing w:line="360" w:lineRule="auto"/>
              <w:ind w:firstLine="480" w:firstLineChars="200"/>
              <w:rPr>
                <w:color w:val="auto"/>
                <w:highlight w:val="none"/>
              </w:rPr>
            </w:pPr>
            <w:r>
              <w:rPr>
                <w:rFonts w:hint="eastAsia"/>
                <w:color w:val="auto"/>
                <w:highlight w:val="none"/>
              </w:rPr>
              <w:t>严格按照国家相关规范要求，坚持预防为主，防治结合，综合治理的原则，从源头上减少地下水、土壤污染源的产生，是符合污染防治的基本措施。</w:t>
            </w:r>
          </w:p>
          <w:p w14:paraId="0E919E17">
            <w:pPr>
              <w:pStyle w:val="52"/>
              <w:adjustRightInd/>
              <w:spacing w:line="360" w:lineRule="auto"/>
              <w:ind w:firstLine="480" w:firstLineChars="200"/>
              <w:rPr>
                <w:color w:val="auto"/>
                <w:highlight w:val="none"/>
              </w:rPr>
            </w:pPr>
            <w:r>
              <w:rPr>
                <w:rFonts w:hint="eastAsia"/>
                <w:color w:val="auto"/>
                <w:highlight w:val="none"/>
              </w:rPr>
              <w:t>（2）分区防渗</w:t>
            </w:r>
          </w:p>
          <w:p w14:paraId="395700EE">
            <w:pPr>
              <w:pStyle w:val="144"/>
              <w:spacing w:line="360" w:lineRule="auto"/>
              <w:ind w:firstLine="480"/>
              <w:rPr>
                <w:color w:val="auto"/>
                <w:sz w:val="24"/>
                <w:highlight w:val="none"/>
              </w:rPr>
            </w:pPr>
            <w:r>
              <w:rPr>
                <w:rFonts w:hint="eastAsia"/>
                <w:color w:val="auto"/>
                <w:sz w:val="24"/>
                <w:highlight w:val="none"/>
              </w:rPr>
              <w:t>针对可能对地下水和土壤造成影响的各环节，按照“考虑重点，辐射全面”的防腐、防渗原则、防渗技术要求进行划分。具体分区防治措施详见下表：</w:t>
            </w:r>
          </w:p>
          <w:p w14:paraId="7DFC9D32">
            <w:pPr>
              <w:pStyle w:val="52"/>
              <w:adjustRightInd/>
              <w:spacing w:line="360" w:lineRule="auto"/>
              <w:jc w:val="center"/>
              <w:rPr>
                <w:rFonts w:eastAsia="黑体"/>
                <w:bCs/>
                <w:color w:val="auto"/>
                <w:sz w:val="21"/>
                <w:szCs w:val="21"/>
                <w:highlight w:val="none"/>
              </w:rPr>
            </w:pPr>
            <w:r>
              <w:rPr>
                <w:rFonts w:hint="eastAsia" w:hAnsi="黑体" w:eastAsia="黑体"/>
                <w:color w:val="auto"/>
                <w:highlight w:val="none"/>
              </w:rPr>
              <w:t>表</w:t>
            </w:r>
            <w:r>
              <w:rPr>
                <w:rFonts w:hint="eastAsia" w:hAnsi="黑体" w:eastAsia="黑体"/>
                <w:color w:val="auto"/>
                <w:highlight w:val="none"/>
                <w:lang w:val="en-US" w:eastAsia="zh-CN"/>
              </w:rPr>
              <w:t>4-3</w:t>
            </w:r>
            <w:r>
              <w:rPr>
                <w:rFonts w:hint="eastAsia" w:hAnsi="黑体" w:eastAsia="黑体"/>
                <w:color w:val="auto"/>
                <w:highlight w:val="none"/>
              </w:rPr>
              <w:t xml:space="preserve"> 本项目分区防渗</w:t>
            </w:r>
            <w:r>
              <w:rPr>
                <w:rFonts w:hAnsi="黑体" w:eastAsia="黑体"/>
                <w:color w:val="auto"/>
                <w:highlight w:val="none"/>
              </w:rPr>
              <w:t>措施要求</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96"/>
              <w:gridCol w:w="1326"/>
              <w:gridCol w:w="2608"/>
              <w:gridCol w:w="2608"/>
            </w:tblGrid>
            <w:tr w14:paraId="75706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31" w:type="pct"/>
                  <w:vAlign w:val="center"/>
                </w:tcPr>
                <w:p w14:paraId="569901F1">
                  <w:pPr>
                    <w:widowControl/>
                    <w:autoSpaceDN w:val="0"/>
                    <w:spacing w:line="276" w:lineRule="auto"/>
                    <w:jc w:val="center"/>
                    <w:rPr>
                      <w:b/>
                      <w:color w:val="auto"/>
                      <w:szCs w:val="21"/>
                      <w:highlight w:val="none"/>
                    </w:rPr>
                  </w:pPr>
                  <w:r>
                    <w:rPr>
                      <w:rFonts w:hint="eastAsia"/>
                      <w:b/>
                      <w:color w:val="auto"/>
                      <w:szCs w:val="21"/>
                      <w:highlight w:val="none"/>
                    </w:rPr>
                    <w:t>构筑物</w:t>
                  </w:r>
                  <w:r>
                    <w:rPr>
                      <w:b/>
                      <w:color w:val="auto"/>
                      <w:szCs w:val="21"/>
                      <w:highlight w:val="none"/>
                    </w:rPr>
                    <w:t>单元名称</w:t>
                  </w:r>
                </w:p>
              </w:tc>
              <w:tc>
                <w:tcPr>
                  <w:tcW w:w="825" w:type="pct"/>
                  <w:vAlign w:val="center"/>
                </w:tcPr>
                <w:p w14:paraId="1D60ED70">
                  <w:pPr>
                    <w:widowControl/>
                    <w:autoSpaceDN w:val="0"/>
                    <w:spacing w:line="276" w:lineRule="auto"/>
                    <w:jc w:val="center"/>
                    <w:rPr>
                      <w:b/>
                      <w:color w:val="auto"/>
                      <w:szCs w:val="21"/>
                      <w:highlight w:val="none"/>
                    </w:rPr>
                  </w:pPr>
                  <w:r>
                    <w:rPr>
                      <w:b/>
                      <w:color w:val="auto"/>
                      <w:szCs w:val="21"/>
                      <w:highlight w:val="none"/>
                    </w:rPr>
                    <w:t>污染防治区类别</w:t>
                  </w:r>
                </w:p>
              </w:tc>
              <w:tc>
                <w:tcPr>
                  <w:tcW w:w="1622" w:type="pct"/>
                  <w:vAlign w:val="center"/>
                </w:tcPr>
                <w:p w14:paraId="04B4BFE4">
                  <w:pPr>
                    <w:widowControl/>
                    <w:autoSpaceDN w:val="0"/>
                    <w:spacing w:line="276" w:lineRule="auto"/>
                    <w:jc w:val="center"/>
                    <w:rPr>
                      <w:b/>
                      <w:color w:val="auto"/>
                      <w:szCs w:val="21"/>
                      <w:highlight w:val="none"/>
                    </w:rPr>
                  </w:pPr>
                  <w:r>
                    <w:rPr>
                      <w:b/>
                      <w:color w:val="auto"/>
                      <w:szCs w:val="21"/>
                      <w:highlight w:val="none"/>
                    </w:rPr>
                    <w:t>防渗设计要求</w:t>
                  </w:r>
                </w:p>
              </w:tc>
              <w:tc>
                <w:tcPr>
                  <w:tcW w:w="1622" w:type="pct"/>
                  <w:vAlign w:val="center"/>
                </w:tcPr>
                <w:p w14:paraId="0281A784">
                  <w:pPr>
                    <w:widowControl/>
                    <w:autoSpaceDN w:val="0"/>
                    <w:spacing w:line="276" w:lineRule="auto"/>
                    <w:jc w:val="center"/>
                    <w:rPr>
                      <w:b/>
                      <w:color w:val="auto"/>
                      <w:szCs w:val="21"/>
                      <w:highlight w:val="none"/>
                    </w:rPr>
                  </w:pPr>
                  <w:r>
                    <w:rPr>
                      <w:b/>
                      <w:color w:val="auto"/>
                      <w:szCs w:val="21"/>
                      <w:highlight w:val="none"/>
                    </w:rPr>
                    <w:t>本项目拟采取的防渗方案</w:t>
                  </w:r>
                </w:p>
              </w:tc>
            </w:tr>
            <w:tr w14:paraId="43BAB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931" w:type="pct"/>
                  <w:vAlign w:val="center"/>
                </w:tcPr>
                <w:p w14:paraId="0E63FB9A">
                  <w:pPr>
                    <w:widowControl/>
                    <w:autoSpaceDN w:val="0"/>
                    <w:spacing w:line="276" w:lineRule="auto"/>
                    <w:jc w:val="center"/>
                    <w:rPr>
                      <w:color w:val="auto"/>
                      <w:szCs w:val="21"/>
                      <w:highlight w:val="none"/>
                    </w:rPr>
                  </w:pPr>
                  <w:r>
                    <w:rPr>
                      <w:rFonts w:hint="eastAsia"/>
                      <w:color w:val="auto"/>
                      <w:szCs w:val="21"/>
                      <w:highlight w:val="none"/>
                    </w:rPr>
                    <w:t>储罐区</w:t>
                  </w:r>
                </w:p>
              </w:tc>
              <w:tc>
                <w:tcPr>
                  <w:tcW w:w="825" w:type="pct"/>
                  <w:vAlign w:val="center"/>
                </w:tcPr>
                <w:p w14:paraId="1E2D4133">
                  <w:pPr>
                    <w:widowControl/>
                    <w:autoSpaceDN w:val="0"/>
                    <w:spacing w:line="276" w:lineRule="auto"/>
                    <w:jc w:val="center"/>
                    <w:rPr>
                      <w:color w:val="auto"/>
                      <w:szCs w:val="21"/>
                      <w:highlight w:val="none"/>
                    </w:rPr>
                  </w:pPr>
                  <w:r>
                    <w:rPr>
                      <w:color w:val="auto"/>
                      <w:szCs w:val="21"/>
                      <w:highlight w:val="none"/>
                    </w:rPr>
                    <w:t>重点防渗区</w:t>
                  </w:r>
                </w:p>
              </w:tc>
              <w:tc>
                <w:tcPr>
                  <w:tcW w:w="2608" w:type="dxa"/>
                  <w:vAlign w:val="center"/>
                </w:tcPr>
                <w:p w14:paraId="52E19401">
                  <w:pPr>
                    <w:spacing w:line="276" w:lineRule="auto"/>
                    <w:jc w:val="center"/>
                    <w:rPr>
                      <w:color w:val="auto"/>
                      <w:szCs w:val="21"/>
                      <w:highlight w:val="none"/>
                    </w:rPr>
                  </w:pPr>
                  <w:r>
                    <w:rPr>
                      <w:color w:val="auto"/>
                      <w:szCs w:val="21"/>
                      <w:highlight w:val="none"/>
                    </w:rPr>
                    <w:t>等效黏土防渗层Mb≥6.0m，K≤10</w:t>
                  </w:r>
                  <w:r>
                    <w:rPr>
                      <w:color w:val="auto"/>
                      <w:szCs w:val="21"/>
                      <w:highlight w:val="none"/>
                      <w:vertAlign w:val="superscript"/>
                    </w:rPr>
                    <w:t>-7</w:t>
                  </w:r>
                  <w:r>
                    <w:rPr>
                      <w:color w:val="auto"/>
                      <w:szCs w:val="21"/>
                      <w:highlight w:val="none"/>
                    </w:rPr>
                    <w:t>cm/s或者参照GB18598执行</w:t>
                  </w:r>
                </w:p>
              </w:tc>
              <w:tc>
                <w:tcPr>
                  <w:tcW w:w="1622" w:type="pct"/>
                  <w:vAlign w:val="center"/>
                </w:tcPr>
                <w:p w14:paraId="7FE8FD76">
                  <w:pPr>
                    <w:spacing w:line="276" w:lineRule="auto"/>
                    <w:jc w:val="center"/>
                    <w:rPr>
                      <w:color w:val="auto"/>
                      <w:kern w:val="0"/>
                      <w:szCs w:val="23"/>
                      <w:highlight w:val="none"/>
                    </w:rPr>
                  </w:pPr>
                  <w:r>
                    <w:rPr>
                      <w:rFonts w:hint="eastAsia"/>
                      <w:color w:val="auto"/>
                      <w:kern w:val="0"/>
                      <w:szCs w:val="23"/>
                      <w:highlight w:val="none"/>
                    </w:rPr>
                    <w:t>1</w:t>
                  </w:r>
                  <w:r>
                    <w:rPr>
                      <w:color w:val="auto"/>
                      <w:kern w:val="0"/>
                      <w:szCs w:val="23"/>
                      <w:highlight w:val="none"/>
                    </w:rPr>
                    <w:t>5</w:t>
                  </w:r>
                  <w:r>
                    <w:rPr>
                      <w:rFonts w:hint="eastAsia"/>
                      <w:color w:val="auto"/>
                      <w:kern w:val="0"/>
                      <w:szCs w:val="23"/>
                      <w:highlight w:val="none"/>
                    </w:rPr>
                    <w:t>cm抗渗混凝土+</w:t>
                  </w:r>
                  <w:r>
                    <w:rPr>
                      <w:color w:val="auto"/>
                      <w:kern w:val="0"/>
                      <w:szCs w:val="23"/>
                      <w:highlight w:val="none"/>
                    </w:rPr>
                    <w:t>2</w:t>
                  </w:r>
                  <w:r>
                    <w:rPr>
                      <w:rFonts w:hint="eastAsia"/>
                      <w:color w:val="auto"/>
                      <w:kern w:val="0"/>
                      <w:szCs w:val="23"/>
                      <w:highlight w:val="none"/>
                    </w:rPr>
                    <w:t>mm厚H</w:t>
                  </w:r>
                  <w:r>
                    <w:rPr>
                      <w:color w:val="auto"/>
                      <w:kern w:val="0"/>
                      <w:szCs w:val="23"/>
                      <w:highlight w:val="none"/>
                    </w:rPr>
                    <w:t>DPE</w:t>
                  </w:r>
                  <w:r>
                    <w:rPr>
                      <w:rFonts w:hint="eastAsia"/>
                      <w:color w:val="auto"/>
                      <w:kern w:val="0"/>
                      <w:szCs w:val="23"/>
                      <w:highlight w:val="none"/>
                    </w:rPr>
                    <w:t>膜或其他等效材料</w:t>
                  </w:r>
                </w:p>
              </w:tc>
            </w:tr>
            <w:tr w14:paraId="0B5BC7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31" w:type="pct"/>
                  <w:vAlign w:val="center"/>
                </w:tcPr>
                <w:p w14:paraId="763142F8">
                  <w:pPr>
                    <w:autoSpaceDN w:val="0"/>
                    <w:spacing w:line="276" w:lineRule="auto"/>
                    <w:jc w:val="center"/>
                    <w:rPr>
                      <w:color w:val="auto"/>
                      <w:szCs w:val="21"/>
                      <w:highlight w:val="none"/>
                      <w:lang w:val="zh-CN"/>
                    </w:rPr>
                  </w:pPr>
                  <w:r>
                    <w:rPr>
                      <w:color w:val="auto"/>
                      <w:szCs w:val="21"/>
                      <w:highlight w:val="none"/>
                      <w:lang w:val="zh-CN"/>
                    </w:rPr>
                    <w:t>除重点防渗区以外的其他区域</w:t>
                  </w:r>
                </w:p>
              </w:tc>
              <w:tc>
                <w:tcPr>
                  <w:tcW w:w="825" w:type="pct"/>
                  <w:vAlign w:val="center"/>
                </w:tcPr>
                <w:p w14:paraId="7AD6C56A">
                  <w:pPr>
                    <w:widowControl/>
                    <w:autoSpaceDN w:val="0"/>
                    <w:spacing w:line="276" w:lineRule="auto"/>
                    <w:jc w:val="center"/>
                    <w:rPr>
                      <w:color w:val="auto"/>
                      <w:szCs w:val="21"/>
                      <w:highlight w:val="none"/>
                    </w:rPr>
                  </w:pPr>
                  <w:r>
                    <w:rPr>
                      <w:rFonts w:hint="eastAsia"/>
                      <w:color w:val="auto"/>
                      <w:szCs w:val="21"/>
                      <w:highlight w:val="none"/>
                    </w:rPr>
                    <w:t>一般</w:t>
                  </w:r>
                  <w:r>
                    <w:rPr>
                      <w:color w:val="auto"/>
                      <w:szCs w:val="21"/>
                      <w:highlight w:val="none"/>
                    </w:rPr>
                    <w:t>防渗区</w:t>
                  </w:r>
                </w:p>
              </w:tc>
              <w:tc>
                <w:tcPr>
                  <w:tcW w:w="2608" w:type="dxa"/>
                  <w:vAlign w:val="center"/>
                </w:tcPr>
                <w:p w14:paraId="71C1286B">
                  <w:pPr>
                    <w:spacing w:line="276" w:lineRule="auto"/>
                    <w:jc w:val="center"/>
                    <w:rPr>
                      <w:color w:val="auto"/>
                      <w:szCs w:val="21"/>
                      <w:highlight w:val="none"/>
                    </w:rPr>
                  </w:pPr>
                  <w:r>
                    <w:rPr>
                      <w:color w:val="auto"/>
                      <w:szCs w:val="21"/>
                      <w:highlight w:val="none"/>
                    </w:rPr>
                    <w:t>等效黏土防渗层Mb≥1.5m，K≤10</w:t>
                  </w:r>
                  <w:r>
                    <w:rPr>
                      <w:color w:val="auto"/>
                      <w:szCs w:val="21"/>
                      <w:highlight w:val="none"/>
                      <w:vertAlign w:val="superscript"/>
                    </w:rPr>
                    <w:t>-7</w:t>
                  </w:r>
                  <w:r>
                    <w:rPr>
                      <w:color w:val="auto"/>
                      <w:szCs w:val="21"/>
                      <w:highlight w:val="none"/>
                    </w:rPr>
                    <w:t>cm/s；或参照GB16889执行</w:t>
                  </w:r>
                </w:p>
              </w:tc>
              <w:tc>
                <w:tcPr>
                  <w:tcW w:w="1622" w:type="pct"/>
                  <w:vAlign w:val="center"/>
                </w:tcPr>
                <w:p w14:paraId="73FE4D6D">
                  <w:pPr>
                    <w:spacing w:line="276" w:lineRule="auto"/>
                    <w:jc w:val="center"/>
                    <w:rPr>
                      <w:color w:val="auto"/>
                      <w:szCs w:val="21"/>
                      <w:highlight w:val="none"/>
                    </w:rPr>
                  </w:pPr>
                  <w:r>
                    <w:rPr>
                      <w:rFonts w:hint="eastAsia"/>
                      <w:color w:val="auto"/>
                      <w:highlight w:val="none"/>
                    </w:rPr>
                    <w:t>1</w:t>
                  </w:r>
                  <w:r>
                    <w:rPr>
                      <w:color w:val="auto"/>
                      <w:highlight w:val="none"/>
                    </w:rPr>
                    <w:t>5</w:t>
                  </w:r>
                  <w:r>
                    <w:rPr>
                      <w:rFonts w:hint="eastAsia"/>
                      <w:color w:val="auto"/>
                      <w:highlight w:val="none"/>
                    </w:rPr>
                    <w:t>cm抗渗混凝土</w:t>
                  </w:r>
                </w:p>
              </w:tc>
            </w:tr>
          </w:tbl>
          <w:p w14:paraId="5AAE4713">
            <w:pPr>
              <w:spacing w:line="360" w:lineRule="auto"/>
              <w:ind w:firstLine="470" w:firstLineChars="196"/>
              <w:rPr>
                <w:rFonts w:hint="eastAsia"/>
                <w:color w:val="auto"/>
                <w:sz w:val="24"/>
                <w:szCs w:val="20"/>
                <w:highlight w:val="none"/>
              </w:rPr>
            </w:pPr>
            <w:r>
              <w:rPr>
                <w:rFonts w:hint="default"/>
                <w:color w:val="auto"/>
                <w:kern w:val="0"/>
                <w:sz w:val="24"/>
                <w:szCs w:val="24"/>
                <w:highlight w:val="none"/>
              </w:rPr>
              <w:t>因此，正常工况下，本</w:t>
            </w:r>
            <w:r>
              <w:rPr>
                <w:rFonts w:hint="eastAsia"/>
                <w:color w:val="auto"/>
                <w:sz w:val="24"/>
                <w:szCs w:val="20"/>
                <w:highlight w:val="none"/>
              </w:rPr>
              <w:t>项目不会对区域地下水、土壤环境产生明显影响。可不开展跟踪监测。</w:t>
            </w:r>
          </w:p>
          <w:p w14:paraId="4500A210">
            <w:pPr>
              <w:spacing w:line="360" w:lineRule="auto"/>
              <w:ind w:firstLine="470" w:firstLineChars="196"/>
              <w:rPr>
                <w:color w:val="auto"/>
                <w:kern w:val="0"/>
                <w:sz w:val="24"/>
                <w:szCs w:val="24"/>
                <w:highlight w:val="none"/>
              </w:rPr>
            </w:pPr>
            <w:r>
              <w:rPr>
                <w:rFonts w:hint="eastAsia"/>
                <w:color w:val="auto"/>
                <w:kern w:val="0"/>
                <w:sz w:val="24"/>
                <w:szCs w:val="24"/>
                <w:highlight w:val="none"/>
              </w:rPr>
              <w:t>（3）其他措施</w:t>
            </w:r>
          </w:p>
          <w:p w14:paraId="445F6356">
            <w:pPr>
              <w:spacing w:line="360" w:lineRule="auto"/>
              <w:ind w:firstLine="470" w:firstLineChars="196"/>
              <w:rPr>
                <w:color w:val="auto"/>
                <w:kern w:val="0"/>
                <w:sz w:val="24"/>
                <w:szCs w:val="24"/>
                <w:highlight w:val="none"/>
              </w:rPr>
            </w:pPr>
            <w:r>
              <w:rPr>
                <w:rFonts w:hint="eastAsia"/>
                <w:color w:val="auto"/>
                <w:kern w:val="0"/>
                <w:sz w:val="24"/>
                <w:szCs w:val="24"/>
                <w:highlight w:val="none"/>
              </w:rPr>
              <w:t>①项目输送管线采用高空架设，在管道下方的地面做必要的防渗处理；</w:t>
            </w:r>
          </w:p>
          <w:p w14:paraId="4845EF80">
            <w:pPr>
              <w:spacing w:line="360" w:lineRule="auto"/>
              <w:ind w:firstLine="470" w:firstLineChars="196"/>
              <w:rPr>
                <w:color w:val="auto"/>
                <w:kern w:val="0"/>
                <w:sz w:val="24"/>
                <w:szCs w:val="24"/>
                <w:highlight w:val="none"/>
              </w:rPr>
            </w:pPr>
            <w:r>
              <w:rPr>
                <w:rFonts w:hint="eastAsia"/>
                <w:color w:val="auto"/>
                <w:kern w:val="0"/>
                <w:sz w:val="24"/>
                <w:szCs w:val="24"/>
                <w:highlight w:val="none"/>
              </w:rPr>
              <w:t>②应急响应措施，包括一旦发现地下水污染事故，立即启动应急预案、采取应急措施控制地下水污染，并使污染得到治理。</w:t>
            </w:r>
          </w:p>
          <w:p w14:paraId="78B147EA">
            <w:pPr>
              <w:spacing w:line="360" w:lineRule="auto"/>
              <w:ind w:firstLine="470" w:firstLineChars="196"/>
              <w:rPr>
                <w:color w:val="auto"/>
                <w:sz w:val="24"/>
                <w:szCs w:val="20"/>
                <w:highlight w:val="none"/>
              </w:rPr>
            </w:pPr>
            <w:r>
              <w:rPr>
                <w:rFonts w:hint="eastAsia"/>
                <w:color w:val="auto"/>
                <w:kern w:val="0"/>
                <w:sz w:val="24"/>
                <w:szCs w:val="24"/>
                <w:highlight w:val="none"/>
              </w:rPr>
              <w:t>本项目</w:t>
            </w:r>
            <w:r>
              <w:rPr>
                <w:rFonts w:hint="eastAsia"/>
                <w:color w:val="auto"/>
                <w:kern w:val="0"/>
                <w:sz w:val="24"/>
                <w:szCs w:val="24"/>
                <w:highlight w:val="none"/>
                <w:lang w:val="en-US" w:eastAsia="zh-CN"/>
              </w:rPr>
              <w:t>新增</w:t>
            </w:r>
            <w:r>
              <w:rPr>
                <w:rFonts w:hint="eastAsia"/>
                <w:color w:val="auto"/>
                <w:kern w:val="0"/>
                <w:sz w:val="24"/>
                <w:szCs w:val="24"/>
                <w:highlight w:val="none"/>
              </w:rPr>
              <w:t>储运介质</w:t>
            </w:r>
            <w:r>
              <w:rPr>
                <w:rFonts w:hint="eastAsia"/>
                <w:color w:val="auto"/>
                <w:kern w:val="0"/>
                <w:sz w:val="24"/>
                <w:szCs w:val="24"/>
                <w:highlight w:val="none"/>
                <w:lang w:val="en-US" w:eastAsia="zh-CN"/>
              </w:rPr>
              <w:t>丙烷及丁烷均</w:t>
            </w:r>
            <w:r>
              <w:rPr>
                <w:rFonts w:hint="eastAsia"/>
                <w:color w:val="auto"/>
                <w:kern w:val="0"/>
                <w:sz w:val="24"/>
                <w:szCs w:val="24"/>
                <w:highlight w:val="none"/>
              </w:rPr>
              <w:t>为轻烃类物质，即便泄漏释压后进入大气环境中，几乎不会渗入土壤及地下水环境。</w:t>
            </w:r>
            <w:r>
              <w:rPr>
                <w:color w:val="auto"/>
                <w:kern w:val="0"/>
                <w:sz w:val="24"/>
                <w:szCs w:val="24"/>
                <w:highlight w:val="none"/>
              </w:rPr>
              <w:t>因此，在落实各项防渗措施后，</w:t>
            </w:r>
            <w:r>
              <w:rPr>
                <w:rFonts w:hint="eastAsia"/>
                <w:color w:val="auto"/>
                <w:sz w:val="24"/>
                <w:szCs w:val="20"/>
                <w:highlight w:val="none"/>
              </w:rPr>
              <w:t>项目不会对区域地下水、土壤环境产生明显影响。可不开展跟踪监测。</w:t>
            </w:r>
          </w:p>
          <w:p w14:paraId="416DC22C">
            <w:pPr>
              <w:spacing w:line="360" w:lineRule="auto"/>
              <w:ind w:firstLine="482" w:firstLineChars="200"/>
              <w:jc w:val="left"/>
              <w:rPr>
                <w:b/>
                <w:snapToGrid w:val="0"/>
                <w:color w:val="auto"/>
                <w:kern w:val="0"/>
                <w:sz w:val="24"/>
                <w:highlight w:val="none"/>
              </w:rPr>
            </w:pPr>
            <w:r>
              <w:rPr>
                <w:rFonts w:hint="eastAsia"/>
                <w:b/>
                <w:snapToGrid w:val="0"/>
                <w:color w:val="auto"/>
                <w:kern w:val="0"/>
                <w:sz w:val="24"/>
                <w:highlight w:val="none"/>
              </w:rPr>
              <w:t>六、</w:t>
            </w:r>
            <w:r>
              <w:rPr>
                <w:rFonts w:hint="eastAsia" w:hAnsi="宋体"/>
                <w:b/>
                <w:snapToGrid w:val="0"/>
                <w:color w:val="auto"/>
                <w:kern w:val="0"/>
                <w:sz w:val="24"/>
                <w:highlight w:val="none"/>
              </w:rPr>
              <w:t>环境</w:t>
            </w:r>
            <w:r>
              <w:rPr>
                <w:rFonts w:hAnsi="宋体"/>
                <w:b/>
                <w:snapToGrid w:val="0"/>
                <w:color w:val="auto"/>
                <w:kern w:val="0"/>
                <w:sz w:val="24"/>
                <w:highlight w:val="none"/>
              </w:rPr>
              <w:t>风险评价</w:t>
            </w:r>
          </w:p>
          <w:p w14:paraId="74282E57">
            <w:pPr>
              <w:spacing w:line="360" w:lineRule="auto"/>
              <w:ind w:firstLine="470" w:firstLineChars="196"/>
              <w:rPr>
                <w:color w:val="auto"/>
                <w:kern w:val="0"/>
                <w:sz w:val="24"/>
                <w:szCs w:val="24"/>
                <w:highlight w:val="none"/>
              </w:rPr>
            </w:pPr>
            <w:r>
              <w:rPr>
                <w:rFonts w:hint="eastAsia"/>
                <w:color w:val="auto"/>
                <w:kern w:val="0"/>
                <w:sz w:val="24"/>
                <w:szCs w:val="24"/>
                <w:highlight w:val="none"/>
              </w:rPr>
              <w:t>本项目主要危险物质为</w:t>
            </w:r>
            <w:r>
              <w:rPr>
                <w:rFonts w:hint="eastAsia"/>
                <w:color w:val="auto"/>
                <w:kern w:val="0"/>
                <w:sz w:val="24"/>
                <w:szCs w:val="24"/>
                <w:highlight w:val="none"/>
                <w:lang w:val="en-US" w:eastAsia="zh-CN"/>
              </w:rPr>
              <w:t>乙烯、丙烷及丁烷</w:t>
            </w:r>
            <w:r>
              <w:rPr>
                <w:rFonts w:hint="eastAsia"/>
                <w:color w:val="auto"/>
                <w:kern w:val="0"/>
                <w:sz w:val="24"/>
                <w:szCs w:val="24"/>
                <w:highlight w:val="none"/>
              </w:rPr>
              <w:t>，涉及的危险单元主要为储罐区、充装间</w:t>
            </w:r>
            <w:r>
              <w:rPr>
                <w:rFonts w:hint="eastAsia"/>
                <w:color w:val="auto"/>
                <w:kern w:val="0"/>
                <w:sz w:val="24"/>
                <w:szCs w:val="24"/>
                <w:highlight w:val="none"/>
                <w:lang w:eastAsia="zh-CN"/>
              </w:rPr>
              <w:t>、</w:t>
            </w:r>
            <w:r>
              <w:rPr>
                <w:rFonts w:hint="eastAsia"/>
                <w:color w:val="auto"/>
                <w:kern w:val="0"/>
                <w:sz w:val="24"/>
                <w:szCs w:val="24"/>
                <w:highlight w:val="none"/>
                <w:lang w:val="en-US" w:eastAsia="zh-CN"/>
              </w:rPr>
              <w:t>1#仓库（甲类仓库）、库棚（甲类）</w:t>
            </w:r>
            <w:r>
              <w:rPr>
                <w:rFonts w:hint="eastAsia"/>
                <w:color w:val="auto"/>
                <w:kern w:val="0"/>
                <w:sz w:val="24"/>
                <w:szCs w:val="24"/>
                <w:highlight w:val="none"/>
              </w:rPr>
              <w:t>，项目</w:t>
            </w:r>
            <w:r>
              <w:rPr>
                <w:rFonts w:hint="eastAsia"/>
                <w:color w:val="auto"/>
                <w:kern w:val="0"/>
                <w:sz w:val="24"/>
                <w:szCs w:val="24"/>
                <w:highlight w:val="none"/>
                <w:lang w:val="en-US" w:eastAsia="zh-CN"/>
              </w:rPr>
              <w:t>厂区</w:t>
            </w:r>
            <w:r>
              <w:rPr>
                <w:rFonts w:hint="eastAsia"/>
                <w:color w:val="auto"/>
                <w:kern w:val="0"/>
                <w:sz w:val="24"/>
                <w:szCs w:val="24"/>
                <w:highlight w:val="none"/>
              </w:rPr>
              <w:t>内危险物质最大存在总量为</w:t>
            </w:r>
            <w:r>
              <w:rPr>
                <w:rFonts w:hint="eastAsia"/>
                <w:color w:val="auto"/>
                <w:kern w:val="0"/>
                <w:sz w:val="24"/>
                <w:szCs w:val="24"/>
                <w:highlight w:val="none"/>
                <w:lang w:val="en-US" w:eastAsia="zh-CN"/>
              </w:rPr>
              <w:t>59.19</w:t>
            </w:r>
            <w:r>
              <w:rPr>
                <w:rFonts w:hint="eastAsia"/>
                <w:color w:val="auto"/>
                <w:kern w:val="0"/>
                <w:sz w:val="24"/>
                <w:szCs w:val="24"/>
                <w:highlight w:val="none"/>
              </w:rPr>
              <w:t>t，乙烯</w:t>
            </w:r>
            <w:r>
              <w:rPr>
                <w:rFonts w:hint="eastAsia"/>
                <w:color w:val="auto"/>
                <w:kern w:val="0"/>
                <w:sz w:val="24"/>
                <w:szCs w:val="24"/>
                <w:highlight w:val="none"/>
                <w:lang w:eastAsia="zh-CN"/>
              </w:rPr>
              <w:t>、</w:t>
            </w:r>
            <w:r>
              <w:rPr>
                <w:rFonts w:hint="eastAsia"/>
                <w:color w:val="auto"/>
                <w:kern w:val="0"/>
                <w:sz w:val="24"/>
                <w:szCs w:val="24"/>
                <w:highlight w:val="none"/>
                <w:lang w:val="en-US" w:eastAsia="zh-CN"/>
              </w:rPr>
              <w:t>丙烷或丁烷在事故</w:t>
            </w:r>
            <w:r>
              <w:rPr>
                <w:rFonts w:hint="eastAsia"/>
                <w:color w:val="auto"/>
                <w:kern w:val="0"/>
                <w:sz w:val="24"/>
                <w:szCs w:val="24"/>
                <w:highlight w:val="none"/>
              </w:rPr>
              <w:t>工况时会发生泄漏事故，乙烯沸点较低，</w:t>
            </w:r>
            <w:r>
              <w:rPr>
                <w:rFonts w:hint="eastAsia"/>
                <w:color w:val="auto"/>
                <w:kern w:val="0"/>
                <w:sz w:val="24"/>
                <w:szCs w:val="24"/>
                <w:highlight w:val="none"/>
                <w:lang w:val="en-US" w:eastAsia="zh-CN"/>
              </w:rPr>
              <w:t>泄漏</w:t>
            </w:r>
            <w:r>
              <w:rPr>
                <w:rFonts w:hint="eastAsia"/>
                <w:color w:val="auto"/>
                <w:kern w:val="0"/>
                <w:sz w:val="24"/>
                <w:szCs w:val="24"/>
                <w:highlight w:val="none"/>
              </w:rPr>
              <w:t>后会通过扩散途径污染大气，最不利情形下发生火灾事故伴生/次生CO事故。由于本项目厂区所在地大气环境敏感度为环境高度敏感区（E1），最不利气象条件下，泄漏发生火灾次生CO会对下风向</w:t>
            </w:r>
            <w:r>
              <w:rPr>
                <w:rFonts w:hint="eastAsia"/>
                <w:color w:val="auto"/>
                <w:kern w:val="0"/>
                <w:sz w:val="24"/>
                <w:szCs w:val="24"/>
                <w:highlight w:val="none"/>
                <w:lang w:val="en-US" w:eastAsia="zh-CN"/>
              </w:rPr>
              <w:t>320</w:t>
            </w:r>
            <w:r>
              <w:rPr>
                <w:rFonts w:hint="eastAsia"/>
                <w:color w:val="auto"/>
                <w:kern w:val="0"/>
                <w:sz w:val="24"/>
                <w:szCs w:val="24"/>
                <w:highlight w:val="none"/>
              </w:rPr>
              <w:t>m范围内厂区职工造成生命威胁影响，当发生突发环境事件时，立即启用应急预案，对事故现场采取应急救援措施。</w:t>
            </w:r>
          </w:p>
          <w:p w14:paraId="4C7300DF">
            <w:pPr>
              <w:spacing w:line="360" w:lineRule="auto"/>
              <w:ind w:firstLine="470" w:firstLineChars="196"/>
              <w:rPr>
                <w:color w:val="auto"/>
                <w:kern w:val="0"/>
                <w:sz w:val="24"/>
                <w:szCs w:val="24"/>
                <w:highlight w:val="none"/>
              </w:rPr>
            </w:pPr>
            <w:r>
              <w:rPr>
                <w:rFonts w:hint="eastAsia"/>
                <w:color w:val="auto"/>
                <w:kern w:val="0"/>
                <w:sz w:val="24"/>
                <w:szCs w:val="24"/>
                <w:highlight w:val="none"/>
              </w:rPr>
              <w:t>本项目建成后，储罐、泵区、鹤管处、充装汇流排均设置可燃气体检测及报警器，并联通</w:t>
            </w:r>
            <w:r>
              <w:rPr>
                <w:color w:val="auto"/>
                <w:kern w:val="0"/>
                <w:sz w:val="24"/>
                <w:highlight w:val="none"/>
              </w:rPr>
              <w:t>GDS</w:t>
            </w:r>
            <w:r>
              <w:rPr>
                <w:rFonts w:hint="eastAsia"/>
                <w:color w:val="auto"/>
                <w:kern w:val="0"/>
                <w:sz w:val="24"/>
                <w:highlight w:val="none"/>
              </w:rPr>
              <w:t>系统、自动切断系统，</w:t>
            </w:r>
            <w:r>
              <w:rPr>
                <w:color w:val="auto"/>
                <w:kern w:val="0"/>
                <w:sz w:val="24"/>
                <w:highlight w:val="none"/>
              </w:rPr>
              <w:t>对生产装置等过程参数、乙烯泄漏事故进行监测监视、紧急切断控制。</w:t>
            </w:r>
            <w:r>
              <w:rPr>
                <w:rFonts w:hint="eastAsia"/>
                <w:color w:val="auto"/>
                <w:kern w:val="0"/>
                <w:sz w:val="24"/>
                <w:highlight w:val="none"/>
                <w:lang w:val="en-US" w:eastAsia="zh-CN"/>
              </w:rPr>
              <w:t>现有厂区已</w:t>
            </w:r>
            <w:r>
              <w:rPr>
                <w:color w:val="auto"/>
                <w:kern w:val="0"/>
                <w:sz w:val="24"/>
                <w:highlight w:val="none"/>
              </w:rPr>
              <w:t>建立</w:t>
            </w:r>
            <w:r>
              <w:rPr>
                <w:rFonts w:hint="eastAsia"/>
                <w:color w:val="auto"/>
                <w:kern w:val="0"/>
                <w:sz w:val="24"/>
                <w:highlight w:val="none"/>
                <w:lang w:val="en-US" w:eastAsia="zh-CN"/>
              </w:rPr>
              <w:t>了</w:t>
            </w:r>
            <w:r>
              <w:rPr>
                <w:color w:val="auto"/>
                <w:kern w:val="0"/>
                <w:sz w:val="24"/>
                <w:highlight w:val="none"/>
              </w:rPr>
              <w:t>三级防控系统，</w:t>
            </w:r>
            <w:r>
              <w:rPr>
                <w:rFonts w:hint="eastAsia"/>
                <w:color w:val="auto"/>
                <w:kern w:val="0"/>
                <w:sz w:val="24"/>
                <w:szCs w:val="24"/>
                <w:highlight w:val="none"/>
              </w:rPr>
              <w:t>储罐区设置</w:t>
            </w:r>
            <w:r>
              <w:rPr>
                <w:rFonts w:hint="eastAsia"/>
                <w:color w:val="auto"/>
                <w:kern w:val="0"/>
                <w:sz w:val="24"/>
                <w:szCs w:val="24"/>
                <w:highlight w:val="none"/>
                <w:lang w:val="en-US" w:eastAsia="zh-CN"/>
              </w:rPr>
              <w:t>有</w:t>
            </w:r>
            <w:r>
              <w:rPr>
                <w:rFonts w:hint="eastAsia"/>
                <w:color w:val="auto"/>
                <w:kern w:val="0"/>
                <w:sz w:val="24"/>
                <w:szCs w:val="24"/>
                <w:highlight w:val="none"/>
              </w:rPr>
              <w:t>围堰、导流沟，充装间</w:t>
            </w:r>
            <w:r>
              <w:rPr>
                <w:rFonts w:hint="eastAsia"/>
                <w:color w:val="auto"/>
                <w:kern w:val="0"/>
                <w:sz w:val="24"/>
                <w:szCs w:val="24"/>
                <w:highlight w:val="none"/>
                <w:lang w:val="en-US" w:eastAsia="zh-CN"/>
              </w:rPr>
              <w:t>外</w:t>
            </w:r>
            <w:r>
              <w:rPr>
                <w:rFonts w:hint="eastAsia"/>
                <w:color w:val="auto"/>
                <w:kern w:val="0"/>
                <w:sz w:val="24"/>
                <w:szCs w:val="24"/>
                <w:highlight w:val="none"/>
              </w:rPr>
              <w:t>四周设置导流沟，并设置1处消防水池、</w:t>
            </w:r>
            <w:r>
              <w:rPr>
                <w:rFonts w:hint="eastAsia"/>
                <w:color w:val="auto"/>
                <w:kern w:val="0"/>
                <w:sz w:val="24"/>
                <w:szCs w:val="24"/>
                <w:highlight w:val="none"/>
                <w:lang w:eastAsia="zh-CN"/>
              </w:rPr>
              <w:t>1</w:t>
            </w:r>
            <w:r>
              <w:rPr>
                <w:rFonts w:hint="eastAsia"/>
                <w:color w:val="auto"/>
                <w:kern w:val="0"/>
                <w:sz w:val="24"/>
                <w:szCs w:val="24"/>
                <w:highlight w:val="none"/>
                <w:lang w:val="en-US" w:eastAsia="zh-CN"/>
              </w:rPr>
              <w:t>座</w:t>
            </w:r>
            <w:r>
              <w:rPr>
                <w:rFonts w:hint="eastAsia"/>
                <w:color w:val="auto"/>
                <w:kern w:val="0"/>
                <w:sz w:val="24"/>
                <w:szCs w:val="24"/>
                <w:highlight w:val="none"/>
              </w:rPr>
              <w:t>容积为1270m</w:t>
            </w:r>
            <w:r>
              <w:rPr>
                <w:rFonts w:hint="eastAsia"/>
                <w:color w:val="auto"/>
                <w:kern w:val="0"/>
                <w:sz w:val="24"/>
                <w:szCs w:val="24"/>
                <w:highlight w:val="none"/>
                <w:vertAlign w:val="superscript"/>
              </w:rPr>
              <w:t>3</w:t>
            </w:r>
            <w:r>
              <w:rPr>
                <w:rFonts w:hint="eastAsia"/>
                <w:color w:val="auto"/>
                <w:kern w:val="0"/>
                <w:sz w:val="24"/>
                <w:szCs w:val="24"/>
                <w:highlight w:val="none"/>
              </w:rPr>
              <w:t>的事故应急池，事故状态下，能有效防控事故消防废水漫流出厂外。</w:t>
            </w:r>
          </w:p>
          <w:p w14:paraId="49AFD1C6">
            <w:pPr>
              <w:spacing w:line="360" w:lineRule="auto"/>
              <w:ind w:firstLine="470" w:firstLineChars="196"/>
              <w:rPr>
                <w:color w:val="auto"/>
                <w:kern w:val="0"/>
                <w:sz w:val="24"/>
                <w:szCs w:val="24"/>
                <w:highlight w:val="none"/>
              </w:rPr>
            </w:pPr>
            <w:r>
              <w:rPr>
                <w:rFonts w:hint="eastAsia"/>
                <w:color w:val="auto"/>
                <w:kern w:val="0"/>
                <w:sz w:val="24"/>
                <w:szCs w:val="24"/>
                <w:highlight w:val="none"/>
              </w:rPr>
              <w:t>落实环境风险措施和应急预案，建立三级响应，</w:t>
            </w:r>
            <w:r>
              <w:rPr>
                <w:color w:val="auto"/>
                <w:sz w:val="24"/>
                <w:highlight w:val="none"/>
              </w:rPr>
              <w:t>一旦发生环境污染事件，企业首先立即实行自救，采取一切措施控制事态发展，及时向地方人民政府报告，超出本企业应急处置能力时，立即启动上一级预案，由地方政府动用社会应急救援力量，实行分级管理、分级响应和联动，充分发挥地方政府职能作用和各部门的专业优势，加强各部门的协同和合作，提高快速反应能力。</w:t>
            </w:r>
          </w:p>
          <w:p w14:paraId="12EA16A6">
            <w:pPr>
              <w:spacing w:line="360" w:lineRule="auto"/>
              <w:ind w:firstLine="470" w:firstLineChars="196"/>
              <w:rPr>
                <w:rFonts w:hAnsi="宋体"/>
                <w:b/>
                <w:color w:val="auto"/>
                <w:szCs w:val="21"/>
                <w:highlight w:val="none"/>
              </w:rPr>
            </w:pPr>
            <w:r>
              <w:rPr>
                <w:color w:val="auto"/>
                <w:kern w:val="0"/>
                <w:sz w:val="24"/>
                <w:szCs w:val="24"/>
                <w:highlight w:val="none"/>
              </w:rPr>
              <w:t>结合风险专篇分析结论，本项目落实各项事故风险防范措施的基础上，事故发生概率可进一步降低，其影响可以进一步减轻，环境风险</w:t>
            </w:r>
            <w:r>
              <w:rPr>
                <w:rFonts w:hint="eastAsia"/>
                <w:color w:val="auto"/>
                <w:kern w:val="0"/>
                <w:sz w:val="24"/>
                <w:szCs w:val="24"/>
                <w:highlight w:val="none"/>
                <w:lang w:val="en-US" w:eastAsia="zh-CN"/>
              </w:rPr>
              <w:t>可防控</w:t>
            </w:r>
            <w:r>
              <w:rPr>
                <w:color w:val="auto"/>
                <w:kern w:val="0"/>
                <w:sz w:val="24"/>
                <w:szCs w:val="24"/>
                <w:highlight w:val="none"/>
              </w:rPr>
              <w:t>。</w:t>
            </w:r>
          </w:p>
        </w:tc>
      </w:tr>
    </w:tbl>
    <w:p w14:paraId="20A1D9FF">
      <w:pPr>
        <w:widowControl/>
        <w:spacing w:line="360" w:lineRule="auto"/>
        <w:rPr>
          <w:rFonts w:hAnsi="宋体"/>
          <w:color w:val="auto"/>
          <w:kern w:val="0"/>
          <w:sz w:val="24"/>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bookmarkStart w:id="19" w:name="_Toc354926677"/>
    </w:p>
    <w:bookmarkEnd w:id="19"/>
    <w:p w14:paraId="5DD93269">
      <w:pPr>
        <w:widowControl/>
        <w:jc w:val="center"/>
        <w:outlineLvl w:val="0"/>
        <w:rPr>
          <w:rFonts w:ascii="宋体" w:hAnsi="宋体"/>
          <w:b/>
          <w:bCs/>
          <w:color w:val="auto"/>
          <w:kern w:val="0"/>
          <w:sz w:val="30"/>
          <w:szCs w:val="30"/>
          <w:highlight w:val="none"/>
        </w:rPr>
      </w:pPr>
      <w:bookmarkStart w:id="20" w:name="_Toc140650609"/>
      <w:bookmarkStart w:id="21" w:name="_Toc140651376"/>
      <w:r>
        <w:rPr>
          <w:rFonts w:hint="eastAsia" w:ascii="宋体" w:hAnsi="宋体"/>
          <w:b/>
          <w:bCs/>
          <w:color w:val="auto"/>
          <w:kern w:val="0"/>
          <w:sz w:val="30"/>
          <w:szCs w:val="30"/>
          <w:highlight w:val="none"/>
        </w:rPr>
        <w:t>五、环境</w:t>
      </w:r>
      <w:r>
        <w:rPr>
          <w:rFonts w:ascii="宋体" w:hAnsi="宋体"/>
          <w:b/>
          <w:bCs/>
          <w:color w:val="auto"/>
          <w:kern w:val="0"/>
          <w:sz w:val="30"/>
          <w:szCs w:val="30"/>
          <w:highlight w:val="none"/>
        </w:rPr>
        <w:t>保护措施监督检查清单</w:t>
      </w:r>
      <w:bookmarkEnd w:id="20"/>
      <w:bookmarkEnd w:id="21"/>
    </w:p>
    <w:tbl>
      <w:tblPr>
        <w:tblStyle w:val="36"/>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5"/>
        <w:gridCol w:w="1748"/>
        <w:gridCol w:w="1536"/>
        <w:gridCol w:w="2493"/>
        <w:gridCol w:w="2105"/>
      </w:tblGrid>
      <w:tr w14:paraId="66EBA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9" w:hRule="atLeast"/>
          <w:jc w:val="center"/>
        </w:trPr>
        <w:tc>
          <w:tcPr>
            <w:tcW w:w="530" w:type="pct"/>
            <w:tcBorders>
              <w:top w:val="single" w:color="000000" w:sz="6" w:space="0"/>
              <w:left w:val="single" w:color="000000" w:sz="6" w:space="0"/>
              <w:tl2br w:val="single" w:color="auto" w:sz="6" w:space="0"/>
            </w:tcBorders>
            <w:vAlign w:val="center"/>
          </w:tcPr>
          <w:p w14:paraId="2C7B8253">
            <w:pPr>
              <w:spacing w:line="360" w:lineRule="auto"/>
              <w:jc w:val="right"/>
              <w:rPr>
                <w:b/>
                <w:bCs/>
                <w:color w:val="auto"/>
                <w:sz w:val="24"/>
                <w:szCs w:val="24"/>
                <w:highlight w:val="none"/>
              </w:rPr>
            </w:pPr>
            <w:r>
              <w:rPr>
                <w:b/>
                <w:bCs/>
                <w:color w:val="auto"/>
                <w:sz w:val="24"/>
                <w:szCs w:val="24"/>
                <w:highlight w:val="none"/>
              </w:rPr>
              <w:t>内容</w:t>
            </w:r>
          </w:p>
          <w:p w14:paraId="0F50BB47">
            <w:pPr>
              <w:spacing w:line="360" w:lineRule="auto"/>
              <w:jc w:val="left"/>
              <w:rPr>
                <w:b/>
                <w:bCs/>
                <w:color w:val="auto"/>
                <w:sz w:val="24"/>
                <w:szCs w:val="24"/>
                <w:highlight w:val="none"/>
              </w:rPr>
            </w:pPr>
            <w:r>
              <w:rPr>
                <w:rFonts w:hint="eastAsia"/>
                <w:b/>
                <w:bCs/>
                <w:color w:val="auto"/>
                <w:sz w:val="24"/>
                <w:szCs w:val="24"/>
                <w:highlight w:val="none"/>
              </w:rPr>
              <w:t>要素</w:t>
            </w:r>
          </w:p>
        </w:tc>
        <w:tc>
          <w:tcPr>
            <w:tcW w:w="991" w:type="pct"/>
            <w:tcBorders>
              <w:top w:val="single" w:color="000000" w:sz="6" w:space="0"/>
            </w:tcBorders>
            <w:vAlign w:val="center"/>
          </w:tcPr>
          <w:p w14:paraId="40BD0096">
            <w:pPr>
              <w:spacing w:line="360" w:lineRule="auto"/>
              <w:jc w:val="center"/>
              <w:rPr>
                <w:b/>
                <w:bCs/>
                <w:color w:val="auto"/>
                <w:sz w:val="24"/>
                <w:szCs w:val="24"/>
                <w:highlight w:val="none"/>
              </w:rPr>
            </w:pPr>
            <w:r>
              <w:rPr>
                <w:rFonts w:hint="eastAsia"/>
                <w:b/>
                <w:bCs/>
                <w:color w:val="auto"/>
                <w:sz w:val="24"/>
                <w:szCs w:val="24"/>
                <w:highlight w:val="none"/>
              </w:rPr>
              <w:t>排放口（编号、名称）/污染源</w:t>
            </w:r>
          </w:p>
        </w:tc>
        <w:tc>
          <w:tcPr>
            <w:tcW w:w="871" w:type="pct"/>
            <w:tcBorders>
              <w:top w:val="single" w:color="000000" w:sz="6" w:space="0"/>
            </w:tcBorders>
            <w:vAlign w:val="center"/>
          </w:tcPr>
          <w:p w14:paraId="78BE436E">
            <w:pPr>
              <w:spacing w:line="360" w:lineRule="auto"/>
              <w:jc w:val="center"/>
              <w:rPr>
                <w:b/>
                <w:bCs/>
                <w:color w:val="auto"/>
                <w:sz w:val="24"/>
                <w:szCs w:val="24"/>
                <w:highlight w:val="none"/>
              </w:rPr>
            </w:pPr>
            <w:r>
              <w:rPr>
                <w:rFonts w:hint="eastAsia"/>
                <w:b/>
                <w:bCs/>
                <w:color w:val="auto"/>
                <w:sz w:val="24"/>
                <w:szCs w:val="24"/>
                <w:highlight w:val="none"/>
              </w:rPr>
              <w:t>污染物</w:t>
            </w:r>
            <w:r>
              <w:rPr>
                <w:b/>
                <w:bCs/>
                <w:color w:val="auto"/>
                <w:sz w:val="24"/>
                <w:szCs w:val="24"/>
                <w:highlight w:val="none"/>
              </w:rPr>
              <w:t>项目</w:t>
            </w:r>
          </w:p>
        </w:tc>
        <w:tc>
          <w:tcPr>
            <w:tcW w:w="1414" w:type="pct"/>
            <w:tcBorders>
              <w:top w:val="single" w:color="000000" w:sz="6" w:space="0"/>
            </w:tcBorders>
            <w:vAlign w:val="center"/>
          </w:tcPr>
          <w:p w14:paraId="6680245C">
            <w:pPr>
              <w:widowControl/>
              <w:spacing w:line="360" w:lineRule="auto"/>
              <w:jc w:val="center"/>
              <w:rPr>
                <w:b/>
                <w:bCs/>
                <w:color w:val="auto"/>
                <w:kern w:val="0"/>
                <w:sz w:val="24"/>
                <w:szCs w:val="24"/>
                <w:highlight w:val="none"/>
              </w:rPr>
            </w:pPr>
            <w:r>
              <w:rPr>
                <w:rFonts w:hint="eastAsia"/>
                <w:b/>
                <w:bCs/>
                <w:color w:val="auto"/>
                <w:kern w:val="0"/>
                <w:sz w:val="24"/>
                <w:szCs w:val="24"/>
                <w:highlight w:val="none"/>
              </w:rPr>
              <w:t>环境保护措施</w:t>
            </w:r>
          </w:p>
        </w:tc>
        <w:tc>
          <w:tcPr>
            <w:tcW w:w="1194" w:type="pct"/>
            <w:tcBorders>
              <w:top w:val="single" w:color="000000" w:sz="6" w:space="0"/>
              <w:right w:val="single" w:color="000000" w:sz="6" w:space="0"/>
            </w:tcBorders>
            <w:vAlign w:val="center"/>
          </w:tcPr>
          <w:p w14:paraId="04B44BB5">
            <w:pPr>
              <w:widowControl/>
              <w:spacing w:line="360" w:lineRule="auto"/>
              <w:jc w:val="center"/>
              <w:rPr>
                <w:b/>
                <w:bCs/>
                <w:color w:val="auto"/>
                <w:kern w:val="0"/>
                <w:sz w:val="24"/>
                <w:szCs w:val="24"/>
                <w:highlight w:val="none"/>
              </w:rPr>
            </w:pPr>
            <w:r>
              <w:rPr>
                <w:rFonts w:hint="eastAsia"/>
                <w:b/>
                <w:bCs/>
                <w:color w:val="auto"/>
                <w:kern w:val="0"/>
                <w:sz w:val="24"/>
                <w:szCs w:val="24"/>
                <w:highlight w:val="none"/>
              </w:rPr>
              <w:t>执行</w:t>
            </w:r>
            <w:r>
              <w:rPr>
                <w:b/>
                <w:bCs/>
                <w:color w:val="auto"/>
                <w:kern w:val="0"/>
                <w:sz w:val="24"/>
                <w:szCs w:val="24"/>
                <w:highlight w:val="none"/>
              </w:rPr>
              <w:t>标准</w:t>
            </w:r>
          </w:p>
        </w:tc>
      </w:tr>
      <w:tr w14:paraId="22E4F35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530" w:type="pct"/>
            <w:vMerge w:val="restart"/>
            <w:tcBorders>
              <w:left w:val="single" w:color="000000" w:sz="6" w:space="0"/>
            </w:tcBorders>
            <w:vAlign w:val="center"/>
          </w:tcPr>
          <w:p w14:paraId="72CB68E0">
            <w:pPr>
              <w:spacing w:line="360" w:lineRule="auto"/>
              <w:jc w:val="center"/>
              <w:rPr>
                <w:color w:val="auto"/>
                <w:sz w:val="24"/>
                <w:szCs w:val="24"/>
                <w:highlight w:val="none"/>
              </w:rPr>
            </w:pPr>
            <w:r>
              <w:rPr>
                <w:color w:val="auto"/>
                <w:sz w:val="24"/>
                <w:szCs w:val="24"/>
                <w:highlight w:val="none"/>
              </w:rPr>
              <w:t>大气</w:t>
            </w:r>
          </w:p>
          <w:p w14:paraId="33775FEE">
            <w:pPr>
              <w:spacing w:line="360" w:lineRule="auto"/>
              <w:jc w:val="center"/>
              <w:rPr>
                <w:color w:val="auto"/>
                <w:sz w:val="24"/>
                <w:szCs w:val="24"/>
                <w:highlight w:val="none"/>
              </w:rPr>
            </w:pPr>
            <w:r>
              <w:rPr>
                <w:color w:val="auto"/>
                <w:sz w:val="24"/>
                <w:szCs w:val="24"/>
                <w:highlight w:val="none"/>
              </w:rPr>
              <w:t>污染</w:t>
            </w:r>
          </w:p>
          <w:p w14:paraId="09F939EB">
            <w:pPr>
              <w:spacing w:line="360" w:lineRule="auto"/>
              <w:jc w:val="center"/>
              <w:rPr>
                <w:color w:val="auto"/>
                <w:kern w:val="0"/>
                <w:sz w:val="24"/>
                <w:szCs w:val="24"/>
                <w:highlight w:val="none"/>
              </w:rPr>
            </w:pPr>
            <w:r>
              <w:rPr>
                <w:color w:val="auto"/>
                <w:sz w:val="24"/>
                <w:szCs w:val="24"/>
                <w:highlight w:val="none"/>
              </w:rPr>
              <w:t>物</w:t>
            </w:r>
          </w:p>
        </w:tc>
        <w:tc>
          <w:tcPr>
            <w:tcW w:w="991" w:type="pct"/>
            <w:vAlign w:val="center"/>
          </w:tcPr>
          <w:p w14:paraId="5599972B">
            <w:pPr>
              <w:spacing w:line="360" w:lineRule="auto"/>
              <w:jc w:val="center"/>
              <w:rPr>
                <w:color w:val="auto"/>
                <w:sz w:val="24"/>
                <w:szCs w:val="24"/>
                <w:highlight w:val="none"/>
              </w:rPr>
            </w:pPr>
            <w:r>
              <w:rPr>
                <w:color w:val="auto"/>
                <w:sz w:val="24"/>
                <w:szCs w:val="24"/>
                <w:highlight w:val="none"/>
              </w:rPr>
              <w:t>厂界</w:t>
            </w:r>
          </w:p>
        </w:tc>
        <w:tc>
          <w:tcPr>
            <w:tcW w:w="871" w:type="pct"/>
            <w:vAlign w:val="center"/>
          </w:tcPr>
          <w:p w14:paraId="0B3FC065">
            <w:pPr>
              <w:spacing w:line="360" w:lineRule="auto"/>
              <w:jc w:val="center"/>
              <w:rPr>
                <w:color w:val="auto"/>
                <w:sz w:val="24"/>
                <w:szCs w:val="24"/>
                <w:highlight w:val="none"/>
              </w:rPr>
            </w:pPr>
            <w:r>
              <w:rPr>
                <w:color w:val="auto"/>
                <w:sz w:val="24"/>
                <w:szCs w:val="24"/>
                <w:highlight w:val="none"/>
              </w:rPr>
              <w:t>非甲烷总烃</w:t>
            </w:r>
          </w:p>
        </w:tc>
        <w:tc>
          <w:tcPr>
            <w:tcW w:w="1414" w:type="pct"/>
            <w:vAlign w:val="center"/>
          </w:tcPr>
          <w:p w14:paraId="26278843">
            <w:pPr>
              <w:spacing w:line="360" w:lineRule="auto"/>
              <w:jc w:val="center"/>
              <w:rPr>
                <w:bCs/>
                <w:color w:val="auto"/>
                <w:sz w:val="24"/>
                <w:szCs w:val="24"/>
                <w:highlight w:val="none"/>
              </w:rPr>
            </w:pPr>
            <w:r>
              <w:rPr>
                <w:bCs/>
                <w:color w:val="auto"/>
                <w:sz w:val="24"/>
                <w:szCs w:val="24"/>
                <w:highlight w:val="none"/>
              </w:rPr>
              <w:t>设备密封</w:t>
            </w:r>
            <w:r>
              <w:rPr>
                <w:rFonts w:hint="eastAsia"/>
                <w:bCs/>
                <w:color w:val="auto"/>
                <w:sz w:val="24"/>
                <w:szCs w:val="24"/>
                <w:highlight w:val="none"/>
              </w:rPr>
              <w:t>+气相平衡</w:t>
            </w:r>
          </w:p>
        </w:tc>
        <w:tc>
          <w:tcPr>
            <w:tcW w:w="1194" w:type="pct"/>
            <w:tcBorders>
              <w:right w:val="single" w:color="000000" w:sz="6" w:space="0"/>
            </w:tcBorders>
            <w:vAlign w:val="center"/>
          </w:tcPr>
          <w:p w14:paraId="4CCDCE3F">
            <w:pPr>
              <w:spacing w:line="360" w:lineRule="auto"/>
              <w:jc w:val="center"/>
              <w:rPr>
                <w:color w:val="auto"/>
                <w:kern w:val="0"/>
                <w:sz w:val="24"/>
                <w:szCs w:val="24"/>
                <w:highlight w:val="none"/>
              </w:rPr>
            </w:pPr>
            <w:r>
              <w:rPr>
                <w:color w:val="auto"/>
                <w:kern w:val="0"/>
                <w:sz w:val="24"/>
                <w:szCs w:val="24"/>
                <w:highlight w:val="none"/>
              </w:rPr>
              <w:t>《大气污染物综合排放标准》（</w:t>
            </w:r>
            <w:r>
              <w:rPr>
                <w:rFonts w:hint="eastAsia"/>
                <w:color w:val="auto"/>
                <w:kern w:val="0"/>
                <w:sz w:val="24"/>
                <w:szCs w:val="24"/>
                <w:highlight w:val="none"/>
              </w:rPr>
              <w:t>GB16297-1996</w:t>
            </w:r>
            <w:r>
              <w:rPr>
                <w:color w:val="auto"/>
                <w:kern w:val="0"/>
                <w:sz w:val="24"/>
                <w:szCs w:val="24"/>
                <w:highlight w:val="none"/>
              </w:rPr>
              <w:t>）</w:t>
            </w:r>
          </w:p>
        </w:tc>
      </w:tr>
      <w:tr w14:paraId="35AD47B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0" w:hRule="atLeast"/>
          <w:jc w:val="center"/>
        </w:trPr>
        <w:tc>
          <w:tcPr>
            <w:tcW w:w="530" w:type="pct"/>
            <w:vMerge w:val="continue"/>
            <w:tcBorders>
              <w:left w:val="single" w:color="000000" w:sz="6" w:space="0"/>
            </w:tcBorders>
            <w:vAlign w:val="center"/>
          </w:tcPr>
          <w:p w14:paraId="3D10DB71">
            <w:pPr>
              <w:spacing w:line="360" w:lineRule="auto"/>
              <w:jc w:val="center"/>
              <w:rPr>
                <w:color w:val="auto"/>
                <w:sz w:val="24"/>
                <w:szCs w:val="24"/>
                <w:highlight w:val="none"/>
              </w:rPr>
            </w:pPr>
          </w:p>
        </w:tc>
        <w:tc>
          <w:tcPr>
            <w:tcW w:w="991" w:type="pct"/>
            <w:vAlign w:val="center"/>
          </w:tcPr>
          <w:p w14:paraId="7709888E">
            <w:pPr>
              <w:spacing w:line="360" w:lineRule="auto"/>
              <w:jc w:val="center"/>
              <w:rPr>
                <w:color w:val="auto"/>
                <w:sz w:val="24"/>
                <w:szCs w:val="24"/>
                <w:highlight w:val="none"/>
              </w:rPr>
            </w:pPr>
            <w:r>
              <w:rPr>
                <w:color w:val="auto"/>
                <w:sz w:val="24"/>
                <w:szCs w:val="24"/>
                <w:highlight w:val="none"/>
              </w:rPr>
              <w:t>厂区</w:t>
            </w:r>
          </w:p>
        </w:tc>
        <w:tc>
          <w:tcPr>
            <w:tcW w:w="871" w:type="pct"/>
            <w:vAlign w:val="center"/>
          </w:tcPr>
          <w:p w14:paraId="7CF75185">
            <w:pPr>
              <w:spacing w:line="360" w:lineRule="auto"/>
              <w:jc w:val="center"/>
              <w:rPr>
                <w:color w:val="auto"/>
                <w:sz w:val="24"/>
                <w:szCs w:val="24"/>
                <w:highlight w:val="none"/>
              </w:rPr>
            </w:pPr>
            <w:r>
              <w:rPr>
                <w:color w:val="auto"/>
                <w:sz w:val="24"/>
                <w:szCs w:val="24"/>
                <w:highlight w:val="none"/>
              </w:rPr>
              <w:t>非甲烷总烃</w:t>
            </w:r>
          </w:p>
        </w:tc>
        <w:tc>
          <w:tcPr>
            <w:tcW w:w="1414" w:type="pct"/>
            <w:vAlign w:val="center"/>
          </w:tcPr>
          <w:p w14:paraId="26898C31">
            <w:pPr>
              <w:spacing w:line="360" w:lineRule="auto"/>
              <w:jc w:val="center"/>
              <w:rPr>
                <w:bCs/>
                <w:color w:val="auto"/>
                <w:sz w:val="24"/>
                <w:szCs w:val="24"/>
                <w:highlight w:val="none"/>
              </w:rPr>
            </w:pPr>
            <w:r>
              <w:rPr>
                <w:bCs/>
                <w:color w:val="auto"/>
                <w:sz w:val="24"/>
                <w:szCs w:val="24"/>
                <w:highlight w:val="none"/>
              </w:rPr>
              <w:t>设备密封</w:t>
            </w:r>
            <w:r>
              <w:rPr>
                <w:rFonts w:hint="eastAsia"/>
                <w:bCs/>
                <w:color w:val="auto"/>
                <w:sz w:val="24"/>
                <w:szCs w:val="24"/>
                <w:highlight w:val="none"/>
              </w:rPr>
              <w:t>+气相平衡</w:t>
            </w:r>
          </w:p>
        </w:tc>
        <w:tc>
          <w:tcPr>
            <w:tcW w:w="1194" w:type="pct"/>
            <w:tcBorders>
              <w:right w:val="single" w:color="000000" w:sz="6" w:space="0"/>
            </w:tcBorders>
            <w:vAlign w:val="center"/>
          </w:tcPr>
          <w:p w14:paraId="2312FF2A">
            <w:pPr>
              <w:spacing w:line="360" w:lineRule="auto"/>
              <w:jc w:val="center"/>
              <w:rPr>
                <w:color w:val="auto"/>
                <w:kern w:val="0"/>
                <w:sz w:val="24"/>
                <w:szCs w:val="24"/>
                <w:highlight w:val="none"/>
              </w:rPr>
            </w:pPr>
            <w:r>
              <w:rPr>
                <w:rFonts w:hint="eastAsia"/>
                <w:color w:val="auto"/>
                <w:spacing w:val="-2"/>
                <w:kern w:val="0"/>
                <w:sz w:val="24"/>
                <w:szCs w:val="20"/>
                <w:highlight w:val="none"/>
              </w:rPr>
              <w:t>《挥发性有机物无组织排放控制标准》（</w:t>
            </w:r>
            <w:r>
              <w:rPr>
                <w:color w:val="auto"/>
                <w:spacing w:val="-2"/>
                <w:kern w:val="0"/>
                <w:sz w:val="24"/>
                <w:szCs w:val="20"/>
                <w:highlight w:val="none"/>
              </w:rPr>
              <w:t>GB37822-2019</w:t>
            </w:r>
            <w:r>
              <w:rPr>
                <w:rFonts w:hint="eastAsia"/>
                <w:color w:val="auto"/>
                <w:spacing w:val="-2"/>
                <w:kern w:val="0"/>
                <w:sz w:val="24"/>
                <w:szCs w:val="20"/>
                <w:highlight w:val="none"/>
              </w:rPr>
              <w:t>）表</w:t>
            </w:r>
            <w:r>
              <w:rPr>
                <w:color w:val="auto"/>
                <w:spacing w:val="-2"/>
                <w:kern w:val="0"/>
                <w:sz w:val="24"/>
                <w:szCs w:val="20"/>
                <w:highlight w:val="none"/>
              </w:rPr>
              <w:t>A1</w:t>
            </w:r>
            <w:r>
              <w:rPr>
                <w:rFonts w:hint="eastAsia"/>
                <w:color w:val="auto"/>
                <w:spacing w:val="-2"/>
                <w:kern w:val="0"/>
                <w:sz w:val="24"/>
                <w:szCs w:val="20"/>
                <w:highlight w:val="none"/>
              </w:rPr>
              <w:t>特别排放限值</w:t>
            </w:r>
          </w:p>
        </w:tc>
      </w:tr>
      <w:tr w14:paraId="3C1F234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95" w:hRule="atLeast"/>
          <w:jc w:val="center"/>
        </w:trPr>
        <w:tc>
          <w:tcPr>
            <w:tcW w:w="530" w:type="pct"/>
            <w:tcBorders>
              <w:left w:val="single" w:color="000000" w:sz="6" w:space="0"/>
            </w:tcBorders>
            <w:vAlign w:val="center"/>
          </w:tcPr>
          <w:p w14:paraId="4FB15994">
            <w:pPr>
              <w:spacing w:line="360" w:lineRule="auto"/>
              <w:jc w:val="center"/>
              <w:rPr>
                <w:color w:val="auto"/>
                <w:kern w:val="0"/>
                <w:sz w:val="24"/>
                <w:szCs w:val="24"/>
                <w:highlight w:val="none"/>
              </w:rPr>
            </w:pPr>
            <w:r>
              <w:rPr>
                <w:color w:val="auto"/>
                <w:sz w:val="24"/>
                <w:szCs w:val="24"/>
                <w:highlight w:val="none"/>
              </w:rPr>
              <w:t>水污染物</w:t>
            </w:r>
          </w:p>
        </w:tc>
        <w:tc>
          <w:tcPr>
            <w:tcW w:w="991" w:type="pct"/>
            <w:vAlign w:val="center"/>
          </w:tcPr>
          <w:p w14:paraId="39B6A29B">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w:t>
            </w:r>
          </w:p>
        </w:tc>
        <w:tc>
          <w:tcPr>
            <w:tcW w:w="871" w:type="pct"/>
            <w:vAlign w:val="center"/>
          </w:tcPr>
          <w:p w14:paraId="46E1554B">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w:t>
            </w:r>
          </w:p>
        </w:tc>
        <w:tc>
          <w:tcPr>
            <w:tcW w:w="1414" w:type="pct"/>
            <w:vAlign w:val="center"/>
          </w:tcPr>
          <w:p w14:paraId="58A4FD92">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w:t>
            </w:r>
          </w:p>
        </w:tc>
        <w:tc>
          <w:tcPr>
            <w:tcW w:w="1194" w:type="pct"/>
            <w:tcBorders>
              <w:right w:val="single" w:color="000000" w:sz="6" w:space="0"/>
            </w:tcBorders>
            <w:vAlign w:val="center"/>
          </w:tcPr>
          <w:p w14:paraId="03560FBB">
            <w:pPr>
              <w:spacing w:line="360" w:lineRule="auto"/>
              <w:jc w:val="center"/>
              <w:rPr>
                <w:rFonts w:hint="default" w:hAnsi="宋体" w:eastAsia="宋体"/>
                <w:color w:val="auto"/>
                <w:sz w:val="24"/>
                <w:szCs w:val="24"/>
                <w:highlight w:val="none"/>
                <w:lang w:val="en-US" w:eastAsia="zh-CN"/>
              </w:rPr>
            </w:pPr>
            <w:r>
              <w:rPr>
                <w:rFonts w:hint="eastAsia" w:hAnsi="宋体"/>
                <w:color w:val="auto"/>
                <w:sz w:val="24"/>
                <w:szCs w:val="24"/>
                <w:highlight w:val="none"/>
                <w:lang w:val="en-US" w:eastAsia="zh-CN"/>
              </w:rPr>
              <w:t>/</w:t>
            </w:r>
          </w:p>
        </w:tc>
      </w:tr>
      <w:tr w14:paraId="52560C3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95" w:hRule="atLeast"/>
          <w:jc w:val="center"/>
        </w:trPr>
        <w:tc>
          <w:tcPr>
            <w:tcW w:w="530" w:type="pct"/>
            <w:tcBorders>
              <w:left w:val="single" w:color="000000" w:sz="6" w:space="0"/>
            </w:tcBorders>
            <w:vAlign w:val="center"/>
          </w:tcPr>
          <w:p w14:paraId="698E81AF">
            <w:pPr>
              <w:widowControl/>
              <w:spacing w:line="360" w:lineRule="auto"/>
              <w:ind w:right="105"/>
              <w:jc w:val="center"/>
              <w:rPr>
                <w:color w:val="auto"/>
                <w:kern w:val="0"/>
                <w:sz w:val="24"/>
                <w:szCs w:val="24"/>
                <w:highlight w:val="none"/>
              </w:rPr>
            </w:pPr>
            <w:r>
              <w:rPr>
                <w:color w:val="auto"/>
                <w:kern w:val="0"/>
                <w:sz w:val="24"/>
                <w:szCs w:val="24"/>
                <w:highlight w:val="none"/>
              </w:rPr>
              <w:t>声环境</w:t>
            </w:r>
          </w:p>
        </w:tc>
        <w:tc>
          <w:tcPr>
            <w:tcW w:w="991" w:type="pct"/>
            <w:vAlign w:val="center"/>
          </w:tcPr>
          <w:p w14:paraId="58843E04">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厂界四周</w:t>
            </w:r>
          </w:p>
        </w:tc>
        <w:tc>
          <w:tcPr>
            <w:tcW w:w="871" w:type="pct"/>
            <w:vAlign w:val="center"/>
          </w:tcPr>
          <w:p w14:paraId="33A34EA4">
            <w:pPr>
              <w:autoSpaceDE w:val="0"/>
              <w:autoSpaceDN w:val="0"/>
              <w:adjustRightInd w:val="0"/>
              <w:spacing w:line="360" w:lineRule="auto"/>
              <w:jc w:val="center"/>
              <w:rPr>
                <w:color w:val="auto"/>
                <w:sz w:val="24"/>
                <w:szCs w:val="24"/>
                <w:highlight w:val="none"/>
              </w:rPr>
            </w:pPr>
            <w:r>
              <w:rPr>
                <w:color w:val="auto"/>
                <w:sz w:val="24"/>
                <w:szCs w:val="24"/>
                <w:highlight w:val="none"/>
              </w:rPr>
              <w:t>噪声</w:t>
            </w:r>
          </w:p>
        </w:tc>
        <w:tc>
          <w:tcPr>
            <w:tcW w:w="1414" w:type="pct"/>
            <w:vAlign w:val="center"/>
          </w:tcPr>
          <w:p w14:paraId="4AC9B337">
            <w:pPr>
              <w:spacing w:line="360" w:lineRule="auto"/>
              <w:jc w:val="center"/>
              <w:rPr>
                <w:color w:val="auto"/>
                <w:sz w:val="24"/>
                <w:szCs w:val="24"/>
                <w:highlight w:val="none"/>
              </w:rPr>
            </w:pPr>
            <w:r>
              <w:rPr>
                <w:rFonts w:hint="eastAsia"/>
                <w:color w:val="auto"/>
                <w:sz w:val="24"/>
                <w:szCs w:val="24"/>
                <w:highlight w:val="none"/>
              </w:rPr>
              <w:t>减振垫等</w:t>
            </w:r>
          </w:p>
        </w:tc>
        <w:tc>
          <w:tcPr>
            <w:tcW w:w="1194" w:type="pct"/>
            <w:tcBorders>
              <w:right w:val="single" w:color="000000" w:sz="6" w:space="0"/>
            </w:tcBorders>
            <w:vAlign w:val="center"/>
          </w:tcPr>
          <w:p w14:paraId="00F12587">
            <w:pPr>
              <w:pStyle w:val="52"/>
              <w:spacing w:line="360" w:lineRule="auto"/>
              <w:jc w:val="center"/>
              <w:rPr>
                <w:rFonts w:hAnsi="宋体"/>
                <w:color w:val="auto"/>
                <w:kern w:val="2"/>
                <w:highlight w:val="none"/>
              </w:rPr>
            </w:pPr>
            <w:r>
              <w:rPr>
                <w:rFonts w:hint="eastAsia" w:hAnsi="宋体"/>
                <w:color w:val="auto"/>
                <w:kern w:val="2"/>
                <w:highlight w:val="none"/>
              </w:rPr>
              <w:t>符合《工业企业厂界环境噪声排放标准》（</w:t>
            </w:r>
            <w:r>
              <w:rPr>
                <w:rFonts w:hAnsi="宋体"/>
                <w:color w:val="auto"/>
                <w:kern w:val="2"/>
                <w:highlight w:val="none"/>
              </w:rPr>
              <w:t>GB12348-2008</w:t>
            </w:r>
            <w:r>
              <w:rPr>
                <w:rFonts w:hint="eastAsia" w:hAnsi="宋体"/>
                <w:color w:val="auto"/>
                <w:kern w:val="2"/>
                <w:highlight w:val="none"/>
              </w:rPr>
              <w:t>）3类标准要求</w:t>
            </w:r>
          </w:p>
        </w:tc>
      </w:tr>
      <w:tr w14:paraId="3A79668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530" w:type="pct"/>
            <w:tcBorders>
              <w:left w:val="single" w:color="000000" w:sz="6" w:space="0"/>
            </w:tcBorders>
            <w:vAlign w:val="center"/>
          </w:tcPr>
          <w:p w14:paraId="45D1755B">
            <w:pPr>
              <w:widowControl/>
              <w:spacing w:line="360" w:lineRule="auto"/>
              <w:jc w:val="center"/>
              <w:rPr>
                <w:color w:val="auto"/>
                <w:kern w:val="0"/>
                <w:sz w:val="24"/>
                <w:szCs w:val="24"/>
                <w:highlight w:val="none"/>
              </w:rPr>
            </w:pPr>
            <w:r>
              <w:rPr>
                <w:rFonts w:hint="eastAsia"/>
                <w:color w:val="auto"/>
                <w:kern w:val="0"/>
                <w:sz w:val="24"/>
                <w:szCs w:val="24"/>
                <w:highlight w:val="none"/>
              </w:rPr>
              <w:t>电磁</w:t>
            </w:r>
            <w:r>
              <w:rPr>
                <w:color w:val="auto"/>
                <w:kern w:val="0"/>
                <w:sz w:val="24"/>
                <w:szCs w:val="24"/>
                <w:highlight w:val="none"/>
              </w:rPr>
              <w:t>辐射</w:t>
            </w:r>
          </w:p>
        </w:tc>
        <w:tc>
          <w:tcPr>
            <w:tcW w:w="4470" w:type="pct"/>
            <w:gridSpan w:val="4"/>
            <w:tcBorders>
              <w:right w:val="single" w:color="000000" w:sz="6" w:space="0"/>
            </w:tcBorders>
            <w:vAlign w:val="center"/>
          </w:tcPr>
          <w:p w14:paraId="26D2EDC6">
            <w:pPr>
              <w:spacing w:line="360" w:lineRule="auto"/>
              <w:jc w:val="center"/>
              <w:rPr>
                <w:color w:val="auto"/>
                <w:kern w:val="0"/>
                <w:sz w:val="24"/>
                <w:szCs w:val="24"/>
                <w:highlight w:val="none"/>
              </w:rPr>
            </w:pPr>
            <w:r>
              <w:rPr>
                <w:color w:val="auto"/>
                <w:kern w:val="0"/>
                <w:sz w:val="24"/>
                <w:szCs w:val="24"/>
                <w:highlight w:val="none"/>
              </w:rPr>
              <w:t>项目不涉及电磁辐射</w:t>
            </w:r>
          </w:p>
        </w:tc>
      </w:tr>
      <w:tr w14:paraId="66E08F4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411" w:hRule="atLeast"/>
          <w:jc w:val="center"/>
        </w:trPr>
        <w:tc>
          <w:tcPr>
            <w:tcW w:w="530" w:type="pct"/>
            <w:tcBorders>
              <w:left w:val="single" w:color="000000" w:sz="6" w:space="0"/>
            </w:tcBorders>
            <w:vAlign w:val="center"/>
          </w:tcPr>
          <w:p w14:paraId="47D4C43E">
            <w:pPr>
              <w:widowControl/>
              <w:spacing w:line="360" w:lineRule="auto"/>
              <w:jc w:val="center"/>
              <w:rPr>
                <w:color w:val="auto"/>
                <w:kern w:val="0"/>
                <w:sz w:val="24"/>
                <w:szCs w:val="24"/>
                <w:highlight w:val="none"/>
              </w:rPr>
            </w:pPr>
            <w:r>
              <w:rPr>
                <w:rFonts w:hint="eastAsia"/>
                <w:color w:val="auto"/>
                <w:kern w:val="0"/>
                <w:sz w:val="24"/>
                <w:szCs w:val="24"/>
                <w:highlight w:val="none"/>
              </w:rPr>
              <w:t>固体</w:t>
            </w:r>
            <w:r>
              <w:rPr>
                <w:color w:val="auto"/>
                <w:kern w:val="0"/>
                <w:sz w:val="24"/>
                <w:szCs w:val="24"/>
                <w:highlight w:val="none"/>
              </w:rPr>
              <w:t>废物</w:t>
            </w:r>
          </w:p>
        </w:tc>
        <w:tc>
          <w:tcPr>
            <w:tcW w:w="4470" w:type="pct"/>
            <w:gridSpan w:val="4"/>
            <w:tcBorders>
              <w:right w:val="single" w:color="000000" w:sz="6" w:space="0"/>
            </w:tcBorders>
            <w:vAlign w:val="center"/>
          </w:tcPr>
          <w:p w14:paraId="64EEB311">
            <w:pPr>
              <w:pStyle w:val="52"/>
              <w:spacing w:line="360" w:lineRule="auto"/>
              <w:rPr>
                <w:color w:val="auto"/>
                <w:highlight w:val="none"/>
              </w:rPr>
            </w:pPr>
            <w:r>
              <w:rPr>
                <w:rFonts w:hint="eastAsia"/>
                <w:color w:val="auto"/>
                <w:highlight w:val="none"/>
              </w:rPr>
              <w:t>本项目员工</w:t>
            </w:r>
            <w:r>
              <w:rPr>
                <w:rFonts w:hint="eastAsia" w:hAnsi="宋体"/>
                <w:color w:val="auto"/>
                <w:highlight w:val="none"/>
              </w:rPr>
              <w:t>生活垃圾由环卫部门定期清运。</w:t>
            </w:r>
          </w:p>
        </w:tc>
      </w:tr>
      <w:tr w14:paraId="7BE56D9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75" w:hRule="atLeast"/>
          <w:jc w:val="center"/>
        </w:trPr>
        <w:tc>
          <w:tcPr>
            <w:tcW w:w="530" w:type="pct"/>
            <w:tcBorders>
              <w:left w:val="single" w:color="000000" w:sz="6" w:space="0"/>
            </w:tcBorders>
            <w:vAlign w:val="center"/>
          </w:tcPr>
          <w:p w14:paraId="53A302BA">
            <w:pPr>
              <w:widowControl/>
              <w:spacing w:line="360" w:lineRule="auto"/>
              <w:jc w:val="center"/>
              <w:rPr>
                <w:color w:val="auto"/>
                <w:kern w:val="0"/>
                <w:sz w:val="24"/>
                <w:szCs w:val="24"/>
                <w:highlight w:val="none"/>
              </w:rPr>
            </w:pPr>
            <w:r>
              <w:rPr>
                <w:rFonts w:hint="eastAsia"/>
                <w:color w:val="auto"/>
                <w:kern w:val="0"/>
                <w:sz w:val="24"/>
                <w:szCs w:val="24"/>
                <w:highlight w:val="none"/>
              </w:rPr>
              <w:t>土壤及地下水防治措施</w:t>
            </w:r>
          </w:p>
        </w:tc>
        <w:tc>
          <w:tcPr>
            <w:tcW w:w="4470" w:type="pct"/>
            <w:gridSpan w:val="4"/>
            <w:tcBorders>
              <w:right w:val="single" w:color="000000" w:sz="6" w:space="0"/>
            </w:tcBorders>
            <w:vAlign w:val="center"/>
          </w:tcPr>
          <w:p w14:paraId="66C51081">
            <w:pPr>
              <w:spacing w:line="360" w:lineRule="auto"/>
              <w:jc w:val="left"/>
              <w:rPr>
                <w:rFonts w:hAnsi="宋体"/>
                <w:color w:val="auto"/>
                <w:sz w:val="24"/>
                <w:szCs w:val="24"/>
                <w:highlight w:val="none"/>
              </w:rPr>
            </w:pPr>
            <w:r>
              <w:rPr>
                <w:rFonts w:hint="eastAsia" w:hAnsi="宋体"/>
                <w:color w:val="auto"/>
                <w:sz w:val="24"/>
                <w:szCs w:val="24"/>
                <w:highlight w:val="none"/>
              </w:rPr>
              <w:t>重点防渗区：主要为</w:t>
            </w:r>
            <w:r>
              <w:rPr>
                <w:rFonts w:hint="eastAsia"/>
                <w:color w:val="auto"/>
                <w:sz w:val="24"/>
                <w:highlight w:val="none"/>
              </w:rPr>
              <w:t>低温储罐区</w:t>
            </w:r>
            <w:r>
              <w:rPr>
                <w:rFonts w:hint="eastAsia" w:hAnsi="宋体"/>
                <w:color w:val="auto"/>
                <w:sz w:val="24"/>
                <w:szCs w:val="24"/>
                <w:highlight w:val="none"/>
              </w:rPr>
              <w:t>。</w:t>
            </w:r>
          </w:p>
          <w:p w14:paraId="7CD6D317">
            <w:pPr>
              <w:spacing w:line="360" w:lineRule="auto"/>
              <w:jc w:val="left"/>
              <w:rPr>
                <w:rFonts w:hAnsi="宋体"/>
                <w:color w:val="auto"/>
                <w:sz w:val="24"/>
                <w:szCs w:val="24"/>
                <w:highlight w:val="none"/>
              </w:rPr>
            </w:pPr>
            <w:r>
              <w:rPr>
                <w:rFonts w:hint="eastAsia" w:hAnsi="宋体"/>
                <w:color w:val="auto"/>
                <w:sz w:val="24"/>
                <w:szCs w:val="24"/>
                <w:highlight w:val="none"/>
              </w:rPr>
              <w:t>重点防渗区的防渗技术要求：等效黏土防渗层</w:t>
            </w:r>
            <w:r>
              <w:rPr>
                <w:color w:val="auto"/>
                <w:sz w:val="24"/>
                <w:szCs w:val="24"/>
                <w:highlight w:val="none"/>
              </w:rPr>
              <w:t>Mb≥6.0m</w:t>
            </w:r>
            <w:r>
              <w:rPr>
                <w:rFonts w:hint="eastAsia" w:hAnsi="宋体"/>
                <w:color w:val="auto"/>
                <w:sz w:val="24"/>
                <w:szCs w:val="24"/>
                <w:highlight w:val="none"/>
              </w:rPr>
              <w:t>，</w:t>
            </w:r>
            <w:r>
              <w:rPr>
                <w:color w:val="auto"/>
                <w:sz w:val="24"/>
                <w:szCs w:val="24"/>
                <w:highlight w:val="none"/>
              </w:rPr>
              <w:t>K≤10</w:t>
            </w:r>
            <w:r>
              <w:rPr>
                <w:color w:val="auto"/>
                <w:sz w:val="24"/>
                <w:szCs w:val="24"/>
                <w:highlight w:val="none"/>
                <w:vertAlign w:val="superscript"/>
              </w:rPr>
              <w:t>-7</w:t>
            </w:r>
            <w:r>
              <w:rPr>
                <w:color w:val="auto"/>
                <w:sz w:val="24"/>
                <w:szCs w:val="24"/>
                <w:highlight w:val="none"/>
              </w:rPr>
              <w:t>cm/s或者参照GB18598</w:t>
            </w:r>
            <w:r>
              <w:rPr>
                <w:rFonts w:hint="eastAsia" w:hAnsi="宋体"/>
                <w:color w:val="auto"/>
                <w:sz w:val="24"/>
                <w:szCs w:val="24"/>
                <w:highlight w:val="none"/>
              </w:rPr>
              <w:t>。</w:t>
            </w:r>
          </w:p>
          <w:p w14:paraId="424BC536">
            <w:pPr>
              <w:spacing w:line="360" w:lineRule="auto"/>
              <w:jc w:val="left"/>
              <w:rPr>
                <w:rFonts w:hAnsi="宋体"/>
                <w:color w:val="auto"/>
                <w:sz w:val="24"/>
                <w:szCs w:val="24"/>
                <w:highlight w:val="none"/>
              </w:rPr>
            </w:pPr>
            <w:r>
              <w:rPr>
                <w:rFonts w:hint="eastAsia" w:hAnsi="宋体"/>
                <w:color w:val="auto"/>
                <w:sz w:val="24"/>
                <w:szCs w:val="24"/>
                <w:highlight w:val="none"/>
              </w:rPr>
              <w:t>本</w:t>
            </w:r>
            <w:r>
              <w:rPr>
                <w:rFonts w:hint="eastAsia" w:hAnsi="宋体"/>
                <w:color w:val="auto"/>
                <w:sz w:val="24"/>
                <w:szCs w:val="24"/>
                <w:highlight w:val="none"/>
                <w:lang w:val="en-US" w:eastAsia="zh-CN"/>
              </w:rPr>
              <w:t>次改建项目</w:t>
            </w:r>
            <w:r>
              <w:rPr>
                <w:rFonts w:hint="eastAsia" w:hAnsi="宋体"/>
                <w:color w:val="auto"/>
                <w:sz w:val="24"/>
                <w:szCs w:val="24"/>
                <w:highlight w:val="none"/>
              </w:rPr>
              <w:t>重点防渗区采取防渗措施：采取1</w:t>
            </w:r>
            <w:r>
              <w:rPr>
                <w:rFonts w:hAnsi="宋体"/>
                <w:color w:val="auto"/>
                <w:sz w:val="24"/>
                <w:szCs w:val="24"/>
                <w:highlight w:val="none"/>
              </w:rPr>
              <w:t>5</w:t>
            </w:r>
            <w:r>
              <w:rPr>
                <w:rFonts w:hint="eastAsia" w:hAnsi="宋体"/>
                <w:color w:val="auto"/>
                <w:sz w:val="24"/>
                <w:szCs w:val="24"/>
                <w:highlight w:val="none"/>
              </w:rPr>
              <w:t>cm抗渗混凝土+</w:t>
            </w:r>
            <w:r>
              <w:rPr>
                <w:rFonts w:hAnsi="宋体"/>
                <w:color w:val="auto"/>
                <w:sz w:val="24"/>
                <w:szCs w:val="24"/>
                <w:highlight w:val="none"/>
              </w:rPr>
              <w:t>2</w:t>
            </w:r>
            <w:r>
              <w:rPr>
                <w:rFonts w:hint="eastAsia" w:hAnsi="宋体"/>
                <w:color w:val="auto"/>
                <w:sz w:val="24"/>
                <w:szCs w:val="24"/>
                <w:highlight w:val="none"/>
              </w:rPr>
              <w:t>mm厚H</w:t>
            </w:r>
            <w:r>
              <w:rPr>
                <w:rFonts w:hAnsi="宋体"/>
                <w:color w:val="auto"/>
                <w:sz w:val="24"/>
                <w:szCs w:val="24"/>
                <w:highlight w:val="none"/>
              </w:rPr>
              <w:t>DPE</w:t>
            </w:r>
            <w:r>
              <w:rPr>
                <w:rFonts w:hint="eastAsia" w:hAnsi="宋体"/>
                <w:color w:val="auto"/>
                <w:sz w:val="24"/>
                <w:szCs w:val="24"/>
                <w:highlight w:val="none"/>
              </w:rPr>
              <w:t>膜或其他等效材料。</w:t>
            </w:r>
          </w:p>
          <w:p w14:paraId="6F063586">
            <w:pPr>
              <w:spacing w:line="360" w:lineRule="auto"/>
              <w:jc w:val="left"/>
              <w:rPr>
                <w:rFonts w:hAnsi="宋体"/>
                <w:color w:val="auto"/>
                <w:kern w:val="0"/>
                <w:sz w:val="24"/>
                <w:szCs w:val="24"/>
                <w:highlight w:val="none"/>
              </w:rPr>
            </w:pPr>
            <w:r>
              <w:rPr>
                <w:rFonts w:hint="eastAsia" w:hAnsi="宋体"/>
                <w:color w:val="auto"/>
                <w:kern w:val="0"/>
                <w:sz w:val="24"/>
                <w:szCs w:val="24"/>
                <w:highlight w:val="none"/>
              </w:rPr>
              <w:t>一般防渗区：</w:t>
            </w:r>
            <w:r>
              <w:rPr>
                <w:color w:val="auto"/>
                <w:sz w:val="24"/>
                <w:szCs w:val="24"/>
                <w:highlight w:val="none"/>
                <w:lang w:val="zh-CN"/>
              </w:rPr>
              <w:t>除重点防渗区以外的其他区域</w:t>
            </w:r>
            <w:r>
              <w:rPr>
                <w:rFonts w:hint="eastAsia" w:hAnsi="宋体"/>
                <w:color w:val="auto"/>
                <w:kern w:val="0"/>
                <w:sz w:val="24"/>
                <w:szCs w:val="24"/>
                <w:highlight w:val="none"/>
              </w:rPr>
              <w:t>均设为一般防渗区。</w:t>
            </w:r>
          </w:p>
          <w:p w14:paraId="2CA2F410">
            <w:pPr>
              <w:spacing w:line="360" w:lineRule="auto"/>
              <w:jc w:val="left"/>
              <w:rPr>
                <w:rFonts w:hAnsi="宋体"/>
                <w:color w:val="auto"/>
                <w:kern w:val="0"/>
                <w:sz w:val="24"/>
                <w:szCs w:val="24"/>
                <w:highlight w:val="none"/>
              </w:rPr>
            </w:pPr>
            <w:r>
              <w:rPr>
                <w:rFonts w:hint="eastAsia" w:hAnsi="宋体"/>
                <w:color w:val="auto"/>
                <w:kern w:val="0"/>
                <w:sz w:val="24"/>
                <w:szCs w:val="24"/>
                <w:highlight w:val="none"/>
              </w:rPr>
              <w:t>一般防渗区的防渗技术要求：等效黏土防渗层</w:t>
            </w:r>
            <w:r>
              <w:rPr>
                <w:color w:val="auto"/>
                <w:kern w:val="0"/>
                <w:sz w:val="24"/>
                <w:szCs w:val="24"/>
                <w:highlight w:val="none"/>
              </w:rPr>
              <w:t>Mb≥1.5m</w:t>
            </w:r>
            <w:r>
              <w:rPr>
                <w:rFonts w:hint="eastAsia" w:hAnsi="宋体"/>
                <w:color w:val="auto"/>
                <w:kern w:val="0"/>
                <w:sz w:val="24"/>
                <w:szCs w:val="24"/>
                <w:highlight w:val="none"/>
              </w:rPr>
              <w:t>，</w:t>
            </w:r>
            <w:r>
              <w:rPr>
                <w:color w:val="auto"/>
                <w:kern w:val="0"/>
                <w:sz w:val="24"/>
                <w:szCs w:val="24"/>
                <w:highlight w:val="none"/>
              </w:rPr>
              <w:t>K≤10</w:t>
            </w:r>
            <w:r>
              <w:rPr>
                <w:color w:val="auto"/>
                <w:kern w:val="0"/>
                <w:sz w:val="24"/>
                <w:szCs w:val="24"/>
                <w:highlight w:val="none"/>
                <w:vertAlign w:val="superscript"/>
              </w:rPr>
              <w:t>-7</w:t>
            </w:r>
            <w:r>
              <w:rPr>
                <w:color w:val="auto"/>
                <w:kern w:val="0"/>
                <w:sz w:val="24"/>
                <w:szCs w:val="24"/>
                <w:highlight w:val="none"/>
              </w:rPr>
              <w:t>cm/s或参照</w:t>
            </w:r>
            <w:r>
              <w:rPr>
                <w:color w:val="auto"/>
                <w:sz w:val="24"/>
                <w:szCs w:val="24"/>
                <w:highlight w:val="none"/>
              </w:rPr>
              <w:t>GB18598</w:t>
            </w:r>
            <w:r>
              <w:rPr>
                <w:rFonts w:hint="eastAsia" w:hAnsi="宋体"/>
                <w:color w:val="auto"/>
                <w:kern w:val="0"/>
                <w:sz w:val="24"/>
                <w:szCs w:val="24"/>
                <w:highlight w:val="none"/>
              </w:rPr>
              <w:t>。</w:t>
            </w:r>
          </w:p>
          <w:p w14:paraId="54E7408D">
            <w:pPr>
              <w:spacing w:line="360" w:lineRule="auto"/>
              <w:jc w:val="left"/>
              <w:rPr>
                <w:color w:val="auto"/>
                <w:sz w:val="24"/>
                <w:szCs w:val="24"/>
                <w:highlight w:val="none"/>
              </w:rPr>
            </w:pPr>
            <w:r>
              <w:rPr>
                <w:rFonts w:hint="eastAsia" w:hAnsi="宋体"/>
                <w:color w:val="auto"/>
                <w:kern w:val="0"/>
                <w:sz w:val="24"/>
                <w:szCs w:val="24"/>
                <w:highlight w:val="none"/>
              </w:rPr>
              <w:t>本</w:t>
            </w:r>
            <w:r>
              <w:rPr>
                <w:rFonts w:hint="eastAsia" w:hAnsi="宋体"/>
                <w:color w:val="auto"/>
                <w:kern w:val="0"/>
                <w:sz w:val="24"/>
                <w:szCs w:val="24"/>
                <w:highlight w:val="none"/>
                <w:lang w:val="en-US" w:eastAsia="zh-CN"/>
              </w:rPr>
              <w:t>次改建项目</w:t>
            </w:r>
            <w:r>
              <w:rPr>
                <w:rFonts w:hint="eastAsia" w:hAnsi="宋体"/>
                <w:color w:val="auto"/>
                <w:kern w:val="0"/>
                <w:sz w:val="24"/>
                <w:szCs w:val="24"/>
                <w:highlight w:val="none"/>
              </w:rPr>
              <w:t>一般防渗区</w:t>
            </w:r>
            <w:r>
              <w:rPr>
                <w:rFonts w:hint="eastAsia" w:hAnsi="宋体"/>
                <w:color w:val="auto"/>
                <w:sz w:val="24"/>
                <w:szCs w:val="24"/>
                <w:highlight w:val="none"/>
              </w:rPr>
              <w:t>采取防渗措施：</w:t>
            </w:r>
            <w:r>
              <w:rPr>
                <w:rFonts w:hint="eastAsia" w:hAnsi="宋体"/>
                <w:color w:val="auto"/>
                <w:kern w:val="0"/>
                <w:sz w:val="24"/>
                <w:szCs w:val="24"/>
                <w:highlight w:val="none"/>
              </w:rPr>
              <w:t>采取1</w:t>
            </w:r>
            <w:r>
              <w:rPr>
                <w:rFonts w:hAnsi="宋体"/>
                <w:color w:val="auto"/>
                <w:kern w:val="0"/>
                <w:sz w:val="24"/>
                <w:szCs w:val="24"/>
                <w:highlight w:val="none"/>
              </w:rPr>
              <w:t>5</w:t>
            </w:r>
            <w:r>
              <w:rPr>
                <w:rFonts w:hint="eastAsia" w:hAnsi="宋体"/>
                <w:color w:val="auto"/>
                <w:kern w:val="0"/>
                <w:sz w:val="24"/>
                <w:szCs w:val="24"/>
                <w:highlight w:val="none"/>
              </w:rPr>
              <w:t>cm抗渗混凝土。</w:t>
            </w:r>
          </w:p>
        </w:tc>
      </w:tr>
      <w:tr w14:paraId="019C207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75" w:hRule="atLeast"/>
          <w:jc w:val="center"/>
        </w:trPr>
        <w:tc>
          <w:tcPr>
            <w:tcW w:w="530" w:type="pct"/>
            <w:tcBorders>
              <w:left w:val="single" w:color="000000" w:sz="6" w:space="0"/>
            </w:tcBorders>
            <w:vAlign w:val="center"/>
          </w:tcPr>
          <w:p w14:paraId="490F4A4C">
            <w:pPr>
              <w:widowControl/>
              <w:spacing w:line="360" w:lineRule="auto"/>
              <w:jc w:val="center"/>
              <w:rPr>
                <w:color w:val="auto"/>
                <w:kern w:val="0"/>
                <w:sz w:val="24"/>
                <w:szCs w:val="24"/>
                <w:highlight w:val="none"/>
              </w:rPr>
            </w:pPr>
            <w:r>
              <w:rPr>
                <w:rFonts w:hint="eastAsia"/>
                <w:color w:val="auto"/>
                <w:kern w:val="0"/>
                <w:sz w:val="24"/>
                <w:szCs w:val="24"/>
                <w:highlight w:val="none"/>
              </w:rPr>
              <w:t>生态保护措施</w:t>
            </w:r>
          </w:p>
        </w:tc>
        <w:tc>
          <w:tcPr>
            <w:tcW w:w="4470" w:type="pct"/>
            <w:gridSpan w:val="4"/>
            <w:tcBorders>
              <w:right w:val="single" w:color="000000" w:sz="6" w:space="0"/>
            </w:tcBorders>
            <w:vAlign w:val="center"/>
          </w:tcPr>
          <w:p w14:paraId="69AE5505">
            <w:pPr>
              <w:widowControl/>
              <w:spacing w:line="360" w:lineRule="auto"/>
              <w:jc w:val="left"/>
              <w:rPr>
                <w:rFonts w:hint="eastAsia" w:eastAsia="宋体"/>
                <w:color w:val="auto"/>
                <w:sz w:val="24"/>
                <w:szCs w:val="24"/>
                <w:highlight w:val="none"/>
                <w:lang w:eastAsia="zh-CN"/>
              </w:rPr>
            </w:pPr>
            <w:r>
              <w:rPr>
                <w:rFonts w:hint="eastAsia"/>
                <w:color w:val="auto"/>
                <w:sz w:val="24"/>
                <w:szCs w:val="24"/>
                <w:highlight w:val="none"/>
              </w:rPr>
              <w:t>本项目所处区域无自然保护区、风景名胜区、饮用水水源保护区和其他需要特别保护的区域等等，不属于生态保护红线管控的区域</w:t>
            </w:r>
            <w:r>
              <w:rPr>
                <w:rFonts w:hint="eastAsia"/>
                <w:color w:val="auto"/>
                <w:sz w:val="24"/>
                <w:szCs w:val="24"/>
                <w:highlight w:val="none"/>
                <w:lang w:eastAsia="zh-CN"/>
              </w:rPr>
              <w:t>。</w:t>
            </w:r>
          </w:p>
        </w:tc>
      </w:tr>
      <w:tr w14:paraId="17D55F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2254" w:hRule="atLeast"/>
          <w:jc w:val="center"/>
        </w:trPr>
        <w:tc>
          <w:tcPr>
            <w:tcW w:w="530" w:type="pct"/>
            <w:tcBorders>
              <w:left w:val="single" w:color="000000" w:sz="6" w:space="0"/>
            </w:tcBorders>
            <w:vAlign w:val="center"/>
          </w:tcPr>
          <w:p w14:paraId="4CD7DFE5">
            <w:pPr>
              <w:widowControl/>
              <w:spacing w:line="360" w:lineRule="auto"/>
              <w:jc w:val="center"/>
              <w:rPr>
                <w:color w:val="auto"/>
                <w:kern w:val="0"/>
                <w:sz w:val="24"/>
                <w:szCs w:val="24"/>
                <w:highlight w:val="none"/>
              </w:rPr>
            </w:pPr>
            <w:r>
              <w:rPr>
                <w:rFonts w:hint="eastAsia"/>
                <w:color w:val="auto"/>
                <w:kern w:val="0"/>
                <w:sz w:val="24"/>
                <w:szCs w:val="24"/>
                <w:highlight w:val="none"/>
              </w:rPr>
              <w:t>环境风险防范</w:t>
            </w:r>
          </w:p>
        </w:tc>
        <w:tc>
          <w:tcPr>
            <w:tcW w:w="4470" w:type="pct"/>
            <w:gridSpan w:val="4"/>
            <w:tcBorders>
              <w:right w:val="single" w:color="000000" w:sz="6" w:space="0"/>
            </w:tcBorders>
          </w:tcPr>
          <w:p w14:paraId="675A1172">
            <w:pPr>
              <w:pStyle w:val="52"/>
              <w:numPr>
                <w:ilvl w:val="0"/>
                <w:numId w:val="0"/>
              </w:numPr>
              <w:adjustRightInd/>
              <w:spacing w:line="360" w:lineRule="auto"/>
              <w:rPr>
                <w:rFonts w:hint="eastAsia" w:eastAsia="宋体"/>
                <w:color w:val="auto"/>
                <w:highlight w:val="none"/>
                <w:lang w:val="en-US" w:eastAsia="zh-CN"/>
              </w:rPr>
            </w:pPr>
            <w:r>
              <w:rPr>
                <w:rFonts w:hint="eastAsia"/>
                <w:color w:val="auto"/>
                <w:highlight w:val="none"/>
                <w:lang w:val="en-US" w:eastAsia="zh-CN"/>
              </w:rPr>
              <w:t>1.依托现有</w:t>
            </w:r>
            <w:r>
              <w:rPr>
                <w:rFonts w:hint="eastAsia"/>
                <w:color w:val="auto"/>
                <w:highlight w:val="none"/>
              </w:rPr>
              <w:t>充装间已设置6个可燃气体检测器、2个声光报警器</w:t>
            </w:r>
            <w:r>
              <w:rPr>
                <w:rFonts w:hint="eastAsia"/>
                <w:color w:val="auto"/>
                <w:highlight w:val="none"/>
                <w:lang w:eastAsia="zh-CN"/>
              </w:rPr>
              <w:t>，</w:t>
            </w:r>
            <w:r>
              <w:rPr>
                <w:rFonts w:hint="eastAsia"/>
                <w:color w:val="auto"/>
                <w:highlight w:val="none"/>
                <w:lang w:val="en-US" w:eastAsia="zh-CN"/>
              </w:rPr>
              <w:t>本次新增的丙烷充装汇流排、丁烷充装汇流排各设置1个可燃气体检测器（含声光报警器）</w:t>
            </w:r>
            <w:r>
              <w:rPr>
                <w:rFonts w:hint="eastAsia"/>
                <w:color w:val="auto"/>
                <w:highlight w:val="none"/>
                <w:lang w:eastAsia="zh-CN"/>
              </w:rPr>
              <w:t>；</w:t>
            </w:r>
            <w:r>
              <w:rPr>
                <w:rFonts w:hint="eastAsia"/>
                <w:color w:val="auto"/>
                <w:highlight w:val="none"/>
                <w:lang w:val="en-US" w:eastAsia="zh-CN"/>
              </w:rPr>
              <w:t>依托现有低温乙烯泵及气化器区域已设置的1个可燃气体检测器；依托低温乙烯卸车鹤管已设置的1个可燃气体检测器；依托甲类仓库已设置2个可燃气体检测器、1个声光报警器；依托</w:t>
            </w:r>
            <w:r>
              <w:rPr>
                <w:rFonts w:hint="eastAsia" w:ascii="Times New Roman" w:hAnsi="Times New Roman"/>
                <w:bCs/>
                <w:color w:val="auto"/>
                <w:szCs w:val="21"/>
                <w:highlight w:val="none"/>
              </w:rPr>
              <w:t>装卸平台已布设</w:t>
            </w:r>
            <w:r>
              <w:rPr>
                <w:rFonts w:hint="eastAsia" w:ascii="Times New Roman" w:hAnsi="Times New Roman"/>
                <w:bCs/>
                <w:color w:val="auto"/>
                <w:szCs w:val="21"/>
                <w:highlight w:val="none"/>
                <w:lang w:val="en-US" w:eastAsia="zh-CN"/>
              </w:rPr>
              <w:t>的</w:t>
            </w:r>
            <w:r>
              <w:rPr>
                <w:rFonts w:hint="eastAsia" w:ascii="Times New Roman" w:hAnsi="Times New Roman"/>
                <w:bCs/>
                <w:color w:val="auto"/>
                <w:szCs w:val="21"/>
                <w:highlight w:val="none"/>
              </w:rPr>
              <w:t>2个可燃气体检测器</w:t>
            </w:r>
            <w:r>
              <w:rPr>
                <w:rFonts w:hint="eastAsia"/>
                <w:bCs/>
                <w:color w:val="auto"/>
                <w:szCs w:val="21"/>
                <w:highlight w:val="none"/>
                <w:lang w:eastAsia="zh-CN"/>
              </w:rPr>
              <w:t>，</w:t>
            </w:r>
            <w:r>
              <w:rPr>
                <w:rFonts w:hint="eastAsia"/>
                <w:bCs/>
                <w:color w:val="auto"/>
                <w:szCs w:val="21"/>
                <w:highlight w:val="none"/>
                <w:lang w:val="en-US" w:eastAsia="zh-CN"/>
              </w:rPr>
              <w:t>本次改建后新增2个可燃气体检测器（含声光报警器）</w:t>
            </w:r>
            <w:r>
              <w:rPr>
                <w:rFonts w:hint="eastAsia" w:ascii="Times New Roman" w:hAnsi="Times New Roman"/>
                <w:bCs/>
                <w:color w:val="auto"/>
                <w:szCs w:val="21"/>
                <w:highlight w:val="none"/>
                <w:lang w:eastAsia="zh-CN"/>
              </w:rPr>
              <w:t>；</w:t>
            </w:r>
            <w:r>
              <w:rPr>
                <w:rFonts w:hint="eastAsia" w:ascii="Times New Roman" w:hAnsi="Times New Roman"/>
                <w:bCs/>
                <w:color w:val="auto"/>
                <w:szCs w:val="21"/>
                <w:highlight w:val="none"/>
                <w:lang w:val="en-US" w:eastAsia="zh-CN"/>
              </w:rPr>
              <w:t>依托</w:t>
            </w:r>
            <w:r>
              <w:rPr>
                <w:rFonts w:hint="eastAsia" w:ascii="Times New Roman" w:hAnsi="Times New Roman"/>
                <w:bCs/>
                <w:color w:val="auto"/>
                <w:szCs w:val="21"/>
                <w:highlight w:val="none"/>
              </w:rPr>
              <w:t>储罐区2个可燃气体检测器及声光报警器</w:t>
            </w:r>
            <w:r>
              <w:rPr>
                <w:rFonts w:hint="eastAsia" w:ascii="Times New Roman" w:hAnsi="Times New Roman"/>
                <w:bCs/>
                <w:color w:val="auto"/>
                <w:szCs w:val="21"/>
                <w:highlight w:val="none"/>
                <w:lang w:eastAsia="zh-CN"/>
              </w:rPr>
              <w:t>，本次新增的2台</w:t>
            </w:r>
            <w:r>
              <w:rPr>
                <w:rFonts w:hint="eastAsia"/>
                <w:bCs/>
                <w:color w:val="auto"/>
                <w:szCs w:val="21"/>
                <w:highlight w:val="none"/>
                <w:lang w:val="en-US" w:eastAsia="zh-CN"/>
              </w:rPr>
              <w:t>31.5</w:t>
            </w:r>
            <w:r>
              <w:rPr>
                <w:rFonts w:hint="eastAsia" w:ascii="Times New Roman" w:hAnsi="Times New Roman"/>
                <w:bCs/>
                <w:color w:val="auto"/>
                <w:szCs w:val="21"/>
                <w:highlight w:val="none"/>
                <w:lang w:eastAsia="zh-CN"/>
              </w:rPr>
              <w:t>m</w:t>
            </w:r>
            <w:r>
              <w:rPr>
                <w:rFonts w:hint="eastAsia" w:ascii="Times New Roman" w:hAnsi="Times New Roman"/>
                <w:bCs/>
                <w:color w:val="auto"/>
                <w:szCs w:val="21"/>
                <w:highlight w:val="none"/>
                <w:vertAlign w:val="superscript"/>
                <w:lang w:eastAsia="zh-CN"/>
              </w:rPr>
              <w:t>3</w:t>
            </w:r>
            <w:r>
              <w:rPr>
                <w:rFonts w:hint="eastAsia" w:ascii="Times New Roman" w:hAnsi="Times New Roman"/>
                <w:bCs/>
                <w:color w:val="auto"/>
                <w:szCs w:val="21"/>
                <w:highlight w:val="none"/>
                <w:lang w:eastAsia="zh-CN"/>
              </w:rPr>
              <w:t>压力储罐（丙烷、丁烷）</w:t>
            </w:r>
            <w:r>
              <w:rPr>
                <w:rFonts w:hint="eastAsia"/>
                <w:bCs/>
                <w:color w:val="auto"/>
                <w:szCs w:val="21"/>
                <w:highlight w:val="none"/>
                <w:lang w:val="en-US" w:eastAsia="zh-CN"/>
              </w:rPr>
              <w:t>附近各设置1个可燃气体检测器（含声光报警器），本次新增压缩机附近设置1个可燃气体检测器（含声光报警器），新增出料泵附近设置1个可燃气体检测器（含声光报警器），新建库棚（甲类）内设置2个可燃气体检测器（含声光报警器）；</w:t>
            </w:r>
            <w:r>
              <w:rPr>
                <w:rFonts w:hint="eastAsia"/>
                <w:color w:val="auto"/>
                <w:highlight w:val="none"/>
                <w:lang w:val="en-US" w:eastAsia="zh-CN"/>
              </w:rPr>
              <w:t>依托现有控制室</w:t>
            </w:r>
            <w:r>
              <w:rPr>
                <w:rFonts w:hint="eastAsia" w:ascii="Times New Roman" w:hAnsi="Times New Roman"/>
                <w:bCs/>
                <w:color w:val="auto"/>
                <w:szCs w:val="21"/>
                <w:highlight w:val="none"/>
              </w:rPr>
              <w:t>已设置</w:t>
            </w:r>
            <w:r>
              <w:rPr>
                <w:rFonts w:hint="eastAsia" w:ascii="Times New Roman" w:hAnsi="Times New Roman"/>
                <w:bCs/>
                <w:color w:val="auto"/>
                <w:szCs w:val="21"/>
                <w:highlight w:val="none"/>
                <w:lang w:val="en-US" w:eastAsia="zh-CN"/>
              </w:rPr>
              <w:t>的</w:t>
            </w:r>
            <w:r>
              <w:rPr>
                <w:rFonts w:hint="eastAsia" w:ascii="Times New Roman" w:hAnsi="Times New Roman"/>
                <w:bCs/>
                <w:color w:val="auto"/>
                <w:szCs w:val="21"/>
                <w:highlight w:val="none"/>
              </w:rPr>
              <w:t>1个可燃气体检测器</w:t>
            </w:r>
            <w:r>
              <w:rPr>
                <w:rFonts w:hint="eastAsia" w:ascii="Times New Roman" w:hAnsi="Times New Roman"/>
                <w:bCs/>
                <w:color w:val="auto"/>
                <w:szCs w:val="21"/>
                <w:highlight w:val="none"/>
                <w:lang w:eastAsia="zh-CN"/>
              </w:rPr>
              <w:t>。</w:t>
            </w:r>
          </w:p>
          <w:p w14:paraId="42EF90D6">
            <w:pPr>
              <w:pStyle w:val="52"/>
              <w:adjustRightInd/>
              <w:spacing w:line="360" w:lineRule="auto"/>
              <w:rPr>
                <w:color w:val="auto"/>
                <w:highlight w:val="none"/>
              </w:rPr>
            </w:pPr>
            <w:r>
              <w:rPr>
                <w:rFonts w:hint="eastAsia"/>
                <w:color w:val="auto"/>
                <w:highlight w:val="none"/>
              </w:rPr>
              <w:t>2</w:t>
            </w:r>
            <w:r>
              <w:rPr>
                <w:rFonts w:hint="eastAsia"/>
                <w:color w:val="auto"/>
                <w:highlight w:val="none"/>
                <w:lang w:val="en-US" w:eastAsia="zh-CN"/>
              </w:rPr>
              <w:t>.依托现有</w:t>
            </w:r>
            <w:r>
              <w:rPr>
                <w:rFonts w:hint="eastAsia"/>
                <w:color w:val="auto"/>
                <w:highlight w:val="none"/>
              </w:rPr>
              <w:t>低温乙烯储罐</w:t>
            </w:r>
            <w:r>
              <w:rPr>
                <w:rFonts w:hint="eastAsia"/>
                <w:color w:val="auto"/>
                <w:highlight w:val="none"/>
                <w:lang w:val="en-US" w:eastAsia="zh-CN"/>
              </w:rPr>
              <w:t>已</w:t>
            </w:r>
            <w:r>
              <w:rPr>
                <w:rFonts w:hint="eastAsia"/>
                <w:color w:val="auto"/>
                <w:highlight w:val="none"/>
              </w:rPr>
              <w:t>设置</w:t>
            </w:r>
            <w:r>
              <w:rPr>
                <w:rFonts w:hint="eastAsia"/>
                <w:color w:val="auto"/>
                <w:highlight w:val="none"/>
                <w:lang w:val="en-US" w:eastAsia="zh-CN"/>
              </w:rPr>
              <w:t>的</w:t>
            </w:r>
            <w:r>
              <w:rPr>
                <w:rFonts w:hint="eastAsia"/>
                <w:color w:val="auto"/>
                <w:highlight w:val="none"/>
              </w:rPr>
              <w:t>多点温度探头分别对低温储罐内、罐壁、罐底的温度进行检测显示报警</w:t>
            </w:r>
            <w:r>
              <w:rPr>
                <w:rFonts w:hint="eastAsia"/>
                <w:color w:val="auto"/>
                <w:highlight w:val="none"/>
                <w:lang w:eastAsia="zh-CN"/>
              </w:rPr>
              <w:t>，</w:t>
            </w:r>
            <w:r>
              <w:rPr>
                <w:rFonts w:hint="eastAsia"/>
                <w:color w:val="auto"/>
                <w:highlight w:val="none"/>
                <w:lang w:val="en-US" w:eastAsia="zh-CN"/>
              </w:rPr>
              <w:t>已</w:t>
            </w:r>
            <w:r>
              <w:rPr>
                <w:rFonts w:hint="eastAsia" w:ascii="Times New Roman" w:hAnsi="Times New Roman"/>
                <w:bCs/>
                <w:color w:val="auto"/>
                <w:sz w:val="24"/>
                <w:szCs w:val="24"/>
                <w:highlight w:val="none"/>
              </w:rPr>
              <w:t>设置</w:t>
            </w:r>
            <w:r>
              <w:rPr>
                <w:rFonts w:hint="eastAsia" w:ascii="Times New Roman" w:hAnsi="Times New Roman"/>
                <w:bCs/>
                <w:color w:val="auto"/>
                <w:sz w:val="24"/>
                <w:szCs w:val="24"/>
                <w:highlight w:val="none"/>
                <w:lang w:val="en-US" w:eastAsia="zh-CN"/>
              </w:rPr>
              <w:t>的</w:t>
            </w:r>
            <w:r>
              <w:rPr>
                <w:rFonts w:hint="eastAsia" w:ascii="Times New Roman" w:hAnsi="Times New Roman"/>
                <w:bCs/>
                <w:color w:val="auto"/>
                <w:sz w:val="24"/>
                <w:szCs w:val="24"/>
                <w:highlight w:val="none"/>
              </w:rPr>
              <w:t>差压式液位计连续监视储罐液位，</w:t>
            </w:r>
            <w:r>
              <w:rPr>
                <w:rFonts w:hint="eastAsia" w:ascii="Times New Roman" w:hAnsi="Times New Roman"/>
                <w:bCs/>
                <w:color w:val="auto"/>
                <w:sz w:val="24"/>
                <w:szCs w:val="24"/>
                <w:highlight w:val="none"/>
                <w:lang w:val="en-US" w:eastAsia="zh-CN"/>
              </w:rPr>
              <w:t>已</w:t>
            </w:r>
            <w:r>
              <w:rPr>
                <w:rFonts w:hint="eastAsia" w:ascii="Times New Roman" w:hAnsi="Times New Roman"/>
                <w:bCs/>
                <w:color w:val="auto"/>
                <w:sz w:val="24"/>
                <w:szCs w:val="24"/>
                <w:highlight w:val="none"/>
              </w:rPr>
              <w:t>设置</w:t>
            </w:r>
            <w:r>
              <w:rPr>
                <w:rFonts w:hint="eastAsia" w:ascii="Times New Roman" w:hAnsi="Times New Roman"/>
                <w:bCs/>
                <w:color w:val="auto"/>
                <w:sz w:val="24"/>
                <w:szCs w:val="24"/>
                <w:highlight w:val="none"/>
                <w:lang w:val="en-US" w:eastAsia="zh-CN"/>
              </w:rPr>
              <w:t>的</w:t>
            </w:r>
            <w:r>
              <w:rPr>
                <w:rFonts w:hint="eastAsia" w:ascii="Times New Roman" w:hAnsi="Times New Roman"/>
                <w:bCs/>
                <w:color w:val="auto"/>
                <w:sz w:val="24"/>
                <w:szCs w:val="24"/>
                <w:highlight w:val="none"/>
              </w:rPr>
              <w:t>高低液位开关防止储罐高位冒罐和低位抽空，厂区内设有压力测量和控制调节系统，储罐顶安装安全阀，作为保护储罐免受破坏的措施</w:t>
            </w:r>
            <w:r>
              <w:rPr>
                <w:rFonts w:hAnsi="宋体"/>
                <w:color w:val="auto"/>
                <w:highlight w:val="none"/>
              </w:rPr>
              <w:t>。</w:t>
            </w:r>
          </w:p>
          <w:p w14:paraId="2692F297">
            <w:pPr>
              <w:pStyle w:val="52"/>
              <w:adjustRightInd/>
              <w:spacing w:line="360" w:lineRule="auto"/>
              <w:rPr>
                <w:rFonts w:hint="eastAsia" w:eastAsia="宋体"/>
                <w:color w:val="auto"/>
                <w:highlight w:val="none"/>
                <w:lang w:eastAsia="zh-CN"/>
              </w:rPr>
            </w:pPr>
            <w:r>
              <w:rPr>
                <w:rFonts w:hint="eastAsia"/>
                <w:color w:val="auto"/>
                <w:highlight w:val="none"/>
              </w:rPr>
              <w:t>3</w:t>
            </w:r>
            <w:r>
              <w:rPr>
                <w:rFonts w:hint="eastAsia"/>
                <w:color w:val="auto"/>
                <w:highlight w:val="none"/>
                <w:lang w:val="en-US" w:eastAsia="zh-CN"/>
              </w:rPr>
              <w:t>.依托</w:t>
            </w:r>
            <w:r>
              <w:rPr>
                <w:rFonts w:hint="eastAsia" w:ascii="Times New Roman" w:hAnsi="Times New Roman"/>
                <w:bCs/>
                <w:color w:val="auto"/>
                <w:sz w:val="24"/>
                <w:szCs w:val="24"/>
                <w:highlight w:val="none"/>
              </w:rPr>
              <w:t>厂区中部已设置一座容积约1270m</w:t>
            </w:r>
            <w:r>
              <w:rPr>
                <w:rFonts w:hint="eastAsia" w:ascii="Times New Roman" w:hAnsi="Times New Roman"/>
                <w:bCs/>
                <w:color w:val="auto"/>
                <w:sz w:val="24"/>
                <w:szCs w:val="24"/>
                <w:highlight w:val="none"/>
                <w:vertAlign w:val="superscript"/>
              </w:rPr>
              <w:t>3</w:t>
            </w:r>
            <w:r>
              <w:rPr>
                <w:rFonts w:hint="eastAsia" w:ascii="Times New Roman" w:hAnsi="Times New Roman"/>
                <w:bCs/>
                <w:color w:val="auto"/>
                <w:sz w:val="24"/>
                <w:szCs w:val="24"/>
                <w:highlight w:val="none"/>
              </w:rPr>
              <w:t>的事故应急池，</w:t>
            </w:r>
            <w:r>
              <w:rPr>
                <w:rFonts w:hint="eastAsia"/>
                <w:color w:val="auto"/>
                <w:highlight w:val="none"/>
              </w:rPr>
              <w:t>事故状态下围堰内事故废水由导流沟自流至事故应急池</w:t>
            </w:r>
            <w:r>
              <w:rPr>
                <w:rFonts w:hint="eastAsia" w:ascii="Times New Roman" w:hAnsi="Times New Roman"/>
                <w:bCs/>
                <w:color w:val="auto"/>
                <w:sz w:val="24"/>
                <w:szCs w:val="24"/>
                <w:highlight w:val="none"/>
              </w:rPr>
              <w:t>；</w:t>
            </w:r>
            <w:r>
              <w:rPr>
                <w:rFonts w:hint="eastAsia" w:ascii="Times New Roman" w:hAnsi="Times New Roman"/>
                <w:bCs/>
                <w:color w:val="auto"/>
                <w:sz w:val="24"/>
                <w:szCs w:val="24"/>
                <w:highlight w:val="none"/>
                <w:lang w:val="en-US" w:eastAsia="zh-CN"/>
              </w:rPr>
              <w:t>依托</w:t>
            </w:r>
            <w:r>
              <w:rPr>
                <w:rFonts w:hint="eastAsia" w:ascii="Times New Roman" w:hAnsi="Times New Roman"/>
                <w:bCs/>
                <w:color w:val="auto"/>
                <w:sz w:val="24"/>
                <w:szCs w:val="24"/>
                <w:highlight w:val="none"/>
              </w:rPr>
              <w:t>厂区西部设置一座容积约1150m</w:t>
            </w:r>
            <w:r>
              <w:rPr>
                <w:rFonts w:hint="eastAsia" w:ascii="Times New Roman" w:hAnsi="Times New Roman"/>
                <w:bCs/>
                <w:color w:val="auto"/>
                <w:sz w:val="24"/>
                <w:szCs w:val="24"/>
                <w:highlight w:val="none"/>
                <w:vertAlign w:val="superscript"/>
              </w:rPr>
              <w:t>3</w:t>
            </w:r>
            <w:r>
              <w:rPr>
                <w:rFonts w:hint="eastAsia" w:ascii="Times New Roman" w:hAnsi="Times New Roman"/>
                <w:bCs/>
                <w:color w:val="auto"/>
                <w:sz w:val="24"/>
                <w:szCs w:val="24"/>
                <w:highlight w:val="none"/>
              </w:rPr>
              <w:t>的消防水池</w:t>
            </w:r>
            <w:r>
              <w:rPr>
                <w:rFonts w:hint="eastAsia"/>
                <w:color w:val="auto"/>
                <w:highlight w:val="none"/>
              </w:rPr>
              <w:t>。</w:t>
            </w:r>
            <w:r>
              <w:rPr>
                <w:rFonts w:hint="eastAsia" w:ascii="Times New Roman" w:hAnsi="Times New Roman"/>
                <w:bCs/>
                <w:color w:val="auto"/>
                <w:sz w:val="24"/>
                <w:szCs w:val="24"/>
                <w:highlight w:val="none"/>
              </w:rPr>
              <w:t>雨水总排口进出口处、事故应急池进口处设置截止阀。储罐区发生物料泄漏时，罐区导流沟截止阀、事故应急池进口阀打开，事故应急池出口阀关闭，其他导流沟截止阀关闭，保证围堰内所有排水必须收集进入事故应急池；雨水管网总排口出口阀关闭，保证事故状态下，厂区内所有雨水控制在厂内</w:t>
            </w:r>
            <w:r>
              <w:rPr>
                <w:rFonts w:hint="eastAsia"/>
                <w:bCs/>
                <w:color w:val="auto"/>
                <w:sz w:val="24"/>
                <w:szCs w:val="24"/>
                <w:highlight w:val="none"/>
                <w:lang w:eastAsia="zh-CN"/>
              </w:rPr>
              <w:t>。</w:t>
            </w:r>
          </w:p>
          <w:p w14:paraId="062D2ED8">
            <w:pPr>
              <w:pStyle w:val="52"/>
              <w:adjustRightInd/>
              <w:spacing w:line="360" w:lineRule="auto"/>
              <w:rPr>
                <w:color w:val="auto"/>
                <w:highlight w:val="none"/>
              </w:rPr>
            </w:pPr>
            <w:r>
              <w:rPr>
                <w:rFonts w:hint="eastAsia"/>
                <w:color w:val="auto"/>
                <w:highlight w:val="none"/>
              </w:rPr>
              <w:t>4</w:t>
            </w:r>
            <w:r>
              <w:rPr>
                <w:rFonts w:hint="eastAsia"/>
                <w:color w:val="auto"/>
                <w:highlight w:val="none"/>
                <w:lang w:val="en-US" w:eastAsia="zh-CN"/>
              </w:rPr>
              <w:t>.</w:t>
            </w:r>
            <w:r>
              <w:rPr>
                <w:rFonts w:hint="eastAsia"/>
                <w:color w:val="auto"/>
                <w:sz w:val="24"/>
                <w:szCs w:val="36"/>
                <w:highlight w:val="none"/>
                <w:lang w:val="en-US" w:eastAsia="zh-CN"/>
              </w:rPr>
              <w:t>储罐区调整后，丙烷、丁烷及事故罐单堤</w:t>
            </w:r>
            <w:r>
              <w:rPr>
                <w:rFonts w:hint="eastAsia"/>
                <w:color w:val="auto"/>
                <w:sz w:val="24"/>
                <w:szCs w:val="36"/>
                <w:highlight w:val="none"/>
              </w:rPr>
              <w:t>围堰</w:t>
            </w:r>
            <w:r>
              <w:rPr>
                <w:rFonts w:hint="eastAsia"/>
                <w:color w:val="auto"/>
                <w:sz w:val="24"/>
                <w:szCs w:val="36"/>
                <w:highlight w:val="none"/>
                <w:lang w:val="en-US" w:eastAsia="zh-CN"/>
              </w:rPr>
              <w:t>内</w:t>
            </w:r>
            <w:r>
              <w:rPr>
                <w:color w:val="auto"/>
                <w:sz w:val="24"/>
                <w:szCs w:val="36"/>
                <w:highlight w:val="none"/>
              </w:rPr>
              <w:t>四周设置导流沟</w:t>
            </w:r>
            <w:r>
              <w:rPr>
                <w:rFonts w:hint="eastAsia"/>
                <w:color w:val="auto"/>
                <w:highlight w:val="none"/>
                <w:lang w:eastAsia="zh-CN"/>
              </w:rPr>
              <w:t>，</w:t>
            </w:r>
            <w:r>
              <w:rPr>
                <w:rFonts w:hint="eastAsia"/>
                <w:color w:val="auto"/>
                <w:highlight w:val="none"/>
              </w:rPr>
              <w:t>各导流沟均设置截</w:t>
            </w:r>
            <w:r>
              <w:rPr>
                <w:rFonts w:hint="eastAsia"/>
                <w:color w:val="auto"/>
                <w:highlight w:val="none"/>
                <w:lang w:val="en-US" w:eastAsia="zh-CN"/>
              </w:rPr>
              <w:t>流</w:t>
            </w:r>
            <w:r>
              <w:rPr>
                <w:rFonts w:hint="eastAsia"/>
                <w:color w:val="auto"/>
                <w:highlight w:val="none"/>
              </w:rPr>
              <w:t>阀</w:t>
            </w:r>
            <w:r>
              <w:rPr>
                <w:rFonts w:hint="eastAsia"/>
                <w:color w:val="auto"/>
                <w:highlight w:val="none"/>
                <w:lang w:eastAsia="zh-CN"/>
              </w:rPr>
              <w:t>，</w:t>
            </w:r>
            <w:r>
              <w:rPr>
                <w:rFonts w:hint="eastAsia"/>
                <w:color w:val="auto"/>
                <w:highlight w:val="none"/>
              </w:rPr>
              <w:t>储罐区发生物料泄漏时，罐区导流沟</w:t>
            </w:r>
            <w:r>
              <w:rPr>
                <w:rFonts w:hint="eastAsia"/>
                <w:color w:val="auto"/>
                <w:highlight w:val="none"/>
                <w:lang w:val="en-US" w:eastAsia="zh-CN"/>
              </w:rPr>
              <w:t>截流</w:t>
            </w:r>
            <w:r>
              <w:rPr>
                <w:rFonts w:hint="eastAsia"/>
                <w:color w:val="auto"/>
                <w:highlight w:val="none"/>
              </w:rPr>
              <w:t>阀、事故应急池进口阀打开，事故应急池出口阀关闭，其他导流沟截</w:t>
            </w:r>
            <w:r>
              <w:rPr>
                <w:rFonts w:hint="eastAsia"/>
                <w:color w:val="auto"/>
                <w:highlight w:val="none"/>
                <w:lang w:val="en-US" w:eastAsia="zh-CN"/>
              </w:rPr>
              <w:t>流</w:t>
            </w:r>
            <w:r>
              <w:rPr>
                <w:rFonts w:hint="eastAsia"/>
                <w:color w:val="auto"/>
                <w:highlight w:val="none"/>
              </w:rPr>
              <w:t>阀关闭，保证围堰内所有排水必须收集进入事故应急池；雨水管网总排口出口阀关闭。</w:t>
            </w:r>
          </w:p>
          <w:p w14:paraId="7042E6DF">
            <w:pPr>
              <w:pStyle w:val="52"/>
              <w:adjustRightInd/>
              <w:spacing w:line="360" w:lineRule="auto"/>
              <w:rPr>
                <w:rFonts w:hint="eastAsia"/>
                <w:color w:val="auto"/>
                <w:highlight w:val="none"/>
              </w:rPr>
            </w:pPr>
            <w:r>
              <w:rPr>
                <w:rFonts w:hint="eastAsia"/>
                <w:color w:val="auto"/>
                <w:highlight w:val="none"/>
              </w:rPr>
              <w:t>5</w:t>
            </w:r>
            <w:r>
              <w:rPr>
                <w:rFonts w:hint="eastAsia"/>
                <w:color w:val="auto"/>
                <w:highlight w:val="none"/>
                <w:lang w:val="en-US" w:eastAsia="zh-CN"/>
              </w:rPr>
              <w:t>.</w:t>
            </w:r>
            <w:r>
              <w:rPr>
                <w:rFonts w:hint="eastAsia" w:hAnsi="宋体"/>
                <w:color w:val="auto"/>
                <w:sz w:val="24"/>
                <w:szCs w:val="24"/>
                <w:highlight w:val="none"/>
              </w:rPr>
              <w:t>按照国家和地方规定，</w:t>
            </w:r>
            <w:r>
              <w:rPr>
                <w:rFonts w:hint="eastAsia" w:hAnsi="宋体"/>
                <w:color w:val="auto"/>
                <w:sz w:val="24"/>
                <w:szCs w:val="24"/>
                <w:highlight w:val="none"/>
                <w:lang w:val="en-US" w:eastAsia="zh-CN"/>
              </w:rPr>
              <w:t>修编</w:t>
            </w:r>
            <w:r>
              <w:rPr>
                <w:rFonts w:hint="eastAsia" w:hAnsi="宋体"/>
                <w:color w:val="auto"/>
                <w:sz w:val="24"/>
                <w:szCs w:val="24"/>
                <w:highlight w:val="none"/>
              </w:rPr>
              <w:t>企业突发环境事件应急预案，并报</w:t>
            </w:r>
            <w:r>
              <w:rPr>
                <w:rFonts w:hint="eastAsia" w:hAnsi="宋体"/>
                <w:color w:val="auto"/>
                <w:sz w:val="24"/>
                <w:szCs w:val="24"/>
                <w:highlight w:val="none"/>
                <w:lang w:val="en-US" w:eastAsia="zh-CN"/>
              </w:rPr>
              <w:t>当地生态</w:t>
            </w:r>
            <w:r>
              <w:rPr>
                <w:rFonts w:hint="eastAsia" w:hAnsi="宋体"/>
                <w:color w:val="auto"/>
                <w:sz w:val="24"/>
                <w:szCs w:val="24"/>
                <w:highlight w:val="none"/>
              </w:rPr>
              <w:t>环境部门备案</w:t>
            </w:r>
            <w:r>
              <w:rPr>
                <w:rFonts w:hint="eastAsia"/>
                <w:color w:val="auto"/>
                <w:highlight w:val="none"/>
              </w:rPr>
              <w:t>。</w:t>
            </w:r>
          </w:p>
          <w:p w14:paraId="72E2287B">
            <w:pPr>
              <w:pStyle w:val="52"/>
              <w:adjustRightInd/>
              <w:spacing w:line="360" w:lineRule="auto"/>
              <w:rPr>
                <w:rFonts w:hint="eastAsia" w:eastAsia="宋体"/>
                <w:color w:val="auto"/>
                <w:highlight w:val="none"/>
                <w:lang w:val="en-US" w:eastAsia="zh-CN"/>
              </w:rPr>
            </w:pPr>
            <w:r>
              <w:rPr>
                <w:rFonts w:hint="eastAsia"/>
                <w:color w:val="auto"/>
                <w:highlight w:val="none"/>
                <w:lang w:val="en-US" w:eastAsia="zh-CN"/>
              </w:rPr>
              <w:t>6.</w:t>
            </w:r>
            <w:r>
              <w:rPr>
                <w:rFonts w:hint="eastAsia" w:hAnsi="宋体"/>
                <w:color w:val="auto"/>
                <w:sz w:val="24"/>
                <w:szCs w:val="24"/>
                <w:highlight w:val="none"/>
              </w:rPr>
              <w:t>做好厂区日常环境风险应急措施和演练工作，确保事故状态下，厂区风险应急体系能够有效运转</w:t>
            </w:r>
            <w:r>
              <w:rPr>
                <w:rFonts w:hint="eastAsia" w:hAnsi="宋体"/>
                <w:color w:val="auto"/>
                <w:sz w:val="24"/>
                <w:szCs w:val="24"/>
                <w:highlight w:val="none"/>
                <w:lang w:eastAsia="zh-CN"/>
              </w:rPr>
              <w:t>。</w:t>
            </w:r>
          </w:p>
        </w:tc>
      </w:tr>
      <w:tr w14:paraId="1DF085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2" w:hRule="atLeast"/>
          <w:jc w:val="center"/>
        </w:trPr>
        <w:tc>
          <w:tcPr>
            <w:tcW w:w="530" w:type="pct"/>
            <w:tcBorders>
              <w:left w:val="single" w:color="000000" w:sz="6" w:space="0"/>
            </w:tcBorders>
            <w:vAlign w:val="center"/>
          </w:tcPr>
          <w:p w14:paraId="5AF31AFB">
            <w:pPr>
              <w:widowControl/>
              <w:spacing w:line="360" w:lineRule="auto"/>
              <w:jc w:val="center"/>
              <w:rPr>
                <w:color w:val="auto"/>
                <w:kern w:val="0"/>
                <w:sz w:val="24"/>
                <w:szCs w:val="24"/>
                <w:highlight w:val="none"/>
              </w:rPr>
            </w:pPr>
            <w:r>
              <w:rPr>
                <w:rFonts w:hint="eastAsia"/>
                <w:color w:val="auto"/>
                <w:kern w:val="0"/>
                <w:sz w:val="24"/>
                <w:szCs w:val="24"/>
                <w:highlight w:val="none"/>
              </w:rPr>
              <w:t>其他</w:t>
            </w:r>
            <w:r>
              <w:rPr>
                <w:color w:val="auto"/>
                <w:kern w:val="0"/>
                <w:sz w:val="24"/>
                <w:szCs w:val="24"/>
                <w:highlight w:val="none"/>
              </w:rPr>
              <w:t>环境管理要求</w:t>
            </w:r>
          </w:p>
        </w:tc>
        <w:tc>
          <w:tcPr>
            <w:tcW w:w="4470" w:type="pct"/>
            <w:gridSpan w:val="4"/>
            <w:tcBorders>
              <w:right w:val="single" w:color="000000" w:sz="6" w:space="0"/>
            </w:tcBorders>
            <w:vAlign w:val="center"/>
          </w:tcPr>
          <w:p w14:paraId="369C9591">
            <w:pPr>
              <w:pStyle w:val="52"/>
              <w:spacing w:line="360" w:lineRule="auto"/>
              <w:rPr>
                <w:color w:val="auto"/>
                <w:highlight w:val="none"/>
              </w:rPr>
            </w:pPr>
            <w:r>
              <w:rPr>
                <w:rFonts w:hint="eastAsia"/>
                <w:color w:val="auto"/>
                <w:highlight w:val="none"/>
              </w:rPr>
              <w:t>项目需遵守下列要求：</w:t>
            </w:r>
          </w:p>
          <w:p w14:paraId="4975FBFD">
            <w:pPr>
              <w:pStyle w:val="52"/>
              <w:spacing w:line="360" w:lineRule="auto"/>
              <w:rPr>
                <w:color w:val="auto"/>
                <w:highlight w:val="none"/>
              </w:rPr>
            </w:pPr>
            <w:r>
              <w:rPr>
                <w:rFonts w:hint="eastAsia"/>
                <w:color w:val="auto"/>
                <w:highlight w:val="none"/>
              </w:rPr>
              <w:t>1</w:t>
            </w:r>
            <w:r>
              <w:rPr>
                <w:rFonts w:hint="eastAsia"/>
                <w:color w:val="auto"/>
                <w:highlight w:val="none"/>
                <w:lang w:val="en-US" w:eastAsia="zh-CN"/>
              </w:rPr>
              <w:t>.</w:t>
            </w:r>
            <w:r>
              <w:rPr>
                <w:rFonts w:hint="eastAsia"/>
                <w:color w:val="auto"/>
                <w:highlight w:val="none"/>
              </w:rPr>
              <w:t>在实际排污之前，应根据《排污许可管理办法》《排污许可管理条例》《固定污染源排污许可分类管理名录》依法</w:t>
            </w:r>
            <w:r>
              <w:rPr>
                <w:rFonts w:hint="eastAsia"/>
                <w:color w:val="auto"/>
                <w:highlight w:val="none"/>
                <w:lang w:val="en-US" w:eastAsia="zh-CN"/>
              </w:rPr>
              <w:t>变更</w:t>
            </w:r>
            <w:r>
              <w:rPr>
                <w:rFonts w:hint="eastAsia"/>
                <w:color w:val="auto"/>
                <w:highlight w:val="none"/>
              </w:rPr>
              <w:t>登记管理。</w:t>
            </w:r>
          </w:p>
          <w:p w14:paraId="0D32C34C">
            <w:pPr>
              <w:pStyle w:val="52"/>
              <w:spacing w:line="360" w:lineRule="auto"/>
              <w:rPr>
                <w:color w:val="auto"/>
                <w:highlight w:val="none"/>
              </w:rPr>
            </w:pPr>
            <w:r>
              <w:rPr>
                <w:rFonts w:hint="eastAsia"/>
                <w:color w:val="auto"/>
                <w:highlight w:val="none"/>
              </w:rPr>
              <w:t>2</w:t>
            </w:r>
            <w:r>
              <w:rPr>
                <w:rFonts w:hint="eastAsia"/>
                <w:color w:val="auto"/>
                <w:highlight w:val="none"/>
                <w:lang w:val="en-US" w:eastAsia="zh-CN"/>
              </w:rPr>
              <w:t>.</w:t>
            </w:r>
            <w:r>
              <w:rPr>
                <w:rFonts w:hint="eastAsia"/>
                <w:color w:val="auto"/>
                <w:highlight w:val="none"/>
              </w:rPr>
              <w:t>项目建设必须严格执行配套的环境保护设施与主体工程同时设计、同时施工、同时投产使用的环境保护“三同时”制度。</w:t>
            </w:r>
          </w:p>
          <w:p w14:paraId="26B21EAD">
            <w:pPr>
              <w:spacing w:line="360" w:lineRule="auto"/>
              <w:rPr>
                <w:color w:val="auto"/>
                <w:sz w:val="24"/>
                <w:szCs w:val="24"/>
                <w:highlight w:val="none"/>
              </w:rPr>
            </w:pPr>
            <w:r>
              <w:rPr>
                <w:rFonts w:hint="eastAsia" w:hAnsi="宋体"/>
                <w:color w:val="auto"/>
                <w:sz w:val="24"/>
                <w:szCs w:val="24"/>
                <w:highlight w:val="none"/>
              </w:rPr>
              <w:t>3</w:t>
            </w:r>
            <w:r>
              <w:rPr>
                <w:rFonts w:hint="eastAsia" w:hAnsi="宋体"/>
                <w:color w:val="auto"/>
                <w:sz w:val="24"/>
                <w:szCs w:val="24"/>
                <w:highlight w:val="none"/>
                <w:lang w:val="en-US" w:eastAsia="zh-CN"/>
              </w:rPr>
              <w:t>.</w:t>
            </w:r>
            <w:r>
              <w:rPr>
                <w:rFonts w:hint="eastAsia" w:hAnsi="宋体"/>
                <w:color w:val="auto"/>
                <w:sz w:val="24"/>
                <w:szCs w:val="24"/>
                <w:highlight w:val="none"/>
              </w:rPr>
              <w:t>如生产项目发生重大变化，需要重新报批。</w:t>
            </w:r>
          </w:p>
          <w:p w14:paraId="7C84F474">
            <w:pPr>
              <w:spacing w:line="360" w:lineRule="auto"/>
              <w:rPr>
                <w:rFonts w:hint="eastAsia" w:hAnsi="宋体"/>
                <w:color w:val="auto"/>
                <w:sz w:val="24"/>
                <w:szCs w:val="24"/>
                <w:highlight w:val="none"/>
              </w:rPr>
            </w:pPr>
            <w:r>
              <w:rPr>
                <w:rFonts w:hint="eastAsia" w:hAnsi="宋体"/>
                <w:color w:val="auto"/>
                <w:sz w:val="24"/>
                <w:szCs w:val="24"/>
                <w:highlight w:val="none"/>
              </w:rPr>
              <w:t>4</w:t>
            </w:r>
            <w:r>
              <w:rPr>
                <w:rFonts w:hint="eastAsia" w:hAnsi="宋体"/>
                <w:color w:val="auto"/>
                <w:sz w:val="24"/>
                <w:szCs w:val="24"/>
                <w:highlight w:val="none"/>
                <w:lang w:val="en-US" w:eastAsia="zh-CN"/>
              </w:rPr>
              <w:t>.</w:t>
            </w:r>
            <w:r>
              <w:rPr>
                <w:rFonts w:hint="eastAsia" w:hAnsi="宋体"/>
                <w:color w:val="auto"/>
                <w:sz w:val="24"/>
                <w:szCs w:val="24"/>
                <w:highlight w:val="none"/>
              </w:rPr>
              <w:t>企业应参照《排污单位自行监测技术指南 总则》（</w:t>
            </w:r>
            <w:r>
              <w:rPr>
                <w:color w:val="auto"/>
                <w:sz w:val="24"/>
                <w:szCs w:val="24"/>
                <w:highlight w:val="none"/>
              </w:rPr>
              <w:t>H</w:t>
            </w:r>
            <w:r>
              <w:rPr>
                <w:rFonts w:hint="eastAsia"/>
                <w:color w:val="auto"/>
                <w:sz w:val="24"/>
                <w:szCs w:val="24"/>
                <w:highlight w:val="none"/>
              </w:rPr>
              <w:t>J</w:t>
            </w:r>
            <w:r>
              <w:rPr>
                <w:color w:val="auto"/>
                <w:sz w:val="24"/>
                <w:szCs w:val="24"/>
                <w:highlight w:val="none"/>
              </w:rPr>
              <w:t>819-2017</w:t>
            </w:r>
            <w:r>
              <w:rPr>
                <w:rFonts w:hint="eastAsia" w:hAnsi="宋体"/>
                <w:color w:val="auto"/>
                <w:sz w:val="24"/>
                <w:szCs w:val="24"/>
                <w:highlight w:val="none"/>
              </w:rPr>
              <w:t>）中的要求落实运营期自行监测计划，主动公开项目环评文件和验收报告，接受社会监督。</w:t>
            </w:r>
          </w:p>
          <w:p w14:paraId="446ADA51">
            <w:pPr>
              <w:bidi w:val="0"/>
              <w:rPr>
                <w:rFonts w:hint="eastAsia"/>
                <w:color w:val="auto"/>
                <w:highlight w:val="none"/>
              </w:rPr>
            </w:pPr>
          </w:p>
          <w:p w14:paraId="7638ABCF">
            <w:pPr>
              <w:bidi w:val="0"/>
              <w:rPr>
                <w:rFonts w:hint="eastAsia"/>
                <w:color w:val="auto"/>
                <w:highlight w:val="none"/>
              </w:rPr>
            </w:pPr>
          </w:p>
          <w:p w14:paraId="63B0D0A1">
            <w:pPr>
              <w:bidi w:val="0"/>
              <w:rPr>
                <w:rFonts w:hint="eastAsia"/>
                <w:color w:val="auto"/>
                <w:highlight w:val="none"/>
              </w:rPr>
            </w:pPr>
          </w:p>
          <w:p w14:paraId="6CB2DE4D">
            <w:pPr>
              <w:bidi w:val="0"/>
              <w:rPr>
                <w:rFonts w:hint="eastAsia"/>
                <w:color w:val="auto"/>
                <w:highlight w:val="none"/>
              </w:rPr>
            </w:pPr>
          </w:p>
          <w:p w14:paraId="119A4EEC">
            <w:pPr>
              <w:bidi w:val="0"/>
              <w:rPr>
                <w:rFonts w:hint="eastAsia"/>
                <w:color w:val="auto"/>
                <w:highlight w:val="none"/>
              </w:rPr>
            </w:pPr>
          </w:p>
          <w:p w14:paraId="5CDED450">
            <w:pPr>
              <w:bidi w:val="0"/>
              <w:rPr>
                <w:rFonts w:hint="eastAsia"/>
                <w:color w:val="auto"/>
                <w:highlight w:val="none"/>
              </w:rPr>
            </w:pPr>
          </w:p>
          <w:p w14:paraId="42F55E23">
            <w:pPr>
              <w:bidi w:val="0"/>
              <w:rPr>
                <w:rFonts w:hint="eastAsia"/>
                <w:color w:val="auto"/>
                <w:highlight w:val="none"/>
              </w:rPr>
            </w:pPr>
          </w:p>
          <w:p w14:paraId="668C3DC0">
            <w:pPr>
              <w:bidi w:val="0"/>
              <w:rPr>
                <w:rFonts w:hint="eastAsia"/>
                <w:color w:val="auto"/>
                <w:highlight w:val="none"/>
              </w:rPr>
            </w:pPr>
          </w:p>
          <w:p w14:paraId="6CAF8A85">
            <w:pPr>
              <w:bidi w:val="0"/>
              <w:rPr>
                <w:rFonts w:hint="eastAsia"/>
                <w:color w:val="auto"/>
                <w:highlight w:val="none"/>
              </w:rPr>
            </w:pPr>
          </w:p>
          <w:p w14:paraId="0F0257A6">
            <w:pPr>
              <w:bidi w:val="0"/>
              <w:rPr>
                <w:rFonts w:hint="eastAsia"/>
                <w:color w:val="auto"/>
                <w:highlight w:val="none"/>
              </w:rPr>
            </w:pPr>
          </w:p>
          <w:p w14:paraId="27C48C62">
            <w:pPr>
              <w:bidi w:val="0"/>
              <w:rPr>
                <w:rFonts w:hint="eastAsia"/>
                <w:color w:val="auto"/>
                <w:highlight w:val="none"/>
              </w:rPr>
            </w:pPr>
          </w:p>
          <w:p w14:paraId="623C91F0">
            <w:pPr>
              <w:bidi w:val="0"/>
              <w:rPr>
                <w:rFonts w:hint="eastAsia"/>
                <w:color w:val="auto"/>
                <w:highlight w:val="none"/>
              </w:rPr>
            </w:pPr>
          </w:p>
          <w:p w14:paraId="6C497132">
            <w:pPr>
              <w:bidi w:val="0"/>
              <w:rPr>
                <w:rFonts w:hint="eastAsia"/>
                <w:color w:val="auto"/>
                <w:highlight w:val="none"/>
              </w:rPr>
            </w:pPr>
          </w:p>
          <w:p w14:paraId="4CF04F4A">
            <w:pPr>
              <w:bidi w:val="0"/>
              <w:rPr>
                <w:rFonts w:hint="eastAsia"/>
                <w:color w:val="auto"/>
                <w:highlight w:val="none"/>
              </w:rPr>
            </w:pPr>
          </w:p>
          <w:p w14:paraId="46DC8701">
            <w:pPr>
              <w:bidi w:val="0"/>
              <w:rPr>
                <w:rFonts w:hint="eastAsia"/>
                <w:color w:val="auto"/>
                <w:highlight w:val="none"/>
              </w:rPr>
            </w:pPr>
          </w:p>
          <w:p w14:paraId="74BF541A">
            <w:pPr>
              <w:bidi w:val="0"/>
              <w:rPr>
                <w:rFonts w:hint="eastAsia"/>
                <w:color w:val="auto"/>
                <w:highlight w:val="none"/>
              </w:rPr>
            </w:pPr>
          </w:p>
          <w:p w14:paraId="0E2C3750">
            <w:pPr>
              <w:pStyle w:val="35"/>
              <w:ind w:left="0" w:leftChars="0" w:firstLine="0" w:firstLineChars="0"/>
              <w:rPr>
                <w:color w:val="auto"/>
                <w:highlight w:val="none"/>
              </w:rPr>
            </w:pPr>
          </w:p>
        </w:tc>
      </w:tr>
    </w:tbl>
    <w:p w14:paraId="1FBC55B5">
      <w:pPr>
        <w:widowControl/>
        <w:outlineLvl w:val="0"/>
        <w:rPr>
          <w:b/>
          <w:bCs/>
          <w:color w:val="auto"/>
          <w:kern w:val="0"/>
          <w:sz w:val="24"/>
          <w:szCs w:val="24"/>
          <w:highlight w:val="none"/>
        </w:rPr>
        <w:sectPr>
          <w:footerReference r:id="rId8" w:type="default"/>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p w14:paraId="580F0D79">
      <w:pPr>
        <w:widowControl/>
        <w:jc w:val="center"/>
        <w:outlineLvl w:val="0"/>
        <w:rPr>
          <w:rFonts w:ascii="宋体" w:hAnsi="宋体"/>
          <w:b/>
          <w:bCs/>
          <w:color w:val="auto"/>
          <w:kern w:val="0"/>
          <w:sz w:val="30"/>
          <w:szCs w:val="30"/>
          <w:highlight w:val="none"/>
        </w:rPr>
      </w:pPr>
      <w:bookmarkStart w:id="22" w:name="_Toc140650610"/>
      <w:bookmarkStart w:id="23" w:name="_Toc140651377"/>
      <w:r>
        <w:rPr>
          <w:rFonts w:hint="eastAsia" w:ascii="宋体" w:hAnsi="宋体"/>
          <w:b/>
          <w:bCs/>
          <w:color w:val="auto"/>
          <w:kern w:val="0"/>
          <w:sz w:val="30"/>
          <w:szCs w:val="30"/>
          <w:highlight w:val="none"/>
        </w:rPr>
        <w:t>六、结论</w:t>
      </w:r>
      <w:bookmarkEnd w:id="22"/>
      <w:bookmarkEnd w:id="23"/>
    </w:p>
    <w:tbl>
      <w:tblPr>
        <w:tblStyle w:val="3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817"/>
      </w:tblGrid>
      <w:tr w14:paraId="3F6B5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70" w:hRule="atLeast"/>
        </w:trPr>
        <w:tc>
          <w:tcPr>
            <w:tcW w:w="8817" w:type="dxa"/>
          </w:tcPr>
          <w:p w14:paraId="7A36E42C">
            <w:pPr>
              <w:keepNext w:val="0"/>
              <w:keepLines w:val="0"/>
              <w:suppressLineNumbers w:val="0"/>
              <w:spacing w:before="0" w:beforeAutospacing="0" w:after="0" w:afterAutospacing="0" w:line="360" w:lineRule="auto"/>
              <w:ind w:left="0" w:right="0" w:firstLine="480" w:firstLineChars="200"/>
              <w:jc w:val="left"/>
              <w:rPr>
                <w:rFonts w:hint="default" w:hAnsi="宋体"/>
                <w:color w:val="auto"/>
                <w:sz w:val="24"/>
                <w:highlight w:val="none"/>
              </w:rPr>
            </w:pPr>
            <w:r>
              <w:rPr>
                <w:rFonts w:hint="default" w:hAnsi="宋体"/>
                <w:color w:val="auto"/>
                <w:sz w:val="24"/>
                <w:highlight w:val="none"/>
              </w:rPr>
              <w:t>综上所述，本项目符合国家产业政策，符合当地规划，选址可行。项目</w:t>
            </w:r>
            <w:r>
              <w:rPr>
                <w:rFonts w:hint="eastAsia" w:hAnsi="宋体"/>
                <w:color w:val="auto"/>
                <w:sz w:val="24"/>
                <w:highlight w:val="none"/>
              </w:rPr>
              <w:t>施工期和</w:t>
            </w:r>
            <w:r>
              <w:rPr>
                <w:rFonts w:hint="default" w:hAnsi="宋体"/>
                <w:color w:val="auto"/>
                <w:sz w:val="24"/>
                <w:highlight w:val="none"/>
              </w:rPr>
              <w:t>营运期产生的各类污染对区域环境质量会产生一定影响，但只要认真落实各项环境保护措施，各类污染物均可实现达标排放，并且不会对周围环境产生显著影响，不会造成区域环境功能级别的改变。</w:t>
            </w:r>
          </w:p>
          <w:p w14:paraId="5BBFAB23">
            <w:pPr>
              <w:spacing w:line="360" w:lineRule="auto"/>
              <w:ind w:firstLine="480" w:firstLineChars="200"/>
              <w:rPr>
                <w:rFonts w:hAnsi="宋体"/>
                <w:color w:val="auto"/>
                <w:sz w:val="24"/>
                <w:highlight w:val="none"/>
              </w:rPr>
            </w:pPr>
            <w:r>
              <w:rPr>
                <w:rFonts w:hint="default" w:hAnsi="宋体"/>
                <w:color w:val="auto"/>
                <w:sz w:val="24"/>
                <w:highlight w:val="none"/>
              </w:rPr>
              <w:t>因此，从环</w:t>
            </w:r>
            <w:r>
              <w:rPr>
                <w:rFonts w:hint="eastAsia" w:hAnsi="宋体"/>
                <w:color w:val="auto"/>
                <w:sz w:val="24"/>
                <w:highlight w:val="none"/>
              </w:rPr>
              <w:t>境保护</w:t>
            </w:r>
            <w:r>
              <w:rPr>
                <w:rFonts w:hint="default" w:hAnsi="宋体"/>
                <w:color w:val="auto"/>
                <w:sz w:val="24"/>
                <w:highlight w:val="none"/>
              </w:rPr>
              <w:t>角度考虑，该项目的建设是可行的。</w:t>
            </w:r>
          </w:p>
        </w:tc>
      </w:tr>
    </w:tbl>
    <w:p w14:paraId="525E7B8F">
      <w:pPr>
        <w:pStyle w:val="52"/>
        <w:rPr>
          <w:color w:val="auto"/>
          <w:highlight w:val="none"/>
        </w:rPr>
        <w:sectPr>
          <w:pgSz w:w="11906" w:h="16838"/>
          <w:pgMar w:top="1440" w:right="1508" w:bottom="1440" w:left="1797" w:header="851" w:footer="992" w:gutter="0"/>
          <w:pgBorders>
            <w:top w:val="none" w:sz="0" w:space="0"/>
            <w:left w:val="none" w:sz="0" w:space="0"/>
            <w:bottom w:val="none" w:sz="0" w:space="0"/>
            <w:right w:val="none" w:sz="0" w:space="0"/>
          </w:pgBorders>
          <w:cols w:space="720" w:num="1"/>
          <w:docGrid w:type="lines" w:linePitch="312" w:charSpace="0"/>
        </w:sectPr>
      </w:pPr>
    </w:p>
    <w:p w14:paraId="0AABB505">
      <w:pPr>
        <w:widowControl/>
        <w:outlineLvl w:val="0"/>
        <w:rPr>
          <w:rFonts w:ascii="宋体" w:hAnsi="宋体"/>
          <w:b/>
          <w:bCs/>
          <w:color w:val="auto"/>
          <w:kern w:val="0"/>
          <w:sz w:val="30"/>
          <w:szCs w:val="30"/>
          <w:highlight w:val="none"/>
        </w:rPr>
      </w:pPr>
      <w:bookmarkStart w:id="24" w:name="_Toc140651378"/>
      <w:r>
        <w:rPr>
          <w:rFonts w:ascii="宋体" w:hAnsi="宋体"/>
          <w:b/>
          <w:bCs/>
          <w:color w:val="auto"/>
          <w:kern w:val="0"/>
          <w:sz w:val="30"/>
          <w:szCs w:val="30"/>
          <w:highlight w:val="none"/>
        </w:rPr>
        <w:t>附表</w:t>
      </w:r>
      <w:bookmarkEnd w:id="24"/>
    </w:p>
    <w:p w14:paraId="243CB0CE">
      <w:pPr>
        <w:spacing w:line="360" w:lineRule="auto"/>
        <w:jc w:val="center"/>
        <w:rPr>
          <w:rFonts w:ascii="宋体" w:hAnsi="宋体" w:cs="微软雅黑"/>
          <w:color w:val="auto"/>
          <w:sz w:val="30"/>
          <w:szCs w:val="30"/>
          <w:highlight w:val="none"/>
        </w:rPr>
      </w:pPr>
      <w:r>
        <w:rPr>
          <w:rFonts w:ascii="宋体" w:hAnsi="宋体" w:cs="微软雅黑"/>
          <w:color w:val="auto"/>
          <w:sz w:val="30"/>
          <w:szCs w:val="30"/>
          <w:highlight w:val="none"/>
        </w:rPr>
        <w:t>建设项目污染物排放量汇总表</w:t>
      </w:r>
    </w:p>
    <w:tbl>
      <w:tblPr>
        <w:tblStyle w:val="36"/>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326"/>
        <w:gridCol w:w="1441"/>
        <w:gridCol w:w="1729"/>
        <w:gridCol w:w="1295"/>
        <w:gridCol w:w="1729"/>
        <w:gridCol w:w="1729"/>
        <w:gridCol w:w="1586"/>
        <w:gridCol w:w="1729"/>
        <w:gridCol w:w="1450"/>
      </w:tblGrid>
      <w:tr w14:paraId="6F2571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794" w:hRule="atLeast"/>
        </w:trPr>
        <w:tc>
          <w:tcPr>
            <w:tcW w:w="473" w:type="pct"/>
            <w:tcBorders>
              <w:tl2br w:val="single" w:color="auto" w:sz="4" w:space="0"/>
            </w:tcBorders>
            <w:tcMar>
              <w:left w:w="28" w:type="dxa"/>
              <w:right w:w="28" w:type="dxa"/>
            </w:tcMar>
            <w:vAlign w:val="center"/>
          </w:tcPr>
          <w:p w14:paraId="4842DAA6">
            <w:pPr>
              <w:pStyle w:val="159"/>
              <w:spacing w:line="360" w:lineRule="auto"/>
              <w:jc w:val="right"/>
              <w:rPr>
                <w:rFonts w:hAnsi="宋体"/>
                <w:snapToGrid w:val="0"/>
                <w:color w:val="auto"/>
                <w:spacing w:val="-6"/>
                <w:kern w:val="21"/>
                <w:szCs w:val="24"/>
                <w:highlight w:val="none"/>
              </w:rPr>
            </w:pPr>
            <w:r>
              <w:rPr>
                <w:rFonts w:hAnsi="宋体"/>
                <w:snapToGrid w:val="0"/>
                <w:color w:val="auto"/>
                <w:spacing w:val="-6"/>
                <w:kern w:val="21"/>
                <w:szCs w:val="24"/>
                <w:highlight w:val="none"/>
              </w:rPr>
              <w:t>项目</w:t>
            </w:r>
          </w:p>
          <w:p w14:paraId="254E741A">
            <w:pPr>
              <w:pStyle w:val="159"/>
              <w:spacing w:line="360" w:lineRule="auto"/>
              <w:jc w:val="left"/>
              <w:rPr>
                <w:rFonts w:hAnsi="宋体"/>
                <w:snapToGrid w:val="0"/>
                <w:color w:val="auto"/>
                <w:spacing w:val="-6"/>
                <w:kern w:val="21"/>
                <w:szCs w:val="24"/>
                <w:highlight w:val="none"/>
              </w:rPr>
            </w:pPr>
            <w:r>
              <w:rPr>
                <w:rFonts w:hAnsi="宋体"/>
                <w:snapToGrid w:val="0"/>
                <w:color w:val="auto"/>
                <w:spacing w:val="-6"/>
                <w:kern w:val="21"/>
                <w:szCs w:val="24"/>
                <w:highlight w:val="none"/>
              </w:rPr>
              <w:t>分类</w:t>
            </w:r>
          </w:p>
        </w:tc>
        <w:tc>
          <w:tcPr>
            <w:tcW w:w="514" w:type="pct"/>
            <w:tcMar>
              <w:left w:w="28" w:type="dxa"/>
              <w:right w:w="28" w:type="dxa"/>
            </w:tcMar>
            <w:vAlign w:val="center"/>
          </w:tcPr>
          <w:p w14:paraId="30A4DF52">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污染物名称</w:t>
            </w:r>
          </w:p>
        </w:tc>
        <w:tc>
          <w:tcPr>
            <w:tcW w:w="617" w:type="pct"/>
            <w:tcMar>
              <w:left w:w="28" w:type="dxa"/>
              <w:right w:w="28" w:type="dxa"/>
            </w:tcMar>
            <w:vAlign w:val="center"/>
          </w:tcPr>
          <w:p w14:paraId="77DD52B6">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现有工程</w:t>
            </w:r>
          </w:p>
          <w:p w14:paraId="26558332">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排放量（固体废物产生量）</w:t>
            </w:r>
            <w:r>
              <w:rPr>
                <w:rFonts w:hAnsi="宋体"/>
                <w:snapToGrid w:val="0"/>
                <w:color w:val="auto"/>
                <w:spacing w:val="-6"/>
                <w:kern w:val="21"/>
                <w:szCs w:val="24"/>
                <w:highlight w:val="none"/>
              </w:rPr>
              <w:fldChar w:fldCharType="begin"/>
            </w:r>
            <w:r>
              <w:rPr>
                <w:rFonts w:hAnsi="宋体"/>
                <w:snapToGrid w:val="0"/>
                <w:color w:val="auto"/>
                <w:spacing w:val="-6"/>
                <w:kern w:val="21"/>
                <w:szCs w:val="24"/>
                <w:highlight w:val="none"/>
              </w:rPr>
              <w:instrText xml:space="preserve"> = 1 \* GB3 \* MERGEFORMAT </w:instrText>
            </w:r>
            <w:r>
              <w:rPr>
                <w:rFonts w:hAnsi="宋体"/>
                <w:snapToGrid w:val="0"/>
                <w:color w:val="auto"/>
                <w:spacing w:val="-6"/>
                <w:kern w:val="21"/>
                <w:szCs w:val="24"/>
                <w:highlight w:val="none"/>
              </w:rPr>
              <w:fldChar w:fldCharType="separate"/>
            </w:r>
            <w:r>
              <w:rPr>
                <w:rFonts w:hAnsi="宋体"/>
                <w:color w:val="auto"/>
                <w:szCs w:val="24"/>
                <w:highlight w:val="none"/>
              </w:rPr>
              <w:t>①</w:t>
            </w:r>
            <w:r>
              <w:rPr>
                <w:rFonts w:hAnsi="宋体"/>
                <w:snapToGrid w:val="0"/>
                <w:color w:val="auto"/>
                <w:spacing w:val="-6"/>
                <w:kern w:val="21"/>
                <w:szCs w:val="24"/>
                <w:highlight w:val="none"/>
              </w:rPr>
              <w:fldChar w:fldCharType="end"/>
            </w:r>
          </w:p>
        </w:tc>
        <w:tc>
          <w:tcPr>
            <w:tcW w:w="462" w:type="pct"/>
            <w:tcMar>
              <w:left w:w="28" w:type="dxa"/>
              <w:right w:w="28" w:type="dxa"/>
            </w:tcMar>
            <w:vAlign w:val="center"/>
          </w:tcPr>
          <w:p w14:paraId="6091668D">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现有工程</w:t>
            </w:r>
          </w:p>
          <w:p w14:paraId="5EE15EC2">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许可排放量</w:t>
            </w:r>
          </w:p>
          <w:p w14:paraId="71784823">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fldChar w:fldCharType="begin"/>
            </w:r>
            <w:r>
              <w:rPr>
                <w:rFonts w:hAnsi="宋体"/>
                <w:snapToGrid w:val="0"/>
                <w:color w:val="auto"/>
                <w:spacing w:val="-6"/>
                <w:kern w:val="21"/>
                <w:szCs w:val="24"/>
                <w:highlight w:val="none"/>
              </w:rPr>
              <w:instrText xml:space="preserve"> = 2 \* GB3 \* MERGEFORMAT </w:instrText>
            </w:r>
            <w:r>
              <w:rPr>
                <w:rFonts w:hAnsi="宋体"/>
                <w:snapToGrid w:val="0"/>
                <w:color w:val="auto"/>
                <w:spacing w:val="-6"/>
                <w:kern w:val="21"/>
                <w:szCs w:val="24"/>
                <w:highlight w:val="none"/>
              </w:rPr>
              <w:fldChar w:fldCharType="separate"/>
            </w:r>
            <w:r>
              <w:rPr>
                <w:rFonts w:hAnsi="宋体"/>
                <w:snapToGrid w:val="0"/>
                <w:color w:val="auto"/>
                <w:spacing w:val="-6"/>
                <w:kern w:val="21"/>
                <w:szCs w:val="24"/>
                <w:highlight w:val="none"/>
              </w:rPr>
              <w:t>②</w:t>
            </w:r>
            <w:r>
              <w:rPr>
                <w:rFonts w:hAnsi="宋体"/>
                <w:snapToGrid w:val="0"/>
                <w:color w:val="auto"/>
                <w:spacing w:val="-6"/>
                <w:kern w:val="21"/>
                <w:szCs w:val="24"/>
                <w:highlight w:val="none"/>
              </w:rPr>
              <w:fldChar w:fldCharType="end"/>
            </w:r>
          </w:p>
        </w:tc>
        <w:tc>
          <w:tcPr>
            <w:tcW w:w="617" w:type="pct"/>
            <w:tcMar>
              <w:left w:w="28" w:type="dxa"/>
              <w:right w:w="28" w:type="dxa"/>
            </w:tcMar>
            <w:vAlign w:val="center"/>
          </w:tcPr>
          <w:p w14:paraId="18335478">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在建工程</w:t>
            </w:r>
          </w:p>
          <w:p w14:paraId="235E0A11">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排放量（固体废物产生量）</w:t>
            </w:r>
            <w:r>
              <w:rPr>
                <w:rFonts w:hAnsi="宋体"/>
                <w:snapToGrid w:val="0"/>
                <w:color w:val="auto"/>
                <w:spacing w:val="-6"/>
                <w:kern w:val="21"/>
                <w:szCs w:val="24"/>
                <w:highlight w:val="none"/>
              </w:rPr>
              <w:fldChar w:fldCharType="begin"/>
            </w:r>
            <w:r>
              <w:rPr>
                <w:rFonts w:hAnsi="宋体"/>
                <w:snapToGrid w:val="0"/>
                <w:color w:val="auto"/>
                <w:spacing w:val="-6"/>
                <w:kern w:val="21"/>
                <w:szCs w:val="24"/>
                <w:highlight w:val="none"/>
              </w:rPr>
              <w:instrText xml:space="preserve"> = 3 \* GB3 \* MERGEFORMAT </w:instrText>
            </w:r>
            <w:r>
              <w:rPr>
                <w:rFonts w:hAnsi="宋体"/>
                <w:snapToGrid w:val="0"/>
                <w:color w:val="auto"/>
                <w:spacing w:val="-6"/>
                <w:kern w:val="21"/>
                <w:szCs w:val="24"/>
                <w:highlight w:val="none"/>
              </w:rPr>
              <w:fldChar w:fldCharType="separate"/>
            </w:r>
            <w:r>
              <w:rPr>
                <w:rFonts w:hAnsi="宋体"/>
                <w:color w:val="auto"/>
                <w:szCs w:val="24"/>
                <w:highlight w:val="none"/>
              </w:rPr>
              <w:t>③</w:t>
            </w:r>
            <w:r>
              <w:rPr>
                <w:rFonts w:hAnsi="宋体"/>
                <w:snapToGrid w:val="0"/>
                <w:color w:val="auto"/>
                <w:spacing w:val="-6"/>
                <w:kern w:val="21"/>
                <w:szCs w:val="24"/>
                <w:highlight w:val="none"/>
              </w:rPr>
              <w:fldChar w:fldCharType="end"/>
            </w:r>
          </w:p>
        </w:tc>
        <w:tc>
          <w:tcPr>
            <w:tcW w:w="617" w:type="pct"/>
            <w:tcMar>
              <w:left w:w="28" w:type="dxa"/>
              <w:right w:w="28" w:type="dxa"/>
            </w:tcMar>
            <w:vAlign w:val="center"/>
          </w:tcPr>
          <w:p w14:paraId="37D2E1C2">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本项目</w:t>
            </w:r>
          </w:p>
          <w:p w14:paraId="5BD3D7CE">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排放量（固体废物产生量）</w:t>
            </w:r>
            <w:r>
              <w:rPr>
                <w:rFonts w:hAnsi="宋体"/>
                <w:snapToGrid w:val="0"/>
                <w:color w:val="auto"/>
                <w:spacing w:val="-6"/>
                <w:kern w:val="21"/>
                <w:szCs w:val="24"/>
                <w:highlight w:val="none"/>
              </w:rPr>
              <w:fldChar w:fldCharType="begin"/>
            </w:r>
            <w:r>
              <w:rPr>
                <w:rFonts w:hAnsi="宋体"/>
                <w:snapToGrid w:val="0"/>
                <w:color w:val="auto"/>
                <w:spacing w:val="-6"/>
                <w:kern w:val="21"/>
                <w:szCs w:val="24"/>
                <w:highlight w:val="none"/>
              </w:rPr>
              <w:instrText xml:space="preserve"> = 4 \* GB3 \* MERGEFORMAT </w:instrText>
            </w:r>
            <w:r>
              <w:rPr>
                <w:rFonts w:hAnsi="宋体"/>
                <w:snapToGrid w:val="0"/>
                <w:color w:val="auto"/>
                <w:spacing w:val="-6"/>
                <w:kern w:val="21"/>
                <w:szCs w:val="24"/>
                <w:highlight w:val="none"/>
              </w:rPr>
              <w:fldChar w:fldCharType="separate"/>
            </w:r>
            <w:r>
              <w:rPr>
                <w:rFonts w:hAnsi="宋体"/>
                <w:color w:val="auto"/>
                <w:szCs w:val="24"/>
                <w:highlight w:val="none"/>
              </w:rPr>
              <w:t>④</w:t>
            </w:r>
            <w:r>
              <w:rPr>
                <w:rFonts w:hAnsi="宋体"/>
                <w:snapToGrid w:val="0"/>
                <w:color w:val="auto"/>
                <w:spacing w:val="-6"/>
                <w:kern w:val="21"/>
                <w:szCs w:val="24"/>
                <w:highlight w:val="none"/>
              </w:rPr>
              <w:fldChar w:fldCharType="end"/>
            </w:r>
          </w:p>
        </w:tc>
        <w:tc>
          <w:tcPr>
            <w:tcW w:w="566" w:type="pct"/>
            <w:tcMar>
              <w:left w:w="28" w:type="dxa"/>
              <w:right w:w="28" w:type="dxa"/>
            </w:tcMar>
            <w:vAlign w:val="center"/>
          </w:tcPr>
          <w:p w14:paraId="4FCD507B">
            <w:pPr>
              <w:pStyle w:val="159"/>
              <w:spacing w:line="360" w:lineRule="auto"/>
              <w:rPr>
                <w:rFonts w:hAnsi="宋体"/>
                <w:snapToGrid w:val="0"/>
                <w:color w:val="auto"/>
                <w:spacing w:val="-16"/>
                <w:kern w:val="21"/>
                <w:szCs w:val="24"/>
                <w:highlight w:val="none"/>
              </w:rPr>
            </w:pPr>
            <w:r>
              <w:rPr>
                <w:rFonts w:hAnsi="宋体"/>
                <w:snapToGrid w:val="0"/>
                <w:color w:val="auto"/>
                <w:spacing w:val="-16"/>
                <w:kern w:val="21"/>
                <w:szCs w:val="24"/>
                <w:highlight w:val="none"/>
              </w:rPr>
              <w:t>以新带老削减量</w:t>
            </w:r>
          </w:p>
          <w:p w14:paraId="512E1020">
            <w:pPr>
              <w:pStyle w:val="159"/>
              <w:spacing w:line="360" w:lineRule="auto"/>
              <w:rPr>
                <w:rFonts w:hAnsi="宋体"/>
                <w:snapToGrid w:val="0"/>
                <w:color w:val="auto"/>
                <w:spacing w:val="-16"/>
                <w:kern w:val="21"/>
                <w:szCs w:val="24"/>
                <w:highlight w:val="none"/>
              </w:rPr>
            </w:pPr>
            <w:r>
              <w:rPr>
                <w:rFonts w:hAnsi="宋体"/>
                <w:snapToGrid w:val="0"/>
                <w:color w:val="auto"/>
                <w:spacing w:val="-16"/>
                <w:kern w:val="21"/>
                <w:szCs w:val="24"/>
                <w:highlight w:val="none"/>
              </w:rPr>
              <w:t>（新建项目不填）</w:t>
            </w:r>
            <w:r>
              <w:rPr>
                <w:rFonts w:hAnsi="宋体"/>
                <w:snapToGrid w:val="0"/>
                <w:color w:val="auto"/>
                <w:spacing w:val="-16"/>
                <w:kern w:val="21"/>
                <w:szCs w:val="24"/>
                <w:highlight w:val="none"/>
              </w:rPr>
              <w:fldChar w:fldCharType="begin"/>
            </w:r>
            <w:r>
              <w:rPr>
                <w:rFonts w:hAnsi="宋体"/>
                <w:snapToGrid w:val="0"/>
                <w:color w:val="auto"/>
                <w:spacing w:val="-16"/>
                <w:kern w:val="21"/>
                <w:szCs w:val="24"/>
                <w:highlight w:val="none"/>
              </w:rPr>
              <w:instrText xml:space="preserve"> = 5 \* GB3 \* MERGEFORMAT </w:instrText>
            </w:r>
            <w:r>
              <w:rPr>
                <w:rFonts w:hAnsi="宋体"/>
                <w:snapToGrid w:val="0"/>
                <w:color w:val="auto"/>
                <w:spacing w:val="-16"/>
                <w:kern w:val="21"/>
                <w:szCs w:val="24"/>
                <w:highlight w:val="none"/>
              </w:rPr>
              <w:fldChar w:fldCharType="separate"/>
            </w:r>
            <w:r>
              <w:rPr>
                <w:rFonts w:hAnsi="宋体"/>
                <w:color w:val="auto"/>
                <w:szCs w:val="24"/>
                <w:highlight w:val="none"/>
              </w:rPr>
              <w:t>⑤</w:t>
            </w:r>
            <w:r>
              <w:rPr>
                <w:rFonts w:hAnsi="宋体"/>
                <w:snapToGrid w:val="0"/>
                <w:color w:val="auto"/>
                <w:spacing w:val="-16"/>
                <w:kern w:val="21"/>
                <w:szCs w:val="24"/>
                <w:highlight w:val="none"/>
              </w:rPr>
              <w:fldChar w:fldCharType="end"/>
            </w:r>
          </w:p>
        </w:tc>
        <w:tc>
          <w:tcPr>
            <w:tcW w:w="617" w:type="pct"/>
            <w:tcMar>
              <w:left w:w="28" w:type="dxa"/>
              <w:right w:w="28" w:type="dxa"/>
            </w:tcMar>
            <w:vAlign w:val="center"/>
          </w:tcPr>
          <w:p w14:paraId="1D18126A">
            <w:pPr>
              <w:pStyle w:val="159"/>
              <w:spacing w:line="360" w:lineRule="auto"/>
              <w:rPr>
                <w:rFonts w:hAnsi="宋体"/>
                <w:snapToGrid w:val="0"/>
                <w:color w:val="auto"/>
                <w:spacing w:val="-16"/>
                <w:kern w:val="21"/>
                <w:szCs w:val="24"/>
                <w:highlight w:val="none"/>
              </w:rPr>
            </w:pPr>
            <w:r>
              <w:rPr>
                <w:rFonts w:hAnsi="宋体"/>
                <w:snapToGrid w:val="0"/>
                <w:color w:val="auto"/>
                <w:spacing w:val="-16"/>
                <w:kern w:val="21"/>
                <w:szCs w:val="24"/>
                <w:highlight w:val="none"/>
              </w:rPr>
              <w:t>本项目建成后</w:t>
            </w:r>
          </w:p>
          <w:p w14:paraId="58CF8010">
            <w:pPr>
              <w:pStyle w:val="159"/>
              <w:spacing w:line="360" w:lineRule="auto"/>
              <w:rPr>
                <w:rFonts w:hAnsi="宋体"/>
                <w:snapToGrid w:val="0"/>
                <w:color w:val="auto"/>
                <w:spacing w:val="-16"/>
                <w:kern w:val="21"/>
                <w:szCs w:val="24"/>
                <w:highlight w:val="none"/>
              </w:rPr>
            </w:pPr>
            <w:r>
              <w:rPr>
                <w:rFonts w:hAnsi="宋体"/>
                <w:snapToGrid w:val="0"/>
                <w:color w:val="auto"/>
                <w:spacing w:val="-16"/>
                <w:kern w:val="21"/>
                <w:szCs w:val="24"/>
                <w:highlight w:val="none"/>
              </w:rPr>
              <w:t>全厂排放量（固体废物产生量）</w:t>
            </w:r>
            <w:r>
              <w:rPr>
                <w:rFonts w:hAnsi="宋体"/>
                <w:snapToGrid w:val="0"/>
                <w:color w:val="auto"/>
                <w:spacing w:val="-16"/>
                <w:kern w:val="21"/>
                <w:szCs w:val="24"/>
                <w:highlight w:val="none"/>
              </w:rPr>
              <w:fldChar w:fldCharType="begin"/>
            </w:r>
            <w:r>
              <w:rPr>
                <w:rFonts w:hAnsi="宋体"/>
                <w:snapToGrid w:val="0"/>
                <w:color w:val="auto"/>
                <w:spacing w:val="-16"/>
                <w:kern w:val="21"/>
                <w:szCs w:val="24"/>
                <w:highlight w:val="none"/>
              </w:rPr>
              <w:instrText xml:space="preserve"> = 6 \* GB3 \* MERGEFORMAT </w:instrText>
            </w:r>
            <w:r>
              <w:rPr>
                <w:rFonts w:hAnsi="宋体"/>
                <w:snapToGrid w:val="0"/>
                <w:color w:val="auto"/>
                <w:spacing w:val="-16"/>
                <w:kern w:val="21"/>
                <w:szCs w:val="24"/>
                <w:highlight w:val="none"/>
              </w:rPr>
              <w:fldChar w:fldCharType="separate"/>
            </w:r>
            <w:r>
              <w:rPr>
                <w:rFonts w:hAnsi="宋体"/>
                <w:color w:val="auto"/>
                <w:szCs w:val="24"/>
                <w:highlight w:val="none"/>
              </w:rPr>
              <w:t>⑥</w:t>
            </w:r>
            <w:r>
              <w:rPr>
                <w:rFonts w:hAnsi="宋体"/>
                <w:snapToGrid w:val="0"/>
                <w:color w:val="auto"/>
                <w:spacing w:val="-16"/>
                <w:kern w:val="21"/>
                <w:szCs w:val="24"/>
                <w:highlight w:val="none"/>
              </w:rPr>
              <w:fldChar w:fldCharType="end"/>
            </w:r>
          </w:p>
        </w:tc>
        <w:tc>
          <w:tcPr>
            <w:tcW w:w="517" w:type="pct"/>
            <w:tcMar>
              <w:left w:w="28" w:type="dxa"/>
              <w:right w:w="28" w:type="dxa"/>
            </w:tcMar>
            <w:vAlign w:val="center"/>
          </w:tcPr>
          <w:p w14:paraId="79D50EAA">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t>变化量</w:t>
            </w:r>
          </w:p>
          <w:p w14:paraId="7EEE1239">
            <w:pPr>
              <w:pStyle w:val="159"/>
              <w:spacing w:line="360" w:lineRule="auto"/>
              <w:rPr>
                <w:rFonts w:hAnsi="宋体"/>
                <w:snapToGrid w:val="0"/>
                <w:color w:val="auto"/>
                <w:spacing w:val="-6"/>
                <w:kern w:val="21"/>
                <w:szCs w:val="24"/>
                <w:highlight w:val="none"/>
              </w:rPr>
            </w:pPr>
            <w:r>
              <w:rPr>
                <w:rFonts w:hAnsi="宋体"/>
                <w:snapToGrid w:val="0"/>
                <w:color w:val="auto"/>
                <w:spacing w:val="-6"/>
                <w:kern w:val="21"/>
                <w:szCs w:val="24"/>
                <w:highlight w:val="none"/>
              </w:rPr>
              <w:fldChar w:fldCharType="begin"/>
            </w:r>
            <w:r>
              <w:rPr>
                <w:rFonts w:hAnsi="宋体"/>
                <w:snapToGrid w:val="0"/>
                <w:color w:val="auto"/>
                <w:spacing w:val="-6"/>
                <w:kern w:val="21"/>
                <w:szCs w:val="24"/>
                <w:highlight w:val="none"/>
              </w:rPr>
              <w:instrText xml:space="preserve"> = 7 \* GB3 \* MERGEFORMAT </w:instrText>
            </w:r>
            <w:r>
              <w:rPr>
                <w:rFonts w:hAnsi="宋体"/>
                <w:snapToGrid w:val="0"/>
                <w:color w:val="auto"/>
                <w:spacing w:val="-6"/>
                <w:kern w:val="21"/>
                <w:szCs w:val="24"/>
                <w:highlight w:val="none"/>
              </w:rPr>
              <w:fldChar w:fldCharType="separate"/>
            </w:r>
            <w:r>
              <w:rPr>
                <w:rFonts w:hAnsi="宋体"/>
                <w:color w:val="auto"/>
                <w:szCs w:val="24"/>
                <w:highlight w:val="none"/>
              </w:rPr>
              <w:t>⑦</w:t>
            </w:r>
            <w:r>
              <w:rPr>
                <w:rFonts w:hAnsi="宋体"/>
                <w:snapToGrid w:val="0"/>
                <w:color w:val="auto"/>
                <w:spacing w:val="-6"/>
                <w:kern w:val="21"/>
                <w:szCs w:val="24"/>
                <w:highlight w:val="none"/>
              </w:rPr>
              <w:fldChar w:fldCharType="end"/>
            </w:r>
          </w:p>
        </w:tc>
      </w:tr>
      <w:tr w14:paraId="58B441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3" w:type="pct"/>
            <w:vAlign w:val="center"/>
          </w:tcPr>
          <w:p w14:paraId="4AFDDC29">
            <w:pPr>
              <w:pStyle w:val="159"/>
              <w:spacing w:line="360" w:lineRule="auto"/>
              <w:rPr>
                <w:snapToGrid w:val="0"/>
                <w:color w:val="auto"/>
                <w:kern w:val="21"/>
                <w:szCs w:val="24"/>
                <w:highlight w:val="none"/>
              </w:rPr>
            </w:pPr>
            <w:r>
              <w:rPr>
                <w:rFonts w:hint="eastAsia"/>
                <w:snapToGrid w:val="0"/>
                <w:color w:val="auto"/>
                <w:kern w:val="21"/>
                <w:szCs w:val="24"/>
                <w:highlight w:val="none"/>
              </w:rPr>
              <w:t>废气</w:t>
            </w:r>
          </w:p>
        </w:tc>
        <w:tc>
          <w:tcPr>
            <w:tcW w:w="514" w:type="pct"/>
            <w:vAlign w:val="center"/>
          </w:tcPr>
          <w:p w14:paraId="0F591B0A">
            <w:pPr>
              <w:pStyle w:val="159"/>
              <w:spacing w:line="360" w:lineRule="auto"/>
              <w:rPr>
                <w:snapToGrid w:val="0"/>
                <w:color w:val="auto"/>
                <w:kern w:val="21"/>
                <w:szCs w:val="24"/>
                <w:highlight w:val="none"/>
              </w:rPr>
            </w:pPr>
            <w:r>
              <w:rPr>
                <w:snapToGrid w:val="0"/>
                <w:color w:val="auto"/>
                <w:kern w:val="21"/>
                <w:szCs w:val="24"/>
                <w:highlight w:val="none"/>
              </w:rPr>
              <w:t>非甲烷总烃</w:t>
            </w:r>
          </w:p>
        </w:tc>
        <w:tc>
          <w:tcPr>
            <w:tcW w:w="617" w:type="pct"/>
            <w:vAlign w:val="center"/>
          </w:tcPr>
          <w:p w14:paraId="39408C06">
            <w:pPr>
              <w:pStyle w:val="159"/>
              <w:spacing w:line="360" w:lineRule="auto"/>
              <w:rPr>
                <w:snapToGrid w:val="0"/>
                <w:color w:val="auto"/>
                <w:kern w:val="21"/>
                <w:szCs w:val="24"/>
                <w:highlight w:val="none"/>
              </w:rPr>
            </w:pPr>
            <w:r>
              <w:rPr>
                <w:rFonts w:hint="eastAsia"/>
                <w:snapToGrid w:val="0"/>
                <w:color w:val="auto"/>
                <w:kern w:val="21"/>
                <w:szCs w:val="24"/>
                <w:highlight w:val="none"/>
              </w:rPr>
              <w:t>0</w:t>
            </w:r>
          </w:p>
        </w:tc>
        <w:tc>
          <w:tcPr>
            <w:tcW w:w="462" w:type="pct"/>
            <w:vAlign w:val="center"/>
          </w:tcPr>
          <w:p w14:paraId="1BEEF621">
            <w:pPr>
              <w:pStyle w:val="159"/>
              <w:spacing w:line="360" w:lineRule="auto"/>
              <w:rPr>
                <w:snapToGrid w:val="0"/>
                <w:color w:val="auto"/>
                <w:kern w:val="21"/>
                <w:szCs w:val="24"/>
                <w:highlight w:val="none"/>
              </w:rPr>
            </w:pPr>
            <w:r>
              <w:rPr>
                <w:rFonts w:hint="eastAsia"/>
                <w:snapToGrid w:val="0"/>
                <w:color w:val="auto"/>
                <w:kern w:val="21"/>
                <w:szCs w:val="24"/>
                <w:highlight w:val="none"/>
              </w:rPr>
              <w:t>0</w:t>
            </w:r>
          </w:p>
        </w:tc>
        <w:tc>
          <w:tcPr>
            <w:tcW w:w="617" w:type="pct"/>
            <w:vAlign w:val="center"/>
          </w:tcPr>
          <w:p w14:paraId="53CC46F6">
            <w:pPr>
              <w:pStyle w:val="159"/>
              <w:spacing w:line="360" w:lineRule="auto"/>
              <w:rPr>
                <w:snapToGrid w:val="0"/>
                <w:color w:val="auto"/>
                <w:kern w:val="21"/>
                <w:szCs w:val="24"/>
                <w:highlight w:val="none"/>
              </w:rPr>
            </w:pPr>
            <w:r>
              <w:rPr>
                <w:rFonts w:hint="eastAsia"/>
                <w:snapToGrid w:val="0"/>
                <w:color w:val="auto"/>
                <w:kern w:val="21"/>
                <w:szCs w:val="24"/>
                <w:highlight w:val="none"/>
              </w:rPr>
              <w:t>0</w:t>
            </w:r>
          </w:p>
        </w:tc>
        <w:tc>
          <w:tcPr>
            <w:tcW w:w="617" w:type="pct"/>
            <w:vAlign w:val="center"/>
          </w:tcPr>
          <w:p w14:paraId="4C3F3A22">
            <w:pPr>
              <w:pStyle w:val="108"/>
              <w:spacing w:line="360" w:lineRule="auto"/>
              <w:rPr>
                <w:color w:val="auto"/>
                <w:sz w:val="24"/>
                <w:szCs w:val="24"/>
                <w:highlight w:val="none"/>
              </w:rPr>
            </w:pPr>
            <w:r>
              <w:rPr>
                <w:rFonts w:hint="eastAsia"/>
                <w:color w:val="auto"/>
                <w:sz w:val="24"/>
                <w:szCs w:val="24"/>
                <w:highlight w:val="none"/>
              </w:rPr>
              <w:t>0</w:t>
            </w:r>
          </w:p>
        </w:tc>
        <w:tc>
          <w:tcPr>
            <w:tcW w:w="566" w:type="pct"/>
            <w:vAlign w:val="center"/>
          </w:tcPr>
          <w:p w14:paraId="1BA0A9B1">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617" w:type="pct"/>
            <w:vAlign w:val="center"/>
          </w:tcPr>
          <w:p w14:paraId="543A40D3">
            <w:pPr>
              <w:pStyle w:val="108"/>
              <w:spacing w:line="360" w:lineRule="auto"/>
              <w:rPr>
                <w:color w:val="auto"/>
                <w:sz w:val="24"/>
                <w:szCs w:val="24"/>
                <w:highlight w:val="none"/>
              </w:rPr>
            </w:pPr>
            <w:r>
              <w:rPr>
                <w:rFonts w:hint="eastAsia"/>
                <w:color w:val="auto"/>
                <w:sz w:val="24"/>
                <w:szCs w:val="24"/>
                <w:highlight w:val="none"/>
              </w:rPr>
              <w:t>0</w:t>
            </w:r>
          </w:p>
        </w:tc>
        <w:tc>
          <w:tcPr>
            <w:tcW w:w="517" w:type="pct"/>
            <w:vAlign w:val="center"/>
          </w:tcPr>
          <w:p w14:paraId="76C465FE">
            <w:pPr>
              <w:pStyle w:val="108"/>
              <w:spacing w:line="360" w:lineRule="auto"/>
              <w:rPr>
                <w:color w:val="auto"/>
                <w:sz w:val="24"/>
                <w:szCs w:val="24"/>
                <w:highlight w:val="none"/>
              </w:rPr>
            </w:pPr>
            <w:r>
              <w:rPr>
                <w:rFonts w:hint="eastAsia"/>
                <w:color w:val="auto"/>
                <w:sz w:val="24"/>
                <w:szCs w:val="24"/>
                <w:highlight w:val="none"/>
              </w:rPr>
              <w:t>0</w:t>
            </w:r>
          </w:p>
        </w:tc>
      </w:tr>
      <w:tr w14:paraId="29733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3" w:type="pct"/>
            <w:vMerge w:val="restart"/>
            <w:vAlign w:val="center"/>
          </w:tcPr>
          <w:p w14:paraId="65EA8B8E">
            <w:pPr>
              <w:pStyle w:val="159"/>
              <w:spacing w:line="360" w:lineRule="auto"/>
              <w:rPr>
                <w:rFonts w:hAnsi="宋体"/>
                <w:snapToGrid w:val="0"/>
                <w:color w:val="auto"/>
                <w:kern w:val="21"/>
                <w:szCs w:val="24"/>
                <w:highlight w:val="none"/>
              </w:rPr>
            </w:pPr>
            <w:r>
              <w:rPr>
                <w:rFonts w:hAnsi="宋体"/>
                <w:snapToGrid w:val="0"/>
                <w:color w:val="auto"/>
                <w:kern w:val="21"/>
                <w:szCs w:val="24"/>
                <w:highlight w:val="none"/>
              </w:rPr>
              <w:t>废水</w:t>
            </w:r>
          </w:p>
        </w:tc>
        <w:tc>
          <w:tcPr>
            <w:tcW w:w="514" w:type="pct"/>
            <w:vAlign w:val="center"/>
          </w:tcPr>
          <w:p w14:paraId="2485FD81">
            <w:pPr>
              <w:pStyle w:val="159"/>
              <w:spacing w:line="360" w:lineRule="auto"/>
              <w:rPr>
                <w:snapToGrid w:val="0"/>
                <w:color w:val="auto"/>
                <w:kern w:val="21"/>
                <w:szCs w:val="24"/>
                <w:highlight w:val="none"/>
              </w:rPr>
            </w:pPr>
            <w:r>
              <w:rPr>
                <w:rFonts w:hint="eastAsia"/>
                <w:snapToGrid w:val="0"/>
                <w:color w:val="auto"/>
                <w:kern w:val="21"/>
                <w:szCs w:val="24"/>
                <w:highlight w:val="none"/>
              </w:rPr>
              <w:t>COD</w:t>
            </w:r>
          </w:p>
        </w:tc>
        <w:tc>
          <w:tcPr>
            <w:tcW w:w="617" w:type="pct"/>
            <w:vAlign w:val="center"/>
          </w:tcPr>
          <w:p w14:paraId="373871BC">
            <w:pPr>
              <w:pStyle w:val="159"/>
              <w:spacing w:line="360" w:lineRule="auto"/>
              <w:rPr>
                <w:rFonts w:hint="default" w:eastAsia="宋体"/>
                <w:snapToGrid w:val="0"/>
                <w:color w:val="auto"/>
                <w:kern w:val="21"/>
                <w:szCs w:val="24"/>
                <w:highlight w:val="none"/>
                <w:lang w:val="en-US" w:eastAsia="zh-CN"/>
              </w:rPr>
            </w:pPr>
            <w:r>
              <w:rPr>
                <w:rFonts w:hint="eastAsia"/>
                <w:snapToGrid w:val="0"/>
                <w:color w:val="auto"/>
                <w:kern w:val="21"/>
                <w:szCs w:val="24"/>
                <w:highlight w:val="none"/>
                <w:lang w:val="en-US" w:eastAsia="zh-CN"/>
              </w:rPr>
              <w:t>0.022</w:t>
            </w:r>
            <w:r>
              <w:rPr>
                <w:rFonts w:hint="eastAsia"/>
                <w:color w:val="auto"/>
                <w:sz w:val="24"/>
                <w:szCs w:val="24"/>
                <w:highlight w:val="none"/>
              </w:rPr>
              <w:t>t/a</w:t>
            </w:r>
          </w:p>
        </w:tc>
        <w:tc>
          <w:tcPr>
            <w:tcW w:w="1295" w:type="dxa"/>
            <w:vAlign w:val="center"/>
          </w:tcPr>
          <w:p w14:paraId="77CC1185">
            <w:pPr>
              <w:pStyle w:val="108"/>
              <w:spacing w:line="360" w:lineRule="auto"/>
              <w:rPr>
                <w:snapToGrid w:val="0"/>
                <w:color w:val="auto"/>
                <w:kern w:val="21"/>
                <w:szCs w:val="24"/>
                <w:highlight w:val="none"/>
              </w:rPr>
            </w:pPr>
            <w:r>
              <w:rPr>
                <w:rFonts w:hint="eastAsia"/>
                <w:color w:val="auto"/>
                <w:sz w:val="24"/>
                <w:szCs w:val="24"/>
                <w:highlight w:val="none"/>
              </w:rPr>
              <w:t>0.030t/a</w:t>
            </w:r>
          </w:p>
        </w:tc>
        <w:tc>
          <w:tcPr>
            <w:tcW w:w="617" w:type="pct"/>
            <w:vAlign w:val="center"/>
          </w:tcPr>
          <w:p w14:paraId="003B3EF2">
            <w:pPr>
              <w:pStyle w:val="159"/>
              <w:spacing w:line="360" w:lineRule="auto"/>
              <w:rPr>
                <w:snapToGrid w:val="0"/>
                <w:color w:val="auto"/>
                <w:kern w:val="21"/>
                <w:szCs w:val="24"/>
                <w:highlight w:val="none"/>
              </w:rPr>
            </w:pPr>
            <w:r>
              <w:rPr>
                <w:snapToGrid w:val="0"/>
                <w:color w:val="auto"/>
                <w:kern w:val="21"/>
                <w:szCs w:val="24"/>
                <w:highlight w:val="none"/>
              </w:rPr>
              <w:t>0</w:t>
            </w:r>
          </w:p>
        </w:tc>
        <w:tc>
          <w:tcPr>
            <w:tcW w:w="617" w:type="pct"/>
            <w:vAlign w:val="center"/>
          </w:tcPr>
          <w:p w14:paraId="358E11CE">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c>
          <w:tcPr>
            <w:tcW w:w="566" w:type="pct"/>
            <w:vAlign w:val="center"/>
          </w:tcPr>
          <w:p w14:paraId="7823661D">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1729" w:type="dxa"/>
            <w:vAlign w:val="center"/>
          </w:tcPr>
          <w:p w14:paraId="5573FAC7">
            <w:pPr>
              <w:pStyle w:val="159"/>
              <w:spacing w:line="360" w:lineRule="auto"/>
              <w:rPr>
                <w:color w:val="auto"/>
                <w:sz w:val="24"/>
                <w:szCs w:val="24"/>
                <w:highlight w:val="none"/>
              </w:rPr>
            </w:pPr>
            <w:r>
              <w:rPr>
                <w:rFonts w:hint="eastAsia"/>
                <w:snapToGrid w:val="0"/>
                <w:color w:val="auto"/>
                <w:kern w:val="21"/>
                <w:szCs w:val="24"/>
                <w:highlight w:val="none"/>
                <w:lang w:val="en-US" w:eastAsia="zh-CN"/>
              </w:rPr>
              <w:t>0.022</w:t>
            </w:r>
            <w:r>
              <w:rPr>
                <w:rFonts w:hint="eastAsia"/>
                <w:color w:val="auto"/>
                <w:sz w:val="24"/>
                <w:szCs w:val="24"/>
                <w:highlight w:val="none"/>
              </w:rPr>
              <w:t>t/a</w:t>
            </w:r>
          </w:p>
        </w:tc>
        <w:tc>
          <w:tcPr>
            <w:tcW w:w="517" w:type="pct"/>
            <w:vAlign w:val="center"/>
          </w:tcPr>
          <w:p w14:paraId="57EE7140">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r>
      <w:tr w14:paraId="2C4C6F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3" w:type="pct"/>
            <w:vMerge w:val="continue"/>
            <w:vAlign w:val="center"/>
          </w:tcPr>
          <w:p w14:paraId="038981F9">
            <w:pPr>
              <w:pStyle w:val="159"/>
              <w:spacing w:line="360" w:lineRule="auto"/>
              <w:rPr>
                <w:rFonts w:hAnsi="宋体"/>
                <w:snapToGrid w:val="0"/>
                <w:color w:val="auto"/>
                <w:kern w:val="21"/>
                <w:szCs w:val="24"/>
                <w:highlight w:val="none"/>
              </w:rPr>
            </w:pPr>
          </w:p>
        </w:tc>
        <w:tc>
          <w:tcPr>
            <w:tcW w:w="514" w:type="pct"/>
            <w:vAlign w:val="center"/>
          </w:tcPr>
          <w:p w14:paraId="120581FA">
            <w:pPr>
              <w:pStyle w:val="159"/>
              <w:spacing w:line="360" w:lineRule="auto"/>
              <w:rPr>
                <w:snapToGrid w:val="0"/>
                <w:color w:val="auto"/>
                <w:kern w:val="21"/>
                <w:szCs w:val="24"/>
                <w:highlight w:val="none"/>
              </w:rPr>
            </w:pPr>
            <w:r>
              <w:rPr>
                <w:rFonts w:hint="eastAsia"/>
                <w:snapToGrid w:val="0"/>
                <w:color w:val="auto"/>
                <w:kern w:val="21"/>
                <w:szCs w:val="24"/>
                <w:highlight w:val="none"/>
              </w:rPr>
              <w:t>BOD</w:t>
            </w:r>
            <w:r>
              <w:rPr>
                <w:rFonts w:hint="eastAsia"/>
                <w:snapToGrid w:val="0"/>
                <w:color w:val="auto"/>
                <w:kern w:val="21"/>
                <w:szCs w:val="24"/>
                <w:highlight w:val="none"/>
                <w:vertAlign w:val="subscript"/>
              </w:rPr>
              <w:t>5</w:t>
            </w:r>
          </w:p>
        </w:tc>
        <w:tc>
          <w:tcPr>
            <w:tcW w:w="617" w:type="pct"/>
            <w:vAlign w:val="center"/>
          </w:tcPr>
          <w:p w14:paraId="45F99C69">
            <w:pPr>
              <w:pStyle w:val="159"/>
              <w:spacing w:line="360" w:lineRule="auto"/>
              <w:rPr>
                <w:rFonts w:hint="eastAsia" w:eastAsia="宋体"/>
                <w:snapToGrid w:val="0"/>
                <w:color w:val="auto"/>
                <w:kern w:val="21"/>
                <w:szCs w:val="24"/>
                <w:highlight w:val="none"/>
                <w:lang w:eastAsia="zh-CN"/>
              </w:rPr>
            </w:pPr>
            <w:r>
              <w:rPr>
                <w:rFonts w:hint="eastAsia"/>
                <w:snapToGrid w:val="0"/>
                <w:color w:val="auto"/>
                <w:kern w:val="21"/>
                <w:szCs w:val="24"/>
                <w:highlight w:val="none"/>
                <w:lang w:val="en-US" w:eastAsia="zh-CN"/>
              </w:rPr>
              <w:t>/</w:t>
            </w:r>
          </w:p>
        </w:tc>
        <w:tc>
          <w:tcPr>
            <w:tcW w:w="1295" w:type="dxa"/>
            <w:vAlign w:val="center"/>
          </w:tcPr>
          <w:p w14:paraId="61C1C35A">
            <w:pPr>
              <w:pStyle w:val="108"/>
              <w:spacing w:line="360" w:lineRule="auto"/>
              <w:rPr>
                <w:snapToGrid w:val="0"/>
                <w:color w:val="auto"/>
                <w:kern w:val="21"/>
                <w:szCs w:val="24"/>
                <w:highlight w:val="none"/>
              </w:rPr>
            </w:pPr>
            <w:r>
              <w:rPr>
                <w:rFonts w:hint="eastAsia"/>
                <w:color w:val="auto"/>
                <w:sz w:val="24"/>
                <w:szCs w:val="24"/>
                <w:highlight w:val="none"/>
              </w:rPr>
              <w:t>0.006t/a</w:t>
            </w:r>
          </w:p>
        </w:tc>
        <w:tc>
          <w:tcPr>
            <w:tcW w:w="617" w:type="pct"/>
            <w:vAlign w:val="center"/>
          </w:tcPr>
          <w:p w14:paraId="5EF0F6D0">
            <w:pPr>
              <w:pStyle w:val="159"/>
              <w:spacing w:line="360" w:lineRule="auto"/>
              <w:rPr>
                <w:snapToGrid w:val="0"/>
                <w:color w:val="auto"/>
                <w:kern w:val="21"/>
                <w:szCs w:val="24"/>
                <w:highlight w:val="none"/>
              </w:rPr>
            </w:pPr>
            <w:r>
              <w:rPr>
                <w:snapToGrid w:val="0"/>
                <w:color w:val="auto"/>
                <w:kern w:val="21"/>
                <w:szCs w:val="24"/>
                <w:highlight w:val="none"/>
              </w:rPr>
              <w:t>0</w:t>
            </w:r>
          </w:p>
        </w:tc>
        <w:tc>
          <w:tcPr>
            <w:tcW w:w="617" w:type="pct"/>
            <w:vAlign w:val="center"/>
          </w:tcPr>
          <w:p w14:paraId="55B59862">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c>
          <w:tcPr>
            <w:tcW w:w="566" w:type="pct"/>
            <w:vAlign w:val="center"/>
          </w:tcPr>
          <w:p w14:paraId="1D9DE649">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1729" w:type="dxa"/>
            <w:vAlign w:val="center"/>
          </w:tcPr>
          <w:p w14:paraId="3AC8F94B">
            <w:pPr>
              <w:pStyle w:val="159"/>
              <w:spacing w:line="360" w:lineRule="auto"/>
              <w:rPr>
                <w:color w:val="auto"/>
                <w:sz w:val="24"/>
                <w:szCs w:val="24"/>
                <w:highlight w:val="none"/>
              </w:rPr>
            </w:pPr>
            <w:r>
              <w:rPr>
                <w:rFonts w:hint="eastAsia"/>
                <w:snapToGrid w:val="0"/>
                <w:color w:val="auto"/>
                <w:kern w:val="21"/>
                <w:szCs w:val="24"/>
                <w:highlight w:val="none"/>
                <w:lang w:val="en-US" w:eastAsia="zh-CN"/>
              </w:rPr>
              <w:t>/</w:t>
            </w:r>
          </w:p>
        </w:tc>
        <w:tc>
          <w:tcPr>
            <w:tcW w:w="517" w:type="pct"/>
            <w:vAlign w:val="center"/>
          </w:tcPr>
          <w:p w14:paraId="634B3E61">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r>
      <w:tr w14:paraId="79F25D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3" w:type="pct"/>
            <w:vMerge w:val="continue"/>
            <w:vAlign w:val="center"/>
          </w:tcPr>
          <w:p w14:paraId="6C938EC6">
            <w:pPr>
              <w:pStyle w:val="159"/>
              <w:spacing w:line="360" w:lineRule="auto"/>
              <w:rPr>
                <w:rFonts w:hAnsi="宋体"/>
                <w:snapToGrid w:val="0"/>
                <w:color w:val="auto"/>
                <w:kern w:val="21"/>
                <w:szCs w:val="24"/>
                <w:highlight w:val="none"/>
              </w:rPr>
            </w:pPr>
          </w:p>
        </w:tc>
        <w:tc>
          <w:tcPr>
            <w:tcW w:w="514" w:type="pct"/>
            <w:vAlign w:val="center"/>
          </w:tcPr>
          <w:p w14:paraId="323E734A">
            <w:pPr>
              <w:pStyle w:val="159"/>
              <w:spacing w:line="360" w:lineRule="auto"/>
              <w:rPr>
                <w:snapToGrid w:val="0"/>
                <w:color w:val="auto"/>
                <w:kern w:val="21"/>
                <w:szCs w:val="24"/>
                <w:highlight w:val="none"/>
              </w:rPr>
            </w:pPr>
            <w:r>
              <w:rPr>
                <w:rFonts w:hint="eastAsia"/>
                <w:snapToGrid w:val="0"/>
                <w:color w:val="auto"/>
                <w:kern w:val="21"/>
                <w:szCs w:val="24"/>
                <w:highlight w:val="none"/>
              </w:rPr>
              <w:t>NH</w:t>
            </w:r>
            <w:r>
              <w:rPr>
                <w:rFonts w:hint="eastAsia"/>
                <w:snapToGrid w:val="0"/>
                <w:color w:val="auto"/>
                <w:kern w:val="21"/>
                <w:szCs w:val="24"/>
                <w:highlight w:val="none"/>
                <w:vertAlign w:val="subscript"/>
              </w:rPr>
              <w:t>3</w:t>
            </w:r>
            <w:r>
              <w:rPr>
                <w:rFonts w:hint="eastAsia"/>
                <w:snapToGrid w:val="0"/>
                <w:color w:val="auto"/>
                <w:kern w:val="21"/>
                <w:szCs w:val="24"/>
                <w:highlight w:val="none"/>
              </w:rPr>
              <w:t>-N</w:t>
            </w:r>
          </w:p>
        </w:tc>
        <w:tc>
          <w:tcPr>
            <w:tcW w:w="617" w:type="pct"/>
            <w:vAlign w:val="center"/>
          </w:tcPr>
          <w:p w14:paraId="1474D1B1">
            <w:pPr>
              <w:pStyle w:val="159"/>
              <w:spacing w:line="360" w:lineRule="auto"/>
              <w:rPr>
                <w:rFonts w:hint="default" w:eastAsia="宋体"/>
                <w:snapToGrid w:val="0"/>
                <w:color w:val="auto"/>
                <w:kern w:val="21"/>
                <w:szCs w:val="24"/>
                <w:highlight w:val="none"/>
                <w:lang w:val="en-US" w:eastAsia="zh-CN"/>
              </w:rPr>
            </w:pPr>
            <w:r>
              <w:rPr>
                <w:rFonts w:hint="eastAsia"/>
                <w:snapToGrid w:val="0"/>
                <w:color w:val="auto"/>
                <w:kern w:val="21"/>
                <w:szCs w:val="24"/>
                <w:highlight w:val="none"/>
                <w:lang w:val="en-US" w:eastAsia="zh-CN"/>
              </w:rPr>
              <w:t>0.002</w:t>
            </w:r>
            <w:r>
              <w:rPr>
                <w:rFonts w:hint="eastAsia"/>
                <w:color w:val="auto"/>
                <w:sz w:val="24"/>
                <w:szCs w:val="24"/>
                <w:highlight w:val="none"/>
              </w:rPr>
              <w:t>t/a</w:t>
            </w:r>
          </w:p>
        </w:tc>
        <w:tc>
          <w:tcPr>
            <w:tcW w:w="1295" w:type="dxa"/>
            <w:vAlign w:val="center"/>
          </w:tcPr>
          <w:p w14:paraId="09BFBA0C">
            <w:pPr>
              <w:pStyle w:val="108"/>
              <w:spacing w:line="360" w:lineRule="auto"/>
              <w:rPr>
                <w:snapToGrid w:val="0"/>
                <w:color w:val="auto"/>
                <w:kern w:val="21"/>
                <w:szCs w:val="24"/>
                <w:highlight w:val="none"/>
              </w:rPr>
            </w:pPr>
            <w:r>
              <w:rPr>
                <w:rFonts w:hint="eastAsia"/>
                <w:color w:val="auto"/>
                <w:sz w:val="24"/>
                <w:szCs w:val="24"/>
                <w:highlight w:val="none"/>
              </w:rPr>
              <w:t>0.003t/a</w:t>
            </w:r>
          </w:p>
        </w:tc>
        <w:tc>
          <w:tcPr>
            <w:tcW w:w="617" w:type="pct"/>
            <w:vAlign w:val="center"/>
          </w:tcPr>
          <w:p w14:paraId="67FF8D1B">
            <w:pPr>
              <w:pStyle w:val="159"/>
              <w:spacing w:line="360" w:lineRule="auto"/>
              <w:rPr>
                <w:snapToGrid w:val="0"/>
                <w:color w:val="auto"/>
                <w:kern w:val="21"/>
                <w:szCs w:val="24"/>
                <w:highlight w:val="none"/>
              </w:rPr>
            </w:pPr>
            <w:r>
              <w:rPr>
                <w:snapToGrid w:val="0"/>
                <w:color w:val="auto"/>
                <w:kern w:val="21"/>
                <w:szCs w:val="24"/>
                <w:highlight w:val="none"/>
              </w:rPr>
              <w:t>0</w:t>
            </w:r>
          </w:p>
        </w:tc>
        <w:tc>
          <w:tcPr>
            <w:tcW w:w="617" w:type="pct"/>
            <w:vAlign w:val="center"/>
          </w:tcPr>
          <w:p w14:paraId="7B1D3B1D">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c>
          <w:tcPr>
            <w:tcW w:w="566" w:type="pct"/>
            <w:vAlign w:val="center"/>
          </w:tcPr>
          <w:p w14:paraId="4FAE0093">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1729" w:type="dxa"/>
            <w:vAlign w:val="center"/>
          </w:tcPr>
          <w:p w14:paraId="6EAF903E">
            <w:pPr>
              <w:pStyle w:val="159"/>
              <w:spacing w:line="360" w:lineRule="auto"/>
              <w:rPr>
                <w:color w:val="auto"/>
                <w:sz w:val="24"/>
                <w:szCs w:val="24"/>
                <w:highlight w:val="none"/>
              </w:rPr>
            </w:pPr>
            <w:r>
              <w:rPr>
                <w:rFonts w:hint="eastAsia"/>
                <w:snapToGrid w:val="0"/>
                <w:color w:val="auto"/>
                <w:kern w:val="21"/>
                <w:szCs w:val="24"/>
                <w:highlight w:val="none"/>
                <w:lang w:val="en-US" w:eastAsia="zh-CN"/>
              </w:rPr>
              <w:t>0.002</w:t>
            </w:r>
            <w:r>
              <w:rPr>
                <w:rFonts w:hint="eastAsia"/>
                <w:color w:val="auto"/>
                <w:sz w:val="24"/>
                <w:szCs w:val="24"/>
                <w:highlight w:val="none"/>
              </w:rPr>
              <w:t>t/a</w:t>
            </w:r>
          </w:p>
        </w:tc>
        <w:tc>
          <w:tcPr>
            <w:tcW w:w="517" w:type="pct"/>
            <w:vAlign w:val="center"/>
          </w:tcPr>
          <w:p w14:paraId="45A96FDE">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r>
      <w:tr w14:paraId="40EE9B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3" w:type="pct"/>
            <w:vMerge w:val="continue"/>
            <w:vAlign w:val="center"/>
          </w:tcPr>
          <w:p w14:paraId="7D9CA108">
            <w:pPr>
              <w:pStyle w:val="159"/>
              <w:spacing w:line="360" w:lineRule="auto"/>
              <w:rPr>
                <w:rFonts w:hAnsi="宋体"/>
                <w:snapToGrid w:val="0"/>
                <w:color w:val="auto"/>
                <w:kern w:val="21"/>
                <w:szCs w:val="24"/>
                <w:highlight w:val="none"/>
              </w:rPr>
            </w:pPr>
          </w:p>
        </w:tc>
        <w:tc>
          <w:tcPr>
            <w:tcW w:w="514" w:type="pct"/>
            <w:vAlign w:val="center"/>
          </w:tcPr>
          <w:p w14:paraId="03791F48">
            <w:pPr>
              <w:pStyle w:val="159"/>
              <w:spacing w:line="360" w:lineRule="auto"/>
              <w:rPr>
                <w:snapToGrid w:val="0"/>
                <w:color w:val="auto"/>
                <w:kern w:val="21"/>
                <w:szCs w:val="24"/>
                <w:highlight w:val="none"/>
              </w:rPr>
            </w:pPr>
            <w:r>
              <w:rPr>
                <w:rFonts w:hint="eastAsia"/>
                <w:snapToGrid w:val="0"/>
                <w:color w:val="auto"/>
                <w:kern w:val="21"/>
                <w:szCs w:val="24"/>
                <w:highlight w:val="none"/>
              </w:rPr>
              <w:t>SS</w:t>
            </w:r>
          </w:p>
        </w:tc>
        <w:tc>
          <w:tcPr>
            <w:tcW w:w="617" w:type="pct"/>
            <w:vAlign w:val="center"/>
          </w:tcPr>
          <w:p w14:paraId="7632DB59">
            <w:pPr>
              <w:pStyle w:val="159"/>
              <w:spacing w:line="360" w:lineRule="auto"/>
              <w:rPr>
                <w:rFonts w:hint="eastAsia" w:eastAsia="宋体"/>
                <w:snapToGrid w:val="0"/>
                <w:color w:val="auto"/>
                <w:kern w:val="21"/>
                <w:szCs w:val="24"/>
                <w:highlight w:val="none"/>
                <w:lang w:eastAsia="zh-CN"/>
              </w:rPr>
            </w:pPr>
            <w:r>
              <w:rPr>
                <w:rFonts w:hint="eastAsia"/>
                <w:snapToGrid w:val="0"/>
                <w:color w:val="auto"/>
                <w:kern w:val="21"/>
                <w:szCs w:val="24"/>
                <w:highlight w:val="none"/>
                <w:lang w:val="en-US" w:eastAsia="zh-CN"/>
              </w:rPr>
              <w:t>/</w:t>
            </w:r>
          </w:p>
        </w:tc>
        <w:tc>
          <w:tcPr>
            <w:tcW w:w="1295" w:type="dxa"/>
            <w:vAlign w:val="center"/>
          </w:tcPr>
          <w:p w14:paraId="0BCE8E18">
            <w:pPr>
              <w:pStyle w:val="108"/>
              <w:spacing w:line="360" w:lineRule="auto"/>
              <w:rPr>
                <w:snapToGrid w:val="0"/>
                <w:color w:val="auto"/>
                <w:kern w:val="21"/>
                <w:szCs w:val="24"/>
                <w:highlight w:val="none"/>
              </w:rPr>
            </w:pPr>
            <w:r>
              <w:rPr>
                <w:rFonts w:hint="eastAsia"/>
                <w:color w:val="auto"/>
                <w:sz w:val="24"/>
                <w:szCs w:val="24"/>
                <w:highlight w:val="none"/>
              </w:rPr>
              <w:t>0.006t/a</w:t>
            </w:r>
          </w:p>
        </w:tc>
        <w:tc>
          <w:tcPr>
            <w:tcW w:w="617" w:type="pct"/>
            <w:vAlign w:val="center"/>
          </w:tcPr>
          <w:p w14:paraId="0142DE50">
            <w:pPr>
              <w:pStyle w:val="159"/>
              <w:spacing w:line="360" w:lineRule="auto"/>
              <w:rPr>
                <w:snapToGrid w:val="0"/>
                <w:color w:val="auto"/>
                <w:kern w:val="21"/>
                <w:szCs w:val="24"/>
                <w:highlight w:val="none"/>
              </w:rPr>
            </w:pPr>
            <w:r>
              <w:rPr>
                <w:snapToGrid w:val="0"/>
                <w:color w:val="auto"/>
                <w:kern w:val="21"/>
                <w:szCs w:val="24"/>
                <w:highlight w:val="none"/>
              </w:rPr>
              <w:t>0</w:t>
            </w:r>
          </w:p>
        </w:tc>
        <w:tc>
          <w:tcPr>
            <w:tcW w:w="617" w:type="pct"/>
            <w:vAlign w:val="center"/>
          </w:tcPr>
          <w:p w14:paraId="0174BC49">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c>
          <w:tcPr>
            <w:tcW w:w="566" w:type="pct"/>
            <w:vAlign w:val="center"/>
          </w:tcPr>
          <w:p w14:paraId="7C5F13A7">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1729" w:type="dxa"/>
            <w:vAlign w:val="center"/>
          </w:tcPr>
          <w:p w14:paraId="5595425A">
            <w:pPr>
              <w:pStyle w:val="159"/>
              <w:spacing w:line="360" w:lineRule="auto"/>
              <w:rPr>
                <w:color w:val="auto"/>
                <w:sz w:val="24"/>
                <w:szCs w:val="24"/>
                <w:highlight w:val="none"/>
              </w:rPr>
            </w:pPr>
            <w:r>
              <w:rPr>
                <w:rFonts w:hint="eastAsia"/>
                <w:snapToGrid w:val="0"/>
                <w:color w:val="auto"/>
                <w:kern w:val="21"/>
                <w:szCs w:val="24"/>
                <w:highlight w:val="none"/>
                <w:lang w:val="en-US" w:eastAsia="zh-CN"/>
              </w:rPr>
              <w:t>/</w:t>
            </w:r>
          </w:p>
        </w:tc>
        <w:tc>
          <w:tcPr>
            <w:tcW w:w="517" w:type="pct"/>
            <w:vAlign w:val="center"/>
          </w:tcPr>
          <w:p w14:paraId="0FE60823">
            <w:pPr>
              <w:pStyle w:val="108"/>
              <w:spacing w:line="360" w:lineRule="auto"/>
              <w:rPr>
                <w:rFonts w:hint="eastAsia" w:eastAsia="宋体"/>
                <w:color w:val="auto"/>
                <w:sz w:val="24"/>
                <w:szCs w:val="24"/>
                <w:highlight w:val="none"/>
                <w:lang w:val="en-US" w:eastAsia="zh-CN"/>
              </w:rPr>
            </w:pPr>
            <w:r>
              <w:rPr>
                <w:rFonts w:hint="eastAsia"/>
                <w:color w:val="auto"/>
                <w:sz w:val="24"/>
                <w:szCs w:val="24"/>
                <w:highlight w:val="none"/>
                <w:lang w:val="en-US" w:eastAsia="zh-CN"/>
              </w:rPr>
              <w:t>0</w:t>
            </w:r>
          </w:p>
        </w:tc>
      </w:tr>
      <w:tr w14:paraId="73E9BE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82" w:hRule="atLeast"/>
        </w:trPr>
        <w:tc>
          <w:tcPr>
            <w:tcW w:w="473" w:type="pct"/>
            <w:vAlign w:val="center"/>
          </w:tcPr>
          <w:p w14:paraId="0D4F6AC6">
            <w:pPr>
              <w:pStyle w:val="159"/>
              <w:spacing w:line="360" w:lineRule="auto"/>
              <w:rPr>
                <w:rFonts w:hAnsi="宋体"/>
                <w:snapToGrid w:val="0"/>
                <w:color w:val="auto"/>
                <w:kern w:val="21"/>
                <w:szCs w:val="24"/>
                <w:highlight w:val="none"/>
              </w:rPr>
            </w:pPr>
            <w:r>
              <w:rPr>
                <w:rFonts w:hAnsi="宋体"/>
                <w:snapToGrid w:val="0"/>
                <w:color w:val="auto"/>
                <w:kern w:val="21"/>
                <w:szCs w:val="24"/>
                <w:highlight w:val="none"/>
              </w:rPr>
              <w:t>固废</w:t>
            </w:r>
          </w:p>
        </w:tc>
        <w:tc>
          <w:tcPr>
            <w:tcW w:w="514" w:type="pct"/>
            <w:vAlign w:val="center"/>
          </w:tcPr>
          <w:p w14:paraId="7B18294D">
            <w:pPr>
              <w:pStyle w:val="159"/>
              <w:spacing w:line="360" w:lineRule="auto"/>
              <w:rPr>
                <w:snapToGrid w:val="0"/>
                <w:color w:val="auto"/>
                <w:kern w:val="21"/>
                <w:szCs w:val="24"/>
                <w:highlight w:val="none"/>
              </w:rPr>
            </w:pPr>
            <w:r>
              <w:rPr>
                <w:rFonts w:hint="eastAsia"/>
                <w:snapToGrid w:val="0"/>
                <w:color w:val="auto"/>
                <w:kern w:val="21"/>
                <w:szCs w:val="24"/>
                <w:highlight w:val="none"/>
              </w:rPr>
              <w:t>生活垃圾</w:t>
            </w:r>
          </w:p>
        </w:tc>
        <w:tc>
          <w:tcPr>
            <w:tcW w:w="617" w:type="pct"/>
            <w:vAlign w:val="center"/>
          </w:tcPr>
          <w:p w14:paraId="4BA59E55">
            <w:pPr>
              <w:pStyle w:val="159"/>
              <w:spacing w:line="360" w:lineRule="auto"/>
              <w:rPr>
                <w:snapToGrid w:val="0"/>
                <w:color w:val="auto"/>
                <w:kern w:val="21"/>
                <w:szCs w:val="24"/>
                <w:highlight w:val="none"/>
              </w:rPr>
            </w:pPr>
            <w:r>
              <w:rPr>
                <w:rFonts w:hint="eastAsia"/>
                <w:color w:val="auto"/>
                <w:sz w:val="24"/>
                <w:szCs w:val="24"/>
                <w:highlight w:val="none"/>
              </w:rPr>
              <w:t>3.75t/a</w:t>
            </w:r>
          </w:p>
        </w:tc>
        <w:tc>
          <w:tcPr>
            <w:tcW w:w="462" w:type="pct"/>
            <w:vAlign w:val="center"/>
          </w:tcPr>
          <w:p w14:paraId="19D28589">
            <w:pPr>
              <w:pStyle w:val="159"/>
              <w:spacing w:line="360" w:lineRule="auto"/>
              <w:rPr>
                <w:snapToGrid w:val="0"/>
                <w:color w:val="auto"/>
                <w:kern w:val="21"/>
                <w:szCs w:val="24"/>
                <w:highlight w:val="none"/>
              </w:rPr>
            </w:pPr>
            <w:r>
              <w:rPr>
                <w:rFonts w:hint="eastAsia"/>
                <w:snapToGrid w:val="0"/>
                <w:color w:val="auto"/>
                <w:kern w:val="21"/>
                <w:szCs w:val="24"/>
                <w:highlight w:val="none"/>
              </w:rPr>
              <w:t>0</w:t>
            </w:r>
          </w:p>
        </w:tc>
        <w:tc>
          <w:tcPr>
            <w:tcW w:w="617" w:type="pct"/>
            <w:vAlign w:val="center"/>
          </w:tcPr>
          <w:p w14:paraId="24322635">
            <w:pPr>
              <w:pStyle w:val="159"/>
              <w:spacing w:line="360" w:lineRule="auto"/>
              <w:rPr>
                <w:snapToGrid w:val="0"/>
                <w:color w:val="auto"/>
                <w:kern w:val="21"/>
                <w:szCs w:val="24"/>
                <w:highlight w:val="none"/>
              </w:rPr>
            </w:pPr>
            <w:r>
              <w:rPr>
                <w:rFonts w:hint="eastAsia"/>
                <w:snapToGrid w:val="0"/>
                <w:color w:val="auto"/>
                <w:kern w:val="21"/>
                <w:szCs w:val="24"/>
                <w:highlight w:val="none"/>
              </w:rPr>
              <w:t>0</w:t>
            </w:r>
          </w:p>
        </w:tc>
        <w:tc>
          <w:tcPr>
            <w:tcW w:w="617" w:type="pct"/>
            <w:vAlign w:val="center"/>
          </w:tcPr>
          <w:p w14:paraId="15CBB639">
            <w:pPr>
              <w:pStyle w:val="108"/>
              <w:spacing w:line="360" w:lineRule="auto"/>
              <w:rPr>
                <w:rFonts w:hint="eastAsia" w:eastAsia="宋体"/>
                <w:color w:val="auto"/>
                <w:sz w:val="24"/>
                <w:szCs w:val="24"/>
                <w:highlight w:val="none"/>
                <w:lang w:eastAsia="zh-CN"/>
              </w:rPr>
            </w:pPr>
            <w:r>
              <w:rPr>
                <w:rFonts w:hint="eastAsia"/>
                <w:color w:val="auto"/>
                <w:sz w:val="24"/>
                <w:szCs w:val="24"/>
                <w:highlight w:val="none"/>
                <w:lang w:val="en-US" w:eastAsia="zh-CN"/>
              </w:rPr>
              <w:t>0</w:t>
            </w:r>
          </w:p>
        </w:tc>
        <w:tc>
          <w:tcPr>
            <w:tcW w:w="566" w:type="pct"/>
            <w:vAlign w:val="center"/>
          </w:tcPr>
          <w:p w14:paraId="120B9F21">
            <w:pPr>
              <w:pStyle w:val="159"/>
              <w:spacing w:line="360" w:lineRule="auto"/>
              <w:rPr>
                <w:snapToGrid w:val="0"/>
                <w:color w:val="auto"/>
                <w:kern w:val="21"/>
                <w:szCs w:val="24"/>
                <w:highlight w:val="none"/>
              </w:rPr>
            </w:pPr>
            <w:r>
              <w:rPr>
                <w:rFonts w:hint="eastAsia"/>
                <w:snapToGrid w:val="0"/>
                <w:color w:val="auto"/>
                <w:kern w:val="21"/>
                <w:szCs w:val="24"/>
                <w:highlight w:val="none"/>
              </w:rPr>
              <w:t>/</w:t>
            </w:r>
          </w:p>
        </w:tc>
        <w:tc>
          <w:tcPr>
            <w:tcW w:w="617" w:type="pct"/>
            <w:vAlign w:val="center"/>
          </w:tcPr>
          <w:p w14:paraId="311CBABE">
            <w:pPr>
              <w:pStyle w:val="108"/>
              <w:spacing w:line="360" w:lineRule="auto"/>
              <w:rPr>
                <w:color w:val="auto"/>
                <w:sz w:val="24"/>
                <w:szCs w:val="24"/>
                <w:highlight w:val="none"/>
              </w:rPr>
            </w:pPr>
            <w:r>
              <w:rPr>
                <w:rFonts w:hint="eastAsia"/>
                <w:color w:val="auto"/>
                <w:sz w:val="24"/>
                <w:szCs w:val="24"/>
                <w:highlight w:val="none"/>
              </w:rPr>
              <w:t>3.75t/a</w:t>
            </w:r>
          </w:p>
        </w:tc>
        <w:tc>
          <w:tcPr>
            <w:tcW w:w="517" w:type="pct"/>
            <w:vAlign w:val="center"/>
          </w:tcPr>
          <w:p w14:paraId="30D10EA3">
            <w:pPr>
              <w:pStyle w:val="108"/>
              <w:spacing w:line="360" w:lineRule="auto"/>
              <w:rPr>
                <w:rFonts w:hint="eastAsia" w:eastAsia="宋体"/>
                <w:color w:val="auto"/>
                <w:sz w:val="24"/>
                <w:szCs w:val="24"/>
                <w:highlight w:val="none"/>
                <w:lang w:eastAsia="zh-CN"/>
              </w:rPr>
            </w:pPr>
            <w:r>
              <w:rPr>
                <w:rFonts w:hint="eastAsia"/>
                <w:color w:val="auto"/>
                <w:sz w:val="24"/>
                <w:szCs w:val="24"/>
                <w:highlight w:val="none"/>
                <w:lang w:val="en-US" w:eastAsia="zh-CN"/>
              </w:rPr>
              <w:t>0</w:t>
            </w:r>
          </w:p>
        </w:tc>
      </w:tr>
    </w:tbl>
    <w:p w14:paraId="2A96A1CA">
      <w:pPr>
        <w:pStyle w:val="159"/>
        <w:spacing w:beforeLines="80" w:after="24"/>
        <w:jc w:val="left"/>
        <w:rPr>
          <w:rFonts w:ascii="宋体" w:hAnsi="宋体"/>
          <w:snapToGrid w:val="0"/>
          <w:color w:val="auto"/>
          <w:spacing w:val="-6"/>
          <w:kern w:val="21"/>
          <w:highlight w:val="none"/>
        </w:rPr>
      </w:pPr>
      <w:r>
        <w:rPr>
          <w:rFonts w:ascii="宋体" w:hAnsi="宋体"/>
          <w:snapToGrid w:val="0"/>
          <w:color w:val="auto"/>
          <w:kern w:val="21"/>
          <w:highlight w:val="none"/>
        </w:rPr>
        <w:t>注：</w:t>
      </w:r>
      <w:r>
        <w:rPr>
          <w:rFonts w:ascii="宋体" w:hAnsi="宋体"/>
          <w:snapToGrid w:val="0"/>
          <w:color w:val="auto"/>
          <w:spacing w:val="-16"/>
          <w:kern w:val="21"/>
          <w:highlight w:val="none"/>
        </w:rPr>
        <w:fldChar w:fldCharType="begin"/>
      </w:r>
      <w:r>
        <w:rPr>
          <w:rFonts w:ascii="宋体" w:hAnsi="宋体"/>
          <w:snapToGrid w:val="0"/>
          <w:color w:val="auto"/>
          <w:spacing w:val="-16"/>
          <w:kern w:val="21"/>
          <w:highlight w:val="none"/>
        </w:rPr>
        <w:instrText xml:space="preserve"> = 6 \* GB3 \* MERGEFORMAT </w:instrText>
      </w:r>
      <w:r>
        <w:rPr>
          <w:rFonts w:ascii="宋体" w:hAnsi="宋体"/>
          <w:snapToGrid w:val="0"/>
          <w:color w:val="auto"/>
          <w:spacing w:val="-16"/>
          <w:kern w:val="21"/>
          <w:highlight w:val="none"/>
        </w:rPr>
        <w:fldChar w:fldCharType="separate"/>
      </w:r>
      <w:r>
        <w:rPr>
          <w:rFonts w:ascii="宋体" w:hAnsi="宋体"/>
          <w:color w:val="auto"/>
          <w:highlight w:val="none"/>
        </w:rPr>
        <w:t>⑥</w:t>
      </w:r>
      <w:r>
        <w:rPr>
          <w:rFonts w:ascii="宋体" w:hAnsi="宋体"/>
          <w:snapToGrid w:val="0"/>
          <w:color w:val="auto"/>
          <w:spacing w:val="-16"/>
          <w:kern w:val="21"/>
          <w:highlight w:val="none"/>
        </w:rPr>
        <w:fldChar w:fldCharType="end"/>
      </w:r>
      <w:r>
        <w:rPr>
          <w:rFonts w:ascii="宋体" w:hAnsi="宋体"/>
          <w:snapToGrid w:val="0"/>
          <w:color w:val="auto"/>
          <w:spacing w:val="-16"/>
          <w:kern w:val="21"/>
          <w:highlight w:val="none"/>
        </w:rPr>
        <w:t>=</w:t>
      </w:r>
      <w:r>
        <w:rPr>
          <w:rFonts w:ascii="宋体" w:hAnsi="宋体"/>
          <w:snapToGrid w:val="0"/>
          <w:color w:val="auto"/>
          <w:spacing w:val="-6"/>
          <w:kern w:val="21"/>
          <w:highlight w:val="none"/>
        </w:rPr>
        <w:fldChar w:fldCharType="begin"/>
      </w:r>
      <w:r>
        <w:rPr>
          <w:rFonts w:ascii="宋体" w:hAnsi="宋体"/>
          <w:snapToGrid w:val="0"/>
          <w:color w:val="auto"/>
          <w:spacing w:val="-6"/>
          <w:kern w:val="21"/>
          <w:highlight w:val="none"/>
        </w:rPr>
        <w:instrText xml:space="preserve"> = 1 \* GB3 \* MERGEFORMAT </w:instrText>
      </w:r>
      <w:r>
        <w:rPr>
          <w:rFonts w:ascii="宋体" w:hAnsi="宋体"/>
          <w:snapToGrid w:val="0"/>
          <w:color w:val="auto"/>
          <w:spacing w:val="-6"/>
          <w:kern w:val="21"/>
          <w:highlight w:val="none"/>
        </w:rPr>
        <w:fldChar w:fldCharType="separate"/>
      </w:r>
      <w:r>
        <w:rPr>
          <w:rFonts w:ascii="宋体" w:hAnsi="宋体"/>
          <w:color w:val="auto"/>
          <w:highlight w:val="none"/>
        </w:rPr>
        <w:t>①</w:t>
      </w:r>
      <w:r>
        <w:rPr>
          <w:rFonts w:ascii="宋体" w:hAnsi="宋体"/>
          <w:snapToGrid w:val="0"/>
          <w:color w:val="auto"/>
          <w:spacing w:val="-6"/>
          <w:kern w:val="21"/>
          <w:highlight w:val="none"/>
        </w:rPr>
        <w:fldChar w:fldCharType="end"/>
      </w:r>
      <w:r>
        <w:rPr>
          <w:rFonts w:ascii="宋体" w:hAnsi="宋体"/>
          <w:snapToGrid w:val="0"/>
          <w:color w:val="auto"/>
          <w:spacing w:val="-6"/>
          <w:kern w:val="21"/>
          <w:highlight w:val="none"/>
        </w:rPr>
        <w:t>+</w:t>
      </w:r>
      <w:r>
        <w:rPr>
          <w:rFonts w:ascii="宋体" w:hAnsi="宋体"/>
          <w:snapToGrid w:val="0"/>
          <w:color w:val="auto"/>
          <w:spacing w:val="-6"/>
          <w:kern w:val="21"/>
          <w:highlight w:val="none"/>
        </w:rPr>
        <w:fldChar w:fldCharType="begin"/>
      </w:r>
      <w:r>
        <w:rPr>
          <w:rFonts w:ascii="宋体" w:hAnsi="宋体"/>
          <w:snapToGrid w:val="0"/>
          <w:color w:val="auto"/>
          <w:spacing w:val="-6"/>
          <w:kern w:val="21"/>
          <w:highlight w:val="none"/>
        </w:rPr>
        <w:instrText xml:space="preserve"> = 3 \* GB3 \* MERGEFORMAT </w:instrText>
      </w:r>
      <w:r>
        <w:rPr>
          <w:rFonts w:ascii="宋体" w:hAnsi="宋体"/>
          <w:snapToGrid w:val="0"/>
          <w:color w:val="auto"/>
          <w:spacing w:val="-6"/>
          <w:kern w:val="21"/>
          <w:highlight w:val="none"/>
        </w:rPr>
        <w:fldChar w:fldCharType="separate"/>
      </w:r>
      <w:r>
        <w:rPr>
          <w:rFonts w:ascii="宋体" w:hAnsi="宋体"/>
          <w:color w:val="auto"/>
          <w:highlight w:val="none"/>
        </w:rPr>
        <w:t>③</w:t>
      </w:r>
      <w:r>
        <w:rPr>
          <w:rFonts w:ascii="宋体" w:hAnsi="宋体"/>
          <w:snapToGrid w:val="0"/>
          <w:color w:val="auto"/>
          <w:spacing w:val="-6"/>
          <w:kern w:val="21"/>
          <w:highlight w:val="none"/>
        </w:rPr>
        <w:fldChar w:fldCharType="end"/>
      </w:r>
      <w:r>
        <w:rPr>
          <w:rFonts w:ascii="宋体" w:hAnsi="宋体"/>
          <w:snapToGrid w:val="0"/>
          <w:color w:val="auto"/>
          <w:spacing w:val="-6"/>
          <w:kern w:val="21"/>
          <w:highlight w:val="none"/>
        </w:rPr>
        <w:t>+</w:t>
      </w:r>
      <w:r>
        <w:rPr>
          <w:rFonts w:ascii="宋体" w:hAnsi="宋体"/>
          <w:snapToGrid w:val="0"/>
          <w:color w:val="auto"/>
          <w:spacing w:val="-6"/>
          <w:kern w:val="21"/>
          <w:highlight w:val="none"/>
        </w:rPr>
        <w:fldChar w:fldCharType="begin"/>
      </w:r>
      <w:r>
        <w:rPr>
          <w:rFonts w:ascii="宋体" w:hAnsi="宋体"/>
          <w:snapToGrid w:val="0"/>
          <w:color w:val="auto"/>
          <w:spacing w:val="-6"/>
          <w:kern w:val="21"/>
          <w:highlight w:val="none"/>
        </w:rPr>
        <w:instrText xml:space="preserve"> = 4 \* GB3 \* MERGEFORMAT </w:instrText>
      </w:r>
      <w:r>
        <w:rPr>
          <w:rFonts w:ascii="宋体" w:hAnsi="宋体"/>
          <w:snapToGrid w:val="0"/>
          <w:color w:val="auto"/>
          <w:spacing w:val="-6"/>
          <w:kern w:val="21"/>
          <w:highlight w:val="none"/>
        </w:rPr>
        <w:fldChar w:fldCharType="separate"/>
      </w:r>
      <w:r>
        <w:rPr>
          <w:rFonts w:ascii="宋体" w:hAnsi="宋体"/>
          <w:color w:val="auto"/>
          <w:highlight w:val="none"/>
        </w:rPr>
        <w:t>④</w:t>
      </w:r>
      <w:r>
        <w:rPr>
          <w:rFonts w:ascii="宋体" w:hAnsi="宋体"/>
          <w:snapToGrid w:val="0"/>
          <w:color w:val="auto"/>
          <w:spacing w:val="-6"/>
          <w:kern w:val="21"/>
          <w:highlight w:val="none"/>
        </w:rPr>
        <w:fldChar w:fldCharType="end"/>
      </w:r>
      <w:r>
        <w:rPr>
          <w:rFonts w:ascii="宋体" w:hAnsi="宋体"/>
          <w:snapToGrid w:val="0"/>
          <w:color w:val="auto"/>
          <w:spacing w:val="-6"/>
          <w:kern w:val="21"/>
          <w:highlight w:val="none"/>
        </w:rPr>
        <w:t>-</w:t>
      </w:r>
      <w:r>
        <w:rPr>
          <w:rFonts w:ascii="宋体" w:hAnsi="宋体"/>
          <w:snapToGrid w:val="0"/>
          <w:color w:val="auto"/>
          <w:spacing w:val="-16"/>
          <w:kern w:val="21"/>
          <w:highlight w:val="none"/>
        </w:rPr>
        <w:fldChar w:fldCharType="begin"/>
      </w:r>
      <w:r>
        <w:rPr>
          <w:rFonts w:ascii="宋体" w:hAnsi="宋体"/>
          <w:snapToGrid w:val="0"/>
          <w:color w:val="auto"/>
          <w:spacing w:val="-16"/>
          <w:kern w:val="21"/>
          <w:highlight w:val="none"/>
        </w:rPr>
        <w:instrText xml:space="preserve"> = 5 \* GB3 \* MERGEFORMAT </w:instrText>
      </w:r>
      <w:r>
        <w:rPr>
          <w:rFonts w:ascii="宋体" w:hAnsi="宋体"/>
          <w:snapToGrid w:val="0"/>
          <w:color w:val="auto"/>
          <w:spacing w:val="-16"/>
          <w:kern w:val="21"/>
          <w:highlight w:val="none"/>
        </w:rPr>
        <w:fldChar w:fldCharType="separate"/>
      </w:r>
      <w:r>
        <w:rPr>
          <w:rFonts w:ascii="宋体" w:hAnsi="宋体"/>
          <w:color w:val="auto"/>
          <w:highlight w:val="none"/>
        </w:rPr>
        <w:t>⑤</w:t>
      </w:r>
      <w:r>
        <w:rPr>
          <w:rFonts w:ascii="宋体" w:hAnsi="宋体"/>
          <w:snapToGrid w:val="0"/>
          <w:color w:val="auto"/>
          <w:spacing w:val="-16"/>
          <w:kern w:val="21"/>
          <w:highlight w:val="none"/>
        </w:rPr>
        <w:fldChar w:fldCharType="end"/>
      </w:r>
      <w:r>
        <w:rPr>
          <w:rFonts w:ascii="宋体" w:hAnsi="宋体"/>
          <w:snapToGrid w:val="0"/>
          <w:color w:val="auto"/>
          <w:spacing w:val="-16"/>
          <w:kern w:val="21"/>
          <w:highlight w:val="none"/>
        </w:rPr>
        <w:t>；</w:t>
      </w:r>
      <w:r>
        <w:rPr>
          <w:rFonts w:ascii="宋体" w:hAnsi="宋体"/>
          <w:snapToGrid w:val="0"/>
          <w:color w:val="auto"/>
          <w:spacing w:val="-6"/>
          <w:kern w:val="21"/>
          <w:highlight w:val="none"/>
        </w:rPr>
        <w:fldChar w:fldCharType="begin"/>
      </w:r>
      <w:r>
        <w:rPr>
          <w:rFonts w:ascii="宋体" w:hAnsi="宋体"/>
          <w:snapToGrid w:val="0"/>
          <w:color w:val="auto"/>
          <w:spacing w:val="-6"/>
          <w:kern w:val="21"/>
          <w:highlight w:val="none"/>
        </w:rPr>
        <w:instrText xml:space="preserve"> = 7 \* GB3 \* MERGEFORMAT </w:instrText>
      </w:r>
      <w:r>
        <w:rPr>
          <w:rFonts w:ascii="宋体" w:hAnsi="宋体"/>
          <w:snapToGrid w:val="0"/>
          <w:color w:val="auto"/>
          <w:spacing w:val="-6"/>
          <w:kern w:val="21"/>
          <w:highlight w:val="none"/>
        </w:rPr>
        <w:fldChar w:fldCharType="separate"/>
      </w:r>
      <w:r>
        <w:rPr>
          <w:rFonts w:ascii="宋体" w:hAnsi="宋体"/>
          <w:color w:val="auto"/>
          <w:highlight w:val="none"/>
        </w:rPr>
        <w:t>⑦</w:t>
      </w:r>
      <w:r>
        <w:rPr>
          <w:rFonts w:ascii="宋体" w:hAnsi="宋体"/>
          <w:snapToGrid w:val="0"/>
          <w:color w:val="auto"/>
          <w:spacing w:val="-6"/>
          <w:kern w:val="21"/>
          <w:highlight w:val="none"/>
        </w:rPr>
        <w:fldChar w:fldCharType="end"/>
      </w:r>
      <w:r>
        <w:rPr>
          <w:rFonts w:ascii="宋体" w:hAnsi="宋体"/>
          <w:snapToGrid w:val="0"/>
          <w:color w:val="auto"/>
          <w:spacing w:val="-6"/>
          <w:kern w:val="21"/>
          <w:highlight w:val="none"/>
        </w:rPr>
        <w:t>=</w:t>
      </w:r>
      <w:r>
        <w:rPr>
          <w:rFonts w:ascii="宋体" w:hAnsi="宋体"/>
          <w:snapToGrid w:val="0"/>
          <w:color w:val="auto"/>
          <w:spacing w:val="-16"/>
          <w:kern w:val="21"/>
          <w:highlight w:val="none"/>
        </w:rPr>
        <w:fldChar w:fldCharType="begin"/>
      </w:r>
      <w:r>
        <w:rPr>
          <w:rFonts w:ascii="宋体" w:hAnsi="宋体"/>
          <w:snapToGrid w:val="0"/>
          <w:color w:val="auto"/>
          <w:spacing w:val="-16"/>
          <w:kern w:val="21"/>
          <w:highlight w:val="none"/>
        </w:rPr>
        <w:instrText xml:space="preserve"> = 6 \* GB3 \* MERGEFORMAT </w:instrText>
      </w:r>
      <w:r>
        <w:rPr>
          <w:rFonts w:ascii="宋体" w:hAnsi="宋体"/>
          <w:snapToGrid w:val="0"/>
          <w:color w:val="auto"/>
          <w:spacing w:val="-16"/>
          <w:kern w:val="21"/>
          <w:highlight w:val="none"/>
        </w:rPr>
        <w:fldChar w:fldCharType="separate"/>
      </w:r>
      <w:r>
        <w:rPr>
          <w:rFonts w:ascii="宋体" w:hAnsi="宋体"/>
          <w:color w:val="auto"/>
          <w:highlight w:val="none"/>
        </w:rPr>
        <w:t>⑥</w:t>
      </w:r>
      <w:r>
        <w:rPr>
          <w:rFonts w:ascii="宋体" w:hAnsi="宋体"/>
          <w:snapToGrid w:val="0"/>
          <w:color w:val="auto"/>
          <w:spacing w:val="-16"/>
          <w:kern w:val="21"/>
          <w:highlight w:val="none"/>
        </w:rPr>
        <w:fldChar w:fldCharType="end"/>
      </w:r>
      <w:r>
        <w:rPr>
          <w:rFonts w:ascii="宋体" w:hAnsi="宋体"/>
          <w:snapToGrid w:val="0"/>
          <w:color w:val="auto"/>
          <w:spacing w:val="-16"/>
          <w:kern w:val="21"/>
          <w:highlight w:val="none"/>
        </w:rPr>
        <w:t>-</w:t>
      </w:r>
      <w:r>
        <w:rPr>
          <w:rFonts w:ascii="宋体" w:hAnsi="宋体"/>
          <w:snapToGrid w:val="0"/>
          <w:color w:val="auto"/>
          <w:spacing w:val="-6"/>
          <w:kern w:val="21"/>
          <w:highlight w:val="none"/>
        </w:rPr>
        <w:fldChar w:fldCharType="begin"/>
      </w:r>
      <w:r>
        <w:rPr>
          <w:rFonts w:ascii="宋体" w:hAnsi="宋体"/>
          <w:snapToGrid w:val="0"/>
          <w:color w:val="auto"/>
          <w:spacing w:val="-6"/>
          <w:kern w:val="21"/>
          <w:highlight w:val="none"/>
        </w:rPr>
        <w:instrText xml:space="preserve"> = 1 \* GB3 \* MERGEFORMAT </w:instrText>
      </w:r>
      <w:r>
        <w:rPr>
          <w:rFonts w:ascii="宋体" w:hAnsi="宋体"/>
          <w:snapToGrid w:val="0"/>
          <w:color w:val="auto"/>
          <w:spacing w:val="-6"/>
          <w:kern w:val="21"/>
          <w:highlight w:val="none"/>
        </w:rPr>
        <w:fldChar w:fldCharType="separate"/>
      </w:r>
      <w:r>
        <w:rPr>
          <w:rFonts w:ascii="宋体" w:hAnsi="宋体"/>
          <w:color w:val="auto"/>
          <w:highlight w:val="none"/>
        </w:rPr>
        <w:t>①</w:t>
      </w:r>
      <w:r>
        <w:rPr>
          <w:rFonts w:ascii="宋体" w:hAnsi="宋体"/>
          <w:snapToGrid w:val="0"/>
          <w:color w:val="auto"/>
          <w:spacing w:val="-6"/>
          <w:kern w:val="21"/>
          <w:highlight w:val="none"/>
        </w:rPr>
        <w:fldChar w:fldCharType="end"/>
      </w:r>
    </w:p>
    <w:p w14:paraId="3FE5EED4">
      <w:pPr>
        <w:pStyle w:val="52"/>
        <w:rPr>
          <w:color w:val="auto"/>
          <w:highlight w:val="none"/>
        </w:rPr>
      </w:pPr>
    </w:p>
    <w:sectPr>
      <w:footerReference r:id="rId9" w:type="default"/>
      <w:pgSz w:w="16838" w:h="11906" w:orient="landscape"/>
      <w:pgMar w:top="1508" w:right="1440" w:bottom="1797"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Times New Roman”“">
    <w:altName w:val="宋体"/>
    <w:panose1 w:val="00000000000000000000"/>
    <w:charset w:val="86"/>
    <w:family w:val="roman"/>
    <w:pitch w:val="default"/>
    <w:sig w:usb0="00000000" w:usb1="00000000" w:usb2="00000010" w:usb3="00000000" w:csb0="00040000"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Noto Sans CJK JP Regular">
    <w:altName w:val="Noto Serif SC"/>
    <w:panose1 w:val="00000000000000000000"/>
    <w:charset w:val="00"/>
    <w:family w:val="swiss"/>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4623">
    <w:pPr>
      <w:pStyle w:val="18"/>
      <w:framePr w:wrap="around" w:vAnchor="text" w:hAnchor="margin" w:xAlign="center" w:y="1"/>
      <w:rPr>
        <w:rStyle w:val="41"/>
      </w:rPr>
    </w:pPr>
    <w:r>
      <w:fldChar w:fldCharType="begin"/>
    </w:r>
    <w:r>
      <w:rPr>
        <w:rStyle w:val="41"/>
      </w:rPr>
      <w:instrText xml:space="preserve">PAGE  </w:instrText>
    </w:r>
    <w:r>
      <w:fldChar w:fldCharType="end"/>
    </w:r>
  </w:p>
  <w:p w14:paraId="40DD2FCD">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21568">
    <w:pPr>
      <w:pStyle w:val="18"/>
      <w:framePr w:wrap="around" w:vAnchor="text" w:hAnchor="margin" w:xAlign="center" w:y="1"/>
      <w:rPr>
        <w:rStyle w:val="41"/>
      </w:rPr>
    </w:pPr>
    <w:r>
      <w:fldChar w:fldCharType="begin"/>
    </w:r>
    <w:r>
      <w:rPr>
        <w:rStyle w:val="41"/>
      </w:rPr>
      <w:instrText xml:space="preserve">PAGE  </w:instrText>
    </w:r>
    <w:r>
      <w:fldChar w:fldCharType="separate"/>
    </w:r>
    <w:r>
      <w:rPr>
        <w:rStyle w:val="41"/>
      </w:rPr>
      <w:t>27</w:t>
    </w:r>
    <w:r>
      <w:fldChar w:fldCharType="end"/>
    </w:r>
  </w:p>
  <w:p w14:paraId="05B7B060">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F3DE0">
    <w:pPr>
      <w:pStyle w:val="18"/>
      <w:framePr w:wrap="around" w:vAnchor="text" w:hAnchor="margin" w:xAlign="center" w:y="1"/>
      <w:rPr>
        <w:rStyle w:val="41"/>
      </w:rPr>
    </w:pPr>
    <w:r>
      <w:fldChar w:fldCharType="begin"/>
    </w:r>
    <w:r>
      <w:rPr>
        <w:rStyle w:val="41"/>
      </w:rPr>
      <w:instrText xml:space="preserve">PAGE  </w:instrText>
    </w:r>
    <w:r>
      <w:fldChar w:fldCharType="separate"/>
    </w:r>
    <w:r>
      <w:rPr>
        <w:rStyle w:val="41"/>
      </w:rPr>
      <w:t>56</w:t>
    </w:r>
    <w:r>
      <w:fldChar w:fldCharType="end"/>
    </w:r>
  </w:p>
  <w:p w14:paraId="66DF905C">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9275D">
    <w:pPr>
      <w:pStyle w:val="18"/>
      <w:framePr w:wrap="around" w:vAnchor="text" w:hAnchor="margin" w:xAlign="center" w:y="1"/>
      <w:rPr>
        <w:rStyle w:val="41"/>
      </w:rPr>
    </w:pPr>
    <w:r>
      <w:fldChar w:fldCharType="begin"/>
    </w:r>
    <w:r>
      <w:rPr>
        <w:rStyle w:val="41"/>
      </w:rPr>
      <w:instrText xml:space="preserve">PAGE  </w:instrText>
    </w:r>
    <w:r>
      <w:fldChar w:fldCharType="separate"/>
    </w:r>
    <w:r>
      <w:rPr>
        <w:rStyle w:val="41"/>
      </w:rPr>
      <w:t>93</w:t>
    </w:r>
    <w:r>
      <w:fldChar w:fldCharType="end"/>
    </w:r>
  </w:p>
  <w:p w14:paraId="36B89C2A">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82C62">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59A3">
    <w:pPr>
      <w:pStyle w:val="2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A994F">
    <w:pPr>
      <w:pStyle w:val="2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wMjM4NDE5MTM4NTAxYWQ4NTIxNjFlZThlODNiNzUifQ=="/>
  </w:docVars>
  <w:rsids>
    <w:rsidRoot w:val="00172A27"/>
    <w:rsid w:val="000000B2"/>
    <w:rsid w:val="0000014A"/>
    <w:rsid w:val="000001A2"/>
    <w:rsid w:val="000006FA"/>
    <w:rsid w:val="00000C8C"/>
    <w:rsid w:val="0000123C"/>
    <w:rsid w:val="0000155B"/>
    <w:rsid w:val="0000178D"/>
    <w:rsid w:val="000025CE"/>
    <w:rsid w:val="00002A2C"/>
    <w:rsid w:val="00002F4C"/>
    <w:rsid w:val="00002FD9"/>
    <w:rsid w:val="000036E2"/>
    <w:rsid w:val="00003C73"/>
    <w:rsid w:val="00004006"/>
    <w:rsid w:val="000040C9"/>
    <w:rsid w:val="0000422E"/>
    <w:rsid w:val="0000432C"/>
    <w:rsid w:val="00004358"/>
    <w:rsid w:val="000048F6"/>
    <w:rsid w:val="00005108"/>
    <w:rsid w:val="000052E4"/>
    <w:rsid w:val="00005969"/>
    <w:rsid w:val="00005A49"/>
    <w:rsid w:val="00005AEB"/>
    <w:rsid w:val="00005B40"/>
    <w:rsid w:val="00005D16"/>
    <w:rsid w:val="00005D34"/>
    <w:rsid w:val="000064DC"/>
    <w:rsid w:val="0000663E"/>
    <w:rsid w:val="0000668A"/>
    <w:rsid w:val="0000671C"/>
    <w:rsid w:val="000069BD"/>
    <w:rsid w:val="00006E32"/>
    <w:rsid w:val="00007486"/>
    <w:rsid w:val="000074DD"/>
    <w:rsid w:val="0000772B"/>
    <w:rsid w:val="00007B68"/>
    <w:rsid w:val="00010091"/>
    <w:rsid w:val="000103BF"/>
    <w:rsid w:val="000104DF"/>
    <w:rsid w:val="00010849"/>
    <w:rsid w:val="00010B22"/>
    <w:rsid w:val="00010CEC"/>
    <w:rsid w:val="00012021"/>
    <w:rsid w:val="0001258E"/>
    <w:rsid w:val="000125FE"/>
    <w:rsid w:val="0001284C"/>
    <w:rsid w:val="000128F1"/>
    <w:rsid w:val="00012C02"/>
    <w:rsid w:val="0001325C"/>
    <w:rsid w:val="000132F3"/>
    <w:rsid w:val="000133FD"/>
    <w:rsid w:val="0001354F"/>
    <w:rsid w:val="0001388E"/>
    <w:rsid w:val="00013965"/>
    <w:rsid w:val="000140B6"/>
    <w:rsid w:val="0001437E"/>
    <w:rsid w:val="00014CAA"/>
    <w:rsid w:val="00014DE5"/>
    <w:rsid w:val="0001512C"/>
    <w:rsid w:val="000155A6"/>
    <w:rsid w:val="000156CF"/>
    <w:rsid w:val="0001635E"/>
    <w:rsid w:val="0001671D"/>
    <w:rsid w:val="00016ABE"/>
    <w:rsid w:val="0001715C"/>
    <w:rsid w:val="000176F7"/>
    <w:rsid w:val="000179E8"/>
    <w:rsid w:val="00017AE1"/>
    <w:rsid w:val="00017D3E"/>
    <w:rsid w:val="00017FE2"/>
    <w:rsid w:val="0002029C"/>
    <w:rsid w:val="0002049C"/>
    <w:rsid w:val="0002059A"/>
    <w:rsid w:val="000206FF"/>
    <w:rsid w:val="00020765"/>
    <w:rsid w:val="0002086E"/>
    <w:rsid w:val="00020C39"/>
    <w:rsid w:val="00021337"/>
    <w:rsid w:val="0002160A"/>
    <w:rsid w:val="000219D0"/>
    <w:rsid w:val="00021B32"/>
    <w:rsid w:val="00021EAC"/>
    <w:rsid w:val="000221F3"/>
    <w:rsid w:val="000222B3"/>
    <w:rsid w:val="0002249D"/>
    <w:rsid w:val="0002263B"/>
    <w:rsid w:val="00022BC8"/>
    <w:rsid w:val="00022C07"/>
    <w:rsid w:val="000246DE"/>
    <w:rsid w:val="00024B24"/>
    <w:rsid w:val="00024B74"/>
    <w:rsid w:val="00024BC6"/>
    <w:rsid w:val="000251D7"/>
    <w:rsid w:val="000259EA"/>
    <w:rsid w:val="00026135"/>
    <w:rsid w:val="0002663C"/>
    <w:rsid w:val="000272BD"/>
    <w:rsid w:val="000272CE"/>
    <w:rsid w:val="00027AE3"/>
    <w:rsid w:val="00027BB7"/>
    <w:rsid w:val="00030274"/>
    <w:rsid w:val="000307D9"/>
    <w:rsid w:val="0003091E"/>
    <w:rsid w:val="00030B9D"/>
    <w:rsid w:val="00031109"/>
    <w:rsid w:val="00031894"/>
    <w:rsid w:val="00031DBA"/>
    <w:rsid w:val="0003206F"/>
    <w:rsid w:val="000320E9"/>
    <w:rsid w:val="00032837"/>
    <w:rsid w:val="0003294F"/>
    <w:rsid w:val="00032CC4"/>
    <w:rsid w:val="000339AA"/>
    <w:rsid w:val="00033C3F"/>
    <w:rsid w:val="000340A3"/>
    <w:rsid w:val="000345D9"/>
    <w:rsid w:val="00034607"/>
    <w:rsid w:val="000346E8"/>
    <w:rsid w:val="00034B87"/>
    <w:rsid w:val="00034DE7"/>
    <w:rsid w:val="0003556C"/>
    <w:rsid w:val="000357DC"/>
    <w:rsid w:val="00036243"/>
    <w:rsid w:val="00036388"/>
    <w:rsid w:val="00036D32"/>
    <w:rsid w:val="00036E02"/>
    <w:rsid w:val="00036F56"/>
    <w:rsid w:val="00037079"/>
    <w:rsid w:val="00037DD7"/>
    <w:rsid w:val="00037F2F"/>
    <w:rsid w:val="00040093"/>
    <w:rsid w:val="00041749"/>
    <w:rsid w:val="00042137"/>
    <w:rsid w:val="0004250A"/>
    <w:rsid w:val="00042770"/>
    <w:rsid w:val="00042921"/>
    <w:rsid w:val="00042C9E"/>
    <w:rsid w:val="000436DA"/>
    <w:rsid w:val="00043834"/>
    <w:rsid w:val="00043C03"/>
    <w:rsid w:val="00044110"/>
    <w:rsid w:val="00044114"/>
    <w:rsid w:val="000444D0"/>
    <w:rsid w:val="00044ED9"/>
    <w:rsid w:val="00044FA3"/>
    <w:rsid w:val="00045933"/>
    <w:rsid w:val="00045B6C"/>
    <w:rsid w:val="00045DBB"/>
    <w:rsid w:val="000462B1"/>
    <w:rsid w:val="00046373"/>
    <w:rsid w:val="000476A5"/>
    <w:rsid w:val="000477E5"/>
    <w:rsid w:val="000502C1"/>
    <w:rsid w:val="000505C7"/>
    <w:rsid w:val="000506EE"/>
    <w:rsid w:val="000507C4"/>
    <w:rsid w:val="000509CF"/>
    <w:rsid w:val="00051348"/>
    <w:rsid w:val="000514E0"/>
    <w:rsid w:val="000519D2"/>
    <w:rsid w:val="00051B6C"/>
    <w:rsid w:val="00051C64"/>
    <w:rsid w:val="00051CBA"/>
    <w:rsid w:val="00051E84"/>
    <w:rsid w:val="00051F5F"/>
    <w:rsid w:val="00052263"/>
    <w:rsid w:val="00052271"/>
    <w:rsid w:val="00052DD1"/>
    <w:rsid w:val="0005339A"/>
    <w:rsid w:val="000533B6"/>
    <w:rsid w:val="0005349C"/>
    <w:rsid w:val="00053E01"/>
    <w:rsid w:val="000544FF"/>
    <w:rsid w:val="0005482A"/>
    <w:rsid w:val="00054CCF"/>
    <w:rsid w:val="00054D14"/>
    <w:rsid w:val="00055093"/>
    <w:rsid w:val="00055126"/>
    <w:rsid w:val="00055431"/>
    <w:rsid w:val="00055951"/>
    <w:rsid w:val="00055DDB"/>
    <w:rsid w:val="00055DEF"/>
    <w:rsid w:val="00055F86"/>
    <w:rsid w:val="000563BE"/>
    <w:rsid w:val="00056404"/>
    <w:rsid w:val="0005649A"/>
    <w:rsid w:val="00056510"/>
    <w:rsid w:val="00056576"/>
    <w:rsid w:val="000565B5"/>
    <w:rsid w:val="000565BA"/>
    <w:rsid w:val="00056C5B"/>
    <w:rsid w:val="000570EC"/>
    <w:rsid w:val="00057133"/>
    <w:rsid w:val="0005749B"/>
    <w:rsid w:val="0006006B"/>
    <w:rsid w:val="000600F0"/>
    <w:rsid w:val="0006041B"/>
    <w:rsid w:val="00060454"/>
    <w:rsid w:val="0006062F"/>
    <w:rsid w:val="00060B39"/>
    <w:rsid w:val="00060B62"/>
    <w:rsid w:val="00060C67"/>
    <w:rsid w:val="0006119D"/>
    <w:rsid w:val="00061221"/>
    <w:rsid w:val="00061354"/>
    <w:rsid w:val="00061A5E"/>
    <w:rsid w:val="00061B5E"/>
    <w:rsid w:val="000620F5"/>
    <w:rsid w:val="0006247C"/>
    <w:rsid w:val="00062572"/>
    <w:rsid w:val="00062CCC"/>
    <w:rsid w:val="00062DE6"/>
    <w:rsid w:val="00062EA9"/>
    <w:rsid w:val="00062F52"/>
    <w:rsid w:val="00063020"/>
    <w:rsid w:val="00063D00"/>
    <w:rsid w:val="00064121"/>
    <w:rsid w:val="0006412C"/>
    <w:rsid w:val="000646BC"/>
    <w:rsid w:val="00064821"/>
    <w:rsid w:val="00064846"/>
    <w:rsid w:val="00064ED2"/>
    <w:rsid w:val="000651F2"/>
    <w:rsid w:val="000655EF"/>
    <w:rsid w:val="00066579"/>
    <w:rsid w:val="00066E6A"/>
    <w:rsid w:val="00066FE1"/>
    <w:rsid w:val="0006735D"/>
    <w:rsid w:val="000676D1"/>
    <w:rsid w:val="00067A3D"/>
    <w:rsid w:val="000702A0"/>
    <w:rsid w:val="000702F9"/>
    <w:rsid w:val="00070549"/>
    <w:rsid w:val="00070799"/>
    <w:rsid w:val="000707EE"/>
    <w:rsid w:val="00070B20"/>
    <w:rsid w:val="00070EBC"/>
    <w:rsid w:val="00071623"/>
    <w:rsid w:val="000716DD"/>
    <w:rsid w:val="00071B1A"/>
    <w:rsid w:val="00071D75"/>
    <w:rsid w:val="00071FB5"/>
    <w:rsid w:val="00072F13"/>
    <w:rsid w:val="00073449"/>
    <w:rsid w:val="00073FB4"/>
    <w:rsid w:val="0007492E"/>
    <w:rsid w:val="00074984"/>
    <w:rsid w:val="00074B89"/>
    <w:rsid w:val="00074FC3"/>
    <w:rsid w:val="000757A1"/>
    <w:rsid w:val="00075920"/>
    <w:rsid w:val="00075ADF"/>
    <w:rsid w:val="00075BAF"/>
    <w:rsid w:val="000761B1"/>
    <w:rsid w:val="00076210"/>
    <w:rsid w:val="000766E3"/>
    <w:rsid w:val="00076899"/>
    <w:rsid w:val="00076C1C"/>
    <w:rsid w:val="00076E77"/>
    <w:rsid w:val="0007706B"/>
    <w:rsid w:val="00077431"/>
    <w:rsid w:val="0007746F"/>
    <w:rsid w:val="00077E8F"/>
    <w:rsid w:val="0008006B"/>
    <w:rsid w:val="000802F9"/>
    <w:rsid w:val="0008041A"/>
    <w:rsid w:val="0008055B"/>
    <w:rsid w:val="000808A3"/>
    <w:rsid w:val="00080B8F"/>
    <w:rsid w:val="00080CE4"/>
    <w:rsid w:val="00080EC9"/>
    <w:rsid w:val="00081313"/>
    <w:rsid w:val="0008143F"/>
    <w:rsid w:val="00081495"/>
    <w:rsid w:val="00081B25"/>
    <w:rsid w:val="00081C18"/>
    <w:rsid w:val="000822DD"/>
    <w:rsid w:val="0008233E"/>
    <w:rsid w:val="00082508"/>
    <w:rsid w:val="00082C04"/>
    <w:rsid w:val="00082C68"/>
    <w:rsid w:val="0008465D"/>
    <w:rsid w:val="00084B5C"/>
    <w:rsid w:val="00084DED"/>
    <w:rsid w:val="00084E37"/>
    <w:rsid w:val="00085180"/>
    <w:rsid w:val="000852BA"/>
    <w:rsid w:val="00085382"/>
    <w:rsid w:val="000854FA"/>
    <w:rsid w:val="00085D37"/>
    <w:rsid w:val="000869FB"/>
    <w:rsid w:val="00086A21"/>
    <w:rsid w:val="00086AAC"/>
    <w:rsid w:val="00086DDE"/>
    <w:rsid w:val="00087096"/>
    <w:rsid w:val="000870CA"/>
    <w:rsid w:val="00087216"/>
    <w:rsid w:val="00087E1C"/>
    <w:rsid w:val="00090016"/>
    <w:rsid w:val="00090366"/>
    <w:rsid w:val="00090A6D"/>
    <w:rsid w:val="00090A8B"/>
    <w:rsid w:val="00090AB8"/>
    <w:rsid w:val="000910C3"/>
    <w:rsid w:val="000916CF"/>
    <w:rsid w:val="00091A79"/>
    <w:rsid w:val="00091CA8"/>
    <w:rsid w:val="00091CA9"/>
    <w:rsid w:val="00092398"/>
    <w:rsid w:val="00092664"/>
    <w:rsid w:val="000928BF"/>
    <w:rsid w:val="00092B0F"/>
    <w:rsid w:val="00092C12"/>
    <w:rsid w:val="000932EB"/>
    <w:rsid w:val="00093C81"/>
    <w:rsid w:val="0009402F"/>
    <w:rsid w:val="00094BC7"/>
    <w:rsid w:val="00094E32"/>
    <w:rsid w:val="00094F26"/>
    <w:rsid w:val="00095372"/>
    <w:rsid w:val="000956BC"/>
    <w:rsid w:val="00095712"/>
    <w:rsid w:val="00095C6E"/>
    <w:rsid w:val="00096672"/>
    <w:rsid w:val="000969AE"/>
    <w:rsid w:val="000970A7"/>
    <w:rsid w:val="0009799B"/>
    <w:rsid w:val="00097ED6"/>
    <w:rsid w:val="000A092E"/>
    <w:rsid w:val="000A09E2"/>
    <w:rsid w:val="000A0D54"/>
    <w:rsid w:val="000A0E0C"/>
    <w:rsid w:val="000A0FE0"/>
    <w:rsid w:val="000A10AD"/>
    <w:rsid w:val="000A122F"/>
    <w:rsid w:val="000A1B6A"/>
    <w:rsid w:val="000A209C"/>
    <w:rsid w:val="000A20F3"/>
    <w:rsid w:val="000A22AB"/>
    <w:rsid w:val="000A23EE"/>
    <w:rsid w:val="000A29BD"/>
    <w:rsid w:val="000A390B"/>
    <w:rsid w:val="000A3B01"/>
    <w:rsid w:val="000A3BC6"/>
    <w:rsid w:val="000A4049"/>
    <w:rsid w:val="000A42A8"/>
    <w:rsid w:val="000A431F"/>
    <w:rsid w:val="000A4424"/>
    <w:rsid w:val="000A47F7"/>
    <w:rsid w:val="000A4AD4"/>
    <w:rsid w:val="000A4BF9"/>
    <w:rsid w:val="000A4DE3"/>
    <w:rsid w:val="000A50CD"/>
    <w:rsid w:val="000A5650"/>
    <w:rsid w:val="000A60AD"/>
    <w:rsid w:val="000A6C53"/>
    <w:rsid w:val="000A6EED"/>
    <w:rsid w:val="000A777C"/>
    <w:rsid w:val="000A7AFA"/>
    <w:rsid w:val="000A7BA7"/>
    <w:rsid w:val="000B0121"/>
    <w:rsid w:val="000B0D71"/>
    <w:rsid w:val="000B14FD"/>
    <w:rsid w:val="000B18FA"/>
    <w:rsid w:val="000B19D2"/>
    <w:rsid w:val="000B1C91"/>
    <w:rsid w:val="000B1E3E"/>
    <w:rsid w:val="000B2EEE"/>
    <w:rsid w:val="000B359F"/>
    <w:rsid w:val="000B3B72"/>
    <w:rsid w:val="000B3CD9"/>
    <w:rsid w:val="000B3D9C"/>
    <w:rsid w:val="000B3DE8"/>
    <w:rsid w:val="000B40B6"/>
    <w:rsid w:val="000B41AC"/>
    <w:rsid w:val="000B425E"/>
    <w:rsid w:val="000B4534"/>
    <w:rsid w:val="000B480D"/>
    <w:rsid w:val="000B4FBB"/>
    <w:rsid w:val="000B55F7"/>
    <w:rsid w:val="000B59C2"/>
    <w:rsid w:val="000B5A09"/>
    <w:rsid w:val="000B5B8C"/>
    <w:rsid w:val="000B608C"/>
    <w:rsid w:val="000B6664"/>
    <w:rsid w:val="000B6740"/>
    <w:rsid w:val="000B7320"/>
    <w:rsid w:val="000B748B"/>
    <w:rsid w:val="000B767A"/>
    <w:rsid w:val="000B78D0"/>
    <w:rsid w:val="000B7EB5"/>
    <w:rsid w:val="000B7F09"/>
    <w:rsid w:val="000C0261"/>
    <w:rsid w:val="000C061D"/>
    <w:rsid w:val="000C0807"/>
    <w:rsid w:val="000C0FCC"/>
    <w:rsid w:val="000C11A7"/>
    <w:rsid w:val="000C1369"/>
    <w:rsid w:val="000C1438"/>
    <w:rsid w:val="000C15E3"/>
    <w:rsid w:val="000C16C1"/>
    <w:rsid w:val="000C197C"/>
    <w:rsid w:val="000C1C58"/>
    <w:rsid w:val="000C26B3"/>
    <w:rsid w:val="000C2BB8"/>
    <w:rsid w:val="000C30C1"/>
    <w:rsid w:val="000C3408"/>
    <w:rsid w:val="000C35D7"/>
    <w:rsid w:val="000C3982"/>
    <w:rsid w:val="000C3DD7"/>
    <w:rsid w:val="000C3EDD"/>
    <w:rsid w:val="000C435B"/>
    <w:rsid w:val="000C4413"/>
    <w:rsid w:val="000C4524"/>
    <w:rsid w:val="000C4933"/>
    <w:rsid w:val="000C4D27"/>
    <w:rsid w:val="000C5044"/>
    <w:rsid w:val="000C51CD"/>
    <w:rsid w:val="000C5288"/>
    <w:rsid w:val="000C52B3"/>
    <w:rsid w:val="000C54D3"/>
    <w:rsid w:val="000C57CB"/>
    <w:rsid w:val="000C5830"/>
    <w:rsid w:val="000C5944"/>
    <w:rsid w:val="000C5E70"/>
    <w:rsid w:val="000C60A8"/>
    <w:rsid w:val="000C6145"/>
    <w:rsid w:val="000C61BF"/>
    <w:rsid w:val="000C61C2"/>
    <w:rsid w:val="000C63A6"/>
    <w:rsid w:val="000C651C"/>
    <w:rsid w:val="000C67E4"/>
    <w:rsid w:val="000C6C3A"/>
    <w:rsid w:val="000C7974"/>
    <w:rsid w:val="000C79C7"/>
    <w:rsid w:val="000C79D0"/>
    <w:rsid w:val="000C7A78"/>
    <w:rsid w:val="000C7B55"/>
    <w:rsid w:val="000D08D4"/>
    <w:rsid w:val="000D0AA5"/>
    <w:rsid w:val="000D0B03"/>
    <w:rsid w:val="000D0BE6"/>
    <w:rsid w:val="000D0D30"/>
    <w:rsid w:val="000D0EA8"/>
    <w:rsid w:val="000D0F65"/>
    <w:rsid w:val="000D11C0"/>
    <w:rsid w:val="000D1264"/>
    <w:rsid w:val="000D1A7A"/>
    <w:rsid w:val="000D1BE4"/>
    <w:rsid w:val="000D1CB4"/>
    <w:rsid w:val="000D1D8D"/>
    <w:rsid w:val="000D1FCD"/>
    <w:rsid w:val="000D2465"/>
    <w:rsid w:val="000D2CC5"/>
    <w:rsid w:val="000D2D1A"/>
    <w:rsid w:val="000D3022"/>
    <w:rsid w:val="000D315C"/>
    <w:rsid w:val="000D3C37"/>
    <w:rsid w:val="000D422D"/>
    <w:rsid w:val="000D441D"/>
    <w:rsid w:val="000D47D4"/>
    <w:rsid w:val="000D4FB0"/>
    <w:rsid w:val="000D5167"/>
    <w:rsid w:val="000D54F1"/>
    <w:rsid w:val="000D56B8"/>
    <w:rsid w:val="000D583F"/>
    <w:rsid w:val="000D5AD9"/>
    <w:rsid w:val="000D5C67"/>
    <w:rsid w:val="000D5CC7"/>
    <w:rsid w:val="000D6284"/>
    <w:rsid w:val="000D6700"/>
    <w:rsid w:val="000D67FB"/>
    <w:rsid w:val="000D6CB6"/>
    <w:rsid w:val="000D6DAE"/>
    <w:rsid w:val="000D7009"/>
    <w:rsid w:val="000D701F"/>
    <w:rsid w:val="000D7380"/>
    <w:rsid w:val="000D75AD"/>
    <w:rsid w:val="000D75C2"/>
    <w:rsid w:val="000D777E"/>
    <w:rsid w:val="000D7E8A"/>
    <w:rsid w:val="000E0128"/>
    <w:rsid w:val="000E04ED"/>
    <w:rsid w:val="000E0B11"/>
    <w:rsid w:val="000E0EB5"/>
    <w:rsid w:val="000E1492"/>
    <w:rsid w:val="000E1831"/>
    <w:rsid w:val="000E2122"/>
    <w:rsid w:val="000E23E7"/>
    <w:rsid w:val="000E24A8"/>
    <w:rsid w:val="000E27F8"/>
    <w:rsid w:val="000E281B"/>
    <w:rsid w:val="000E3351"/>
    <w:rsid w:val="000E34EB"/>
    <w:rsid w:val="000E352C"/>
    <w:rsid w:val="000E359B"/>
    <w:rsid w:val="000E3732"/>
    <w:rsid w:val="000E3FD9"/>
    <w:rsid w:val="000E4103"/>
    <w:rsid w:val="000E4134"/>
    <w:rsid w:val="000E4470"/>
    <w:rsid w:val="000E456B"/>
    <w:rsid w:val="000E4B32"/>
    <w:rsid w:val="000E4F61"/>
    <w:rsid w:val="000E530D"/>
    <w:rsid w:val="000E5472"/>
    <w:rsid w:val="000E54C9"/>
    <w:rsid w:val="000E5949"/>
    <w:rsid w:val="000E5F1E"/>
    <w:rsid w:val="000E65D2"/>
    <w:rsid w:val="000E6E08"/>
    <w:rsid w:val="000E7128"/>
    <w:rsid w:val="000E7346"/>
    <w:rsid w:val="000E79CB"/>
    <w:rsid w:val="000E7C5C"/>
    <w:rsid w:val="000F0055"/>
    <w:rsid w:val="000F0A32"/>
    <w:rsid w:val="000F0C68"/>
    <w:rsid w:val="000F142B"/>
    <w:rsid w:val="000F162F"/>
    <w:rsid w:val="000F1D17"/>
    <w:rsid w:val="000F220D"/>
    <w:rsid w:val="000F2504"/>
    <w:rsid w:val="000F25A0"/>
    <w:rsid w:val="000F288B"/>
    <w:rsid w:val="000F2EB2"/>
    <w:rsid w:val="000F3083"/>
    <w:rsid w:val="000F3206"/>
    <w:rsid w:val="000F32ED"/>
    <w:rsid w:val="000F396C"/>
    <w:rsid w:val="000F3B90"/>
    <w:rsid w:val="000F4155"/>
    <w:rsid w:val="000F4519"/>
    <w:rsid w:val="000F47AB"/>
    <w:rsid w:val="000F5068"/>
    <w:rsid w:val="000F5090"/>
    <w:rsid w:val="000F56E9"/>
    <w:rsid w:val="000F595A"/>
    <w:rsid w:val="000F5F49"/>
    <w:rsid w:val="000F6FD9"/>
    <w:rsid w:val="000F7949"/>
    <w:rsid w:val="000F7CD1"/>
    <w:rsid w:val="000F7CEB"/>
    <w:rsid w:val="001002BE"/>
    <w:rsid w:val="0010074C"/>
    <w:rsid w:val="001009C2"/>
    <w:rsid w:val="00100D92"/>
    <w:rsid w:val="00100F8E"/>
    <w:rsid w:val="0010116C"/>
    <w:rsid w:val="001012DC"/>
    <w:rsid w:val="00101543"/>
    <w:rsid w:val="00101915"/>
    <w:rsid w:val="00101FAB"/>
    <w:rsid w:val="00102BFC"/>
    <w:rsid w:val="00102E11"/>
    <w:rsid w:val="00102EE6"/>
    <w:rsid w:val="00102FE4"/>
    <w:rsid w:val="001031E9"/>
    <w:rsid w:val="00103505"/>
    <w:rsid w:val="0010375E"/>
    <w:rsid w:val="00103961"/>
    <w:rsid w:val="001041CA"/>
    <w:rsid w:val="00104D14"/>
    <w:rsid w:val="001057B9"/>
    <w:rsid w:val="00105963"/>
    <w:rsid w:val="00105B7C"/>
    <w:rsid w:val="00105E23"/>
    <w:rsid w:val="00105E97"/>
    <w:rsid w:val="0010655E"/>
    <w:rsid w:val="001066C3"/>
    <w:rsid w:val="00106960"/>
    <w:rsid w:val="00106A04"/>
    <w:rsid w:val="00106A8B"/>
    <w:rsid w:val="00106C0C"/>
    <w:rsid w:val="00107063"/>
    <w:rsid w:val="00107A7B"/>
    <w:rsid w:val="00107D36"/>
    <w:rsid w:val="00110726"/>
    <w:rsid w:val="00110978"/>
    <w:rsid w:val="00110D5C"/>
    <w:rsid w:val="001113FF"/>
    <w:rsid w:val="00111909"/>
    <w:rsid w:val="00111B56"/>
    <w:rsid w:val="00111B67"/>
    <w:rsid w:val="00111F84"/>
    <w:rsid w:val="0011205E"/>
    <w:rsid w:val="00112458"/>
    <w:rsid w:val="001124BA"/>
    <w:rsid w:val="00112623"/>
    <w:rsid w:val="001126D7"/>
    <w:rsid w:val="00112706"/>
    <w:rsid w:val="00112DE2"/>
    <w:rsid w:val="00112E3B"/>
    <w:rsid w:val="00112E6F"/>
    <w:rsid w:val="001134A8"/>
    <w:rsid w:val="001134ED"/>
    <w:rsid w:val="001135DE"/>
    <w:rsid w:val="00113729"/>
    <w:rsid w:val="00113926"/>
    <w:rsid w:val="00113C0F"/>
    <w:rsid w:val="00113DD7"/>
    <w:rsid w:val="0011418E"/>
    <w:rsid w:val="001144BA"/>
    <w:rsid w:val="00114673"/>
    <w:rsid w:val="00114D82"/>
    <w:rsid w:val="00114E14"/>
    <w:rsid w:val="00115689"/>
    <w:rsid w:val="001157EE"/>
    <w:rsid w:val="00115A50"/>
    <w:rsid w:val="00115B9C"/>
    <w:rsid w:val="00115D70"/>
    <w:rsid w:val="00115E80"/>
    <w:rsid w:val="0011612D"/>
    <w:rsid w:val="0011658D"/>
    <w:rsid w:val="0011679A"/>
    <w:rsid w:val="0011699C"/>
    <w:rsid w:val="001169B2"/>
    <w:rsid w:val="00116D16"/>
    <w:rsid w:val="00116EE7"/>
    <w:rsid w:val="0011740D"/>
    <w:rsid w:val="00117E11"/>
    <w:rsid w:val="001206C6"/>
    <w:rsid w:val="00120A10"/>
    <w:rsid w:val="00120DEE"/>
    <w:rsid w:val="00120F55"/>
    <w:rsid w:val="00120F98"/>
    <w:rsid w:val="001210D2"/>
    <w:rsid w:val="00121236"/>
    <w:rsid w:val="001217B2"/>
    <w:rsid w:val="00121E30"/>
    <w:rsid w:val="001224C1"/>
    <w:rsid w:val="00122701"/>
    <w:rsid w:val="0012351D"/>
    <w:rsid w:val="00123601"/>
    <w:rsid w:val="00123CD4"/>
    <w:rsid w:val="001244EB"/>
    <w:rsid w:val="00124509"/>
    <w:rsid w:val="0012468D"/>
    <w:rsid w:val="001246CE"/>
    <w:rsid w:val="00124D49"/>
    <w:rsid w:val="00124F20"/>
    <w:rsid w:val="001250E6"/>
    <w:rsid w:val="001253C0"/>
    <w:rsid w:val="001257CB"/>
    <w:rsid w:val="00125DE4"/>
    <w:rsid w:val="001265B7"/>
    <w:rsid w:val="0012661F"/>
    <w:rsid w:val="00126AD0"/>
    <w:rsid w:val="00126CF7"/>
    <w:rsid w:val="0012790F"/>
    <w:rsid w:val="00127964"/>
    <w:rsid w:val="00127A88"/>
    <w:rsid w:val="0013013A"/>
    <w:rsid w:val="00130177"/>
    <w:rsid w:val="00131380"/>
    <w:rsid w:val="00131409"/>
    <w:rsid w:val="0013143D"/>
    <w:rsid w:val="001318BD"/>
    <w:rsid w:val="00131A8F"/>
    <w:rsid w:val="00131DEF"/>
    <w:rsid w:val="00131E6E"/>
    <w:rsid w:val="001322F0"/>
    <w:rsid w:val="00132A43"/>
    <w:rsid w:val="00132B84"/>
    <w:rsid w:val="00132E92"/>
    <w:rsid w:val="001331AF"/>
    <w:rsid w:val="00133457"/>
    <w:rsid w:val="001336BD"/>
    <w:rsid w:val="00133E04"/>
    <w:rsid w:val="0013401A"/>
    <w:rsid w:val="0013403D"/>
    <w:rsid w:val="001346F4"/>
    <w:rsid w:val="00134C17"/>
    <w:rsid w:val="00135233"/>
    <w:rsid w:val="0013572A"/>
    <w:rsid w:val="00135860"/>
    <w:rsid w:val="00135AA2"/>
    <w:rsid w:val="00135D4B"/>
    <w:rsid w:val="00136455"/>
    <w:rsid w:val="00136B83"/>
    <w:rsid w:val="00137128"/>
    <w:rsid w:val="001371CE"/>
    <w:rsid w:val="00137547"/>
    <w:rsid w:val="001378FF"/>
    <w:rsid w:val="00140477"/>
    <w:rsid w:val="00140839"/>
    <w:rsid w:val="00140B59"/>
    <w:rsid w:val="00140B7C"/>
    <w:rsid w:val="00141AA4"/>
    <w:rsid w:val="00141C5E"/>
    <w:rsid w:val="00142018"/>
    <w:rsid w:val="00142363"/>
    <w:rsid w:val="00142629"/>
    <w:rsid w:val="00142882"/>
    <w:rsid w:val="001428DD"/>
    <w:rsid w:val="00142998"/>
    <w:rsid w:val="0014309C"/>
    <w:rsid w:val="00143D7F"/>
    <w:rsid w:val="001440EE"/>
    <w:rsid w:val="0014416A"/>
    <w:rsid w:val="00144752"/>
    <w:rsid w:val="0014480E"/>
    <w:rsid w:val="00144A62"/>
    <w:rsid w:val="00145043"/>
    <w:rsid w:val="001453D8"/>
    <w:rsid w:val="00145CBB"/>
    <w:rsid w:val="00145E12"/>
    <w:rsid w:val="00145F0D"/>
    <w:rsid w:val="001462F0"/>
    <w:rsid w:val="001463D4"/>
    <w:rsid w:val="00146A76"/>
    <w:rsid w:val="00146AC3"/>
    <w:rsid w:val="00146D63"/>
    <w:rsid w:val="00147021"/>
    <w:rsid w:val="001470F1"/>
    <w:rsid w:val="001473FA"/>
    <w:rsid w:val="0014799E"/>
    <w:rsid w:val="00147FFB"/>
    <w:rsid w:val="001501E2"/>
    <w:rsid w:val="001509B9"/>
    <w:rsid w:val="00150B5C"/>
    <w:rsid w:val="00150E22"/>
    <w:rsid w:val="00150FD6"/>
    <w:rsid w:val="001511A3"/>
    <w:rsid w:val="001515FF"/>
    <w:rsid w:val="00151651"/>
    <w:rsid w:val="00151C9C"/>
    <w:rsid w:val="00151D6B"/>
    <w:rsid w:val="00151FAC"/>
    <w:rsid w:val="001520E3"/>
    <w:rsid w:val="00152C73"/>
    <w:rsid w:val="001532B3"/>
    <w:rsid w:val="0015383B"/>
    <w:rsid w:val="00153B04"/>
    <w:rsid w:val="00153EAA"/>
    <w:rsid w:val="00153F08"/>
    <w:rsid w:val="0015407A"/>
    <w:rsid w:val="00154BF2"/>
    <w:rsid w:val="00154BFF"/>
    <w:rsid w:val="00155A47"/>
    <w:rsid w:val="00155ADD"/>
    <w:rsid w:val="00155B3C"/>
    <w:rsid w:val="00155DE6"/>
    <w:rsid w:val="00155EAE"/>
    <w:rsid w:val="00156164"/>
    <w:rsid w:val="001563BF"/>
    <w:rsid w:val="00156701"/>
    <w:rsid w:val="0015680C"/>
    <w:rsid w:val="0015683B"/>
    <w:rsid w:val="00156931"/>
    <w:rsid w:val="00157197"/>
    <w:rsid w:val="001574E7"/>
    <w:rsid w:val="0015766E"/>
    <w:rsid w:val="001604E7"/>
    <w:rsid w:val="001605D9"/>
    <w:rsid w:val="001606B8"/>
    <w:rsid w:val="00160767"/>
    <w:rsid w:val="00161428"/>
    <w:rsid w:val="00161625"/>
    <w:rsid w:val="001616C0"/>
    <w:rsid w:val="00161AB6"/>
    <w:rsid w:val="00162043"/>
    <w:rsid w:val="001620B1"/>
    <w:rsid w:val="001621C1"/>
    <w:rsid w:val="0016237F"/>
    <w:rsid w:val="00162556"/>
    <w:rsid w:val="00162648"/>
    <w:rsid w:val="0016334C"/>
    <w:rsid w:val="0016352F"/>
    <w:rsid w:val="001638DD"/>
    <w:rsid w:val="00163ADF"/>
    <w:rsid w:val="00163E48"/>
    <w:rsid w:val="0016409A"/>
    <w:rsid w:val="001644CE"/>
    <w:rsid w:val="001645A9"/>
    <w:rsid w:val="00164708"/>
    <w:rsid w:val="00164A54"/>
    <w:rsid w:val="00164A5C"/>
    <w:rsid w:val="00164AEA"/>
    <w:rsid w:val="001654DF"/>
    <w:rsid w:val="00165802"/>
    <w:rsid w:val="00165A74"/>
    <w:rsid w:val="00165B18"/>
    <w:rsid w:val="00165C10"/>
    <w:rsid w:val="00165CB8"/>
    <w:rsid w:val="00166848"/>
    <w:rsid w:val="00166863"/>
    <w:rsid w:val="00166A21"/>
    <w:rsid w:val="001671AD"/>
    <w:rsid w:val="00167427"/>
    <w:rsid w:val="00167524"/>
    <w:rsid w:val="001675BA"/>
    <w:rsid w:val="001676F3"/>
    <w:rsid w:val="00167796"/>
    <w:rsid w:val="00167AF2"/>
    <w:rsid w:val="001703BB"/>
    <w:rsid w:val="00170571"/>
    <w:rsid w:val="001706B3"/>
    <w:rsid w:val="00170724"/>
    <w:rsid w:val="00170BF2"/>
    <w:rsid w:val="001711FD"/>
    <w:rsid w:val="0017191F"/>
    <w:rsid w:val="00171B61"/>
    <w:rsid w:val="00171CCF"/>
    <w:rsid w:val="00171F28"/>
    <w:rsid w:val="00172949"/>
    <w:rsid w:val="0017294A"/>
    <w:rsid w:val="0017299D"/>
    <w:rsid w:val="00172A27"/>
    <w:rsid w:val="00172A44"/>
    <w:rsid w:val="00172B49"/>
    <w:rsid w:val="00172BAF"/>
    <w:rsid w:val="00172C6E"/>
    <w:rsid w:val="00172F04"/>
    <w:rsid w:val="00173176"/>
    <w:rsid w:val="001734F7"/>
    <w:rsid w:val="001739FD"/>
    <w:rsid w:val="00173EFB"/>
    <w:rsid w:val="0017457D"/>
    <w:rsid w:val="00174B7E"/>
    <w:rsid w:val="0017510A"/>
    <w:rsid w:val="00175934"/>
    <w:rsid w:val="00175D42"/>
    <w:rsid w:val="00176646"/>
    <w:rsid w:val="00176A8F"/>
    <w:rsid w:val="00176CAF"/>
    <w:rsid w:val="00177037"/>
    <w:rsid w:val="00177617"/>
    <w:rsid w:val="001776AB"/>
    <w:rsid w:val="00177C48"/>
    <w:rsid w:val="0018014A"/>
    <w:rsid w:val="001801AE"/>
    <w:rsid w:val="00180278"/>
    <w:rsid w:val="00181947"/>
    <w:rsid w:val="00181BAB"/>
    <w:rsid w:val="00181BAC"/>
    <w:rsid w:val="001820C2"/>
    <w:rsid w:val="00182247"/>
    <w:rsid w:val="00182469"/>
    <w:rsid w:val="001827E8"/>
    <w:rsid w:val="00182D81"/>
    <w:rsid w:val="0018315C"/>
    <w:rsid w:val="00183210"/>
    <w:rsid w:val="00183294"/>
    <w:rsid w:val="00183478"/>
    <w:rsid w:val="0018360D"/>
    <w:rsid w:val="0018384C"/>
    <w:rsid w:val="00183AA5"/>
    <w:rsid w:val="00183CAF"/>
    <w:rsid w:val="00183F7D"/>
    <w:rsid w:val="00183FAB"/>
    <w:rsid w:val="001843E5"/>
    <w:rsid w:val="00184C0B"/>
    <w:rsid w:val="00185433"/>
    <w:rsid w:val="0018564F"/>
    <w:rsid w:val="0018597F"/>
    <w:rsid w:val="0018618C"/>
    <w:rsid w:val="001866AE"/>
    <w:rsid w:val="0018682A"/>
    <w:rsid w:val="00186ACE"/>
    <w:rsid w:val="00186C72"/>
    <w:rsid w:val="0018747C"/>
    <w:rsid w:val="00187487"/>
    <w:rsid w:val="0018787E"/>
    <w:rsid w:val="0019026B"/>
    <w:rsid w:val="00190AA1"/>
    <w:rsid w:val="00190AAD"/>
    <w:rsid w:val="00191BAC"/>
    <w:rsid w:val="00191C46"/>
    <w:rsid w:val="00191D1F"/>
    <w:rsid w:val="00191F1D"/>
    <w:rsid w:val="0019219C"/>
    <w:rsid w:val="001925A3"/>
    <w:rsid w:val="001925ED"/>
    <w:rsid w:val="00192C74"/>
    <w:rsid w:val="001939D8"/>
    <w:rsid w:val="00194B9D"/>
    <w:rsid w:val="00194D17"/>
    <w:rsid w:val="001952F6"/>
    <w:rsid w:val="001954DD"/>
    <w:rsid w:val="001959C4"/>
    <w:rsid w:val="00195BE8"/>
    <w:rsid w:val="00195E96"/>
    <w:rsid w:val="0019630D"/>
    <w:rsid w:val="0019682F"/>
    <w:rsid w:val="00196980"/>
    <w:rsid w:val="00196AF8"/>
    <w:rsid w:val="001971A8"/>
    <w:rsid w:val="00197C9A"/>
    <w:rsid w:val="001A03CB"/>
    <w:rsid w:val="001A04D5"/>
    <w:rsid w:val="001A05DF"/>
    <w:rsid w:val="001A0AC3"/>
    <w:rsid w:val="001A1193"/>
    <w:rsid w:val="001A2149"/>
    <w:rsid w:val="001A2236"/>
    <w:rsid w:val="001A2598"/>
    <w:rsid w:val="001A268E"/>
    <w:rsid w:val="001A27D4"/>
    <w:rsid w:val="001A3432"/>
    <w:rsid w:val="001A350A"/>
    <w:rsid w:val="001A3B34"/>
    <w:rsid w:val="001A3B3E"/>
    <w:rsid w:val="001A3F3C"/>
    <w:rsid w:val="001A4505"/>
    <w:rsid w:val="001A455B"/>
    <w:rsid w:val="001A4870"/>
    <w:rsid w:val="001A4E6D"/>
    <w:rsid w:val="001A50EB"/>
    <w:rsid w:val="001A51E2"/>
    <w:rsid w:val="001A51F9"/>
    <w:rsid w:val="001A54D8"/>
    <w:rsid w:val="001A5607"/>
    <w:rsid w:val="001A5A20"/>
    <w:rsid w:val="001A5CAB"/>
    <w:rsid w:val="001A5FF9"/>
    <w:rsid w:val="001A633E"/>
    <w:rsid w:val="001A7078"/>
    <w:rsid w:val="001A715B"/>
    <w:rsid w:val="001A71C2"/>
    <w:rsid w:val="001A71F9"/>
    <w:rsid w:val="001A74EB"/>
    <w:rsid w:val="001A7676"/>
    <w:rsid w:val="001A7786"/>
    <w:rsid w:val="001A787F"/>
    <w:rsid w:val="001A7951"/>
    <w:rsid w:val="001B008C"/>
    <w:rsid w:val="001B024F"/>
    <w:rsid w:val="001B02C8"/>
    <w:rsid w:val="001B07A7"/>
    <w:rsid w:val="001B0A58"/>
    <w:rsid w:val="001B1016"/>
    <w:rsid w:val="001B1515"/>
    <w:rsid w:val="001B1CB9"/>
    <w:rsid w:val="001B1D92"/>
    <w:rsid w:val="001B1DCB"/>
    <w:rsid w:val="001B1E00"/>
    <w:rsid w:val="001B1FF1"/>
    <w:rsid w:val="001B226E"/>
    <w:rsid w:val="001B22AD"/>
    <w:rsid w:val="001B26D4"/>
    <w:rsid w:val="001B26EF"/>
    <w:rsid w:val="001B2C7E"/>
    <w:rsid w:val="001B39C7"/>
    <w:rsid w:val="001B3B48"/>
    <w:rsid w:val="001B3E0A"/>
    <w:rsid w:val="001B4108"/>
    <w:rsid w:val="001B42EE"/>
    <w:rsid w:val="001B4366"/>
    <w:rsid w:val="001B496F"/>
    <w:rsid w:val="001B4E3B"/>
    <w:rsid w:val="001B5086"/>
    <w:rsid w:val="001B5183"/>
    <w:rsid w:val="001B5621"/>
    <w:rsid w:val="001B637B"/>
    <w:rsid w:val="001B637E"/>
    <w:rsid w:val="001B6E6C"/>
    <w:rsid w:val="001B713F"/>
    <w:rsid w:val="001B71DD"/>
    <w:rsid w:val="001B7211"/>
    <w:rsid w:val="001B73A4"/>
    <w:rsid w:val="001B743B"/>
    <w:rsid w:val="001B77BD"/>
    <w:rsid w:val="001B7CF0"/>
    <w:rsid w:val="001B7D57"/>
    <w:rsid w:val="001B7D5B"/>
    <w:rsid w:val="001B7DD1"/>
    <w:rsid w:val="001B7FE0"/>
    <w:rsid w:val="001C086C"/>
    <w:rsid w:val="001C09DC"/>
    <w:rsid w:val="001C0A67"/>
    <w:rsid w:val="001C0B23"/>
    <w:rsid w:val="001C0CCE"/>
    <w:rsid w:val="001C0F9A"/>
    <w:rsid w:val="001C105A"/>
    <w:rsid w:val="001C10CF"/>
    <w:rsid w:val="001C10DD"/>
    <w:rsid w:val="001C11E7"/>
    <w:rsid w:val="001C1321"/>
    <w:rsid w:val="001C1841"/>
    <w:rsid w:val="001C1B55"/>
    <w:rsid w:val="001C1D6B"/>
    <w:rsid w:val="001C1DEC"/>
    <w:rsid w:val="001C2136"/>
    <w:rsid w:val="001C2183"/>
    <w:rsid w:val="001C2249"/>
    <w:rsid w:val="001C25DE"/>
    <w:rsid w:val="001C26FA"/>
    <w:rsid w:val="001C2850"/>
    <w:rsid w:val="001C2A7C"/>
    <w:rsid w:val="001C2BFF"/>
    <w:rsid w:val="001C2C6E"/>
    <w:rsid w:val="001C2CCC"/>
    <w:rsid w:val="001C2D59"/>
    <w:rsid w:val="001C2D8E"/>
    <w:rsid w:val="001C3014"/>
    <w:rsid w:val="001C3060"/>
    <w:rsid w:val="001C3100"/>
    <w:rsid w:val="001C3B76"/>
    <w:rsid w:val="001C3BA7"/>
    <w:rsid w:val="001C41BF"/>
    <w:rsid w:val="001C424C"/>
    <w:rsid w:val="001C4643"/>
    <w:rsid w:val="001C4D7D"/>
    <w:rsid w:val="001C509F"/>
    <w:rsid w:val="001C55FB"/>
    <w:rsid w:val="001C5767"/>
    <w:rsid w:val="001C57AF"/>
    <w:rsid w:val="001C5989"/>
    <w:rsid w:val="001C5BDC"/>
    <w:rsid w:val="001C5C42"/>
    <w:rsid w:val="001C65AC"/>
    <w:rsid w:val="001C6CA0"/>
    <w:rsid w:val="001C6E8B"/>
    <w:rsid w:val="001C775D"/>
    <w:rsid w:val="001C7858"/>
    <w:rsid w:val="001D046F"/>
    <w:rsid w:val="001D0C37"/>
    <w:rsid w:val="001D1269"/>
    <w:rsid w:val="001D1553"/>
    <w:rsid w:val="001D1BBE"/>
    <w:rsid w:val="001D24B0"/>
    <w:rsid w:val="001D268F"/>
    <w:rsid w:val="001D2A0F"/>
    <w:rsid w:val="001D2E6C"/>
    <w:rsid w:val="001D3C5A"/>
    <w:rsid w:val="001D3F1A"/>
    <w:rsid w:val="001D43FE"/>
    <w:rsid w:val="001D45D6"/>
    <w:rsid w:val="001D4626"/>
    <w:rsid w:val="001D4719"/>
    <w:rsid w:val="001D496D"/>
    <w:rsid w:val="001D4CE6"/>
    <w:rsid w:val="001D5051"/>
    <w:rsid w:val="001D5189"/>
    <w:rsid w:val="001D5207"/>
    <w:rsid w:val="001D5641"/>
    <w:rsid w:val="001D5651"/>
    <w:rsid w:val="001D58E9"/>
    <w:rsid w:val="001D5A9F"/>
    <w:rsid w:val="001D5ED2"/>
    <w:rsid w:val="001D5EFF"/>
    <w:rsid w:val="001D608E"/>
    <w:rsid w:val="001D6291"/>
    <w:rsid w:val="001D6668"/>
    <w:rsid w:val="001D6EFF"/>
    <w:rsid w:val="001D6F17"/>
    <w:rsid w:val="001D70C1"/>
    <w:rsid w:val="001D7843"/>
    <w:rsid w:val="001D7A3A"/>
    <w:rsid w:val="001D7CAE"/>
    <w:rsid w:val="001E02BB"/>
    <w:rsid w:val="001E0515"/>
    <w:rsid w:val="001E0947"/>
    <w:rsid w:val="001E0F00"/>
    <w:rsid w:val="001E13D1"/>
    <w:rsid w:val="001E1928"/>
    <w:rsid w:val="001E1AB9"/>
    <w:rsid w:val="001E1BF4"/>
    <w:rsid w:val="001E20DC"/>
    <w:rsid w:val="001E2623"/>
    <w:rsid w:val="001E2BF7"/>
    <w:rsid w:val="001E3801"/>
    <w:rsid w:val="001E403D"/>
    <w:rsid w:val="001E42BA"/>
    <w:rsid w:val="001E4710"/>
    <w:rsid w:val="001E49E5"/>
    <w:rsid w:val="001E4E26"/>
    <w:rsid w:val="001E4EF4"/>
    <w:rsid w:val="001E5101"/>
    <w:rsid w:val="001E5613"/>
    <w:rsid w:val="001E5EC6"/>
    <w:rsid w:val="001E6039"/>
    <w:rsid w:val="001E60AF"/>
    <w:rsid w:val="001E64E5"/>
    <w:rsid w:val="001E664A"/>
    <w:rsid w:val="001E6721"/>
    <w:rsid w:val="001E6761"/>
    <w:rsid w:val="001E68E0"/>
    <w:rsid w:val="001E6C35"/>
    <w:rsid w:val="001E6CFD"/>
    <w:rsid w:val="001E72DF"/>
    <w:rsid w:val="001E7367"/>
    <w:rsid w:val="001E7524"/>
    <w:rsid w:val="001E7758"/>
    <w:rsid w:val="001E781B"/>
    <w:rsid w:val="001E7CF2"/>
    <w:rsid w:val="001F02B1"/>
    <w:rsid w:val="001F0331"/>
    <w:rsid w:val="001F0409"/>
    <w:rsid w:val="001F0647"/>
    <w:rsid w:val="001F1AF9"/>
    <w:rsid w:val="001F21C7"/>
    <w:rsid w:val="001F22EE"/>
    <w:rsid w:val="001F2968"/>
    <w:rsid w:val="001F2D8A"/>
    <w:rsid w:val="001F3234"/>
    <w:rsid w:val="001F3290"/>
    <w:rsid w:val="001F36EB"/>
    <w:rsid w:val="001F3B73"/>
    <w:rsid w:val="001F3D07"/>
    <w:rsid w:val="001F3DA2"/>
    <w:rsid w:val="001F4054"/>
    <w:rsid w:val="001F4170"/>
    <w:rsid w:val="001F43C0"/>
    <w:rsid w:val="001F4466"/>
    <w:rsid w:val="001F4C68"/>
    <w:rsid w:val="001F5B41"/>
    <w:rsid w:val="001F5BB8"/>
    <w:rsid w:val="001F5D0B"/>
    <w:rsid w:val="001F5F90"/>
    <w:rsid w:val="001F6BD2"/>
    <w:rsid w:val="001F6E5D"/>
    <w:rsid w:val="001F7020"/>
    <w:rsid w:val="001F71B3"/>
    <w:rsid w:val="001F770B"/>
    <w:rsid w:val="001F78FF"/>
    <w:rsid w:val="001F7F7F"/>
    <w:rsid w:val="002001A5"/>
    <w:rsid w:val="00200A49"/>
    <w:rsid w:val="00200CC9"/>
    <w:rsid w:val="0020123F"/>
    <w:rsid w:val="002013FE"/>
    <w:rsid w:val="002014C3"/>
    <w:rsid w:val="00201A77"/>
    <w:rsid w:val="00201C07"/>
    <w:rsid w:val="00201E1A"/>
    <w:rsid w:val="002020CB"/>
    <w:rsid w:val="002022E6"/>
    <w:rsid w:val="00202573"/>
    <w:rsid w:val="00202613"/>
    <w:rsid w:val="0020263F"/>
    <w:rsid w:val="00202D5F"/>
    <w:rsid w:val="002030D9"/>
    <w:rsid w:val="002030E9"/>
    <w:rsid w:val="00203162"/>
    <w:rsid w:val="00203352"/>
    <w:rsid w:val="00203674"/>
    <w:rsid w:val="002037E7"/>
    <w:rsid w:val="0020381C"/>
    <w:rsid w:val="0020398E"/>
    <w:rsid w:val="00203B1E"/>
    <w:rsid w:val="002045A8"/>
    <w:rsid w:val="0020565D"/>
    <w:rsid w:val="00205B41"/>
    <w:rsid w:val="00205DB7"/>
    <w:rsid w:val="00206264"/>
    <w:rsid w:val="00206444"/>
    <w:rsid w:val="0020659B"/>
    <w:rsid w:val="00206628"/>
    <w:rsid w:val="00206EF4"/>
    <w:rsid w:val="00207161"/>
    <w:rsid w:val="00207496"/>
    <w:rsid w:val="00207766"/>
    <w:rsid w:val="00207E37"/>
    <w:rsid w:val="00210200"/>
    <w:rsid w:val="00210644"/>
    <w:rsid w:val="00210CF1"/>
    <w:rsid w:val="00210F0F"/>
    <w:rsid w:val="00211698"/>
    <w:rsid w:val="002117EE"/>
    <w:rsid w:val="00211B8F"/>
    <w:rsid w:val="00211E87"/>
    <w:rsid w:val="00211F1F"/>
    <w:rsid w:val="0021236C"/>
    <w:rsid w:val="00212463"/>
    <w:rsid w:val="002126AF"/>
    <w:rsid w:val="00212835"/>
    <w:rsid w:val="0021294C"/>
    <w:rsid w:val="00212996"/>
    <w:rsid w:val="00213341"/>
    <w:rsid w:val="00213390"/>
    <w:rsid w:val="002134A9"/>
    <w:rsid w:val="0021366B"/>
    <w:rsid w:val="002136BB"/>
    <w:rsid w:val="002137D2"/>
    <w:rsid w:val="00213808"/>
    <w:rsid w:val="00213906"/>
    <w:rsid w:val="00213E16"/>
    <w:rsid w:val="00214447"/>
    <w:rsid w:val="00214D08"/>
    <w:rsid w:val="00214E85"/>
    <w:rsid w:val="002152A9"/>
    <w:rsid w:val="002152D0"/>
    <w:rsid w:val="00215341"/>
    <w:rsid w:val="00215750"/>
    <w:rsid w:val="002157CE"/>
    <w:rsid w:val="00215886"/>
    <w:rsid w:val="0021595D"/>
    <w:rsid w:val="00215A61"/>
    <w:rsid w:val="00215DB2"/>
    <w:rsid w:val="002162B4"/>
    <w:rsid w:val="00216328"/>
    <w:rsid w:val="00216594"/>
    <w:rsid w:val="0021666C"/>
    <w:rsid w:val="00217056"/>
    <w:rsid w:val="00217578"/>
    <w:rsid w:val="00217AD5"/>
    <w:rsid w:val="00217B7C"/>
    <w:rsid w:val="00217D74"/>
    <w:rsid w:val="00220087"/>
    <w:rsid w:val="002203B6"/>
    <w:rsid w:val="002204B4"/>
    <w:rsid w:val="002204D1"/>
    <w:rsid w:val="00220505"/>
    <w:rsid w:val="002209C0"/>
    <w:rsid w:val="002210D6"/>
    <w:rsid w:val="00221A26"/>
    <w:rsid w:val="00222662"/>
    <w:rsid w:val="00222CB5"/>
    <w:rsid w:val="00222CC7"/>
    <w:rsid w:val="00222D4B"/>
    <w:rsid w:val="00222E2A"/>
    <w:rsid w:val="002235E8"/>
    <w:rsid w:val="00223CB6"/>
    <w:rsid w:val="0022419D"/>
    <w:rsid w:val="00224375"/>
    <w:rsid w:val="002245CF"/>
    <w:rsid w:val="002245DE"/>
    <w:rsid w:val="00224A2E"/>
    <w:rsid w:val="00224FFB"/>
    <w:rsid w:val="00225043"/>
    <w:rsid w:val="00225093"/>
    <w:rsid w:val="00225331"/>
    <w:rsid w:val="0022579F"/>
    <w:rsid w:val="0022590E"/>
    <w:rsid w:val="00225C2B"/>
    <w:rsid w:val="00225E2C"/>
    <w:rsid w:val="00225EDE"/>
    <w:rsid w:val="00225F98"/>
    <w:rsid w:val="00225FB7"/>
    <w:rsid w:val="00225FF5"/>
    <w:rsid w:val="00226070"/>
    <w:rsid w:val="00226882"/>
    <w:rsid w:val="00226DC4"/>
    <w:rsid w:val="002271AA"/>
    <w:rsid w:val="00227284"/>
    <w:rsid w:val="00227733"/>
    <w:rsid w:val="00227A13"/>
    <w:rsid w:val="00227B40"/>
    <w:rsid w:val="00227CF4"/>
    <w:rsid w:val="00227D18"/>
    <w:rsid w:val="00227F5F"/>
    <w:rsid w:val="002303FB"/>
    <w:rsid w:val="00230463"/>
    <w:rsid w:val="00230566"/>
    <w:rsid w:val="00230B3D"/>
    <w:rsid w:val="002311DF"/>
    <w:rsid w:val="00231655"/>
    <w:rsid w:val="002320AA"/>
    <w:rsid w:val="00232B1A"/>
    <w:rsid w:val="00232D99"/>
    <w:rsid w:val="00232FA2"/>
    <w:rsid w:val="002331AB"/>
    <w:rsid w:val="002335B1"/>
    <w:rsid w:val="002336FD"/>
    <w:rsid w:val="002338B0"/>
    <w:rsid w:val="00233C81"/>
    <w:rsid w:val="002348C6"/>
    <w:rsid w:val="00234C9F"/>
    <w:rsid w:val="00235C0D"/>
    <w:rsid w:val="00235D18"/>
    <w:rsid w:val="00235D50"/>
    <w:rsid w:val="0023620C"/>
    <w:rsid w:val="0023642C"/>
    <w:rsid w:val="002371A2"/>
    <w:rsid w:val="00237267"/>
    <w:rsid w:val="0023772C"/>
    <w:rsid w:val="00237846"/>
    <w:rsid w:val="002406C8"/>
    <w:rsid w:val="002408AA"/>
    <w:rsid w:val="00240C23"/>
    <w:rsid w:val="00240F93"/>
    <w:rsid w:val="002411D4"/>
    <w:rsid w:val="0024144A"/>
    <w:rsid w:val="00241598"/>
    <w:rsid w:val="002418C6"/>
    <w:rsid w:val="002426FF"/>
    <w:rsid w:val="002428BF"/>
    <w:rsid w:val="00242FC9"/>
    <w:rsid w:val="00243C90"/>
    <w:rsid w:val="00244579"/>
    <w:rsid w:val="00244680"/>
    <w:rsid w:val="00244A68"/>
    <w:rsid w:val="00244C01"/>
    <w:rsid w:val="00244E12"/>
    <w:rsid w:val="00244E2C"/>
    <w:rsid w:val="002457CF"/>
    <w:rsid w:val="00245AA9"/>
    <w:rsid w:val="00245B13"/>
    <w:rsid w:val="002467D3"/>
    <w:rsid w:val="002467DB"/>
    <w:rsid w:val="00246D1D"/>
    <w:rsid w:val="00246D2A"/>
    <w:rsid w:val="00247121"/>
    <w:rsid w:val="00247715"/>
    <w:rsid w:val="002478DA"/>
    <w:rsid w:val="00250552"/>
    <w:rsid w:val="002507E7"/>
    <w:rsid w:val="0025080A"/>
    <w:rsid w:val="00250882"/>
    <w:rsid w:val="002509B7"/>
    <w:rsid w:val="00250DDD"/>
    <w:rsid w:val="002510AA"/>
    <w:rsid w:val="002511EF"/>
    <w:rsid w:val="002513CB"/>
    <w:rsid w:val="00251443"/>
    <w:rsid w:val="00251531"/>
    <w:rsid w:val="002515C8"/>
    <w:rsid w:val="00251676"/>
    <w:rsid w:val="002519C8"/>
    <w:rsid w:val="00251E9D"/>
    <w:rsid w:val="0025254A"/>
    <w:rsid w:val="0025271B"/>
    <w:rsid w:val="0025299F"/>
    <w:rsid w:val="00252CAE"/>
    <w:rsid w:val="002534D7"/>
    <w:rsid w:val="00253647"/>
    <w:rsid w:val="00253693"/>
    <w:rsid w:val="002538B8"/>
    <w:rsid w:val="00253A9C"/>
    <w:rsid w:val="00253CEC"/>
    <w:rsid w:val="002540A6"/>
    <w:rsid w:val="002546AD"/>
    <w:rsid w:val="002548AD"/>
    <w:rsid w:val="00254BF8"/>
    <w:rsid w:val="00254D15"/>
    <w:rsid w:val="00254DED"/>
    <w:rsid w:val="00254F3B"/>
    <w:rsid w:val="0025507E"/>
    <w:rsid w:val="00255369"/>
    <w:rsid w:val="0025552A"/>
    <w:rsid w:val="00255DF9"/>
    <w:rsid w:val="00256651"/>
    <w:rsid w:val="00256BB6"/>
    <w:rsid w:val="002572D0"/>
    <w:rsid w:val="00257598"/>
    <w:rsid w:val="00257924"/>
    <w:rsid w:val="00257CA6"/>
    <w:rsid w:val="00257EDB"/>
    <w:rsid w:val="002600A8"/>
    <w:rsid w:val="002601A4"/>
    <w:rsid w:val="00260536"/>
    <w:rsid w:val="00260673"/>
    <w:rsid w:val="00260942"/>
    <w:rsid w:val="00260A02"/>
    <w:rsid w:val="002610D3"/>
    <w:rsid w:val="00261188"/>
    <w:rsid w:val="00261244"/>
    <w:rsid w:val="002612A2"/>
    <w:rsid w:val="0026144A"/>
    <w:rsid w:val="00261FE1"/>
    <w:rsid w:val="002620F9"/>
    <w:rsid w:val="0026210B"/>
    <w:rsid w:val="002626E9"/>
    <w:rsid w:val="002631BF"/>
    <w:rsid w:val="00263279"/>
    <w:rsid w:val="00263369"/>
    <w:rsid w:val="00263527"/>
    <w:rsid w:val="002639AE"/>
    <w:rsid w:val="00263BEF"/>
    <w:rsid w:val="0026402A"/>
    <w:rsid w:val="0026433E"/>
    <w:rsid w:val="0026455D"/>
    <w:rsid w:val="00264ADA"/>
    <w:rsid w:val="002654E3"/>
    <w:rsid w:val="00265637"/>
    <w:rsid w:val="00265793"/>
    <w:rsid w:val="002660AD"/>
    <w:rsid w:val="002662BA"/>
    <w:rsid w:val="00266BBD"/>
    <w:rsid w:val="00266F0A"/>
    <w:rsid w:val="00267225"/>
    <w:rsid w:val="0026722C"/>
    <w:rsid w:val="00267454"/>
    <w:rsid w:val="002675CD"/>
    <w:rsid w:val="0026771B"/>
    <w:rsid w:val="0026790A"/>
    <w:rsid w:val="00267A40"/>
    <w:rsid w:val="0027019B"/>
    <w:rsid w:val="0027056C"/>
    <w:rsid w:val="00270AF3"/>
    <w:rsid w:val="00271484"/>
    <w:rsid w:val="00271A95"/>
    <w:rsid w:val="00271BAC"/>
    <w:rsid w:val="002720E2"/>
    <w:rsid w:val="00272A4E"/>
    <w:rsid w:val="0027321D"/>
    <w:rsid w:val="00273456"/>
    <w:rsid w:val="00273679"/>
    <w:rsid w:val="002737B7"/>
    <w:rsid w:val="002737EF"/>
    <w:rsid w:val="00274030"/>
    <w:rsid w:val="002747F8"/>
    <w:rsid w:val="00274B45"/>
    <w:rsid w:val="00275875"/>
    <w:rsid w:val="00275D7B"/>
    <w:rsid w:val="00275E26"/>
    <w:rsid w:val="002763BB"/>
    <w:rsid w:val="00276504"/>
    <w:rsid w:val="002765A7"/>
    <w:rsid w:val="0027670E"/>
    <w:rsid w:val="00276B3E"/>
    <w:rsid w:val="00276B45"/>
    <w:rsid w:val="00276EC3"/>
    <w:rsid w:val="00276FF7"/>
    <w:rsid w:val="00277106"/>
    <w:rsid w:val="002772A6"/>
    <w:rsid w:val="00277586"/>
    <w:rsid w:val="00277813"/>
    <w:rsid w:val="00277F33"/>
    <w:rsid w:val="0028013D"/>
    <w:rsid w:val="00280609"/>
    <w:rsid w:val="00280630"/>
    <w:rsid w:val="00280995"/>
    <w:rsid w:val="00280C57"/>
    <w:rsid w:val="00280E36"/>
    <w:rsid w:val="002817A8"/>
    <w:rsid w:val="00281C78"/>
    <w:rsid w:val="00282472"/>
    <w:rsid w:val="0028339B"/>
    <w:rsid w:val="0028341D"/>
    <w:rsid w:val="0028351A"/>
    <w:rsid w:val="002836F5"/>
    <w:rsid w:val="00283B1C"/>
    <w:rsid w:val="00283EF9"/>
    <w:rsid w:val="002840DE"/>
    <w:rsid w:val="00284132"/>
    <w:rsid w:val="002841E7"/>
    <w:rsid w:val="00284394"/>
    <w:rsid w:val="00284D84"/>
    <w:rsid w:val="00284EF4"/>
    <w:rsid w:val="002850AB"/>
    <w:rsid w:val="00285359"/>
    <w:rsid w:val="00285546"/>
    <w:rsid w:val="0028618F"/>
    <w:rsid w:val="002864FF"/>
    <w:rsid w:val="00286576"/>
    <w:rsid w:val="002868AF"/>
    <w:rsid w:val="00286A91"/>
    <w:rsid w:val="002872AA"/>
    <w:rsid w:val="002873A5"/>
    <w:rsid w:val="002877E1"/>
    <w:rsid w:val="00287B0C"/>
    <w:rsid w:val="00287B35"/>
    <w:rsid w:val="00287C2F"/>
    <w:rsid w:val="00290292"/>
    <w:rsid w:val="0029062F"/>
    <w:rsid w:val="002908B4"/>
    <w:rsid w:val="00290CB2"/>
    <w:rsid w:val="00290E34"/>
    <w:rsid w:val="00290E88"/>
    <w:rsid w:val="00291386"/>
    <w:rsid w:val="0029150E"/>
    <w:rsid w:val="0029197C"/>
    <w:rsid w:val="00291DEF"/>
    <w:rsid w:val="0029236D"/>
    <w:rsid w:val="00292FCC"/>
    <w:rsid w:val="0029320C"/>
    <w:rsid w:val="002939E3"/>
    <w:rsid w:val="00293B2F"/>
    <w:rsid w:val="00293CF4"/>
    <w:rsid w:val="00293DB9"/>
    <w:rsid w:val="00293FCA"/>
    <w:rsid w:val="002942AC"/>
    <w:rsid w:val="002942D0"/>
    <w:rsid w:val="00294803"/>
    <w:rsid w:val="00294B20"/>
    <w:rsid w:val="002953C7"/>
    <w:rsid w:val="00295480"/>
    <w:rsid w:val="00295B96"/>
    <w:rsid w:val="002962DD"/>
    <w:rsid w:val="00296695"/>
    <w:rsid w:val="00296957"/>
    <w:rsid w:val="00296A4F"/>
    <w:rsid w:val="00296D8C"/>
    <w:rsid w:val="0029734E"/>
    <w:rsid w:val="0029756F"/>
    <w:rsid w:val="00297A8D"/>
    <w:rsid w:val="00297CD9"/>
    <w:rsid w:val="00297E90"/>
    <w:rsid w:val="002A003A"/>
    <w:rsid w:val="002A02CD"/>
    <w:rsid w:val="002A069F"/>
    <w:rsid w:val="002A08D0"/>
    <w:rsid w:val="002A0F96"/>
    <w:rsid w:val="002A12CE"/>
    <w:rsid w:val="002A174D"/>
    <w:rsid w:val="002A1765"/>
    <w:rsid w:val="002A1F31"/>
    <w:rsid w:val="002A2140"/>
    <w:rsid w:val="002A265F"/>
    <w:rsid w:val="002A27B7"/>
    <w:rsid w:val="002A289A"/>
    <w:rsid w:val="002A2B74"/>
    <w:rsid w:val="002A2FA8"/>
    <w:rsid w:val="002A3802"/>
    <w:rsid w:val="002A3BF7"/>
    <w:rsid w:val="002A4118"/>
    <w:rsid w:val="002A4241"/>
    <w:rsid w:val="002A431F"/>
    <w:rsid w:val="002A43FA"/>
    <w:rsid w:val="002A449D"/>
    <w:rsid w:val="002A44A7"/>
    <w:rsid w:val="002A463C"/>
    <w:rsid w:val="002A4924"/>
    <w:rsid w:val="002A4A10"/>
    <w:rsid w:val="002A4EB0"/>
    <w:rsid w:val="002A556E"/>
    <w:rsid w:val="002A5840"/>
    <w:rsid w:val="002A5D41"/>
    <w:rsid w:val="002A5DA9"/>
    <w:rsid w:val="002A60AF"/>
    <w:rsid w:val="002A6604"/>
    <w:rsid w:val="002A6672"/>
    <w:rsid w:val="002A67EF"/>
    <w:rsid w:val="002A6E5A"/>
    <w:rsid w:val="002A7AD1"/>
    <w:rsid w:val="002A7CDA"/>
    <w:rsid w:val="002A7D60"/>
    <w:rsid w:val="002B0254"/>
    <w:rsid w:val="002B0372"/>
    <w:rsid w:val="002B090A"/>
    <w:rsid w:val="002B0C14"/>
    <w:rsid w:val="002B1294"/>
    <w:rsid w:val="002B1537"/>
    <w:rsid w:val="002B1740"/>
    <w:rsid w:val="002B17B4"/>
    <w:rsid w:val="002B1BFF"/>
    <w:rsid w:val="002B21DF"/>
    <w:rsid w:val="002B2202"/>
    <w:rsid w:val="002B237D"/>
    <w:rsid w:val="002B273F"/>
    <w:rsid w:val="002B296C"/>
    <w:rsid w:val="002B2E81"/>
    <w:rsid w:val="002B31FF"/>
    <w:rsid w:val="002B35F8"/>
    <w:rsid w:val="002B37DF"/>
    <w:rsid w:val="002B3C76"/>
    <w:rsid w:val="002B3CBA"/>
    <w:rsid w:val="002B42C6"/>
    <w:rsid w:val="002B4350"/>
    <w:rsid w:val="002B50E5"/>
    <w:rsid w:val="002B51D0"/>
    <w:rsid w:val="002B5365"/>
    <w:rsid w:val="002B5D78"/>
    <w:rsid w:val="002B60CA"/>
    <w:rsid w:val="002B6591"/>
    <w:rsid w:val="002B66D3"/>
    <w:rsid w:val="002B66DD"/>
    <w:rsid w:val="002B6E39"/>
    <w:rsid w:val="002B7AD6"/>
    <w:rsid w:val="002B7C4C"/>
    <w:rsid w:val="002C03A3"/>
    <w:rsid w:val="002C0B92"/>
    <w:rsid w:val="002C0CD2"/>
    <w:rsid w:val="002C0E50"/>
    <w:rsid w:val="002C0F6B"/>
    <w:rsid w:val="002C16DF"/>
    <w:rsid w:val="002C1AAA"/>
    <w:rsid w:val="002C1BE4"/>
    <w:rsid w:val="002C29B1"/>
    <w:rsid w:val="002C2AC4"/>
    <w:rsid w:val="002C31D4"/>
    <w:rsid w:val="002C3268"/>
    <w:rsid w:val="002C32FE"/>
    <w:rsid w:val="002C3449"/>
    <w:rsid w:val="002C3536"/>
    <w:rsid w:val="002C3836"/>
    <w:rsid w:val="002C3AAA"/>
    <w:rsid w:val="002C3ED1"/>
    <w:rsid w:val="002C4133"/>
    <w:rsid w:val="002C424B"/>
    <w:rsid w:val="002C4660"/>
    <w:rsid w:val="002C4DF2"/>
    <w:rsid w:val="002C50D0"/>
    <w:rsid w:val="002C513A"/>
    <w:rsid w:val="002C5208"/>
    <w:rsid w:val="002C58C2"/>
    <w:rsid w:val="002C5C7E"/>
    <w:rsid w:val="002C5F29"/>
    <w:rsid w:val="002C5FAF"/>
    <w:rsid w:val="002C613A"/>
    <w:rsid w:val="002C6711"/>
    <w:rsid w:val="002C6CA9"/>
    <w:rsid w:val="002C6CB6"/>
    <w:rsid w:val="002C7272"/>
    <w:rsid w:val="002C75FE"/>
    <w:rsid w:val="002C7CB4"/>
    <w:rsid w:val="002D04BE"/>
    <w:rsid w:val="002D06E8"/>
    <w:rsid w:val="002D09CC"/>
    <w:rsid w:val="002D0D58"/>
    <w:rsid w:val="002D0E51"/>
    <w:rsid w:val="002D1232"/>
    <w:rsid w:val="002D1303"/>
    <w:rsid w:val="002D17A8"/>
    <w:rsid w:val="002D1B70"/>
    <w:rsid w:val="002D1CAA"/>
    <w:rsid w:val="002D1E41"/>
    <w:rsid w:val="002D2062"/>
    <w:rsid w:val="002D220A"/>
    <w:rsid w:val="002D25E0"/>
    <w:rsid w:val="002D25F7"/>
    <w:rsid w:val="002D2BF6"/>
    <w:rsid w:val="002D2C0A"/>
    <w:rsid w:val="002D3C3A"/>
    <w:rsid w:val="002D4645"/>
    <w:rsid w:val="002D4903"/>
    <w:rsid w:val="002D506B"/>
    <w:rsid w:val="002D5196"/>
    <w:rsid w:val="002D528E"/>
    <w:rsid w:val="002D52D8"/>
    <w:rsid w:val="002D5382"/>
    <w:rsid w:val="002D567B"/>
    <w:rsid w:val="002D57BA"/>
    <w:rsid w:val="002D5B96"/>
    <w:rsid w:val="002D5DE0"/>
    <w:rsid w:val="002D607D"/>
    <w:rsid w:val="002D6472"/>
    <w:rsid w:val="002D6C75"/>
    <w:rsid w:val="002D6FA8"/>
    <w:rsid w:val="002D76E9"/>
    <w:rsid w:val="002D7992"/>
    <w:rsid w:val="002E0D46"/>
    <w:rsid w:val="002E0FEC"/>
    <w:rsid w:val="002E13DC"/>
    <w:rsid w:val="002E1C86"/>
    <w:rsid w:val="002E2079"/>
    <w:rsid w:val="002E2361"/>
    <w:rsid w:val="002E2B03"/>
    <w:rsid w:val="002E3020"/>
    <w:rsid w:val="002E3459"/>
    <w:rsid w:val="002E3D28"/>
    <w:rsid w:val="002E413A"/>
    <w:rsid w:val="002E4478"/>
    <w:rsid w:val="002E46C3"/>
    <w:rsid w:val="002E478E"/>
    <w:rsid w:val="002E4C98"/>
    <w:rsid w:val="002E515C"/>
    <w:rsid w:val="002E56EF"/>
    <w:rsid w:val="002E57B8"/>
    <w:rsid w:val="002E6058"/>
    <w:rsid w:val="002E6534"/>
    <w:rsid w:val="002E6689"/>
    <w:rsid w:val="002E6C02"/>
    <w:rsid w:val="002E6D2B"/>
    <w:rsid w:val="002E6E3E"/>
    <w:rsid w:val="002E6FBE"/>
    <w:rsid w:val="002E6FE9"/>
    <w:rsid w:val="002E7073"/>
    <w:rsid w:val="002E72AA"/>
    <w:rsid w:val="002E770D"/>
    <w:rsid w:val="002E7762"/>
    <w:rsid w:val="002F0367"/>
    <w:rsid w:val="002F0474"/>
    <w:rsid w:val="002F0877"/>
    <w:rsid w:val="002F0BC3"/>
    <w:rsid w:val="002F18B4"/>
    <w:rsid w:val="002F1AFA"/>
    <w:rsid w:val="002F1BAE"/>
    <w:rsid w:val="002F1FD8"/>
    <w:rsid w:val="002F211D"/>
    <w:rsid w:val="002F23C4"/>
    <w:rsid w:val="002F2782"/>
    <w:rsid w:val="002F2A38"/>
    <w:rsid w:val="002F2BAC"/>
    <w:rsid w:val="002F2C4F"/>
    <w:rsid w:val="002F2E6E"/>
    <w:rsid w:val="002F2FBA"/>
    <w:rsid w:val="002F2FD9"/>
    <w:rsid w:val="002F3031"/>
    <w:rsid w:val="002F3410"/>
    <w:rsid w:val="002F377C"/>
    <w:rsid w:val="002F380F"/>
    <w:rsid w:val="002F3B7E"/>
    <w:rsid w:val="002F424E"/>
    <w:rsid w:val="002F43B4"/>
    <w:rsid w:val="002F443F"/>
    <w:rsid w:val="002F4604"/>
    <w:rsid w:val="002F4720"/>
    <w:rsid w:val="002F557E"/>
    <w:rsid w:val="002F5FAD"/>
    <w:rsid w:val="002F5FC4"/>
    <w:rsid w:val="002F60B5"/>
    <w:rsid w:val="002F60D0"/>
    <w:rsid w:val="002F612A"/>
    <w:rsid w:val="002F62B8"/>
    <w:rsid w:val="002F6597"/>
    <w:rsid w:val="002F6D08"/>
    <w:rsid w:val="002F6EFA"/>
    <w:rsid w:val="002F710E"/>
    <w:rsid w:val="00300301"/>
    <w:rsid w:val="00300645"/>
    <w:rsid w:val="003007D7"/>
    <w:rsid w:val="00300878"/>
    <w:rsid w:val="00300AFD"/>
    <w:rsid w:val="0030174E"/>
    <w:rsid w:val="00301895"/>
    <w:rsid w:val="00301DB7"/>
    <w:rsid w:val="00302021"/>
    <w:rsid w:val="00302327"/>
    <w:rsid w:val="003024D2"/>
    <w:rsid w:val="00302914"/>
    <w:rsid w:val="00302A74"/>
    <w:rsid w:val="00302B18"/>
    <w:rsid w:val="00302E5A"/>
    <w:rsid w:val="00302F04"/>
    <w:rsid w:val="0030322D"/>
    <w:rsid w:val="003036E7"/>
    <w:rsid w:val="003038CE"/>
    <w:rsid w:val="00303A8E"/>
    <w:rsid w:val="00303B89"/>
    <w:rsid w:val="00303D12"/>
    <w:rsid w:val="0030438F"/>
    <w:rsid w:val="00304695"/>
    <w:rsid w:val="003046CF"/>
    <w:rsid w:val="003047EB"/>
    <w:rsid w:val="00304DCB"/>
    <w:rsid w:val="00304EA3"/>
    <w:rsid w:val="003050D0"/>
    <w:rsid w:val="00305181"/>
    <w:rsid w:val="00305206"/>
    <w:rsid w:val="0030560F"/>
    <w:rsid w:val="003056E1"/>
    <w:rsid w:val="00305853"/>
    <w:rsid w:val="003058CC"/>
    <w:rsid w:val="00305AC8"/>
    <w:rsid w:val="00305C81"/>
    <w:rsid w:val="00306264"/>
    <w:rsid w:val="003065E0"/>
    <w:rsid w:val="0030678D"/>
    <w:rsid w:val="003068B7"/>
    <w:rsid w:val="00306B18"/>
    <w:rsid w:val="00306EF5"/>
    <w:rsid w:val="00307548"/>
    <w:rsid w:val="003075E8"/>
    <w:rsid w:val="00307D51"/>
    <w:rsid w:val="003104B1"/>
    <w:rsid w:val="00310828"/>
    <w:rsid w:val="00310999"/>
    <w:rsid w:val="00310AB5"/>
    <w:rsid w:val="00310B50"/>
    <w:rsid w:val="00310BA7"/>
    <w:rsid w:val="00311926"/>
    <w:rsid w:val="00311AFD"/>
    <w:rsid w:val="00311EA7"/>
    <w:rsid w:val="00312206"/>
    <w:rsid w:val="00312298"/>
    <w:rsid w:val="00312394"/>
    <w:rsid w:val="00312873"/>
    <w:rsid w:val="00313220"/>
    <w:rsid w:val="00314110"/>
    <w:rsid w:val="00314247"/>
    <w:rsid w:val="00314352"/>
    <w:rsid w:val="003145BE"/>
    <w:rsid w:val="00314713"/>
    <w:rsid w:val="00314B61"/>
    <w:rsid w:val="00315830"/>
    <w:rsid w:val="00315FFD"/>
    <w:rsid w:val="0031655B"/>
    <w:rsid w:val="00316587"/>
    <w:rsid w:val="003166CB"/>
    <w:rsid w:val="00316806"/>
    <w:rsid w:val="00316D9E"/>
    <w:rsid w:val="00316DF4"/>
    <w:rsid w:val="00316F7E"/>
    <w:rsid w:val="00317335"/>
    <w:rsid w:val="00317A25"/>
    <w:rsid w:val="00317ABB"/>
    <w:rsid w:val="00317B63"/>
    <w:rsid w:val="00317CC6"/>
    <w:rsid w:val="003209CA"/>
    <w:rsid w:val="00320A9F"/>
    <w:rsid w:val="00320EE2"/>
    <w:rsid w:val="00321071"/>
    <w:rsid w:val="00321113"/>
    <w:rsid w:val="0032117D"/>
    <w:rsid w:val="00321370"/>
    <w:rsid w:val="003219FD"/>
    <w:rsid w:val="00321ABC"/>
    <w:rsid w:val="00321D13"/>
    <w:rsid w:val="00321E28"/>
    <w:rsid w:val="00321F43"/>
    <w:rsid w:val="00322218"/>
    <w:rsid w:val="0032222C"/>
    <w:rsid w:val="00322C5B"/>
    <w:rsid w:val="00323364"/>
    <w:rsid w:val="00323385"/>
    <w:rsid w:val="003241EF"/>
    <w:rsid w:val="0032462C"/>
    <w:rsid w:val="00324AF7"/>
    <w:rsid w:val="00324FD5"/>
    <w:rsid w:val="0032547D"/>
    <w:rsid w:val="003256A8"/>
    <w:rsid w:val="00325748"/>
    <w:rsid w:val="003261E8"/>
    <w:rsid w:val="003263A0"/>
    <w:rsid w:val="00326409"/>
    <w:rsid w:val="003265BD"/>
    <w:rsid w:val="00326C3F"/>
    <w:rsid w:val="00326D2A"/>
    <w:rsid w:val="00326EA4"/>
    <w:rsid w:val="0032716B"/>
    <w:rsid w:val="0032726D"/>
    <w:rsid w:val="00327BD8"/>
    <w:rsid w:val="00327EED"/>
    <w:rsid w:val="00330615"/>
    <w:rsid w:val="003308AA"/>
    <w:rsid w:val="003309A7"/>
    <w:rsid w:val="00330AD6"/>
    <w:rsid w:val="00330ECF"/>
    <w:rsid w:val="00331924"/>
    <w:rsid w:val="00331F1F"/>
    <w:rsid w:val="0033215C"/>
    <w:rsid w:val="003326A3"/>
    <w:rsid w:val="00332A31"/>
    <w:rsid w:val="00332DE2"/>
    <w:rsid w:val="00332E64"/>
    <w:rsid w:val="003330A5"/>
    <w:rsid w:val="00333306"/>
    <w:rsid w:val="00333BEB"/>
    <w:rsid w:val="00333E87"/>
    <w:rsid w:val="0033450A"/>
    <w:rsid w:val="0033530C"/>
    <w:rsid w:val="0033550A"/>
    <w:rsid w:val="0033567D"/>
    <w:rsid w:val="0033589C"/>
    <w:rsid w:val="00335FD0"/>
    <w:rsid w:val="0033618A"/>
    <w:rsid w:val="003363E3"/>
    <w:rsid w:val="003365A0"/>
    <w:rsid w:val="00336766"/>
    <w:rsid w:val="00337229"/>
    <w:rsid w:val="003373A4"/>
    <w:rsid w:val="00337930"/>
    <w:rsid w:val="00337E4D"/>
    <w:rsid w:val="00337F16"/>
    <w:rsid w:val="00340164"/>
    <w:rsid w:val="00340804"/>
    <w:rsid w:val="00340A17"/>
    <w:rsid w:val="00340DFB"/>
    <w:rsid w:val="00340F3F"/>
    <w:rsid w:val="003410A5"/>
    <w:rsid w:val="00341315"/>
    <w:rsid w:val="00342348"/>
    <w:rsid w:val="0034295F"/>
    <w:rsid w:val="00342AED"/>
    <w:rsid w:val="00342D25"/>
    <w:rsid w:val="00342D56"/>
    <w:rsid w:val="00342E3D"/>
    <w:rsid w:val="0034306E"/>
    <w:rsid w:val="003434B6"/>
    <w:rsid w:val="003435B3"/>
    <w:rsid w:val="0034383D"/>
    <w:rsid w:val="00343E06"/>
    <w:rsid w:val="0034419B"/>
    <w:rsid w:val="003449B2"/>
    <w:rsid w:val="00344A7E"/>
    <w:rsid w:val="00344EB9"/>
    <w:rsid w:val="003457C2"/>
    <w:rsid w:val="00345F6B"/>
    <w:rsid w:val="0034618C"/>
    <w:rsid w:val="003461FB"/>
    <w:rsid w:val="003462A0"/>
    <w:rsid w:val="0034630D"/>
    <w:rsid w:val="0034641A"/>
    <w:rsid w:val="00346A43"/>
    <w:rsid w:val="00346A79"/>
    <w:rsid w:val="00347431"/>
    <w:rsid w:val="00347450"/>
    <w:rsid w:val="00347889"/>
    <w:rsid w:val="003479D2"/>
    <w:rsid w:val="00347C55"/>
    <w:rsid w:val="00347D6F"/>
    <w:rsid w:val="00347E14"/>
    <w:rsid w:val="003500EB"/>
    <w:rsid w:val="00350160"/>
    <w:rsid w:val="003506BD"/>
    <w:rsid w:val="003506F6"/>
    <w:rsid w:val="003508F9"/>
    <w:rsid w:val="00350911"/>
    <w:rsid w:val="00350C51"/>
    <w:rsid w:val="00351000"/>
    <w:rsid w:val="00351138"/>
    <w:rsid w:val="003512BA"/>
    <w:rsid w:val="003513FC"/>
    <w:rsid w:val="00351428"/>
    <w:rsid w:val="003519A0"/>
    <w:rsid w:val="003524F8"/>
    <w:rsid w:val="003529D6"/>
    <w:rsid w:val="00352DBD"/>
    <w:rsid w:val="0035300F"/>
    <w:rsid w:val="00353147"/>
    <w:rsid w:val="0035404C"/>
    <w:rsid w:val="00354671"/>
    <w:rsid w:val="00354C8D"/>
    <w:rsid w:val="00354D50"/>
    <w:rsid w:val="00354F75"/>
    <w:rsid w:val="003551DA"/>
    <w:rsid w:val="00355274"/>
    <w:rsid w:val="003555F2"/>
    <w:rsid w:val="00355760"/>
    <w:rsid w:val="003559CF"/>
    <w:rsid w:val="00355BE4"/>
    <w:rsid w:val="00355C7E"/>
    <w:rsid w:val="0035618E"/>
    <w:rsid w:val="00356502"/>
    <w:rsid w:val="00356AE0"/>
    <w:rsid w:val="00356D43"/>
    <w:rsid w:val="00356FE5"/>
    <w:rsid w:val="0035790E"/>
    <w:rsid w:val="003579E0"/>
    <w:rsid w:val="00357E5F"/>
    <w:rsid w:val="0036048B"/>
    <w:rsid w:val="003606EF"/>
    <w:rsid w:val="003607ED"/>
    <w:rsid w:val="00360973"/>
    <w:rsid w:val="0036098F"/>
    <w:rsid w:val="00360A34"/>
    <w:rsid w:val="00360BB1"/>
    <w:rsid w:val="00361156"/>
    <w:rsid w:val="00361237"/>
    <w:rsid w:val="0036126E"/>
    <w:rsid w:val="00361C0A"/>
    <w:rsid w:val="0036205B"/>
    <w:rsid w:val="0036211A"/>
    <w:rsid w:val="00362176"/>
    <w:rsid w:val="00362D16"/>
    <w:rsid w:val="00362EF0"/>
    <w:rsid w:val="0036305A"/>
    <w:rsid w:val="0036306C"/>
    <w:rsid w:val="00363124"/>
    <w:rsid w:val="0036323E"/>
    <w:rsid w:val="00363525"/>
    <w:rsid w:val="003637CF"/>
    <w:rsid w:val="003637DA"/>
    <w:rsid w:val="003639D7"/>
    <w:rsid w:val="00363A7C"/>
    <w:rsid w:val="00363DD7"/>
    <w:rsid w:val="00363E24"/>
    <w:rsid w:val="00363FE0"/>
    <w:rsid w:val="00363FF9"/>
    <w:rsid w:val="00364268"/>
    <w:rsid w:val="0036467C"/>
    <w:rsid w:val="003646D0"/>
    <w:rsid w:val="003647CE"/>
    <w:rsid w:val="00364B82"/>
    <w:rsid w:val="00364DD3"/>
    <w:rsid w:val="0036551D"/>
    <w:rsid w:val="0036564A"/>
    <w:rsid w:val="00365AD1"/>
    <w:rsid w:val="00365B7B"/>
    <w:rsid w:val="00365BB5"/>
    <w:rsid w:val="00365CBF"/>
    <w:rsid w:val="00365DEC"/>
    <w:rsid w:val="0036603E"/>
    <w:rsid w:val="003666E9"/>
    <w:rsid w:val="003669AF"/>
    <w:rsid w:val="00366C23"/>
    <w:rsid w:val="0036796F"/>
    <w:rsid w:val="00367B07"/>
    <w:rsid w:val="00367B83"/>
    <w:rsid w:val="00370FFE"/>
    <w:rsid w:val="0037141B"/>
    <w:rsid w:val="00371656"/>
    <w:rsid w:val="00371B6B"/>
    <w:rsid w:val="00371B8A"/>
    <w:rsid w:val="00371FA2"/>
    <w:rsid w:val="003726CD"/>
    <w:rsid w:val="00372CC6"/>
    <w:rsid w:val="00372F1C"/>
    <w:rsid w:val="00373299"/>
    <w:rsid w:val="003735C6"/>
    <w:rsid w:val="003737D9"/>
    <w:rsid w:val="00373A67"/>
    <w:rsid w:val="00373E88"/>
    <w:rsid w:val="00373EE3"/>
    <w:rsid w:val="003744D3"/>
    <w:rsid w:val="0037458F"/>
    <w:rsid w:val="00374642"/>
    <w:rsid w:val="0037486D"/>
    <w:rsid w:val="0037542C"/>
    <w:rsid w:val="0037546B"/>
    <w:rsid w:val="00375721"/>
    <w:rsid w:val="003757B4"/>
    <w:rsid w:val="0037582C"/>
    <w:rsid w:val="00375E07"/>
    <w:rsid w:val="00376151"/>
    <w:rsid w:val="0037635F"/>
    <w:rsid w:val="00376736"/>
    <w:rsid w:val="00376B0D"/>
    <w:rsid w:val="00376EBE"/>
    <w:rsid w:val="003774E1"/>
    <w:rsid w:val="003776B4"/>
    <w:rsid w:val="00377A7B"/>
    <w:rsid w:val="003800AC"/>
    <w:rsid w:val="00380381"/>
    <w:rsid w:val="00380586"/>
    <w:rsid w:val="00380D09"/>
    <w:rsid w:val="00380ECC"/>
    <w:rsid w:val="0038131A"/>
    <w:rsid w:val="00381332"/>
    <w:rsid w:val="0038155F"/>
    <w:rsid w:val="00381745"/>
    <w:rsid w:val="00381A89"/>
    <w:rsid w:val="003821E0"/>
    <w:rsid w:val="00382656"/>
    <w:rsid w:val="00382FE1"/>
    <w:rsid w:val="00383311"/>
    <w:rsid w:val="00383453"/>
    <w:rsid w:val="00383C7C"/>
    <w:rsid w:val="00383CD7"/>
    <w:rsid w:val="00384AD0"/>
    <w:rsid w:val="00384DA4"/>
    <w:rsid w:val="00384DA7"/>
    <w:rsid w:val="00385167"/>
    <w:rsid w:val="003856AC"/>
    <w:rsid w:val="00385F0A"/>
    <w:rsid w:val="00386199"/>
    <w:rsid w:val="00386604"/>
    <w:rsid w:val="003868A5"/>
    <w:rsid w:val="00386E92"/>
    <w:rsid w:val="00387166"/>
    <w:rsid w:val="00387214"/>
    <w:rsid w:val="003876D0"/>
    <w:rsid w:val="003877AD"/>
    <w:rsid w:val="003879FC"/>
    <w:rsid w:val="00387A56"/>
    <w:rsid w:val="00387D75"/>
    <w:rsid w:val="003900EF"/>
    <w:rsid w:val="003902BA"/>
    <w:rsid w:val="003902DE"/>
    <w:rsid w:val="00390376"/>
    <w:rsid w:val="003909A1"/>
    <w:rsid w:val="00390A81"/>
    <w:rsid w:val="00390BF9"/>
    <w:rsid w:val="0039101B"/>
    <w:rsid w:val="0039184D"/>
    <w:rsid w:val="003918D1"/>
    <w:rsid w:val="00391BF5"/>
    <w:rsid w:val="00391DCE"/>
    <w:rsid w:val="00391E16"/>
    <w:rsid w:val="00391F0A"/>
    <w:rsid w:val="00392372"/>
    <w:rsid w:val="00392A7E"/>
    <w:rsid w:val="00392D20"/>
    <w:rsid w:val="00393344"/>
    <w:rsid w:val="0039393B"/>
    <w:rsid w:val="00393C9A"/>
    <w:rsid w:val="0039438B"/>
    <w:rsid w:val="003944E1"/>
    <w:rsid w:val="00394A50"/>
    <w:rsid w:val="00394E0D"/>
    <w:rsid w:val="00395B10"/>
    <w:rsid w:val="00395F04"/>
    <w:rsid w:val="003960DF"/>
    <w:rsid w:val="0039699C"/>
    <w:rsid w:val="00396DAD"/>
    <w:rsid w:val="00397510"/>
    <w:rsid w:val="00397685"/>
    <w:rsid w:val="0039776D"/>
    <w:rsid w:val="00397C4D"/>
    <w:rsid w:val="00397DB9"/>
    <w:rsid w:val="00397E75"/>
    <w:rsid w:val="003A00D6"/>
    <w:rsid w:val="003A01B4"/>
    <w:rsid w:val="003A024C"/>
    <w:rsid w:val="003A030C"/>
    <w:rsid w:val="003A032C"/>
    <w:rsid w:val="003A050A"/>
    <w:rsid w:val="003A0F20"/>
    <w:rsid w:val="003A0F9D"/>
    <w:rsid w:val="003A168C"/>
    <w:rsid w:val="003A188A"/>
    <w:rsid w:val="003A19BE"/>
    <w:rsid w:val="003A1EA8"/>
    <w:rsid w:val="003A1FDF"/>
    <w:rsid w:val="003A25B9"/>
    <w:rsid w:val="003A2656"/>
    <w:rsid w:val="003A29EC"/>
    <w:rsid w:val="003A2AC0"/>
    <w:rsid w:val="003A2AF7"/>
    <w:rsid w:val="003A2FB1"/>
    <w:rsid w:val="003A305D"/>
    <w:rsid w:val="003A3674"/>
    <w:rsid w:val="003A383A"/>
    <w:rsid w:val="003A38FE"/>
    <w:rsid w:val="003A3BA0"/>
    <w:rsid w:val="003A3E6E"/>
    <w:rsid w:val="003A3F36"/>
    <w:rsid w:val="003A40A0"/>
    <w:rsid w:val="003A453C"/>
    <w:rsid w:val="003A47A1"/>
    <w:rsid w:val="003A483B"/>
    <w:rsid w:val="003A4C5D"/>
    <w:rsid w:val="003A5074"/>
    <w:rsid w:val="003A560B"/>
    <w:rsid w:val="003A5B9A"/>
    <w:rsid w:val="003A5E0C"/>
    <w:rsid w:val="003A62B1"/>
    <w:rsid w:val="003A6473"/>
    <w:rsid w:val="003A64D2"/>
    <w:rsid w:val="003A6547"/>
    <w:rsid w:val="003A68ED"/>
    <w:rsid w:val="003A6B16"/>
    <w:rsid w:val="003A7073"/>
    <w:rsid w:val="003A7905"/>
    <w:rsid w:val="003A7DE7"/>
    <w:rsid w:val="003B00D6"/>
    <w:rsid w:val="003B05A6"/>
    <w:rsid w:val="003B05C8"/>
    <w:rsid w:val="003B0625"/>
    <w:rsid w:val="003B065B"/>
    <w:rsid w:val="003B0945"/>
    <w:rsid w:val="003B0E35"/>
    <w:rsid w:val="003B0E6F"/>
    <w:rsid w:val="003B10BA"/>
    <w:rsid w:val="003B14F9"/>
    <w:rsid w:val="003B1866"/>
    <w:rsid w:val="003B19D1"/>
    <w:rsid w:val="003B1C31"/>
    <w:rsid w:val="003B1FA2"/>
    <w:rsid w:val="003B21C0"/>
    <w:rsid w:val="003B27D7"/>
    <w:rsid w:val="003B2815"/>
    <w:rsid w:val="003B28BC"/>
    <w:rsid w:val="003B2A5F"/>
    <w:rsid w:val="003B313E"/>
    <w:rsid w:val="003B3489"/>
    <w:rsid w:val="003B374B"/>
    <w:rsid w:val="003B429A"/>
    <w:rsid w:val="003B42F5"/>
    <w:rsid w:val="003B438E"/>
    <w:rsid w:val="003B4478"/>
    <w:rsid w:val="003B4C69"/>
    <w:rsid w:val="003B52F7"/>
    <w:rsid w:val="003B54EE"/>
    <w:rsid w:val="003B5F45"/>
    <w:rsid w:val="003B6097"/>
    <w:rsid w:val="003B63AC"/>
    <w:rsid w:val="003B6828"/>
    <w:rsid w:val="003B6955"/>
    <w:rsid w:val="003B697D"/>
    <w:rsid w:val="003B7736"/>
    <w:rsid w:val="003B7BA4"/>
    <w:rsid w:val="003C0442"/>
    <w:rsid w:val="003C0BFD"/>
    <w:rsid w:val="003C105C"/>
    <w:rsid w:val="003C1248"/>
    <w:rsid w:val="003C15C0"/>
    <w:rsid w:val="003C18DD"/>
    <w:rsid w:val="003C1A73"/>
    <w:rsid w:val="003C22F9"/>
    <w:rsid w:val="003C26D0"/>
    <w:rsid w:val="003C28C3"/>
    <w:rsid w:val="003C2B72"/>
    <w:rsid w:val="003C2C73"/>
    <w:rsid w:val="003C2CE4"/>
    <w:rsid w:val="003C2D32"/>
    <w:rsid w:val="003C2FC8"/>
    <w:rsid w:val="003C356F"/>
    <w:rsid w:val="003C3C0D"/>
    <w:rsid w:val="003C3F7F"/>
    <w:rsid w:val="003C49D0"/>
    <w:rsid w:val="003C4CDE"/>
    <w:rsid w:val="003C4FC8"/>
    <w:rsid w:val="003C555E"/>
    <w:rsid w:val="003C5B2A"/>
    <w:rsid w:val="003C5CA7"/>
    <w:rsid w:val="003C5EA5"/>
    <w:rsid w:val="003C6051"/>
    <w:rsid w:val="003C614A"/>
    <w:rsid w:val="003C6153"/>
    <w:rsid w:val="003C644E"/>
    <w:rsid w:val="003C645C"/>
    <w:rsid w:val="003C697A"/>
    <w:rsid w:val="003C795B"/>
    <w:rsid w:val="003C7B42"/>
    <w:rsid w:val="003C7E3E"/>
    <w:rsid w:val="003C7E7F"/>
    <w:rsid w:val="003C7F7B"/>
    <w:rsid w:val="003D050E"/>
    <w:rsid w:val="003D05A2"/>
    <w:rsid w:val="003D0604"/>
    <w:rsid w:val="003D0C15"/>
    <w:rsid w:val="003D0D68"/>
    <w:rsid w:val="003D1558"/>
    <w:rsid w:val="003D1B3A"/>
    <w:rsid w:val="003D1DCF"/>
    <w:rsid w:val="003D1E6A"/>
    <w:rsid w:val="003D1EF0"/>
    <w:rsid w:val="003D2125"/>
    <w:rsid w:val="003D24B0"/>
    <w:rsid w:val="003D24E1"/>
    <w:rsid w:val="003D2DC2"/>
    <w:rsid w:val="003D308E"/>
    <w:rsid w:val="003D31C7"/>
    <w:rsid w:val="003D3BB8"/>
    <w:rsid w:val="003D40A8"/>
    <w:rsid w:val="003D423A"/>
    <w:rsid w:val="003D4832"/>
    <w:rsid w:val="003D4864"/>
    <w:rsid w:val="003D4A99"/>
    <w:rsid w:val="003D513A"/>
    <w:rsid w:val="003D5176"/>
    <w:rsid w:val="003D51FC"/>
    <w:rsid w:val="003D56A6"/>
    <w:rsid w:val="003D56C2"/>
    <w:rsid w:val="003D65EF"/>
    <w:rsid w:val="003D676B"/>
    <w:rsid w:val="003D6FE7"/>
    <w:rsid w:val="003D70A5"/>
    <w:rsid w:val="003D72D4"/>
    <w:rsid w:val="003D7356"/>
    <w:rsid w:val="003D73A3"/>
    <w:rsid w:val="003D74CB"/>
    <w:rsid w:val="003D77E1"/>
    <w:rsid w:val="003D7B0E"/>
    <w:rsid w:val="003D7F85"/>
    <w:rsid w:val="003E02B3"/>
    <w:rsid w:val="003E048C"/>
    <w:rsid w:val="003E0695"/>
    <w:rsid w:val="003E0CB4"/>
    <w:rsid w:val="003E129D"/>
    <w:rsid w:val="003E15D2"/>
    <w:rsid w:val="003E16AB"/>
    <w:rsid w:val="003E1A15"/>
    <w:rsid w:val="003E1B1D"/>
    <w:rsid w:val="003E1C23"/>
    <w:rsid w:val="003E1C30"/>
    <w:rsid w:val="003E1CCD"/>
    <w:rsid w:val="003E2399"/>
    <w:rsid w:val="003E2F6B"/>
    <w:rsid w:val="003E3CB9"/>
    <w:rsid w:val="003E3FC9"/>
    <w:rsid w:val="003E4792"/>
    <w:rsid w:val="003E4E6D"/>
    <w:rsid w:val="003E525A"/>
    <w:rsid w:val="003E53B6"/>
    <w:rsid w:val="003E540B"/>
    <w:rsid w:val="003E546F"/>
    <w:rsid w:val="003E55D2"/>
    <w:rsid w:val="003E5967"/>
    <w:rsid w:val="003E5C29"/>
    <w:rsid w:val="003E6894"/>
    <w:rsid w:val="003E6A32"/>
    <w:rsid w:val="003E77B5"/>
    <w:rsid w:val="003E7F5B"/>
    <w:rsid w:val="003F00C1"/>
    <w:rsid w:val="003F029A"/>
    <w:rsid w:val="003F0993"/>
    <w:rsid w:val="003F0A71"/>
    <w:rsid w:val="003F12A8"/>
    <w:rsid w:val="003F12DA"/>
    <w:rsid w:val="003F131F"/>
    <w:rsid w:val="003F13AB"/>
    <w:rsid w:val="003F1C3A"/>
    <w:rsid w:val="003F20F6"/>
    <w:rsid w:val="003F230C"/>
    <w:rsid w:val="003F25A2"/>
    <w:rsid w:val="003F2804"/>
    <w:rsid w:val="003F298A"/>
    <w:rsid w:val="003F31AC"/>
    <w:rsid w:val="003F3771"/>
    <w:rsid w:val="003F3A7D"/>
    <w:rsid w:val="003F3AD5"/>
    <w:rsid w:val="003F3B37"/>
    <w:rsid w:val="003F3DAD"/>
    <w:rsid w:val="003F3DC8"/>
    <w:rsid w:val="003F45D4"/>
    <w:rsid w:val="003F46F5"/>
    <w:rsid w:val="003F4B01"/>
    <w:rsid w:val="003F4BC3"/>
    <w:rsid w:val="003F4D2C"/>
    <w:rsid w:val="003F5C7C"/>
    <w:rsid w:val="003F686B"/>
    <w:rsid w:val="003F6B83"/>
    <w:rsid w:val="003F6C2D"/>
    <w:rsid w:val="003F6C4D"/>
    <w:rsid w:val="003F6CB2"/>
    <w:rsid w:val="003F75E6"/>
    <w:rsid w:val="003F7713"/>
    <w:rsid w:val="003F7BDF"/>
    <w:rsid w:val="00400019"/>
    <w:rsid w:val="004002DD"/>
    <w:rsid w:val="0040060E"/>
    <w:rsid w:val="00400A5B"/>
    <w:rsid w:val="00400B98"/>
    <w:rsid w:val="00400E1C"/>
    <w:rsid w:val="00401232"/>
    <w:rsid w:val="00401399"/>
    <w:rsid w:val="004016C9"/>
    <w:rsid w:val="00401819"/>
    <w:rsid w:val="00401B79"/>
    <w:rsid w:val="00401E21"/>
    <w:rsid w:val="00401E40"/>
    <w:rsid w:val="00401E55"/>
    <w:rsid w:val="00402037"/>
    <w:rsid w:val="004023F6"/>
    <w:rsid w:val="00402616"/>
    <w:rsid w:val="00402776"/>
    <w:rsid w:val="00402AC4"/>
    <w:rsid w:val="004030E9"/>
    <w:rsid w:val="004036F9"/>
    <w:rsid w:val="00403897"/>
    <w:rsid w:val="00403E78"/>
    <w:rsid w:val="00404B4D"/>
    <w:rsid w:val="00404BCD"/>
    <w:rsid w:val="00404CAB"/>
    <w:rsid w:val="00404D67"/>
    <w:rsid w:val="0040505D"/>
    <w:rsid w:val="00405152"/>
    <w:rsid w:val="00405507"/>
    <w:rsid w:val="004055A9"/>
    <w:rsid w:val="00406495"/>
    <w:rsid w:val="00406ADF"/>
    <w:rsid w:val="00406CC9"/>
    <w:rsid w:val="00406DEC"/>
    <w:rsid w:val="00406F13"/>
    <w:rsid w:val="00407058"/>
    <w:rsid w:val="00407371"/>
    <w:rsid w:val="004074A6"/>
    <w:rsid w:val="004078D0"/>
    <w:rsid w:val="00407B03"/>
    <w:rsid w:val="00407B50"/>
    <w:rsid w:val="00407C11"/>
    <w:rsid w:val="00407EB7"/>
    <w:rsid w:val="00407FCB"/>
    <w:rsid w:val="00407FDF"/>
    <w:rsid w:val="004100B3"/>
    <w:rsid w:val="00410328"/>
    <w:rsid w:val="0041047A"/>
    <w:rsid w:val="00410D8B"/>
    <w:rsid w:val="00410DB2"/>
    <w:rsid w:val="00410F88"/>
    <w:rsid w:val="00411014"/>
    <w:rsid w:val="004111D8"/>
    <w:rsid w:val="004117DB"/>
    <w:rsid w:val="004117DE"/>
    <w:rsid w:val="00411BDA"/>
    <w:rsid w:val="00411EEA"/>
    <w:rsid w:val="0041216B"/>
    <w:rsid w:val="0041220F"/>
    <w:rsid w:val="004126B9"/>
    <w:rsid w:val="00413F50"/>
    <w:rsid w:val="004148BF"/>
    <w:rsid w:val="00414F99"/>
    <w:rsid w:val="00415333"/>
    <w:rsid w:val="00415A11"/>
    <w:rsid w:val="004163A6"/>
    <w:rsid w:val="00416446"/>
    <w:rsid w:val="004166BF"/>
    <w:rsid w:val="00416AC6"/>
    <w:rsid w:val="00416F1A"/>
    <w:rsid w:val="004179E9"/>
    <w:rsid w:val="00417DF7"/>
    <w:rsid w:val="00420082"/>
    <w:rsid w:val="0042043F"/>
    <w:rsid w:val="0042092A"/>
    <w:rsid w:val="00421213"/>
    <w:rsid w:val="004215A9"/>
    <w:rsid w:val="00421955"/>
    <w:rsid w:val="00421CE0"/>
    <w:rsid w:val="00421E36"/>
    <w:rsid w:val="004223E7"/>
    <w:rsid w:val="00422A9B"/>
    <w:rsid w:val="00422CA8"/>
    <w:rsid w:val="00422D12"/>
    <w:rsid w:val="0042316E"/>
    <w:rsid w:val="004237FB"/>
    <w:rsid w:val="0042429F"/>
    <w:rsid w:val="004242FF"/>
    <w:rsid w:val="004244C8"/>
    <w:rsid w:val="004246C7"/>
    <w:rsid w:val="00424ABF"/>
    <w:rsid w:val="00424B50"/>
    <w:rsid w:val="00424EBC"/>
    <w:rsid w:val="00425764"/>
    <w:rsid w:val="00425A76"/>
    <w:rsid w:val="00426009"/>
    <w:rsid w:val="004264FB"/>
    <w:rsid w:val="00426694"/>
    <w:rsid w:val="00426902"/>
    <w:rsid w:val="00426DB4"/>
    <w:rsid w:val="00427037"/>
    <w:rsid w:val="004270AE"/>
    <w:rsid w:val="004274B6"/>
    <w:rsid w:val="004276D6"/>
    <w:rsid w:val="00427C6A"/>
    <w:rsid w:val="00427DBD"/>
    <w:rsid w:val="004301A9"/>
    <w:rsid w:val="00430626"/>
    <w:rsid w:val="004306D6"/>
    <w:rsid w:val="0043076F"/>
    <w:rsid w:val="00430AF8"/>
    <w:rsid w:val="00431037"/>
    <w:rsid w:val="004315DD"/>
    <w:rsid w:val="00431788"/>
    <w:rsid w:val="004319D0"/>
    <w:rsid w:val="00432500"/>
    <w:rsid w:val="0043252E"/>
    <w:rsid w:val="0043254C"/>
    <w:rsid w:val="00432ECF"/>
    <w:rsid w:val="0043309E"/>
    <w:rsid w:val="004336D7"/>
    <w:rsid w:val="00433949"/>
    <w:rsid w:val="00433ABB"/>
    <w:rsid w:val="00434153"/>
    <w:rsid w:val="00434898"/>
    <w:rsid w:val="004348D2"/>
    <w:rsid w:val="00434DD0"/>
    <w:rsid w:val="00435732"/>
    <w:rsid w:val="00436577"/>
    <w:rsid w:val="004372BC"/>
    <w:rsid w:val="00437511"/>
    <w:rsid w:val="00437591"/>
    <w:rsid w:val="004375CC"/>
    <w:rsid w:val="004376E5"/>
    <w:rsid w:val="00437D76"/>
    <w:rsid w:val="0044053D"/>
    <w:rsid w:val="00440AD2"/>
    <w:rsid w:val="00440D81"/>
    <w:rsid w:val="00440FE1"/>
    <w:rsid w:val="00441357"/>
    <w:rsid w:val="00441545"/>
    <w:rsid w:val="0044158E"/>
    <w:rsid w:val="00441E9D"/>
    <w:rsid w:val="00442DB7"/>
    <w:rsid w:val="00442E34"/>
    <w:rsid w:val="00443036"/>
    <w:rsid w:val="00443573"/>
    <w:rsid w:val="0044382B"/>
    <w:rsid w:val="00443BC5"/>
    <w:rsid w:val="00444184"/>
    <w:rsid w:val="004448E3"/>
    <w:rsid w:val="00444E57"/>
    <w:rsid w:val="004451C8"/>
    <w:rsid w:val="004454A1"/>
    <w:rsid w:val="00445729"/>
    <w:rsid w:val="00445858"/>
    <w:rsid w:val="00445980"/>
    <w:rsid w:val="00445A17"/>
    <w:rsid w:val="00445AF6"/>
    <w:rsid w:val="00445BE4"/>
    <w:rsid w:val="00445C10"/>
    <w:rsid w:val="00445C2C"/>
    <w:rsid w:val="00445CD8"/>
    <w:rsid w:val="004466DE"/>
    <w:rsid w:val="0044681B"/>
    <w:rsid w:val="004468CF"/>
    <w:rsid w:val="00446B96"/>
    <w:rsid w:val="00446C65"/>
    <w:rsid w:val="00447456"/>
    <w:rsid w:val="00447749"/>
    <w:rsid w:val="004479A7"/>
    <w:rsid w:val="004479E5"/>
    <w:rsid w:val="00447A19"/>
    <w:rsid w:val="004502B4"/>
    <w:rsid w:val="004509A1"/>
    <w:rsid w:val="00450E72"/>
    <w:rsid w:val="00450F1F"/>
    <w:rsid w:val="0045102F"/>
    <w:rsid w:val="004515F7"/>
    <w:rsid w:val="00451D28"/>
    <w:rsid w:val="00452D49"/>
    <w:rsid w:val="00452DC1"/>
    <w:rsid w:val="004530AE"/>
    <w:rsid w:val="004534A7"/>
    <w:rsid w:val="0045377E"/>
    <w:rsid w:val="004538DC"/>
    <w:rsid w:val="00453925"/>
    <w:rsid w:val="00453BE4"/>
    <w:rsid w:val="00453D05"/>
    <w:rsid w:val="004544EA"/>
    <w:rsid w:val="004549AA"/>
    <w:rsid w:val="00455F90"/>
    <w:rsid w:val="004560C4"/>
    <w:rsid w:val="00456F6D"/>
    <w:rsid w:val="00457C90"/>
    <w:rsid w:val="00457ECC"/>
    <w:rsid w:val="00461308"/>
    <w:rsid w:val="00461334"/>
    <w:rsid w:val="00461DA8"/>
    <w:rsid w:val="004623AC"/>
    <w:rsid w:val="0046243F"/>
    <w:rsid w:val="0046252B"/>
    <w:rsid w:val="00462A3E"/>
    <w:rsid w:val="00462D00"/>
    <w:rsid w:val="00462ECE"/>
    <w:rsid w:val="00462F3B"/>
    <w:rsid w:val="00462FE7"/>
    <w:rsid w:val="00463091"/>
    <w:rsid w:val="00463137"/>
    <w:rsid w:val="0046346E"/>
    <w:rsid w:val="00463D09"/>
    <w:rsid w:val="00464016"/>
    <w:rsid w:val="00464299"/>
    <w:rsid w:val="00464397"/>
    <w:rsid w:val="004643CC"/>
    <w:rsid w:val="00464491"/>
    <w:rsid w:val="00464A92"/>
    <w:rsid w:val="004650EE"/>
    <w:rsid w:val="00465C6E"/>
    <w:rsid w:val="00466291"/>
    <w:rsid w:val="0046635A"/>
    <w:rsid w:val="00466397"/>
    <w:rsid w:val="00466609"/>
    <w:rsid w:val="0046676B"/>
    <w:rsid w:val="00466941"/>
    <w:rsid w:val="00467344"/>
    <w:rsid w:val="0046771B"/>
    <w:rsid w:val="00467B18"/>
    <w:rsid w:val="00467B8D"/>
    <w:rsid w:val="00467D2A"/>
    <w:rsid w:val="004702D2"/>
    <w:rsid w:val="004706F0"/>
    <w:rsid w:val="004708B6"/>
    <w:rsid w:val="00471626"/>
    <w:rsid w:val="00471782"/>
    <w:rsid w:val="004718A5"/>
    <w:rsid w:val="004722BF"/>
    <w:rsid w:val="0047250D"/>
    <w:rsid w:val="00472D59"/>
    <w:rsid w:val="00472ED0"/>
    <w:rsid w:val="00473429"/>
    <w:rsid w:val="00473497"/>
    <w:rsid w:val="004738EE"/>
    <w:rsid w:val="004743A6"/>
    <w:rsid w:val="004747F4"/>
    <w:rsid w:val="00474EB8"/>
    <w:rsid w:val="0047535A"/>
    <w:rsid w:val="00475866"/>
    <w:rsid w:val="00475AD4"/>
    <w:rsid w:val="0047622D"/>
    <w:rsid w:val="004762D5"/>
    <w:rsid w:val="00476819"/>
    <w:rsid w:val="0047692A"/>
    <w:rsid w:val="00476DA8"/>
    <w:rsid w:val="00476EEF"/>
    <w:rsid w:val="004778C0"/>
    <w:rsid w:val="00480095"/>
    <w:rsid w:val="0048031D"/>
    <w:rsid w:val="00480979"/>
    <w:rsid w:val="00480C91"/>
    <w:rsid w:val="00480F2E"/>
    <w:rsid w:val="00480FD2"/>
    <w:rsid w:val="00481258"/>
    <w:rsid w:val="0048134D"/>
    <w:rsid w:val="0048139D"/>
    <w:rsid w:val="004814CF"/>
    <w:rsid w:val="0048163B"/>
    <w:rsid w:val="004819C2"/>
    <w:rsid w:val="004819D3"/>
    <w:rsid w:val="004823EA"/>
    <w:rsid w:val="00483171"/>
    <w:rsid w:val="004831BB"/>
    <w:rsid w:val="004831EE"/>
    <w:rsid w:val="004836D0"/>
    <w:rsid w:val="00483753"/>
    <w:rsid w:val="00483826"/>
    <w:rsid w:val="00483B0D"/>
    <w:rsid w:val="00483D3F"/>
    <w:rsid w:val="00484806"/>
    <w:rsid w:val="00484E2F"/>
    <w:rsid w:val="00484F1A"/>
    <w:rsid w:val="00485096"/>
    <w:rsid w:val="00485455"/>
    <w:rsid w:val="00485C9F"/>
    <w:rsid w:val="00485E40"/>
    <w:rsid w:val="00485F27"/>
    <w:rsid w:val="00485FF5"/>
    <w:rsid w:val="004860B3"/>
    <w:rsid w:val="00486C04"/>
    <w:rsid w:val="0048707B"/>
    <w:rsid w:val="004870BE"/>
    <w:rsid w:val="004873FF"/>
    <w:rsid w:val="004878AA"/>
    <w:rsid w:val="00487963"/>
    <w:rsid w:val="004879FA"/>
    <w:rsid w:val="004901FF"/>
    <w:rsid w:val="0049028B"/>
    <w:rsid w:val="00490449"/>
    <w:rsid w:val="00490703"/>
    <w:rsid w:val="00490ADE"/>
    <w:rsid w:val="00490B31"/>
    <w:rsid w:val="00491381"/>
    <w:rsid w:val="004913F9"/>
    <w:rsid w:val="00491424"/>
    <w:rsid w:val="00491564"/>
    <w:rsid w:val="0049164C"/>
    <w:rsid w:val="0049179D"/>
    <w:rsid w:val="00491B3E"/>
    <w:rsid w:val="00492042"/>
    <w:rsid w:val="004921C2"/>
    <w:rsid w:val="0049257D"/>
    <w:rsid w:val="004926D2"/>
    <w:rsid w:val="004926E9"/>
    <w:rsid w:val="00492950"/>
    <w:rsid w:val="00492F01"/>
    <w:rsid w:val="00493EB0"/>
    <w:rsid w:val="004941F7"/>
    <w:rsid w:val="00494A1F"/>
    <w:rsid w:val="00494D3D"/>
    <w:rsid w:val="00495469"/>
    <w:rsid w:val="004954FD"/>
    <w:rsid w:val="00495BD1"/>
    <w:rsid w:val="00495C02"/>
    <w:rsid w:val="00495E49"/>
    <w:rsid w:val="00495EAB"/>
    <w:rsid w:val="00495F66"/>
    <w:rsid w:val="00496755"/>
    <w:rsid w:val="0049682D"/>
    <w:rsid w:val="0049684B"/>
    <w:rsid w:val="00496A00"/>
    <w:rsid w:val="00496A4D"/>
    <w:rsid w:val="00496B1B"/>
    <w:rsid w:val="00496CF9"/>
    <w:rsid w:val="00496E99"/>
    <w:rsid w:val="004972EE"/>
    <w:rsid w:val="004973AA"/>
    <w:rsid w:val="00497551"/>
    <w:rsid w:val="00497B15"/>
    <w:rsid w:val="004A038B"/>
    <w:rsid w:val="004A059B"/>
    <w:rsid w:val="004A0BF2"/>
    <w:rsid w:val="004A1397"/>
    <w:rsid w:val="004A1AF8"/>
    <w:rsid w:val="004A1DE0"/>
    <w:rsid w:val="004A1EBA"/>
    <w:rsid w:val="004A21E1"/>
    <w:rsid w:val="004A2ACF"/>
    <w:rsid w:val="004A3006"/>
    <w:rsid w:val="004A36D5"/>
    <w:rsid w:val="004A3885"/>
    <w:rsid w:val="004A3AEE"/>
    <w:rsid w:val="004A3BF1"/>
    <w:rsid w:val="004A3C64"/>
    <w:rsid w:val="004A3ED5"/>
    <w:rsid w:val="004A405C"/>
    <w:rsid w:val="004A40CB"/>
    <w:rsid w:val="004A4201"/>
    <w:rsid w:val="004A4454"/>
    <w:rsid w:val="004A561E"/>
    <w:rsid w:val="004A5769"/>
    <w:rsid w:val="004A5E0B"/>
    <w:rsid w:val="004A6098"/>
    <w:rsid w:val="004A6165"/>
    <w:rsid w:val="004A6386"/>
    <w:rsid w:val="004A67D0"/>
    <w:rsid w:val="004A6B69"/>
    <w:rsid w:val="004A6FDC"/>
    <w:rsid w:val="004A7016"/>
    <w:rsid w:val="004A74A9"/>
    <w:rsid w:val="004B0472"/>
    <w:rsid w:val="004B0B09"/>
    <w:rsid w:val="004B0EEA"/>
    <w:rsid w:val="004B0FA8"/>
    <w:rsid w:val="004B10BE"/>
    <w:rsid w:val="004B10ED"/>
    <w:rsid w:val="004B1F87"/>
    <w:rsid w:val="004B219F"/>
    <w:rsid w:val="004B286B"/>
    <w:rsid w:val="004B2CB8"/>
    <w:rsid w:val="004B3346"/>
    <w:rsid w:val="004B3BA6"/>
    <w:rsid w:val="004B41DD"/>
    <w:rsid w:val="004B4256"/>
    <w:rsid w:val="004B466A"/>
    <w:rsid w:val="004B46A4"/>
    <w:rsid w:val="004B49F0"/>
    <w:rsid w:val="004B4A0F"/>
    <w:rsid w:val="004B4B16"/>
    <w:rsid w:val="004B4D72"/>
    <w:rsid w:val="004B50EA"/>
    <w:rsid w:val="004B5A08"/>
    <w:rsid w:val="004B5AD8"/>
    <w:rsid w:val="004B5D46"/>
    <w:rsid w:val="004B64C8"/>
    <w:rsid w:val="004B652F"/>
    <w:rsid w:val="004B6624"/>
    <w:rsid w:val="004B71BC"/>
    <w:rsid w:val="004B7DCC"/>
    <w:rsid w:val="004C01F9"/>
    <w:rsid w:val="004C02C0"/>
    <w:rsid w:val="004C0538"/>
    <w:rsid w:val="004C0663"/>
    <w:rsid w:val="004C0B4E"/>
    <w:rsid w:val="004C0D13"/>
    <w:rsid w:val="004C222A"/>
    <w:rsid w:val="004C222B"/>
    <w:rsid w:val="004C2B66"/>
    <w:rsid w:val="004C2BEB"/>
    <w:rsid w:val="004C2DE5"/>
    <w:rsid w:val="004C33C6"/>
    <w:rsid w:val="004C33EF"/>
    <w:rsid w:val="004C340F"/>
    <w:rsid w:val="004C350F"/>
    <w:rsid w:val="004C38AD"/>
    <w:rsid w:val="004C3D5F"/>
    <w:rsid w:val="004C3F11"/>
    <w:rsid w:val="004C444A"/>
    <w:rsid w:val="004C4597"/>
    <w:rsid w:val="004C4888"/>
    <w:rsid w:val="004C48C2"/>
    <w:rsid w:val="004C4D49"/>
    <w:rsid w:val="004C4D89"/>
    <w:rsid w:val="004C4D96"/>
    <w:rsid w:val="004C4EAF"/>
    <w:rsid w:val="004C520A"/>
    <w:rsid w:val="004C529D"/>
    <w:rsid w:val="004C5AD8"/>
    <w:rsid w:val="004C5F34"/>
    <w:rsid w:val="004C6035"/>
    <w:rsid w:val="004C6257"/>
    <w:rsid w:val="004C62EB"/>
    <w:rsid w:val="004C67B9"/>
    <w:rsid w:val="004C68DC"/>
    <w:rsid w:val="004C69B7"/>
    <w:rsid w:val="004C6B45"/>
    <w:rsid w:val="004C6C3D"/>
    <w:rsid w:val="004C7235"/>
    <w:rsid w:val="004C7411"/>
    <w:rsid w:val="004C769C"/>
    <w:rsid w:val="004C7733"/>
    <w:rsid w:val="004C7939"/>
    <w:rsid w:val="004C7D4B"/>
    <w:rsid w:val="004C7DA3"/>
    <w:rsid w:val="004D0853"/>
    <w:rsid w:val="004D0EB4"/>
    <w:rsid w:val="004D15AF"/>
    <w:rsid w:val="004D1DA5"/>
    <w:rsid w:val="004D228A"/>
    <w:rsid w:val="004D2761"/>
    <w:rsid w:val="004D28F1"/>
    <w:rsid w:val="004D29C8"/>
    <w:rsid w:val="004D321D"/>
    <w:rsid w:val="004D34C9"/>
    <w:rsid w:val="004D3988"/>
    <w:rsid w:val="004D3A41"/>
    <w:rsid w:val="004D3C38"/>
    <w:rsid w:val="004D4293"/>
    <w:rsid w:val="004D4373"/>
    <w:rsid w:val="004D4FB2"/>
    <w:rsid w:val="004D5003"/>
    <w:rsid w:val="004D51C0"/>
    <w:rsid w:val="004D5DE4"/>
    <w:rsid w:val="004D5F07"/>
    <w:rsid w:val="004D5F80"/>
    <w:rsid w:val="004D6069"/>
    <w:rsid w:val="004D649D"/>
    <w:rsid w:val="004D69E6"/>
    <w:rsid w:val="004D6D76"/>
    <w:rsid w:val="004D6E35"/>
    <w:rsid w:val="004D7312"/>
    <w:rsid w:val="004D7749"/>
    <w:rsid w:val="004D79A5"/>
    <w:rsid w:val="004E0142"/>
    <w:rsid w:val="004E0300"/>
    <w:rsid w:val="004E0B25"/>
    <w:rsid w:val="004E0DA7"/>
    <w:rsid w:val="004E1310"/>
    <w:rsid w:val="004E1501"/>
    <w:rsid w:val="004E1512"/>
    <w:rsid w:val="004E2588"/>
    <w:rsid w:val="004E2CBF"/>
    <w:rsid w:val="004E2EEA"/>
    <w:rsid w:val="004E2F03"/>
    <w:rsid w:val="004E30B1"/>
    <w:rsid w:val="004E311D"/>
    <w:rsid w:val="004E33BB"/>
    <w:rsid w:val="004E3D98"/>
    <w:rsid w:val="004E461C"/>
    <w:rsid w:val="004E48E9"/>
    <w:rsid w:val="004E4E69"/>
    <w:rsid w:val="004E52E4"/>
    <w:rsid w:val="004E53D3"/>
    <w:rsid w:val="004E565D"/>
    <w:rsid w:val="004E56F1"/>
    <w:rsid w:val="004E5E81"/>
    <w:rsid w:val="004E5F09"/>
    <w:rsid w:val="004E6324"/>
    <w:rsid w:val="004E65E0"/>
    <w:rsid w:val="004E694A"/>
    <w:rsid w:val="004E6EBE"/>
    <w:rsid w:val="004E71B5"/>
    <w:rsid w:val="004E7A41"/>
    <w:rsid w:val="004E7D09"/>
    <w:rsid w:val="004E7DA6"/>
    <w:rsid w:val="004E7EE5"/>
    <w:rsid w:val="004E7EFB"/>
    <w:rsid w:val="004E7FD9"/>
    <w:rsid w:val="004F016E"/>
    <w:rsid w:val="004F06F7"/>
    <w:rsid w:val="004F0E7F"/>
    <w:rsid w:val="004F15AC"/>
    <w:rsid w:val="004F24A4"/>
    <w:rsid w:val="004F2550"/>
    <w:rsid w:val="004F28F5"/>
    <w:rsid w:val="004F2929"/>
    <w:rsid w:val="004F2D38"/>
    <w:rsid w:val="004F3126"/>
    <w:rsid w:val="004F320C"/>
    <w:rsid w:val="004F3229"/>
    <w:rsid w:val="004F34AE"/>
    <w:rsid w:val="004F3619"/>
    <w:rsid w:val="004F3656"/>
    <w:rsid w:val="004F38EF"/>
    <w:rsid w:val="004F395C"/>
    <w:rsid w:val="004F3B3C"/>
    <w:rsid w:val="004F3CFD"/>
    <w:rsid w:val="004F4043"/>
    <w:rsid w:val="004F43E3"/>
    <w:rsid w:val="004F4641"/>
    <w:rsid w:val="004F4DE3"/>
    <w:rsid w:val="004F4F12"/>
    <w:rsid w:val="004F5012"/>
    <w:rsid w:val="004F51DB"/>
    <w:rsid w:val="004F52DB"/>
    <w:rsid w:val="004F5D9F"/>
    <w:rsid w:val="004F61C5"/>
    <w:rsid w:val="004F655F"/>
    <w:rsid w:val="004F6940"/>
    <w:rsid w:val="004F6C10"/>
    <w:rsid w:val="004F6EE8"/>
    <w:rsid w:val="004F7386"/>
    <w:rsid w:val="004F7462"/>
    <w:rsid w:val="004F759A"/>
    <w:rsid w:val="004F7913"/>
    <w:rsid w:val="004F7B33"/>
    <w:rsid w:val="004F7C4F"/>
    <w:rsid w:val="00500B10"/>
    <w:rsid w:val="00500F55"/>
    <w:rsid w:val="00500FC4"/>
    <w:rsid w:val="005013B9"/>
    <w:rsid w:val="00501613"/>
    <w:rsid w:val="00501ACA"/>
    <w:rsid w:val="00501AEB"/>
    <w:rsid w:val="00501AFE"/>
    <w:rsid w:val="00501BBC"/>
    <w:rsid w:val="00501D84"/>
    <w:rsid w:val="00501E0F"/>
    <w:rsid w:val="00501FDC"/>
    <w:rsid w:val="00502061"/>
    <w:rsid w:val="00502234"/>
    <w:rsid w:val="005023BE"/>
    <w:rsid w:val="0050245D"/>
    <w:rsid w:val="005024A3"/>
    <w:rsid w:val="005027A1"/>
    <w:rsid w:val="00502873"/>
    <w:rsid w:val="00502EC7"/>
    <w:rsid w:val="00503254"/>
    <w:rsid w:val="005033D2"/>
    <w:rsid w:val="0050469B"/>
    <w:rsid w:val="005047CB"/>
    <w:rsid w:val="00504941"/>
    <w:rsid w:val="00504C60"/>
    <w:rsid w:val="0050501F"/>
    <w:rsid w:val="00505358"/>
    <w:rsid w:val="0050538E"/>
    <w:rsid w:val="00505A1F"/>
    <w:rsid w:val="00505B0D"/>
    <w:rsid w:val="0050652C"/>
    <w:rsid w:val="0050661E"/>
    <w:rsid w:val="00506CBA"/>
    <w:rsid w:val="00506CC3"/>
    <w:rsid w:val="00506D16"/>
    <w:rsid w:val="005071DA"/>
    <w:rsid w:val="0050752B"/>
    <w:rsid w:val="005079EA"/>
    <w:rsid w:val="00507AC2"/>
    <w:rsid w:val="00507DEE"/>
    <w:rsid w:val="0051063C"/>
    <w:rsid w:val="00510752"/>
    <w:rsid w:val="00510900"/>
    <w:rsid w:val="00510A93"/>
    <w:rsid w:val="00510AAE"/>
    <w:rsid w:val="00510C6D"/>
    <w:rsid w:val="0051100A"/>
    <w:rsid w:val="00511123"/>
    <w:rsid w:val="005112AE"/>
    <w:rsid w:val="005113A2"/>
    <w:rsid w:val="005116F6"/>
    <w:rsid w:val="005117F9"/>
    <w:rsid w:val="00511A29"/>
    <w:rsid w:val="00511A59"/>
    <w:rsid w:val="00511C00"/>
    <w:rsid w:val="00511E95"/>
    <w:rsid w:val="00512641"/>
    <w:rsid w:val="00512808"/>
    <w:rsid w:val="005129E3"/>
    <w:rsid w:val="005129F5"/>
    <w:rsid w:val="00512FDA"/>
    <w:rsid w:val="0051387A"/>
    <w:rsid w:val="00513B91"/>
    <w:rsid w:val="005142EA"/>
    <w:rsid w:val="0051449E"/>
    <w:rsid w:val="005144CA"/>
    <w:rsid w:val="00514C4E"/>
    <w:rsid w:val="00515470"/>
    <w:rsid w:val="005156FE"/>
    <w:rsid w:val="00515836"/>
    <w:rsid w:val="0051599C"/>
    <w:rsid w:val="00515A38"/>
    <w:rsid w:val="00515B46"/>
    <w:rsid w:val="0051606A"/>
    <w:rsid w:val="005163A9"/>
    <w:rsid w:val="00516454"/>
    <w:rsid w:val="00516632"/>
    <w:rsid w:val="00516928"/>
    <w:rsid w:val="00516FFA"/>
    <w:rsid w:val="00517802"/>
    <w:rsid w:val="00517919"/>
    <w:rsid w:val="005179D9"/>
    <w:rsid w:val="00517A07"/>
    <w:rsid w:val="00517C0F"/>
    <w:rsid w:val="00517C54"/>
    <w:rsid w:val="0052017D"/>
    <w:rsid w:val="005204A0"/>
    <w:rsid w:val="005209BE"/>
    <w:rsid w:val="00520C0F"/>
    <w:rsid w:val="00520E6F"/>
    <w:rsid w:val="00520F40"/>
    <w:rsid w:val="00521379"/>
    <w:rsid w:val="0052160C"/>
    <w:rsid w:val="005217B6"/>
    <w:rsid w:val="00521C1F"/>
    <w:rsid w:val="00521EA2"/>
    <w:rsid w:val="00522025"/>
    <w:rsid w:val="00522F98"/>
    <w:rsid w:val="00523170"/>
    <w:rsid w:val="00523AF1"/>
    <w:rsid w:val="0052465B"/>
    <w:rsid w:val="005247E8"/>
    <w:rsid w:val="00524AE6"/>
    <w:rsid w:val="00524F54"/>
    <w:rsid w:val="00525A05"/>
    <w:rsid w:val="00525AF8"/>
    <w:rsid w:val="00525BC3"/>
    <w:rsid w:val="00525C5A"/>
    <w:rsid w:val="00525E89"/>
    <w:rsid w:val="00526100"/>
    <w:rsid w:val="005263E5"/>
    <w:rsid w:val="005264BF"/>
    <w:rsid w:val="005269B6"/>
    <w:rsid w:val="00526EC6"/>
    <w:rsid w:val="00527125"/>
    <w:rsid w:val="0052721F"/>
    <w:rsid w:val="00527251"/>
    <w:rsid w:val="00527C29"/>
    <w:rsid w:val="00527FF1"/>
    <w:rsid w:val="005301B7"/>
    <w:rsid w:val="00530D61"/>
    <w:rsid w:val="00530E91"/>
    <w:rsid w:val="00530ECD"/>
    <w:rsid w:val="00531343"/>
    <w:rsid w:val="0053143D"/>
    <w:rsid w:val="00531461"/>
    <w:rsid w:val="00531DD6"/>
    <w:rsid w:val="005320A9"/>
    <w:rsid w:val="0053234C"/>
    <w:rsid w:val="005325A6"/>
    <w:rsid w:val="0053262E"/>
    <w:rsid w:val="00532785"/>
    <w:rsid w:val="0053280B"/>
    <w:rsid w:val="00532B2B"/>
    <w:rsid w:val="005330C3"/>
    <w:rsid w:val="005330D3"/>
    <w:rsid w:val="005330DF"/>
    <w:rsid w:val="00533197"/>
    <w:rsid w:val="0053354D"/>
    <w:rsid w:val="00533585"/>
    <w:rsid w:val="005336E6"/>
    <w:rsid w:val="00533A2A"/>
    <w:rsid w:val="00533D91"/>
    <w:rsid w:val="00533FAD"/>
    <w:rsid w:val="005343E2"/>
    <w:rsid w:val="005344A7"/>
    <w:rsid w:val="00534515"/>
    <w:rsid w:val="00534691"/>
    <w:rsid w:val="0053494A"/>
    <w:rsid w:val="00534AFA"/>
    <w:rsid w:val="00534F4B"/>
    <w:rsid w:val="005358ED"/>
    <w:rsid w:val="005359A9"/>
    <w:rsid w:val="00535B4D"/>
    <w:rsid w:val="0053629A"/>
    <w:rsid w:val="005365E7"/>
    <w:rsid w:val="00536821"/>
    <w:rsid w:val="00536891"/>
    <w:rsid w:val="00537440"/>
    <w:rsid w:val="005374A2"/>
    <w:rsid w:val="00537593"/>
    <w:rsid w:val="0053770C"/>
    <w:rsid w:val="0053777B"/>
    <w:rsid w:val="005377E2"/>
    <w:rsid w:val="00537CAC"/>
    <w:rsid w:val="00540088"/>
    <w:rsid w:val="00540367"/>
    <w:rsid w:val="0054041D"/>
    <w:rsid w:val="00540C2C"/>
    <w:rsid w:val="00541936"/>
    <w:rsid w:val="00541938"/>
    <w:rsid w:val="00541B99"/>
    <w:rsid w:val="00542297"/>
    <w:rsid w:val="0054239B"/>
    <w:rsid w:val="0054251F"/>
    <w:rsid w:val="005428F0"/>
    <w:rsid w:val="00542A00"/>
    <w:rsid w:val="00542FD4"/>
    <w:rsid w:val="00543053"/>
    <w:rsid w:val="005432CD"/>
    <w:rsid w:val="00543A3E"/>
    <w:rsid w:val="00543DD4"/>
    <w:rsid w:val="00543E56"/>
    <w:rsid w:val="005443DD"/>
    <w:rsid w:val="005443F2"/>
    <w:rsid w:val="00544410"/>
    <w:rsid w:val="00544A01"/>
    <w:rsid w:val="00544B94"/>
    <w:rsid w:val="00544CD8"/>
    <w:rsid w:val="00544EA5"/>
    <w:rsid w:val="00545052"/>
    <w:rsid w:val="005455C8"/>
    <w:rsid w:val="00545861"/>
    <w:rsid w:val="00545F74"/>
    <w:rsid w:val="00545FB3"/>
    <w:rsid w:val="0054667A"/>
    <w:rsid w:val="0054698E"/>
    <w:rsid w:val="00546D93"/>
    <w:rsid w:val="00547196"/>
    <w:rsid w:val="005478AC"/>
    <w:rsid w:val="00547B80"/>
    <w:rsid w:val="00550026"/>
    <w:rsid w:val="00550923"/>
    <w:rsid w:val="00550E2D"/>
    <w:rsid w:val="00551496"/>
    <w:rsid w:val="00551C6F"/>
    <w:rsid w:val="00551E6C"/>
    <w:rsid w:val="00551FF9"/>
    <w:rsid w:val="005528C9"/>
    <w:rsid w:val="00552D86"/>
    <w:rsid w:val="0055313D"/>
    <w:rsid w:val="005531EC"/>
    <w:rsid w:val="005534E3"/>
    <w:rsid w:val="00553646"/>
    <w:rsid w:val="00553784"/>
    <w:rsid w:val="005539FB"/>
    <w:rsid w:val="00553E9B"/>
    <w:rsid w:val="005541B0"/>
    <w:rsid w:val="00554243"/>
    <w:rsid w:val="005549B3"/>
    <w:rsid w:val="00554AD7"/>
    <w:rsid w:val="00554D21"/>
    <w:rsid w:val="00554DEE"/>
    <w:rsid w:val="00554E59"/>
    <w:rsid w:val="0055501A"/>
    <w:rsid w:val="0055506A"/>
    <w:rsid w:val="00555D25"/>
    <w:rsid w:val="005567C9"/>
    <w:rsid w:val="00556A7C"/>
    <w:rsid w:val="00556F09"/>
    <w:rsid w:val="00557205"/>
    <w:rsid w:val="005572C1"/>
    <w:rsid w:val="00557303"/>
    <w:rsid w:val="005576C5"/>
    <w:rsid w:val="005577AA"/>
    <w:rsid w:val="00557A63"/>
    <w:rsid w:val="00557B62"/>
    <w:rsid w:val="00557C40"/>
    <w:rsid w:val="00560299"/>
    <w:rsid w:val="005602D1"/>
    <w:rsid w:val="00560BA9"/>
    <w:rsid w:val="00560BE8"/>
    <w:rsid w:val="00560D69"/>
    <w:rsid w:val="00560EEB"/>
    <w:rsid w:val="0056105F"/>
    <w:rsid w:val="0056109C"/>
    <w:rsid w:val="005611B4"/>
    <w:rsid w:val="00561272"/>
    <w:rsid w:val="005612DC"/>
    <w:rsid w:val="005614C9"/>
    <w:rsid w:val="00561DBD"/>
    <w:rsid w:val="005620A1"/>
    <w:rsid w:val="0056259A"/>
    <w:rsid w:val="005627B9"/>
    <w:rsid w:val="00562F41"/>
    <w:rsid w:val="00563326"/>
    <w:rsid w:val="005635F3"/>
    <w:rsid w:val="00564516"/>
    <w:rsid w:val="005649BD"/>
    <w:rsid w:val="00564B5B"/>
    <w:rsid w:val="00564EB3"/>
    <w:rsid w:val="00564ED3"/>
    <w:rsid w:val="00564F4A"/>
    <w:rsid w:val="00565326"/>
    <w:rsid w:val="00565EDF"/>
    <w:rsid w:val="00565F78"/>
    <w:rsid w:val="0056617C"/>
    <w:rsid w:val="00566521"/>
    <w:rsid w:val="005669B9"/>
    <w:rsid w:val="00566B78"/>
    <w:rsid w:val="0056711F"/>
    <w:rsid w:val="005671A7"/>
    <w:rsid w:val="00567A1B"/>
    <w:rsid w:val="00570633"/>
    <w:rsid w:val="00570A4E"/>
    <w:rsid w:val="00570CD2"/>
    <w:rsid w:val="00570D54"/>
    <w:rsid w:val="0057188E"/>
    <w:rsid w:val="00571998"/>
    <w:rsid w:val="00571DD9"/>
    <w:rsid w:val="0057255D"/>
    <w:rsid w:val="005728E5"/>
    <w:rsid w:val="00572B17"/>
    <w:rsid w:val="00573342"/>
    <w:rsid w:val="005733F2"/>
    <w:rsid w:val="005736FC"/>
    <w:rsid w:val="00573782"/>
    <w:rsid w:val="00573B8C"/>
    <w:rsid w:val="00573C26"/>
    <w:rsid w:val="00573DA6"/>
    <w:rsid w:val="00573DB2"/>
    <w:rsid w:val="005741E1"/>
    <w:rsid w:val="00574237"/>
    <w:rsid w:val="005742C9"/>
    <w:rsid w:val="00574834"/>
    <w:rsid w:val="00574A99"/>
    <w:rsid w:val="00574B20"/>
    <w:rsid w:val="00574CBF"/>
    <w:rsid w:val="00574EC2"/>
    <w:rsid w:val="00575009"/>
    <w:rsid w:val="0057569C"/>
    <w:rsid w:val="0057587B"/>
    <w:rsid w:val="00575A3E"/>
    <w:rsid w:val="005760D6"/>
    <w:rsid w:val="00576308"/>
    <w:rsid w:val="00576577"/>
    <w:rsid w:val="005767B2"/>
    <w:rsid w:val="00576A53"/>
    <w:rsid w:val="00576E76"/>
    <w:rsid w:val="005770E3"/>
    <w:rsid w:val="00577201"/>
    <w:rsid w:val="0057744C"/>
    <w:rsid w:val="0057746E"/>
    <w:rsid w:val="0057747F"/>
    <w:rsid w:val="005778CD"/>
    <w:rsid w:val="005800CC"/>
    <w:rsid w:val="005804BD"/>
    <w:rsid w:val="005806BC"/>
    <w:rsid w:val="0058085D"/>
    <w:rsid w:val="005812CD"/>
    <w:rsid w:val="00581EBE"/>
    <w:rsid w:val="0058237E"/>
    <w:rsid w:val="0058251A"/>
    <w:rsid w:val="00582575"/>
    <w:rsid w:val="00582831"/>
    <w:rsid w:val="00582BAA"/>
    <w:rsid w:val="00583F6F"/>
    <w:rsid w:val="00584162"/>
    <w:rsid w:val="00584255"/>
    <w:rsid w:val="00584503"/>
    <w:rsid w:val="0058450E"/>
    <w:rsid w:val="005845C2"/>
    <w:rsid w:val="0058466B"/>
    <w:rsid w:val="005849B8"/>
    <w:rsid w:val="00584D34"/>
    <w:rsid w:val="00584FCE"/>
    <w:rsid w:val="00585200"/>
    <w:rsid w:val="00585379"/>
    <w:rsid w:val="00585507"/>
    <w:rsid w:val="005855F4"/>
    <w:rsid w:val="005857AA"/>
    <w:rsid w:val="00585B25"/>
    <w:rsid w:val="00585C6A"/>
    <w:rsid w:val="00585C71"/>
    <w:rsid w:val="00585D41"/>
    <w:rsid w:val="00585EE1"/>
    <w:rsid w:val="005860AC"/>
    <w:rsid w:val="00586216"/>
    <w:rsid w:val="005863E6"/>
    <w:rsid w:val="0058658D"/>
    <w:rsid w:val="005869FF"/>
    <w:rsid w:val="00586E21"/>
    <w:rsid w:val="00586E25"/>
    <w:rsid w:val="00587F40"/>
    <w:rsid w:val="00590609"/>
    <w:rsid w:val="00590702"/>
    <w:rsid w:val="005908EE"/>
    <w:rsid w:val="00590A2C"/>
    <w:rsid w:val="00590A7F"/>
    <w:rsid w:val="00590DA1"/>
    <w:rsid w:val="0059109B"/>
    <w:rsid w:val="00591119"/>
    <w:rsid w:val="0059120F"/>
    <w:rsid w:val="00591514"/>
    <w:rsid w:val="00591B7A"/>
    <w:rsid w:val="00591CC3"/>
    <w:rsid w:val="005924A6"/>
    <w:rsid w:val="0059276A"/>
    <w:rsid w:val="00593159"/>
    <w:rsid w:val="0059338A"/>
    <w:rsid w:val="00593F40"/>
    <w:rsid w:val="00594F34"/>
    <w:rsid w:val="005954E8"/>
    <w:rsid w:val="005955C5"/>
    <w:rsid w:val="005955DA"/>
    <w:rsid w:val="005957E8"/>
    <w:rsid w:val="0059585A"/>
    <w:rsid w:val="00595F60"/>
    <w:rsid w:val="00596312"/>
    <w:rsid w:val="0059632E"/>
    <w:rsid w:val="005964ED"/>
    <w:rsid w:val="00596996"/>
    <w:rsid w:val="00596C02"/>
    <w:rsid w:val="005971B1"/>
    <w:rsid w:val="00597401"/>
    <w:rsid w:val="005977C0"/>
    <w:rsid w:val="005979D3"/>
    <w:rsid w:val="005979F8"/>
    <w:rsid w:val="005A0148"/>
    <w:rsid w:val="005A0901"/>
    <w:rsid w:val="005A1AD2"/>
    <w:rsid w:val="005A1C8B"/>
    <w:rsid w:val="005A1F85"/>
    <w:rsid w:val="005A2128"/>
    <w:rsid w:val="005A23D4"/>
    <w:rsid w:val="005A23E4"/>
    <w:rsid w:val="005A271A"/>
    <w:rsid w:val="005A317C"/>
    <w:rsid w:val="005A3565"/>
    <w:rsid w:val="005A36B8"/>
    <w:rsid w:val="005A395E"/>
    <w:rsid w:val="005A405C"/>
    <w:rsid w:val="005A421E"/>
    <w:rsid w:val="005A4816"/>
    <w:rsid w:val="005A4DE0"/>
    <w:rsid w:val="005A4FEC"/>
    <w:rsid w:val="005A534E"/>
    <w:rsid w:val="005A553B"/>
    <w:rsid w:val="005A5985"/>
    <w:rsid w:val="005A5CE9"/>
    <w:rsid w:val="005A5D61"/>
    <w:rsid w:val="005A5ECF"/>
    <w:rsid w:val="005A656B"/>
    <w:rsid w:val="005A676B"/>
    <w:rsid w:val="005A6E2F"/>
    <w:rsid w:val="005A6EF5"/>
    <w:rsid w:val="005A71C0"/>
    <w:rsid w:val="005A76F2"/>
    <w:rsid w:val="005A7A27"/>
    <w:rsid w:val="005A7A31"/>
    <w:rsid w:val="005A7B69"/>
    <w:rsid w:val="005A7B9B"/>
    <w:rsid w:val="005A7E8C"/>
    <w:rsid w:val="005B03CC"/>
    <w:rsid w:val="005B0474"/>
    <w:rsid w:val="005B04B0"/>
    <w:rsid w:val="005B0FC6"/>
    <w:rsid w:val="005B0FED"/>
    <w:rsid w:val="005B10CA"/>
    <w:rsid w:val="005B1790"/>
    <w:rsid w:val="005B1CD2"/>
    <w:rsid w:val="005B234F"/>
    <w:rsid w:val="005B25B0"/>
    <w:rsid w:val="005B2B77"/>
    <w:rsid w:val="005B2C31"/>
    <w:rsid w:val="005B2D85"/>
    <w:rsid w:val="005B31E8"/>
    <w:rsid w:val="005B3228"/>
    <w:rsid w:val="005B32C1"/>
    <w:rsid w:val="005B3439"/>
    <w:rsid w:val="005B3F44"/>
    <w:rsid w:val="005B44BE"/>
    <w:rsid w:val="005B48F2"/>
    <w:rsid w:val="005B4C05"/>
    <w:rsid w:val="005B513A"/>
    <w:rsid w:val="005B5C2D"/>
    <w:rsid w:val="005B5D12"/>
    <w:rsid w:val="005B6101"/>
    <w:rsid w:val="005B6653"/>
    <w:rsid w:val="005B6795"/>
    <w:rsid w:val="005B717C"/>
    <w:rsid w:val="005B723F"/>
    <w:rsid w:val="005B7302"/>
    <w:rsid w:val="005B7801"/>
    <w:rsid w:val="005B7A84"/>
    <w:rsid w:val="005B7D34"/>
    <w:rsid w:val="005C001A"/>
    <w:rsid w:val="005C017D"/>
    <w:rsid w:val="005C06AD"/>
    <w:rsid w:val="005C06B4"/>
    <w:rsid w:val="005C0AA0"/>
    <w:rsid w:val="005C1047"/>
    <w:rsid w:val="005C138F"/>
    <w:rsid w:val="005C1E6C"/>
    <w:rsid w:val="005C1F68"/>
    <w:rsid w:val="005C1F91"/>
    <w:rsid w:val="005C20CF"/>
    <w:rsid w:val="005C2135"/>
    <w:rsid w:val="005C2205"/>
    <w:rsid w:val="005C26DA"/>
    <w:rsid w:val="005C2C48"/>
    <w:rsid w:val="005C3519"/>
    <w:rsid w:val="005C36EF"/>
    <w:rsid w:val="005C4231"/>
    <w:rsid w:val="005C495D"/>
    <w:rsid w:val="005C4C28"/>
    <w:rsid w:val="005C4F64"/>
    <w:rsid w:val="005C4F7A"/>
    <w:rsid w:val="005C5552"/>
    <w:rsid w:val="005C5556"/>
    <w:rsid w:val="005C56A4"/>
    <w:rsid w:val="005C5837"/>
    <w:rsid w:val="005C5AE5"/>
    <w:rsid w:val="005C5B13"/>
    <w:rsid w:val="005C5B34"/>
    <w:rsid w:val="005C5C2A"/>
    <w:rsid w:val="005C5E32"/>
    <w:rsid w:val="005C5F05"/>
    <w:rsid w:val="005C63CD"/>
    <w:rsid w:val="005C65D4"/>
    <w:rsid w:val="005C6673"/>
    <w:rsid w:val="005C66D2"/>
    <w:rsid w:val="005C6756"/>
    <w:rsid w:val="005C69AF"/>
    <w:rsid w:val="005C6BE9"/>
    <w:rsid w:val="005C6D64"/>
    <w:rsid w:val="005C6FB0"/>
    <w:rsid w:val="005C73EC"/>
    <w:rsid w:val="005C7518"/>
    <w:rsid w:val="005C782A"/>
    <w:rsid w:val="005C790F"/>
    <w:rsid w:val="005C7A7F"/>
    <w:rsid w:val="005C7BAD"/>
    <w:rsid w:val="005D0519"/>
    <w:rsid w:val="005D0535"/>
    <w:rsid w:val="005D071E"/>
    <w:rsid w:val="005D0C33"/>
    <w:rsid w:val="005D0E07"/>
    <w:rsid w:val="005D163E"/>
    <w:rsid w:val="005D17A2"/>
    <w:rsid w:val="005D19D0"/>
    <w:rsid w:val="005D1D8E"/>
    <w:rsid w:val="005D223F"/>
    <w:rsid w:val="005D2904"/>
    <w:rsid w:val="005D37F0"/>
    <w:rsid w:val="005D3AB9"/>
    <w:rsid w:val="005D3C14"/>
    <w:rsid w:val="005D3D68"/>
    <w:rsid w:val="005D3E52"/>
    <w:rsid w:val="005D41D7"/>
    <w:rsid w:val="005D441E"/>
    <w:rsid w:val="005D4B29"/>
    <w:rsid w:val="005D5000"/>
    <w:rsid w:val="005D51EF"/>
    <w:rsid w:val="005D53F7"/>
    <w:rsid w:val="005D5505"/>
    <w:rsid w:val="005D5596"/>
    <w:rsid w:val="005D5A63"/>
    <w:rsid w:val="005D6171"/>
    <w:rsid w:val="005D61AC"/>
    <w:rsid w:val="005D61EE"/>
    <w:rsid w:val="005D7291"/>
    <w:rsid w:val="005D72EA"/>
    <w:rsid w:val="005D7420"/>
    <w:rsid w:val="005D7471"/>
    <w:rsid w:val="005D7F1A"/>
    <w:rsid w:val="005E028A"/>
    <w:rsid w:val="005E0454"/>
    <w:rsid w:val="005E072B"/>
    <w:rsid w:val="005E0CE1"/>
    <w:rsid w:val="005E0D40"/>
    <w:rsid w:val="005E1152"/>
    <w:rsid w:val="005E117E"/>
    <w:rsid w:val="005E13CC"/>
    <w:rsid w:val="005E13E6"/>
    <w:rsid w:val="005E14C4"/>
    <w:rsid w:val="005E16EC"/>
    <w:rsid w:val="005E2284"/>
    <w:rsid w:val="005E3603"/>
    <w:rsid w:val="005E3A45"/>
    <w:rsid w:val="005E3E1D"/>
    <w:rsid w:val="005E4802"/>
    <w:rsid w:val="005E5340"/>
    <w:rsid w:val="005E53A9"/>
    <w:rsid w:val="005E5797"/>
    <w:rsid w:val="005E5F3F"/>
    <w:rsid w:val="005E6828"/>
    <w:rsid w:val="005E6B24"/>
    <w:rsid w:val="005E6E3C"/>
    <w:rsid w:val="005E7445"/>
    <w:rsid w:val="005E7725"/>
    <w:rsid w:val="005E7965"/>
    <w:rsid w:val="005E7D2F"/>
    <w:rsid w:val="005E7F30"/>
    <w:rsid w:val="005F0B6C"/>
    <w:rsid w:val="005F19C0"/>
    <w:rsid w:val="005F1DB1"/>
    <w:rsid w:val="005F1DD7"/>
    <w:rsid w:val="005F1FBD"/>
    <w:rsid w:val="005F20F7"/>
    <w:rsid w:val="005F249D"/>
    <w:rsid w:val="005F2FC8"/>
    <w:rsid w:val="005F339E"/>
    <w:rsid w:val="005F373C"/>
    <w:rsid w:val="005F3A2A"/>
    <w:rsid w:val="005F3C53"/>
    <w:rsid w:val="005F3CA7"/>
    <w:rsid w:val="005F459F"/>
    <w:rsid w:val="005F50B6"/>
    <w:rsid w:val="005F56C9"/>
    <w:rsid w:val="005F5BE9"/>
    <w:rsid w:val="005F5D83"/>
    <w:rsid w:val="005F5DE9"/>
    <w:rsid w:val="005F5F20"/>
    <w:rsid w:val="005F63A0"/>
    <w:rsid w:val="005F6BC4"/>
    <w:rsid w:val="005F7143"/>
    <w:rsid w:val="005F7232"/>
    <w:rsid w:val="005F7758"/>
    <w:rsid w:val="006007DB"/>
    <w:rsid w:val="00601047"/>
    <w:rsid w:val="006015B1"/>
    <w:rsid w:val="00601633"/>
    <w:rsid w:val="00601CCE"/>
    <w:rsid w:val="006020DB"/>
    <w:rsid w:val="006022C7"/>
    <w:rsid w:val="0060251D"/>
    <w:rsid w:val="00602946"/>
    <w:rsid w:val="00602BF3"/>
    <w:rsid w:val="006034AD"/>
    <w:rsid w:val="006035D9"/>
    <w:rsid w:val="006036E9"/>
    <w:rsid w:val="0060386D"/>
    <w:rsid w:val="00603C2C"/>
    <w:rsid w:val="00604538"/>
    <w:rsid w:val="00604A01"/>
    <w:rsid w:val="006052B8"/>
    <w:rsid w:val="006057E4"/>
    <w:rsid w:val="006059BC"/>
    <w:rsid w:val="0060614B"/>
    <w:rsid w:val="00606268"/>
    <w:rsid w:val="00606694"/>
    <w:rsid w:val="00606CA8"/>
    <w:rsid w:val="00606D84"/>
    <w:rsid w:val="00607325"/>
    <w:rsid w:val="006077CD"/>
    <w:rsid w:val="00607AD8"/>
    <w:rsid w:val="00607C99"/>
    <w:rsid w:val="00607EEA"/>
    <w:rsid w:val="0061000C"/>
    <w:rsid w:val="00610044"/>
    <w:rsid w:val="00610127"/>
    <w:rsid w:val="00610B20"/>
    <w:rsid w:val="00610D00"/>
    <w:rsid w:val="006111B6"/>
    <w:rsid w:val="00612012"/>
    <w:rsid w:val="00612495"/>
    <w:rsid w:val="00612F30"/>
    <w:rsid w:val="0061390A"/>
    <w:rsid w:val="006139A3"/>
    <w:rsid w:val="00613E10"/>
    <w:rsid w:val="00613F63"/>
    <w:rsid w:val="0061407A"/>
    <w:rsid w:val="006145E8"/>
    <w:rsid w:val="00614B9A"/>
    <w:rsid w:val="00614F60"/>
    <w:rsid w:val="0061591C"/>
    <w:rsid w:val="00616030"/>
    <w:rsid w:val="006168F9"/>
    <w:rsid w:val="00616D46"/>
    <w:rsid w:val="00616DEB"/>
    <w:rsid w:val="00617853"/>
    <w:rsid w:val="006178F4"/>
    <w:rsid w:val="00617A6D"/>
    <w:rsid w:val="00617D7A"/>
    <w:rsid w:val="006202C9"/>
    <w:rsid w:val="0062039E"/>
    <w:rsid w:val="006204D8"/>
    <w:rsid w:val="006206F2"/>
    <w:rsid w:val="0062073E"/>
    <w:rsid w:val="00620B5F"/>
    <w:rsid w:val="00620C23"/>
    <w:rsid w:val="00620C47"/>
    <w:rsid w:val="00620D91"/>
    <w:rsid w:val="00620EB6"/>
    <w:rsid w:val="00620EEA"/>
    <w:rsid w:val="00621464"/>
    <w:rsid w:val="006217DB"/>
    <w:rsid w:val="00621861"/>
    <w:rsid w:val="00621BC2"/>
    <w:rsid w:val="00621F62"/>
    <w:rsid w:val="00622338"/>
    <w:rsid w:val="006224FE"/>
    <w:rsid w:val="006230AF"/>
    <w:rsid w:val="006234B2"/>
    <w:rsid w:val="0062350C"/>
    <w:rsid w:val="006238B5"/>
    <w:rsid w:val="00623B7A"/>
    <w:rsid w:val="00623EA5"/>
    <w:rsid w:val="00623FD7"/>
    <w:rsid w:val="00624140"/>
    <w:rsid w:val="006242F8"/>
    <w:rsid w:val="0062431B"/>
    <w:rsid w:val="00624326"/>
    <w:rsid w:val="006250C5"/>
    <w:rsid w:val="00625180"/>
    <w:rsid w:val="006254EC"/>
    <w:rsid w:val="006257EB"/>
    <w:rsid w:val="00625963"/>
    <w:rsid w:val="00625A2E"/>
    <w:rsid w:val="00625AF2"/>
    <w:rsid w:val="00625EF6"/>
    <w:rsid w:val="00625F29"/>
    <w:rsid w:val="00625FAF"/>
    <w:rsid w:val="006260BE"/>
    <w:rsid w:val="00626DBD"/>
    <w:rsid w:val="0062708C"/>
    <w:rsid w:val="00627C83"/>
    <w:rsid w:val="00627FF1"/>
    <w:rsid w:val="00630039"/>
    <w:rsid w:val="0063007A"/>
    <w:rsid w:val="006302B9"/>
    <w:rsid w:val="00630F7A"/>
    <w:rsid w:val="00631096"/>
    <w:rsid w:val="00631AEC"/>
    <w:rsid w:val="00631C02"/>
    <w:rsid w:val="00632348"/>
    <w:rsid w:val="0063262B"/>
    <w:rsid w:val="00632906"/>
    <w:rsid w:val="00632AE5"/>
    <w:rsid w:val="00632B27"/>
    <w:rsid w:val="00632F9C"/>
    <w:rsid w:val="006333F4"/>
    <w:rsid w:val="00633541"/>
    <w:rsid w:val="006339D6"/>
    <w:rsid w:val="00633A94"/>
    <w:rsid w:val="00633DBD"/>
    <w:rsid w:val="0063478C"/>
    <w:rsid w:val="0063482A"/>
    <w:rsid w:val="00634A92"/>
    <w:rsid w:val="00634F23"/>
    <w:rsid w:val="0063522B"/>
    <w:rsid w:val="00635287"/>
    <w:rsid w:val="0063574B"/>
    <w:rsid w:val="00635A93"/>
    <w:rsid w:val="00635B5C"/>
    <w:rsid w:val="00635DD2"/>
    <w:rsid w:val="00635EC8"/>
    <w:rsid w:val="00635F1F"/>
    <w:rsid w:val="006362A7"/>
    <w:rsid w:val="00636544"/>
    <w:rsid w:val="00636762"/>
    <w:rsid w:val="00636A0C"/>
    <w:rsid w:val="00636AD9"/>
    <w:rsid w:val="006372E9"/>
    <w:rsid w:val="00640424"/>
    <w:rsid w:val="00640917"/>
    <w:rsid w:val="00640939"/>
    <w:rsid w:val="00640EBC"/>
    <w:rsid w:val="006414F5"/>
    <w:rsid w:val="00641778"/>
    <w:rsid w:val="006417FF"/>
    <w:rsid w:val="006418F6"/>
    <w:rsid w:val="00641AD1"/>
    <w:rsid w:val="00641E4F"/>
    <w:rsid w:val="00641E7F"/>
    <w:rsid w:val="006423D0"/>
    <w:rsid w:val="00642F91"/>
    <w:rsid w:val="0064303D"/>
    <w:rsid w:val="00643350"/>
    <w:rsid w:val="006437BD"/>
    <w:rsid w:val="00643FC1"/>
    <w:rsid w:val="0064458A"/>
    <w:rsid w:val="00644F32"/>
    <w:rsid w:val="006459B9"/>
    <w:rsid w:val="00645AA7"/>
    <w:rsid w:val="00645ECE"/>
    <w:rsid w:val="00646017"/>
    <w:rsid w:val="00646268"/>
    <w:rsid w:val="00646412"/>
    <w:rsid w:val="006464C2"/>
    <w:rsid w:val="00646705"/>
    <w:rsid w:val="0064673B"/>
    <w:rsid w:val="00646883"/>
    <w:rsid w:val="00646959"/>
    <w:rsid w:val="00646BE3"/>
    <w:rsid w:val="00646C31"/>
    <w:rsid w:val="00646E32"/>
    <w:rsid w:val="00646F10"/>
    <w:rsid w:val="00646F6B"/>
    <w:rsid w:val="0064723D"/>
    <w:rsid w:val="006476B7"/>
    <w:rsid w:val="00647A88"/>
    <w:rsid w:val="00650658"/>
    <w:rsid w:val="006507BB"/>
    <w:rsid w:val="00650C37"/>
    <w:rsid w:val="006514EE"/>
    <w:rsid w:val="00651DDF"/>
    <w:rsid w:val="00651FD5"/>
    <w:rsid w:val="00652125"/>
    <w:rsid w:val="006524E3"/>
    <w:rsid w:val="00652524"/>
    <w:rsid w:val="00652A42"/>
    <w:rsid w:val="00652CCC"/>
    <w:rsid w:val="00652ED0"/>
    <w:rsid w:val="006533EF"/>
    <w:rsid w:val="0065358C"/>
    <w:rsid w:val="006535E3"/>
    <w:rsid w:val="00653B2A"/>
    <w:rsid w:val="0065437F"/>
    <w:rsid w:val="006547DB"/>
    <w:rsid w:val="00654E05"/>
    <w:rsid w:val="00655196"/>
    <w:rsid w:val="0065564F"/>
    <w:rsid w:val="00655B1B"/>
    <w:rsid w:val="00655D4F"/>
    <w:rsid w:val="00655D65"/>
    <w:rsid w:val="00655F07"/>
    <w:rsid w:val="00655FF5"/>
    <w:rsid w:val="006564B5"/>
    <w:rsid w:val="00656536"/>
    <w:rsid w:val="00656586"/>
    <w:rsid w:val="00656886"/>
    <w:rsid w:val="00656E42"/>
    <w:rsid w:val="00656FEE"/>
    <w:rsid w:val="0065718F"/>
    <w:rsid w:val="006572E5"/>
    <w:rsid w:val="006572E9"/>
    <w:rsid w:val="00657469"/>
    <w:rsid w:val="0065750C"/>
    <w:rsid w:val="00657726"/>
    <w:rsid w:val="006578B5"/>
    <w:rsid w:val="00657B44"/>
    <w:rsid w:val="00657FD9"/>
    <w:rsid w:val="0066044A"/>
    <w:rsid w:val="00660998"/>
    <w:rsid w:val="00660AE4"/>
    <w:rsid w:val="006615B9"/>
    <w:rsid w:val="00661813"/>
    <w:rsid w:val="0066227C"/>
    <w:rsid w:val="0066229B"/>
    <w:rsid w:val="006622D0"/>
    <w:rsid w:val="0066246C"/>
    <w:rsid w:val="00662686"/>
    <w:rsid w:val="00662931"/>
    <w:rsid w:val="00662B70"/>
    <w:rsid w:val="00662FE7"/>
    <w:rsid w:val="00663347"/>
    <w:rsid w:val="006634D6"/>
    <w:rsid w:val="00663720"/>
    <w:rsid w:val="006638B2"/>
    <w:rsid w:val="00664095"/>
    <w:rsid w:val="0066421C"/>
    <w:rsid w:val="0066422F"/>
    <w:rsid w:val="00664917"/>
    <w:rsid w:val="00664BCA"/>
    <w:rsid w:val="006653DA"/>
    <w:rsid w:val="006653FA"/>
    <w:rsid w:val="0066545E"/>
    <w:rsid w:val="00665C3C"/>
    <w:rsid w:val="00665E6D"/>
    <w:rsid w:val="0066606F"/>
    <w:rsid w:val="006664E8"/>
    <w:rsid w:val="00666FA5"/>
    <w:rsid w:val="0066766A"/>
    <w:rsid w:val="006679E4"/>
    <w:rsid w:val="00667B83"/>
    <w:rsid w:val="00667D1B"/>
    <w:rsid w:val="00667E7C"/>
    <w:rsid w:val="00667E9B"/>
    <w:rsid w:val="006707F0"/>
    <w:rsid w:val="00670884"/>
    <w:rsid w:val="00670ABA"/>
    <w:rsid w:val="00670C07"/>
    <w:rsid w:val="00671488"/>
    <w:rsid w:val="00671969"/>
    <w:rsid w:val="00671A78"/>
    <w:rsid w:val="00671A80"/>
    <w:rsid w:val="00671A95"/>
    <w:rsid w:val="00671AD0"/>
    <w:rsid w:val="00671E45"/>
    <w:rsid w:val="00672B60"/>
    <w:rsid w:val="00673153"/>
    <w:rsid w:val="006733AA"/>
    <w:rsid w:val="00673698"/>
    <w:rsid w:val="006736C1"/>
    <w:rsid w:val="00673ADA"/>
    <w:rsid w:val="00673D37"/>
    <w:rsid w:val="00674045"/>
    <w:rsid w:val="0067408F"/>
    <w:rsid w:val="006748EA"/>
    <w:rsid w:val="00674D97"/>
    <w:rsid w:val="00675564"/>
    <w:rsid w:val="006757F7"/>
    <w:rsid w:val="00675A8B"/>
    <w:rsid w:val="00675B6E"/>
    <w:rsid w:val="006760FB"/>
    <w:rsid w:val="00676134"/>
    <w:rsid w:val="006763C9"/>
    <w:rsid w:val="0067689B"/>
    <w:rsid w:val="00676DCE"/>
    <w:rsid w:val="006776C8"/>
    <w:rsid w:val="00677732"/>
    <w:rsid w:val="00677BA6"/>
    <w:rsid w:val="00677C43"/>
    <w:rsid w:val="0068006D"/>
    <w:rsid w:val="00680142"/>
    <w:rsid w:val="0068031F"/>
    <w:rsid w:val="00680696"/>
    <w:rsid w:val="0068076E"/>
    <w:rsid w:val="00680E9A"/>
    <w:rsid w:val="00680F83"/>
    <w:rsid w:val="00681B75"/>
    <w:rsid w:val="00681E82"/>
    <w:rsid w:val="00681F1C"/>
    <w:rsid w:val="00681F8F"/>
    <w:rsid w:val="00682C19"/>
    <w:rsid w:val="00682FCC"/>
    <w:rsid w:val="0068313A"/>
    <w:rsid w:val="00683290"/>
    <w:rsid w:val="0068368E"/>
    <w:rsid w:val="0068392D"/>
    <w:rsid w:val="006839EE"/>
    <w:rsid w:val="00684068"/>
    <w:rsid w:val="00684643"/>
    <w:rsid w:val="00684A9B"/>
    <w:rsid w:val="006851D7"/>
    <w:rsid w:val="006852E5"/>
    <w:rsid w:val="0068602C"/>
    <w:rsid w:val="00686145"/>
    <w:rsid w:val="0068621A"/>
    <w:rsid w:val="006864CD"/>
    <w:rsid w:val="00686E4F"/>
    <w:rsid w:val="00686F56"/>
    <w:rsid w:val="00687671"/>
    <w:rsid w:val="0068785D"/>
    <w:rsid w:val="00687AC0"/>
    <w:rsid w:val="00690531"/>
    <w:rsid w:val="00690577"/>
    <w:rsid w:val="0069069E"/>
    <w:rsid w:val="0069093D"/>
    <w:rsid w:val="00690AC4"/>
    <w:rsid w:val="00690BCA"/>
    <w:rsid w:val="00691506"/>
    <w:rsid w:val="006916BD"/>
    <w:rsid w:val="00691B9E"/>
    <w:rsid w:val="00691ED5"/>
    <w:rsid w:val="00692073"/>
    <w:rsid w:val="0069207B"/>
    <w:rsid w:val="006928E1"/>
    <w:rsid w:val="00692BA8"/>
    <w:rsid w:val="00692E34"/>
    <w:rsid w:val="006930A9"/>
    <w:rsid w:val="006931E6"/>
    <w:rsid w:val="0069354E"/>
    <w:rsid w:val="006939A9"/>
    <w:rsid w:val="00693A15"/>
    <w:rsid w:val="00693D44"/>
    <w:rsid w:val="00693EFB"/>
    <w:rsid w:val="00693FE3"/>
    <w:rsid w:val="00694053"/>
    <w:rsid w:val="00694393"/>
    <w:rsid w:val="00694F92"/>
    <w:rsid w:val="00695077"/>
    <w:rsid w:val="00695161"/>
    <w:rsid w:val="0069527C"/>
    <w:rsid w:val="00695753"/>
    <w:rsid w:val="0069576F"/>
    <w:rsid w:val="00695917"/>
    <w:rsid w:val="00695BA8"/>
    <w:rsid w:val="0069619F"/>
    <w:rsid w:val="00696546"/>
    <w:rsid w:val="00696E72"/>
    <w:rsid w:val="006971EF"/>
    <w:rsid w:val="0069737F"/>
    <w:rsid w:val="0069747B"/>
    <w:rsid w:val="006978AC"/>
    <w:rsid w:val="006978D6"/>
    <w:rsid w:val="00697DED"/>
    <w:rsid w:val="006A040B"/>
    <w:rsid w:val="006A091B"/>
    <w:rsid w:val="006A0A87"/>
    <w:rsid w:val="006A0B22"/>
    <w:rsid w:val="006A0B30"/>
    <w:rsid w:val="006A0EE3"/>
    <w:rsid w:val="006A13F3"/>
    <w:rsid w:val="006A189C"/>
    <w:rsid w:val="006A1AB9"/>
    <w:rsid w:val="006A1AC1"/>
    <w:rsid w:val="006A1F8C"/>
    <w:rsid w:val="006A21BF"/>
    <w:rsid w:val="006A2345"/>
    <w:rsid w:val="006A257F"/>
    <w:rsid w:val="006A261D"/>
    <w:rsid w:val="006A2779"/>
    <w:rsid w:val="006A2822"/>
    <w:rsid w:val="006A2C38"/>
    <w:rsid w:val="006A335A"/>
    <w:rsid w:val="006A343D"/>
    <w:rsid w:val="006A3938"/>
    <w:rsid w:val="006A3B45"/>
    <w:rsid w:val="006A408E"/>
    <w:rsid w:val="006A425E"/>
    <w:rsid w:val="006A457E"/>
    <w:rsid w:val="006A47FF"/>
    <w:rsid w:val="006A49E9"/>
    <w:rsid w:val="006A5E65"/>
    <w:rsid w:val="006A5E7B"/>
    <w:rsid w:val="006A5F94"/>
    <w:rsid w:val="006A607B"/>
    <w:rsid w:val="006A626E"/>
    <w:rsid w:val="006A6280"/>
    <w:rsid w:val="006A6A55"/>
    <w:rsid w:val="006A6DFE"/>
    <w:rsid w:val="006A6ED1"/>
    <w:rsid w:val="006A6F61"/>
    <w:rsid w:val="006A6FB5"/>
    <w:rsid w:val="006A70B3"/>
    <w:rsid w:val="006A7113"/>
    <w:rsid w:val="006A7C24"/>
    <w:rsid w:val="006A7DE1"/>
    <w:rsid w:val="006B0033"/>
    <w:rsid w:val="006B042C"/>
    <w:rsid w:val="006B0857"/>
    <w:rsid w:val="006B0A80"/>
    <w:rsid w:val="006B0C73"/>
    <w:rsid w:val="006B0CAC"/>
    <w:rsid w:val="006B109B"/>
    <w:rsid w:val="006B133E"/>
    <w:rsid w:val="006B141B"/>
    <w:rsid w:val="006B15A4"/>
    <w:rsid w:val="006B18E9"/>
    <w:rsid w:val="006B19EF"/>
    <w:rsid w:val="006B2332"/>
    <w:rsid w:val="006B2F4B"/>
    <w:rsid w:val="006B31A3"/>
    <w:rsid w:val="006B330D"/>
    <w:rsid w:val="006B357D"/>
    <w:rsid w:val="006B3A87"/>
    <w:rsid w:val="006B3DEC"/>
    <w:rsid w:val="006B44ED"/>
    <w:rsid w:val="006B49E8"/>
    <w:rsid w:val="006B4A0E"/>
    <w:rsid w:val="006B4B14"/>
    <w:rsid w:val="006B4B1B"/>
    <w:rsid w:val="006B4B62"/>
    <w:rsid w:val="006B4CC5"/>
    <w:rsid w:val="006B512B"/>
    <w:rsid w:val="006B571D"/>
    <w:rsid w:val="006B5BF7"/>
    <w:rsid w:val="006B5CE5"/>
    <w:rsid w:val="006B5DB9"/>
    <w:rsid w:val="006B6276"/>
    <w:rsid w:val="006B6703"/>
    <w:rsid w:val="006B679B"/>
    <w:rsid w:val="006B67AA"/>
    <w:rsid w:val="006B72B0"/>
    <w:rsid w:val="006B73DA"/>
    <w:rsid w:val="006C02AA"/>
    <w:rsid w:val="006C0607"/>
    <w:rsid w:val="006C0997"/>
    <w:rsid w:val="006C185E"/>
    <w:rsid w:val="006C1C0D"/>
    <w:rsid w:val="006C1C51"/>
    <w:rsid w:val="006C2815"/>
    <w:rsid w:val="006C2C77"/>
    <w:rsid w:val="006C2FED"/>
    <w:rsid w:val="006C3128"/>
    <w:rsid w:val="006C325A"/>
    <w:rsid w:val="006C36EE"/>
    <w:rsid w:val="006C3720"/>
    <w:rsid w:val="006C37AD"/>
    <w:rsid w:val="006C3C8A"/>
    <w:rsid w:val="006C3E8F"/>
    <w:rsid w:val="006C4BE3"/>
    <w:rsid w:val="006C4CB2"/>
    <w:rsid w:val="006C4D56"/>
    <w:rsid w:val="006C4F33"/>
    <w:rsid w:val="006C51B0"/>
    <w:rsid w:val="006C56F8"/>
    <w:rsid w:val="006C60A4"/>
    <w:rsid w:val="006C60AB"/>
    <w:rsid w:val="006C62F5"/>
    <w:rsid w:val="006C6415"/>
    <w:rsid w:val="006C6587"/>
    <w:rsid w:val="006C6D12"/>
    <w:rsid w:val="006C6E8D"/>
    <w:rsid w:val="006C71C7"/>
    <w:rsid w:val="006C7B7D"/>
    <w:rsid w:val="006D0139"/>
    <w:rsid w:val="006D021E"/>
    <w:rsid w:val="006D02A0"/>
    <w:rsid w:val="006D085A"/>
    <w:rsid w:val="006D0930"/>
    <w:rsid w:val="006D0D90"/>
    <w:rsid w:val="006D1060"/>
    <w:rsid w:val="006D1731"/>
    <w:rsid w:val="006D1A7C"/>
    <w:rsid w:val="006D1B1B"/>
    <w:rsid w:val="006D1EFF"/>
    <w:rsid w:val="006D2823"/>
    <w:rsid w:val="006D345F"/>
    <w:rsid w:val="006D3CDA"/>
    <w:rsid w:val="006D4D35"/>
    <w:rsid w:val="006D5686"/>
    <w:rsid w:val="006D5795"/>
    <w:rsid w:val="006D57C1"/>
    <w:rsid w:val="006D5C64"/>
    <w:rsid w:val="006D5CAB"/>
    <w:rsid w:val="006D5E05"/>
    <w:rsid w:val="006D5E32"/>
    <w:rsid w:val="006D61E4"/>
    <w:rsid w:val="006D6288"/>
    <w:rsid w:val="006D649E"/>
    <w:rsid w:val="006D68E2"/>
    <w:rsid w:val="006D6B54"/>
    <w:rsid w:val="006D6B72"/>
    <w:rsid w:val="006D732C"/>
    <w:rsid w:val="006D73B2"/>
    <w:rsid w:val="006D7B5B"/>
    <w:rsid w:val="006E00F8"/>
    <w:rsid w:val="006E01DE"/>
    <w:rsid w:val="006E01E2"/>
    <w:rsid w:val="006E0412"/>
    <w:rsid w:val="006E0780"/>
    <w:rsid w:val="006E0D37"/>
    <w:rsid w:val="006E10C1"/>
    <w:rsid w:val="006E1233"/>
    <w:rsid w:val="006E198E"/>
    <w:rsid w:val="006E1994"/>
    <w:rsid w:val="006E1F6C"/>
    <w:rsid w:val="006E2B08"/>
    <w:rsid w:val="006E2C40"/>
    <w:rsid w:val="006E2C82"/>
    <w:rsid w:val="006E302D"/>
    <w:rsid w:val="006E3A70"/>
    <w:rsid w:val="006E3B24"/>
    <w:rsid w:val="006E3DF1"/>
    <w:rsid w:val="006E42AB"/>
    <w:rsid w:val="006E4730"/>
    <w:rsid w:val="006E4B6C"/>
    <w:rsid w:val="006E4FE4"/>
    <w:rsid w:val="006E5237"/>
    <w:rsid w:val="006E5850"/>
    <w:rsid w:val="006E5880"/>
    <w:rsid w:val="006E6EFB"/>
    <w:rsid w:val="006E76DF"/>
    <w:rsid w:val="006E794D"/>
    <w:rsid w:val="006F0584"/>
    <w:rsid w:val="006F0603"/>
    <w:rsid w:val="006F07AE"/>
    <w:rsid w:val="006F1154"/>
    <w:rsid w:val="006F1689"/>
    <w:rsid w:val="006F1E0A"/>
    <w:rsid w:val="006F1F50"/>
    <w:rsid w:val="006F2344"/>
    <w:rsid w:val="006F252F"/>
    <w:rsid w:val="006F2DE9"/>
    <w:rsid w:val="006F30D8"/>
    <w:rsid w:val="006F339F"/>
    <w:rsid w:val="006F366C"/>
    <w:rsid w:val="006F37B8"/>
    <w:rsid w:val="006F3B92"/>
    <w:rsid w:val="006F3F4A"/>
    <w:rsid w:val="006F440C"/>
    <w:rsid w:val="006F5607"/>
    <w:rsid w:val="006F58E5"/>
    <w:rsid w:val="006F5989"/>
    <w:rsid w:val="006F5B64"/>
    <w:rsid w:val="006F68CB"/>
    <w:rsid w:val="006F6CF4"/>
    <w:rsid w:val="006F6FAE"/>
    <w:rsid w:val="006F764F"/>
    <w:rsid w:val="006F7B20"/>
    <w:rsid w:val="006F7C82"/>
    <w:rsid w:val="006F7EE6"/>
    <w:rsid w:val="007002D6"/>
    <w:rsid w:val="00700474"/>
    <w:rsid w:val="007006EE"/>
    <w:rsid w:val="00700BB6"/>
    <w:rsid w:val="00700CD7"/>
    <w:rsid w:val="0070137C"/>
    <w:rsid w:val="007016B8"/>
    <w:rsid w:val="0070193B"/>
    <w:rsid w:val="00701A4F"/>
    <w:rsid w:val="00701B66"/>
    <w:rsid w:val="0070318D"/>
    <w:rsid w:val="00703484"/>
    <w:rsid w:val="0070372C"/>
    <w:rsid w:val="007037A2"/>
    <w:rsid w:val="00703A3B"/>
    <w:rsid w:val="0070434F"/>
    <w:rsid w:val="007046CF"/>
    <w:rsid w:val="00704866"/>
    <w:rsid w:val="00704893"/>
    <w:rsid w:val="00704E12"/>
    <w:rsid w:val="00704F31"/>
    <w:rsid w:val="00705029"/>
    <w:rsid w:val="007050B2"/>
    <w:rsid w:val="007050DB"/>
    <w:rsid w:val="00705387"/>
    <w:rsid w:val="0070585C"/>
    <w:rsid w:val="00705DB7"/>
    <w:rsid w:val="00705EB4"/>
    <w:rsid w:val="0070605C"/>
    <w:rsid w:val="0070614F"/>
    <w:rsid w:val="00706B32"/>
    <w:rsid w:val="00707003"/>
    <w:rsid w:val="007070FD"/>
    <w:rsid w:val="00707446"/>
    <w:rsid w:val="00710065"/>
    <w:rsid w:val="00710246"/>
    <w:rsid w:val="00710530"/>
    <w:rsid w:val="007105E7"/>
    <w:rsid w:val="0071067B"/>
    <w:rsid w:val="00710E3E"/>
    <w:rsid w:val="00710E4D"/>
    <w:rsid w:val="00710FFA"/>
    <w:rsid w:val="00711324"/>
    <w:rsid w:val="0071150D"/>
    <w:rsid w:val="0071190C"/>
    <w:rsid w:val="00711C2D"/>
    <w:rsid w:val="007121C4"/>
    <w:rsid w:val="00712413"/>
    <w:rsid w:val="00712479"/>
    <w:rsid w:val="00712588"/>
    <w:rsid w:val="00712E44"/>
    <w:rsid w:val="00712F94"/>
    <w:rsid w:val="00713154"/>
    <w:rsid w:val="00713595"/>
    <w:rsid w:val="007135CC"/>
    <w:rsid w:val="00713617"/>
    <w:rsid w:val="007138EE"/>
    <w:rsid w:val="00713ACF"/>
    <w:rsid w:val="00714C2C"/>
    <w:rsid w:val="00715390"/>
    <w:rsid w:val="007153B9"/>
    <w:rsid w:val="00715B62"/>
    <w:rsid w:val="00715DBE"/>
    <w:rsid w:val="00715FBD"/>
    <w:rsid w:val="0071620E"/>
    <w:rsid w:val="00716C7D"/>
    <w:rsid w:val="00716F3D"/>
    <w:rsid w:val="0071727C"/>
    <w:rsid w:val="00717559"/>
    <w:rsid w:val="00717CB6"/>
    <w:rsid w:val="007204F3"/>
    <w:rsid w:val="0072095C"/>
    <w:rsid w:val="00720CD2"/>
    <w:rsid w:val="00720EAF"/>
    <w:rsid w:val="00721189"/>
    <w:rsid w:val="0072126C"/>
    <w:rsid w:val="007212AA"/>
    <w:rsid w:val="00721323"/>
    <w:rsid w:val="0072156B"/>
    <w:rsid w:val="00721574"/>
    <w:rsid w:val="00721F03"/>
    <w:rsid w:val="00722024"/>
    <w:rsid w:val="00722164"/>
    <w:rsid w:val="007221EA"/>
    <w:rsid w:val="00722C41"/>
    <w:rsid w:val="0072321A"/>
    <w:rsid w:val="00723A0F"/>
    <w:rsid w:val="00724522"/>
    <w:rsid w:val="007248FE"/>
    <w:rsid w:val="00724A78"/>
    <w:rsid w:val="007250CA"/>
    <w:rsid w:val="00725122"/>
    <w:rsid w:val="007252FD"/>
    <w:rsid w:val="007258F8"/>
    <w:rsid w:val="00725A22"/>
    <w:rsid w:val="00725AE6"/>
    <w:rsid w:val="00725C25"/>
    <w:rsid w:val="007261CD"/>
    <w:rsid w:val="00726872"/>
    <w:rsid w:val="00726FDC"/>
    <w:rsid w:val="0072766C"/>
    <w:rsid w:val="00727854"/>
    <w:rsid w:val="00727B27"/>
    <w:rsid w:val="00727BEE"/>
    <w:rsid w:val="00727D1C"/>
    <w:rsid w:val="00727EC9"/>
    <w:rsid w:val="00730535"/>
    <w:rsid w:val="007308B8"/>
    <w:rsid w:val="0073092E"/>
    <w:rsid w:val="00730A5A"/>
    <w:rsid w:val="0073122C"/>
    <w:rsid w:val="0073168A"/>
    <w:rsid w:val="00731C6B"/>
    <w:rsid w:val="00731DCD"/>
    <w:rsid w:val="00731DD0"/>
    <w:rsid w:val="007325E5"/>
    <w:rsid w:val="00732B0E"/>
    <w:rsid w:val="00732C5A"/>
    <w:rsid w:val="00733016"/>
    <w:rsid w:val="00733281"/>
    <w:rsid w:val="00733784"/>
    <w:rsid w:val="00733C77"/>
    <w:rsid w:val="00734217"/>
    <w:rsid w:val="00734541"/>
    <w:rsid w:val="007345D6"/>
    <w:rsid w:val="00734BFC"/>
    <w:rsid w:val="00735018"/>
    <w:rsid w:val="00735178"/>
    <w:rsid w:val="0073576D"/>
    <w:rsid w:val="00735AD3"/>
    <w:rsid w:val="00735B05"/>
    <w:rsid w:val="00735B3B"/>
    <w:rsid w:val="00735CEB"/>
    <w:rsid w:val="00735CFF"/>
    <w:rsid w:val="00735E15"/>
    <w:rsid w:val="007362DE"/>
    <w:rsid w:val="00736870"/>
    <w:rsid w:val="00737AAD"/>
    <w:rsid w:val="00737D82"/>
    <w:rsid w:val="007402E9"/>
    <w:rsid w:val="00740356"/>
    <w:rsid w:val="007407A0"/>
    <w:rsid w:val="00740BA6"/>
    <w:rsid w:val="00740CE7"/>
    <w:rsid w:val="00741467"/>
    <w:rsid w:val="007416DD"/>
    <w:rsid w:val="00741869"/>
    <w:rsid w:val="00741944"/>
    <w:rsid w:val="007419BB"/>
    <w:rsid w:val="00741DBD"/>
    <w:rsid w:val="00741DF2"/>
    <w:rsid w:val="00741E2B"/>
    <w:rsid w:val="007421CA"/>
    <w:rsid w:val="00742A27"/>
    <w:rsid w:val="00742BA6"/>
    <w:rsid w:val="00742E6F"/>
    <w:rsid w:val="007430A3"/>
    <w:rsid w:val="00743924"/>
    <w:rsid w:val="00743D9E"/>
    <w:rsid w:val="00744096"/>
    <w:rsid w:val="00744117"/>
    <w:rsid w:val="00744451"/>
    <w:rsid w:val="00744852"/>
    <w:rsid w:val="00744A50"/>
    <w:rsid w:val="00744B10"/>
    <w:rsid w:val="00744D59"/>
    <w:rsid w:val="007451BE"/>
    <w:rsid w:val="00745B15"/>
    <w:rsid w:val="00745C22"/>
    <w:rsid w:val="00746BAC"/>
    <w:rsid w:val="00746DF5"/>
    <w:rsid w:val="00747A1F"/>
    <w:rsid w:val="00750161"/>
    <w:rsid w:val="007502EF"/>
    <w:rsid w:val="007515EB"/>
    <w:rsid w:val="007519F8"/>
    <w:rsid w:val="00751D63"/>
    <w:rsid w:val="007525A1"/>
    <w:rsid w:val="007526DF"/>
    <w:rsid w:val="00752BAB"/>
    <w:rsid w:val="00752D52"/>
    <w:rsid w:val="00753060"/>
    <w:rsid w:val="007534AB"/>
    <w:rsid w:val="007534EC"/>
    <w:rsid w:val="007535AE"/>
    <w:rsid w:val="007536F1"/>
    <w:rsid w:val="007538F6"/>
    <w:rsid w:val="007539FE"/>
    <w:rsid w:val="00753EF6"/>
    <w:rsid w:val="00754BAC"/>
    <w:rsid w:val="00754D94"/>
    <w:rsid w:val="00754E43"/>
    <w:rsid w:val="00754EBB"/>
    <w:rsid w:val="00754F58"/>
    <w:rsid w:val="00755276"/>
    <w:rsid w:val="007554A2"/>
    <w:rsid w:val="007554F8"/>
    <w:rsid w:val="00755720"/>
    <w:rsid w:val="00755725"/>
    <w:rsid w:val="007559A8"/>
    <w:rsid w:val="00755A8F"/>
    <w:rsid w:val="00755DA0"/>
    <w:rsid w:val="007560DC"/>
    <w:rsid w:val="007565EC"/>
    <w:rsid w:val="00756A69"/>
    <w:rsid w:val="00756E3B"/>
    <w:rsid w:val="00757339"/>
    <w:rsid w:val="0075750E"/>
    <w:rsid w:val="00757824"/>
    <w:rsid w:val="007601C5"/>
    <w:rsid w:val="00760E75"/>
    <w:rsid w:val="00760FE3"/>
    <w:rsid w:val="00761235"/>
    <w:rsid w:val="00761ADC"/>
    <w:rsid w:val="00761E2F"/>
    <w:rsid w:val="0076220B"/>
    <w:rsid w:val="0076224D"/>
    <w:rsid w:val="007623E1"/>
    <w:rsid w:val="0076299F"/>
    <w:rsid w:val="00762CC7"/>
    <w:rsid w:val="00762CC9"/>
    <w:rsid w:val="0076306C"/>
    <w:rsid w:val="007631D9"/>
    <w:rsid w:val="0076339C"/>
    <w:rsid w:val="00763727"/>
    <w:rsid w:val="007637D7"/>
    <w:rsid w:val="00763D49"/>
    <w:rsid w:val="0076426F"/>
    <w:rsid w:val="00764793"/>
    <w:rsid w:val="00764C09"/>
    <w:rsid w:val="00764E0F"/>
    <w:rsid w:val="007654EC"/>
    <w:rsid w:val="00765DC7"/>
    <w:rsid w:val="00765EF8"/>
    <w:rsid w:val="00766CA8"/>
    <w:rsid w:val="00766D31"/>
    <w:rsid w:val="00766FBF"/>
    <w:rsid w:val="00767181"/>
    <w:rsid w:val="00767221"/>
    <w:rsid w:val="00767629"/>
    <w:rsid w:val="007679E4"/>
    <w:rsid w:val="0077018B"/>
    <w:rsid w:val="00770367"/>
    <w:rsid w:val="007709B1"/>
    <w:rsid w:val="00770C46"/>
    <w:rsid w:val="00771035"/>
    <w:rsid w:val="007714E7"/>
    <w:rsid w:val="00771574"/>
    <w:rsid w:val="007715BB"/>
    <w:rsid w:val="00772793"/>
    <w:rsid w:val="007727BB"/>
    <w:rsid w:val="00772859"/>
    <w:rsid w:val="00773171"/>
    <w:rsid w:val="0077374F"/>
    <w:rsid w:val="007738A6"/>
    <w:rsid w:val="00773D49"/>
    <w:rsid w:val="0077434E"/>
    <w:rsid w:val="007745FD"/>
    <w:rsid w:val="007746B2"/>
    <w:rsid w:val="00774A0A"/>
    <w:rsid w:val="00774A75"/>
    <w:rsid w:val="00774DCA"/>
    <w:rsid w:val="00775316"/>
    <w:rsid w:val="00775A59"/>
    <w:rsid w:val="00775EE8"/>
    <w:rsid w:val="00775FEB"/>
    <w:rsid w:val="00776264"/>
    <w:rsid w:val="007763E7"/>
    <w:rsid w:val="0077688F"/>
    <w:rsid w:val="007768D0"/>
    <w:rsid w:val="00776B1B"/>
    <w:rsid w:val="00776B8F"/>
    <w:rsid w:val="00776CEE"/>
    <w:rsid w:val="00776DCA"/>
    <w:rsid w:val="00777C8E"/>
    <w:rsid w:val="00780329"/>
    <w:rsid w:val="007808C0"/>
    <w:rsid w:val="00780B78"/>
    <w:rsid w:val="00780EFA"/>
    <w:rsid w:val="00781242"/>
    <w:rsid w:val="00781288"/>
    <w:rsid w:val="00781391"/>
    <w:rsid w:val="00781B27"/>
    <w:rsid w:val="007836B1"/>
    <w:rsid w:val="007836CB"/>
    <w:rsid w:val="00783EAC"/>
    <w:rsid w:val="007842A3"/>
    <w:rsid w:val="007843B9"/>
    <w:rsid w:val="007843E3"/>
    <w:rsid w:val="007846B2"/>
    <w:rsid w:val="00784732"/>
    <w:rsid w:val="00784768"/>
    <w:rsid w:val="00784E71"/>
    <w:rsid w:val="0078582F"/>
    <w:rsid w:val="00785A31"/>
    <w:rsid w:val="00785EB3"/>
    <w:rsid w:val="0078667C"/>
    <w:rsid w:val="00786705"/>
    <w:rsid w:val="00786D31"/>
    <w:rsid w:val="00786DD2"/>
    <w:rsid w:val="00786DFB"/>
    <w:rsid w:val="00787250"/>
    <w:rsid w:val="00787279"/>
    <w:rsid w:val="007872CB"/>
    <w:rsid w:val="0079005C"/>
    <w:rsid w:val="007900D1"/>
    <w:rsid w:val="00790796"/>
    <w:rsid w:val="007908D2"/>
    <w:rsid w:val="007909F7"/>
    <w:rsid w:val="00790AB9"/>
    <w:rsid w:val="00790B1B"/>
    <w:rsid w:val="00791243"/>
    <w:rsid w:val="00791724"/>
    <w:rsid w:val="00791893"/>
    <w:rsid w:val="00791A1F"/>
    <w:rsid w:val="00791B34"/>
    <w:rsid w:val="00791CD5"/>
    <w:rsid w:val="00791DA0"/>
    <w:rsid w:val="007927FA"/>
    <w:rsid w:val="00792BD3"/>
    <w:rsid w:val="00793030"/>
    <w:rsid w:val="00793476"/>
    <w:rsid w:val="007935D2"/>
    <w:rsid w:val="007938B2"/>
    <w:rsid w:val="00793D62"/>
    <w:rsid w:val="0079421C"/>
    <w:rsid w:val="007946C9"/>
    <w:rsid w:val="00794A0F"/>
    <w:rsid w:val="00794B87"/>
    <w:rsid w:val="00794D42"/>
    <w:rsid w:val="00794D4C"/>
    <w:rsid w:val="007950D6"/>
    <w:rsid w:val="0079572A"/>
    <w:rsid w:val="00795B1A"/>
    <w:rsid w:val="00796387"/>
    <w:rsid w:val="00796556"/>
    <w:rsid w:val="00797765"/>
    <w:rsid w:val="00797C0A"/>
    <w:rsid w:val="00797CCE"/>
    <w:rsid w:val="00797E00"/>
    <w:rsid w:val="00797F51"/>
    <w:rsid w:val="007A0484"/>
    <w:rsid w:val="007A05A1"/>
    <w:rsid w:val="007A05B8"/>
    <w:rsid w:val="007A06E9"/>
    <w:rsid w:val="007A0A25"/>
    <w:rsid w:val="007A0E14"/>
    <w:rsid w:val="007A1592"/>
    <w:rsid w:val="007A17B3"/>
    <w:rsid w:val="007A1DEB"/>
    <w:rsid w:val="007A227E"/>
    <w:rsid w:val="007A23DF"/>
    <w:rsid w:val="007A2693"/>
    <w:rsid w:val="007A2960"/>
    <w:rsid w:val="007A2CA0"/>
    <w:rsid w:val="007A2E9B"/>
    <w:rsid w:val="007A31D7"/>
    <w:rsid w:val="007A34B3"/>
    <w:rsid w:val="007A3505"/>
    <w:rsid w:val="007A3517"/>
    <w:rsid w:val="007A367F"/>
    <w:rsid w:val="007A383D"/>
    <w:rsid w:val="007A3853"/>
    <w:rsid w:val="007A3AE5"/>
    <w:rsid w:val="007A3C96"/>
    <w:rsid w:val="007A41D8"/>
    <w:rsid w:val="007A445A"/>
    <w:rsid w:val="007A5050"/>
    <w:rsid w:val="007A5158"/>
    <w:rsid w:val="007A5230"/>
    <w:rsid w:val="007A54F1"/>
    <w:rsid w:val="007A5760"/>
    <w:rsid w:val="007A5EEB"/>
    <w:rsid w:val="007A68B8"/>
    <w:rsid w:val="007A6AFD"/>
    <w:rsid w:val="007A7080"/>
    <w:rsid w:val="007A7620"/>
    <w:rsid w:val="007A7784"/>
    <w:rsid w:val="007A7966"/>
    <w:rsid w:val="007A7C0D"/>
    <w:rsid w:val="007A7CF4"/>
    <w:rsid w:val="007B04E6"/>
    <w:rsid w:val="007B07C0"/>
    <w:rsid w:val="007B0A99"/>
    <w:rsid w:val="007B0AE9"/>
    <w:rsid w:val="007B0D3B"/>
    <w:rsid w:val="007B14DD"/>
    <w:rsid w:val="007B1805"/>
    <w:rsid w:val="007B1AC5"/>
    <w:rsid w:val="007B1B3D"/>
    <w:rsid w:val="007B1C8A"/>
    <w:rsid w:val="007B1FA5"/>
    <w:rsid w:val="007B24E7"/>
    <w:rsid w:val="007B296F"/>
    <w:rsid w:val="007B3727"/>
    <w:rsid w:val="007B39D4"/>
    <w:rsid w:val="007B3A0A"/>
    <w:rsid w:val="007B3BA9"/>
    <w:rsid w:val="007B3D28"/>
    <w:rsid w:val="007B40C5"/>
    <w:rsid w:val="007B471F"/>
    <w:rsid w:val="007B48FC"/>
    <w:rsid w:val="007B4C57"/>
    <w:rsid w:val="007B4FC7"/>
    <w:rsid w:val="007B5169"/>
    <w:rsid w:val="007B51B4"/>
    <w:rsid w:val="007B5400"/>
    <w:rsid w:val="007B5642"/>
    <w:rsid w:val="007B57F7"/>
    <w:rsid w:val="007B5C15"/>
    <w:rsid w:val="007B5CCE"/>
    <w:rsid w:val="007B5EAD"/>
    <w:rsid w:val="007B5FB1"/>
    <w:rsid w:val="007B628A"/>
    <w:rsid w:val="007B714A"/>
    <w:rsid w:val="007B7822"/>
    <w:rsid w:val="007C0174"/>
    <w:rsid w:val="007C0353"/>
    <w:rsid w:val="007C08AF"/>
    <w:rsid w:val="007C0980"/>
    <w:rsid w:val="007C0CCA"/>
    <w:rsid w:val="007C0F1F"/>
    <w:rsid w:val="007C14F3"/>
    <w:rsid w:val="007C1927"/>
    <w:rsid w:val="007C1E73"/>
    <w:rsid w:val="007C2090"/>
    <w:rsid w:val="007C20C8"/>
    <w:rsid w:val="007C21BD"/>
    <w:rsid w:val="007C27D7"/>
    <w:rsid w:val="007C2883"/>
    <w:rsid w:val="007C2CF4"/>
    <w:rsid w:val="007C32CA"/>
    <w:rsid w:val="007C33D5"/>
    <w:rsid w:val="007C3513"/>
    <w:rsid w:val="007C3783"/>
    <w:rsid w:val="007C387F"/>
    <w:rsid w:val="007C3C4A"/>
    <w:rsid w:val="007C3E45"/>
    <w:rsid w:val="007C417A"/>
    <w:rsid w:val="007C427C"/>
    <w:rsid w:val="007C48D0"/>
    <w:rsid w:val="007C49BA"/>
    <w:rsid w:val="007C5217"/>
    <w:rsid w:val="007C6078"/>
    <w:rsid w:val="007C6458"/>
    <w:rsid w:val="007C649E"/>
    <w:rsid w:val="007C66D5"/>
    <w:rsid w:val="007C6751"/>
    <w:rsid w:val="007C6BAC"/>
    <w:rsid w:val="007C6C41"/>
    <w:rsid w:val="007C6CE4"/>
    <w:rsid w:val="007C70FA"/>
    <w:rsid w:val="007C7198"/>
    <w:rsid w:val="007C734D"/>
    <w:rsid w:val="007C7489"/>
    <w:rsid w:val="007C7DB8"/>
    <w:rsid w:val="007C7F0C"/>
    <w:rsid w:val="007C7F9B"/>
    <w:rsid w:val="007D003D"/>
    <w:rsid w:val="007D0482"/>
    <w:rsid w:val="007D04DF"/>
    <w:rsid w:val="007D0CF4"/>
    <w:rsid w:val="007D0D7D"/>
    <w:rsid w:val="007D0F37"/>
    <w:rsid w:val="007D10F5"/>
    <w:rsid w:val="007D1600"/>
    <w:rsid w:val="007D1B67"/>
    <w:rsid w:val="007D1F0C"/>
    <w:rsid w:val="007D1FC3"/>
    <w:rsid w:val="007D2142"/>
    <w:rsid w:val="007D2312"/>
    <w:rsid w:val="007D2E61"/>
    <w:rsid w:val="007D2F1D"/>
    <w:rsid w:val="007D34FB"/>
    <w:rsid w:val="007D382A"/>
    <w:rsid w:val="007D41FC"/>
    <w:rsid w:val="007D4212"/>
    <w:rsid w:val="007D43E2"/>
    <w:rsid w:val="007D44BF"/>
    <w:rsid w:val="007D482A"/>
    <w:rsid w:val="007D4C62"/>
    <w:rsid w:val="007D54BD"/>
    <w:rsid w:val="007D560E"/>
    <w:rsid w:val="007D571E"/>
    <w:rsid w:val="007D5CAF"/>
    <w:rsid w:val="007D63F9"/>
    <w:rsid w:val="007D6449"/>
    <w:rsid w:val="007D6455"/>
    <w:rsid w:val="007D6759"/>
    <w:rsid w:val="007D6975"/>
    <w:rsid w:val="007D6A6E"/>
    <w:rsid w:val="007D6DE5"/>
    <w:rsid w:val="007D72E2"/>
    <w:rsid w:val="007D73A3"/>
    <w:rsid w:val="007D7437"/>
    <w:rsid w:val="007D7492"/>
    <w:rsid w:val="007D7521"/>
    <w:rsid w:val="007D774B"/>
    <w:rsid w:val="007D7CB0"/>
    <w:rsid w:val="007E0965"/>
    <w:rsid w:val="007E0D1F"/>
    <w:rsid w:val="007E1849"/>
    <w:rsid w:val="007E1D70"/>
    <w:rsid w:val="007E23B3"/>
    <w:rsid w:val="007E2458"/>
    <w:rsid w:val="007E2464"/>
    <w:rsid w:val="007E2B5C"/>
    <w:rsid w:val="007E30C1"/>
    <w:rsid w:val="007E34E0"/>
    <w:rsid w:val="007E3506"/>
    <w:rsid w:val="007E37E5"/>
    <w:rsid w:val="007E3D01"/>
    <w:rsid w:val="007E426F"/>
    <w:rsid w:val="007E444C"/>
    <w:rsid w:val="007E44E6"/>
    <w:rsid w:val="007E4862"/>
    <w:rsid w:val="007E4894"/>
    <w:rsid w:val="007E49B9"/>
    <w:rsid w:val="007E4F5E"/>
    <w:rsid w:val="007E50ED"/>
    <w:rsid w:val="007E52D6"/>
    <w:rsid w:val="007E5428"/>
    <w:rsid w:val="007E58EA"/>
    <w:rsid w:val="007E5985"/>
    <w:rsid w:val="007E5B90"/>
    <w:rsid w:val="007E635F"/>
    <w:rsid w:val="007E64FD"/>
    <w:rsid w:val="007E6873"/>
    <w:rsid w:val="007E7160"/>
    <w:rsid w:val="007E74CB"/>
    <w:rsid w:val="007E7A23"/>
    <w:rsid w:val="007E7C82"/>
    <w:rsid w:val="007E7CD6"/>
    <w:rsid w:val="007E7DED"/>
    <w:rsid w:val="007F0004"/>
    <w:rsid w:val="007F0266"/>
    <w:rsid w:val="007F09DA"/>
    <w:rsid w:val="007F0BB3"/>
    <w:rsid w:val="007F0C53"/>
    <w:rsid w:val="007F0D2D"/>
    <w:rsid w:val="007F107D"/>
    <w:rsid w:val="007F142C"/>
    <w:rsid w:val="007F16A8"/>
    <w:rsid w:val="007F2067"/>
    <w:rsid w:val="007F245E"/>
    <w:rsid w:val="007F2464"/>
    <w:rsid w:val="007F2986"/>
    <w:rsid w:val="007F29D7"/>
    <w:rsid w:val="007F2B0C"/>
    <w:rsid w:val="007F3131"/>
    <w:rsid w:val="007F326C"/>
    <w:rsid w:val="007F32C0"/>
    <w:rsid w:val="007F3373"/>
    <w:rsid w:val="007F341F"/>
    <w:rsid w:val="007F39A8"/>
    <w:rsid w:val="007F3B1D"/>
    <w:rsid w:val="007F3CB7"/>
    <w:rsid w:val="007F3DBC"/>
    <w:rsid w:val="007F455D"/>
    <w:rsid w:val="007F4773"/>
    <w:rsid w:val="007F4E8C"/>
    <w:rsid w:val="007F52AC"/>
    <w:rsid w:val="007F53CC"/>
    <w:rsid w:val="007F53D6"/>
    <w:rsid w:val="007F5AFD"/>
    <w:rsid w:val="007F684A"/>
    <w:rsid w:val="007F6D26"/>
    <w:rsid w:val="007F6DF3"/>
    <w:rsid w:val="007F6FCE"/>
    <w:rsid w:val="007F722B"/>
    <w:rsid w:val="007F7424"/>
    <w:rsid w:val="007F79ED"/>
    <w:rsid w:val="007F7D03"/>
    <w:rsid w:val="0080033E"/>
    <w:rsid w:val="008008CB"/>
    <w:rsid w:val="008009B5"/>
    <w:rsid w:val="008016DE"/>
    <w:rsid w:val="00801E05"/>
    <w:rsid w:val="00802726"/>
    <w:rsid w:val="00802888"/>
    <w:rsid w:val="00802921"/>
    <w:rsid w:val="00803192"/>
    <w:rsid w:val="008034AB"/>
    <w:rsid w:val="008038A8"/>
    <w:rsid w:val="00803B23"/>
    <w:rsid w:val="00804043"/>
    <w:rsid w:val="008053EA"/>
    <w:rsid w:val="0080597B"/>
    <w:rsid w:val="00805A73"/>
    <w:rsid w:val="0080605A"/>
    <w:rsid w:val="0080651F"/>
    <w:rsid w:val="0080680D"/>
    <w:rsid w:val="00806C5F"/>
    <w:rsid w:val="00807567"/>
    <w:rsid w:val="00807772"/>
    <w:rsid w:val="008079E7"/>
    <w:rsid w:val="00807A4E"/>
    <w:rsid w:val="00807C17"/>
    <w:rsid w:val="00807E7C"/>
    <w:rsid w:val="00810049"/>
    <w:rsid w:val="00810092"/>
    <w:rsid w:val="008101E3"/>
    <w:rsid w:val="00810300"/>
    <w:rsid w:val="00810412"/>
    <w:rsid w:val="008104B7"/>
    <w:rsid w:val="008104E7"/>
    <w:rsid w:val="00810CA9"/>
    <w:rsid w:val="00810D23"/>
    <w:rsid w:val="00810D63"/>
    <w:rsid w:val="00811388"/>
    <w:rsid w:val="00811565"/>
    <w:rsid w:val="00811848"/>
    <w:rsid w:val="00811AEF"/>
    <w:rsid w:val="00811EAA"/>
    <w:rsid w:val="00812076"/>
    <w:rsid w:val="0081262C"/>
    <w:rsid w:val="00812CC9"/>
    <w:rsid w:val="00812F20"/>
    <w:rsid w:val="0081321B"/>
    <w:rsid w:val="00813B5E"/>
    <w:rsid w:val="008145DF"/>
    <w:rsid w:val="008146B8"/>
    <w:rsid w:val="008148EC"/>
    <w:rsid w:val="00814D9C"/>
    <w:rsid w:val="00814EC4"/>
    <w:rsid w:val="00815646"/>
    <w:rsid w:val="00815B67"/>
    <w:rsid w:val="00815D46"/>
    <w:rsid w:val="00815EDA"/>
    <w:rsid w:val="00816557"/>
    <w:rsid w:val="00816B7C"/>
    <w:rsid w:val="008176C4"/>
    <w:rsid w:val="00817CF3"/>
    <w:rsid w:val="00817E7E"/>
    <w:rsid w:val="00817E9B"/>
    <w:rsid w:val="008200AD"/>
    <w:rsid w:val="0082086E"/>
    <w:rsid w:val="00820962"/>
    <w:rsid w:val="008209FA"/>
    <w:rsid w:val="00820E63"/>
    <w:rsid w:val="00820EDC"/>
    <w:rsid w:val="00820EEB"/>
    <w:rsid w:val="00820FCC"/>
    <w:rsid w:val="00821297"/>
    <w:rsid w:val="008212AB"/>
    <w:rsid w:val="008215C8"/>
    <w:rsid w:val="00821752"/>
    <w:rsid w:val="00822987"/>
    <w:rsid w:val="00822C3C"/>
    <w:rsid w:val="00823138"/>
    <w:rsid w:val="00823175"/>
    <w:rsid w:val="0082322E"/>
    <w:rsid w:val="008234D0"/>
    <w:rsid w:val="0082352F"/>
    <w:rsid w:val="008236A0"/>
    <w:rsid w:val="00823A5C"/>
    <w:rsid w:val="00823BC6"/>
    <w:rsid w:val="00823F96"/>
    <w:rsid w:val="00823FD6"/>
    <w:rsid w:val="008241CC"/>
    <w:rsid w:val="00824374"/>
    <w:rsid w:val="0082466A"/>
    <w:rsid w:val="00824919"/>
    <w:rsid w:val="0082568D"/>
    <w:rsid w:val="008256BA"/>
    <w:rsid w:val="00825C8E"/>
    <w:rsid w:val="00826659"/>
    <w:rsid w:val="008268BB"/>
    <w:rsid w:val="00826B05"/>
    <w:rsid w:val="00826B2D"/>
    <w:rsid w:val="00826B36"/>
    <w:rsid w:val="00826C56"/>
    <w:rsid w:val="00826C74"/>
    <w:rsid w:val="00826F6E"/>
    <w:rsid w:val="00827617"/>
    <w:rsid w:val="008279FF"/>
    <w:rsid w:val="00827CE1"/>
    <w:rsid w:val="008300B9"/>
    <w:rsid w:val="0083079D"/>
    <w:rsid w:val="0083083E"/>
    <w:rsid w:val="00831084"/>
    <w:rsid w:val="008318B2"/>
    <w:rsid w:val="00831D7A"/>
    <w:rsid w:val="00831E41"/>
    <w:rsid w:val="008323DD"/>
    <w:rsid w:val="00832A76"/>
    <w:rsid w:val="00833215"/>
    <w:rsid w:val="008344BD"/>
    <w:rsid w:val="00835AEC"/>
    <w:rsid w:val="00835C6E"/>
    <w:rsid w:val="00836C6D"/>
    <w:rsid w:val="008374ED"/>
    <w:rsid w:val="008378AF"/>
    <w:rsid w:val="00837BBF"/>
    <w:rsid w:val="00837CC9"/>
    <w:rsid w:val="008400D0"/>
    <w:rsid w:val="0084020C"/>
    <w:rsid w:val="00840299"/>
    <w:rsid w:val="00840433"/>
    <w:rsid w:val="00840784"/>
    <w:rsid w:val="0084082D"/>
    <w:rsid w:val="0084097D"/>
    <w:rsid w:val="008421A2"/>
    <w:rsid w:val="00842460"/>
    <w:rsid w:val="00842C55"/>
    <w:rsid w:val="00842EEF"/>
    <w:rsid w:val="00843633"/>
    <w:rsid w:val="0084373F"/>
    <w:rsid w:val="0084379A"/>
    <w:rsid w:val="0084385B"/>
    <w:rsid w:val="00843BB3"/>
    <w:rsid w:val="00844270"/>
    <w:rsid w:val="00844352"/>
    <w:rsid w:val="0084545B"/>
    <w:rsid w:val="008457BA"/>
    <w:rsid w:val="0084584F"/>
    <w:rsid w:val="008458EA"/>
    <w:rsid w:val="00845FB2"/>
    <w:rsid w:val="008466D5"/>
    <w:rsid w:val="008471E2"/>
    <w:rsid w:val="008471E3"/>
    <w:rsid w:val="00847985"/>
    <w:rsid w:val="00847BD6"/>
    <w:rsid w:val="00847ED2"/>
    <w:rsid w:val="00847FEB"/>
    <w:rsid w:val="00850291"/>
    <w:rsid w:val="0085032F"/>
    <w:rsid w:val="00850350"/>
    <w:rsid w:val="00850497"/>
    <w:rsid w:val="00850768"/>
    <w:rsid w:val="00850972"/>
    <w:rsid w:val="00850B07"/>
    <w:rsid w:val="00850D30"/>
    <w:rsid w:val="00850DDF"/>
    <w:rsid w:val="00850F19"/>
    <w:rsid w:val="008515CD"/>
    <w:rsid w:val="00851681"/>
    <w:rsid w:val="008517E1"/>
    <w:rsid w:val="008517F9"/>
    <w:rsid w:val="0085188C"/>
    <w:rsid w:val="00851993"/>
    <w:rsid w:val="00851A29"/>
    <w:rsid w:val="00851C92"/>
    <w:rsid w:val="00852039"/>
    <w:rsid w:val="008526D2"/>
    <w:rsid w:val="008527DF"/>
    <w:rsid w:val="008528AB"/>
    <w:rsid w:val="00852B0D"/>
    <w:rsid w:val="008531FF"/>
    <w:rsid w:val="0085396E"/>
    <w:rsid w:val="00853EE5"/>
    <w:rsid w:val="008541F3"/>
    <w:rsid w:val="00854A2B"/>
    <w:rsid w:val="00854A55"/>
    <w:rsid w:val="00854A68"/>
    <w:rsid w:val="008554D8"/>
    <w:rsid w:val="008558D6"/>
    <w:rsid w:val="00855BDB"/>
    <w:rsid w:val="00855C65"/>
    <w:rsid w:val="00855C7B"/>
    <w:rsid w:val="00856273"/>
    <w:rsid w:val="0085657E"/>
    <w:rsid w:val="008566AB"/>
    <w:rsid w:val="008567B4"/>
    <w:rsid w:val="00856B4D"/>
    <w:rsid w:val="00856FB5"/>
    <w:rsid w:val="00857308"/>
    <w:rsid w:val="0085790B"/>
    <w:rsid w:val="00857A61"/>
    <w:rsid w:val="008601CB"/>
    <w:rsid w:val="0086040E"/>
    <w:rsid w:val="008608EB"/>
    <w:rsid w:val="0086099D"/>
    <w:rsid w:val="00860DFB"/>
    <w:rsid w:val="00861192"/>
    <w:rsid w:val="008613C1"/>
    <w:rsid w:val="00861A22"/>
    <w:rsid w:val="008622DE"/>
    <w:rsid w:val="0086247C"/>
    <w:rsid w:val="0086289C"/>
    <w:rsid w:val="008629FE"/>
    <w:rsid w:val="00863011"/>
    <w:rsid w:val="00863415"/>
    <w:rsid w:val="008637A5"/>
    <w:rsid w:val="00863D8D"/>
    <w:rsid w:val="00863E22"/>
    <w:rsid w:val="008640CA"/>
    <w:rsid w:val="00864156"/>
    <w:rsid w:val="008644FA"/>
    <w:rsid w:val="008648DE"/>
    <w:rsid w:val="00864A13"/>
    <w:rsid w:val="00864BD1"/>
    <w:rsid w:val="00865085"/>
    <w:rsid w:val="008650E5"/>
    <w:rsid w:val="008652BE"/>
    <w:rsid w:val="00865C82"/>
    <w:rsid w:val="00865EEA"/>
    <w:rsid w:val="00866235"/>
    <w:rsid w:val="008668BD"/>
    <w:rsid w:val="00866944"/>
    <w:rsid w:val="00866968"/>
    <w:rsid w:val="00866B71"/>
    <w:rsid w:val="00867074"/>
    <w:rsid w:val="00867930"/>
    <w:rsid w:val="00867A49"/>
    <w:rsid w:val="00870202"/>
    <w:rsid w:val="008702D5"/>
    <w:rsid w:val="008711DB"/>
    <w:rsid w:val="008717CE"/>
    <w:rsid w:val="0087199F"/>
    <w:rsid w:val="00871FD2"/>
    <w:rsid w:val="008727EF"/>
    <w:rsid w:val="008737F1"/>
    <w:rsid w:val="008738CC"/>
    <w:rsid w:val="00873D09"/>
    <w:rsid w:val="00873E9E"/>
    <w:rsid w:val="008743C4"/>
    <w:rsid w:val="00874B9C"/>
    <w:rsid w:val="00874D19"/>
    <w:rsid w:val="00875420"/>
    <w:rsid w:val="008758C7"/>
    <w:rsid w:val="00875AD0"/>
    <w:rsid w:val="00875B8A"/>
    <w:rsid w:val="00875F06"/>
    <w:rsid w:val="00876319"/>
    <w:rsid w:val="0087656E"/>
    <w:rsid w:val="008765D2"/>
    <w:rsid w:val="0087681D"/>
    <w:rsid w:val="00876D5F"/>
    <w:rsid w:val="00877763"/>
    <w:rsid w:val="00877C0A"/>
    <w:rsid w:val="00880074"/>
    <w:rsid w:val="008800CC"/>
    <w:rsid w:val="00880222"/>
    <w:rsid w:val="008809B1"/>
    <w:rsid w:val="00880B91"/>
    <w:rsid w:val="00880D2E"/>
    <w:rsid w:val="0088152D"/>
    <w:rsid w:val="00881798"/>
    <w:rsid w:val="0088181A"/>
    <w:rsid w:val="0088184B"/>
    <w:rsid w:val="00881C2F"/>
    <w:rsid w:val="00882377"/>
    <w:rsid w:val="00882D98"/>
    <w:rsid w:val="00882E64"/>
    <w:rsid w:val="00882F28"/>
    <w:rsid w:val="00883751"/>
    <w:rsid w:val="00883F92"/>
    <w:rsid w:val="008841D6"/>
    <w:rsid w:val="008848DC"/>
    <w:rsid w:val="00884C82"/>
    <w:rsid w:val="008850AE"/>
    <w:rsid w:val="00885CEF"/>
    <w:rsid w:val="008860F4"/>
    <w:rsid w:val="0088634A"/>
    <w:rsid w:val="008863D7"/>
    <w:rsid w:val="008867A3"/>
    <w:rsid w:val="00886A38"/>
    <w:rsid w:val="00886C8F"/>
    <w:rsid w:val="00886E64"/>
    <w:rsid w:val="00886ED2"/>
    <w:rsid w:val="00887FF4"/>
    <w:rsid w:val="008901F1"/>
    <w:rsid w:val="0089029C"/>
    <w:rsid w:val="008905F3"/>
    <w:rsid w:val="00891028"/>
    <w:rsid w:val="008913B5"/>
    <w:rsid w:val="00891474"/>
    <w:rsid w:val="00891620"/>
    <w:rsid w:val="00891C4C"/>
    <w:rsid w:val="0089229B"/>
    <w:rsid w:val="00892604"/>
    <w:rsid w:val="00892CE0"/>
    <w:rsid w:val="008934E5"/>
    <w:rsid w:val="00893842"/>
    <w:rsid w:val="00893D64"/>
    <w:rsid w:val="00893F0B"/>
    <w:rsid w:val="00894031"/>
    <w:rsid w:val="00894581"/>
    <w:rsid w:val="008946BE"/>
    <w:rsid w:val="008947CC"/>
    <w:rsid w:val="00895107"/>
    <w:rsid w:val="00895207"/>
    <w:rsid w:val="00896117"/>
    <w:rsid w:val="00896618"/>
    <w:rsid w:val="008966DC"/>
    <w:rsid w:val="00896905"/>
    <w:rsid w:val="00896A50"/>
    <w:rsid w:val="008976A8"/>
    <w:rsid w:val="00897741"/>
    <w:rsid w:val="00897E7F"/>
    <w:rsid w:val="008A09F0"/>
    <w:rsid w:val="008A1FD9"/>
    <w:rsid w:val="008A2412"/>
    <w:rsid w:val="008A2592"/>
    <w:rsid w:val="008A28C3"/>
    <w:rsid w:val="008A2E54"/>
    <w:rsid w:val="008A2F74"/>
    <w:rsid w:val="008A3272"/>
    <w:rsid w:val="008A358F"/>
    <w:rsid w:val="008A3833"/>
    <w:rsid w:val="008A38CE"/>
    <w:rsid w:val="008A3982"/>
    <w:rsid w:val="008A39BE"/>
    <w:rsid w:val="008A4393"/>
    <w:rsid w:val="008A4647"/>
    <w:rsid w:val="008A4C7C"/>
    <w:rsid w:val="008A4CB4"/>
    <w:rsid w:val="008A5F15"/>
    <w:rsid w:val="008A64C0"/>
    <w:rsid w:val="008A65A1"/>
    <w:rsid w:val="008A65F0"/>
    <w:rsid w:val="008A6B60"/>
    <w:rsid w:val="008A6C56"/>
    <w:rsid w:val="008A750F"/>
    <w:rsid w:val="008A7815"/>
    <w:rsid w:val="008A7832"/>
    <w:rsid w:val="008A7C6B"/>
    <w:rsid w:val="008A7E4C"/>
    <w:rsid w:val="008B0075"/>
    <w:rsid w:val="008B0158"/>
    <w:rsid w:val="008B04C5"/>
    <w:rsid w:val="008B11AC"/>
    <w:rsid w:val="008B14E9"/>
    <w:rsid w:val="008B1658"/>
    <w:rsid w:val="008B1803"/>
    <w:rsid w:val="008B1C41"/>
    <w:rsid w:val="008B1D0B"/>
    <w:rsid w:val="008B240E"/>
    <w:rsid w:val="008B24E4"/>
    <w:rsid w:val="008B2C89"/>
    <w:rsid w:val="008B2D09"/>
    <w:rsid w:val="008B2D19"/>
    <w:rsid w:val="008B2D88"/>
    <w:rsid w:val="008B326E"/>
    <w:rsid w:val="008B3366"/>
    <w:rsid w:val="008B34A7"/>
    <w:rsid w:val="008B3814"/>
    <w:rsid w:val="008B3B77"/>
    <w:rsid w:val="008B3E37"/>
    <w:rsid w:val="008B4179"/>
    <w:rsid w:val="008B4564"/>
    <w:rsid w:val="008B461B"/>
    <w:rsid w:val="008B479B"/>
    <w:rsid w:val="008B47FA"/>
    <w:rsid w:val="008B4AC3"/>
    <w:rsid w:val="008B4D13"/>
    <w:rsid w:val="008B505C"/>
    <w:rsid w:val="008B5148"/>
    <w:rsid w:val="008B58B7"/>
    <w:rsid w:val="008B5D77"/>
    <w:rsid w:val="008B658C"/>
    <w:rsid w:val="008B65DE"/>
    <w:rsid w:val="008B733B"/>
    <w:rsid w:val="008B7835"/>
    <w:rsid w:val="008C049E"/>
    <w:rsid w:val="008C06BA"/>
    <w:rsid w:val="008C0994"/>
    <w:rsid w:val="008C12C6"/>
    <w:rsid w:val="008C1653"/>
    <w:rsid w:val="008C176A"/>
    <w:rsid w:val="008C1F6D"/>
    <w:rsid w:val="008C2531"/>
    <w:rsid w:val="008C25C9"/>
    <w:rsid w:val="008C26C6"/>
    <w:rsid w:val="008C34C6"/>
    <w:rsid w:val="008C3594"/>
    <w:rsid w:val="008C3772"/>
    <w:rsid w:val="008C39C0"/>
    <w:rsid w:val="008C3BB3"/>
    <w:rsid w:val="008C4399"/>
    <w:rsid w:val="008C4BA5"/>
    <w:rsid w:val="008C4CC4"/>
    <w:rsid w:val="008C524E"/>
    <w:rsid w:val="008C5512"/>
    <w:rsid w:val="008C60BB"/>
    <w:rsid w:val="008C60CB"/>
    <w:rsid w:val="008C61F2"/>
    <w:rsid w:val="008C62CE"/>
    <w:rsid w:val="008C6561"/>
    <w:rsid w:val="008C6771"/>
    <w:rsid w:val="008C6869"/>
    <w:rsid w:val="008C69C0"/>
    <w:rsid w:val="008C6D39"/>
    <w:rsid w:val="008C6D5D"/>
    <w:rsid w:val="008C70D0"/>
    <w:rsid w:val="008C765A"/>
    <w:rsid w:val="008C77BD"/>
    <w:rsid w:val="008C7E78"/>
    <w:rsid w:val="008D0628"/>
    <w:rsid w:val="008D19AD"/>
    <w:rsid w:val="008D1F83"/>
    <w:rsid w:val="008D2064"/>
    <w:rsid w:val="008D2371"/>
    <w:rsid w:val="008D2800"/>
    <w:rsid w:val="008D2B56"/>
    <w:rsid w:val="008D3490"/>
    <w:rsid w:val="008D34AD"/>
    <w:rsid w:val="008D3AF6"/>
    <w:rsid w:val="008D3D53"/>
    <w:rsid w:val="008D3EB7"/>
    <w:rsid w:val="008D4887"/>
    <w:rsid w:val="008D48E0"/>
    <w:rsid w:val="008D4BFE"/>
    <w:rsid w:val="008D4EC8"/>
    <w:rsid w:val="008D4F94"/>
    <w:rsid w:val="008D51CE"/>
    <w:rsid w:val="008D51E6"/>
    <w:rsid w:val="008D54D6"/>
    <w:rsid w:val="008D5C82"/>
    <w:rsid w:val="008D5E24"/>
    <w:rsid w:val="008D6F27"/>
    <w:rsid w:val="008D6FBD"/>
    <w:rsid w:val="008D70AC"/>
    <w:rsid w:val="008D72A5"/>
    <w:rsid w:val="008D7789"/>
    <w:rsid w:val="008D7D25"/>
    <w:rsid w:val="008E003C"/>
    <w:rsid w:val="008E0139"/>
    <w:rsid w:val="008E0180"/>
    <w:rsid w:val="008E01C4"/>
    <w:rsid w:val="008E0773"/>
    <w:rsid w:val="008E0B75"/>
    <w:rsid w:val="008E0ED5"/>
    <w:rsid w:val="008E1800"/>
    <w:rsid w:val="008E18A3"/>
    <w:rsid w:val="008E34F1"/>
    <w:rsid w:val="008E37EA"/>
    <w:rsid w:val="008E3884"/>
    <w:rsid w:val="008E38AC"/>
    <w:rsid w:val="008E3BDB"/>
    <w:rsid w:val="008E3CD4"/>
    <w:rsid w:val="008E3EE8"/>
    <w:rsid w:val="008E4032"/>
    <w:rsid w:val="008E451F"/>
    <w:rsid w:val="008E476F"/>
    <w:rsid w:val="008E484E"/>
    <w:rsid w:val="008E4864"/>
    <w:rsid w:val="008E4CA4"/>
    <w:rsid w:val="008E5695"/>
    <w:rsid w:val="008E5728"/>
    <w:rsid w:val="008E5E8A"/>
    <w:rsid w:val="008E6174"/>
    <w:rsid w:val="008E6219"/>
    <w:rsid w:val="008E67C0"/>
    <w:rsid w:val="008E6809"/>
    <w:rsid w:val="008F0BC0"/>
    <w:rsid w:val="008F1281"/>
    <w:rsid w:val="008F193A"/>
    <w:rsid w:val="008F1DFC"/>
    <w:rsid w:val="008F24CA"/>
    <w:rsid w:val="008F2977"/>
    <w:rsid w:val="008F2F4B"/>
    <w:rsid w:val="008F3636"/>
    <w:rsid w:val="008F3F3E"/>
    <w:rsid w:val="008F3F6E"/>
    <w:rsid w:val="008F45A9"/>
    <w:rsid w:val="008F45CF"/>
    <w:rsid w:val="008F4697"/>
    <w:rsid w:val="008F495B"/>
    <w:rsid w:val="008F4A8B"/>
    <w:rsid w:val="008F4A9F"/>
    <w:rsid w:val="008F4B9F"/>
    <w:rsid w:val="008F4DFC"/>
    <w:rsid w:val="008F4E1B"/>
    <w:rsid w:val="008F5526"/>
    <w:rsid w:val="008F583A"/>
    <w:rsid w:val="008F5898"/>
    <w:rsid w:val="008F5E1F"/>
    <w:rsid w:val="008F5EB8"/>
    <w:rsid w:val="008F5FA1"/>
    <w:rsid w:val="008F6237"/>
    <w:rsid w:val="008F6416"/>
    <w:rsid w:val="008F6962"/>
    <w:rsid w:val="008F73F4"/>
    <w:rsid w:val="008F7561"/>
    <w:rsid w:val="008F75C8"/>
    <w:rsid w:val="008F79C9"/>
    <w:rsid w:val="008F7A56"/>
    <w:rsid w:val="00900692"/>
    <w:rsid w:val="00900D7C"/>
    <w:rsid w:val="00900EAD"/>
    <w:rsid w:val="00901631"/>
    <w:rsid w:val="009016BF"/>
    <w:rsid w:val="0090178A"/>
    <w:rsid w:val="009017BE"/>
    <w:rsid w:val="009019D5"/>
    <w:rsid w:val="00901BB9"/>
    <w:rsid w:val="00901D48"/>
    <w:rsid w:val="00902CC2"/>
    <w:rsid w:val="009031FF"/>
    <w:rsid w:val="00903A4F"/>
    <w:rsid w:val="00903AC0"/>
    <w:rsid w:val="00903C72"/>
    <w:rsid w:val="009042A1"/>
    <w:rsid w:val="00904584"/>
    <w:rsid w:val="00905203"/>
    <w:rsid w:val="009053F2"/>
    <w:rsid w:val="009054BF"/>
    <w:rsid w:val="00905910"/>
    <w:rsid w:val="009063FB"/>
    <w:rsid w:val="00906AAE"/>
    <w:rsid w:val="00906BFB"/>
    <w:rsid w:val="0090705C"/>
    <w:rsid w:val="009070F8"/>
    <w:rsid w:val="00907592"/>
    <w:rsid w:val="0091019D"/>
    <w:rsid w:val="00910287"/>
    <w:rsid w:val="00910474"/>
    <w:rsid w:val="00910C44"/>
    <w:rsid w:val="00910D1F"/>
    <w:rsid w:val="009112C6"/>
    <w:rsid w:val="009113A9"/>
    <w:rsid w:val="0091143F"/>
    <w:rsid w:val="009124D9"/>
    <w:rsid w:val="00912BC1"/>
    <w:rsid w:val="00912E1C"/>
    <w:rsid w:val="009134D0"/>
    <w:rsid w:val="009144C0"/>
    <w:rsid w:val="0091473B"/>
    <w:rsid w:val="00914B87"/>
    <w:rsid w:val="00914ED0"/>
    <w:rsid w:val="00915127"/>
    <w:rsid w:val="00915385"/>
    <w:rsid w:val="009155B9"/>
    <w:rsid w:val="00915664"/>
    <w:rsid w:val="009159AE"/>
    <w:rsid w:val="0091606A"/>
    <w:rsid w:val="0091667B"/>
    <w:rsid w:val="009168A2"/>
    <w:rsid w:val="00916C12"/>
    <w:rsid w:val="00916D10"/>
    <w:rsid w:val="00917153"/>
    <w:rsid w:val="009176FC"/>
    <w:rsid w:val="00917EAD"/>
    <w:rsid w:val="00917FA8"/>
    <w:rsid w:val="00920275"/>
    <w:rsid w:val="0092041F"/>
    <w:rsid w:val="009206B5"/>
    <w:rsid w:val="009209E4"/>
    <w:rsid w:val="00920C1A"/>
    <w:rsid w:val="009211C9"/>
    <w:rsid w:val="00921392"/>
    <w:rsid w:val="00921931"/>
    <w:rsid w:val="0092295C"/>
    <w:rsid w:val="00922A16"/>
    <w:rsid w:val="00922A7F"/>
    <w:rsid w:val="00922D48"/>
    <w:rsid w:val="009234F0"/>
    <w:rsid w:val="009239B3"/>
    <w:rsid w:val="0092433C"/>
    <w:rsid w:val="009248F8"/>
    <w:rsid w:val="00924A6C"/>
    <w:rsid w:val="00924F2B"/>
    <w:rsid w:val="00924F83"/>
    <w:rsid w:val="009252CC"/>
    <w:rsid w:val="0092562E"/>
    <w:rsid w:val="0092570E"/>
    <w:rsid w:val="009259A6"/>
    <w:rsid w:val="009263F2"/>
    <w:rsid w:val="00926436"/>
    <w:rsid w:val="009269F7"/>
    <w:rsid w:val="00926C3C"/>
    <w:rsid w:val="00926CBE"/>
    <w:rsid w:val="00927624"/>
    <w:rsid w:val="009277BD"/>
    <w:rsid w:val="00927B5B"/>
    <w:rsid w:val="00927F24"/>
    <w:rsid w:val="009303FB"/>
    <w:rsid w:val="009305F8"/>
    <w:rsid w:val="00930A85"/>
    <w:rsid w:val="00930FF4"/>
    <w:rsid w:val="009310D9"/>
    <w:rsid w:val="0093162F"/>
    <w:rsid w:val="00931CAF"/>
    <w:rsid w:val="00932435"/>
    <w:rsid w:val="00932679"/>
    <w:rsid w:val="00932904"/>
    <w:rsid w:val="009332CA"/>
    <w:rsid w:val="00933304"/>
    <w:rsid w:val="00933455"/>
    <w:rsid w:val="00933464"/>
    <w:rsid w:val="00933629"/>
    <w:rsid w:val="00933B3E"/>
    <w:rsid w:val="00933CFE"/>
    <w:rsid w:val="00933FE9"/>
    <w:rsid w:val="0093428D"/>
    <w:rsid w:val="00934681"/>
    <w:rsid w:val="00934817"/>
    <w:rsid w:val="00934CF6"/>
    <w:rsid w:val="0093517B"/>
    <w:rsid w:val="009358B3"/>
    <w:rsid w:val="00935AE2"/>
    <w:rsid w:val="00935D81"/>
    <w:rsid w:val="009360D1"/>
    <w:rsid w:val="00936159"/>
    <w:rsid w:val="00936877"/>
    <w:rsid w:val="00936934"/>
    <w:rsid w:val="0093732B"/>
    <w:rsid w:val="00937C34"/>
    <w:rsid w:val="00937C37"/>
    <w:rsid w:val="009403CC"/>
    <w:rsid w:val="009409B0"/>
    <w:rsid w:val="009409D4"/>
    <w:rsid w:val="00940C96"/>
    <w:rsid w:val="00940F6B"/>
    <w:rsid w:val="00940FA9"/>
    <w:rsid w:val="009413EA"/>
    <w:rsid w:val="00941D17"/>
    <w:rsid w:val="00942046"/>
    <w:rsid w:val="00942442"/>
    <w:rsid w:val="009424A8"/>
    <w:rsid w:val="00942A0A"/>
    <w:rsid w:val="00942D09"/>
    <w:rsid w:val="00942E43"/>
    <w:rsid w:val="00942E60"/>
    <w:rsid w:val="00943117"/>
    <w:rsid w:val="00943308"/>
    <w:rsid w:val="009434EB"/>
    <w:rsid w:val="0094369C"/>
    <w:rsid w:val="0094373D"/>
    <w:rsid w:val="00943F76"/>
    <w:rsid w:val="00944204"/>
    <w:rsid w:val="00944296"/>
    <w:rsid w:val="0094467F"/>
    <w:rsid w:val="00944E83"/>
    <w:rsid w:val="00945563"/>
    <w:rsid w:val="00945E97"/>
    <w:rsid w:val="0094667E"/>
    <w:rsid w:val="00946A7B"/>
    <w:rsid w:val="00947328"/>
    <w:rsid w:val="00947806"/>
    <w:rsid w:val="00947944"/>
    <w:rsid w:val="00947C88"/>
    <w:rsid w:val="0095004B"/>
    <w:rsid w:val="009509F5"/>
    <w:rsid w:val="00950A22"/>
    <w:rsid w:val="00950AAD"/>
    <w:rsid w:val="00950C04"/>
    <w:rsid w:val="00950CFB"/>
    <w:rsid w:val="00950FB7"/>
    <w:rsid w:val="0095116E"/>
    <w:rsid w:val="00952D36"/>
    <w:rsid w:val="00952D78"/>
    <w:rsid w:val="00953516"/>
    <w:rsid w:val="00953AEB"/>
    <w:rsid w:val="00953CEB"/>
    <w:rsid w:val="00953E9C"/>
    <w:rsid w:val="0095453C"/>
    <w:rsid w:val="009545AA"/>
    <w:rsid w:val="009548D7"/>
    <w:rsid w:val="00954A4E"/>
    <w:rsid w:val="00955202"/>
    <w:rsid w:val="0095554F"/>
    <w:rsid w:val="00955559"/>
    <w:rsid w:val="00955BC1"/>
    <w:rsid w:val="00955E52"/>
    <w:rsid w:val="0095602A"/>
    <w:rsid w:val="00956810"/>
    <w:rsid w:val="00956C7C"/>
    <w:rsid w:val="00956CE4"/>
    <w:rsid w:val="00956E70"/>
    <w:rsid w:val="00957612"/>
    <w:rsid w:val="00957739"/>
    <w:rsid w:val="009601D8"/>
    <w:rsid w:val="00960BBF"/>
    <w:rsid w:val="00960BC6"/>
    <w:rsid w:val="00960E66"/>
    <w:rsid w:val="0096274C"/>
    <w:rsid w:val="009627F7"/>
    <w:rsid w:val="00962D98"/>
    <w:rsid w:val="00963501"/>
    <w:rsid w:val="00963639"/>
    <w:rsid w:val="00963CB5"/>
    <w:rsid w:val="009640A6"/>
    <w:rsid w:val="00964494"/>
    <w:rsid w:val="00964841"/>
    <w:rsid w:val="009649DB"/>
    <w:rsid w:val="00964B8D"/>
    <w:rsid w:val="00964D2B"/>
    <w:rsid w:val="00964E43"/>
    <w:rsid w:val="00964EF7"/>
    <w:rsid w:val="009659EC"/>
    <w:rsid w:val="00965A3B"/>
    <w:rsid w:val="009660AB"/>
    <w:rsid w:val="0096630E"/>
    <w:rsid w:val="00966955"/>
    <w:rsid w:val="009671E3"/>
    <w:rsid w:val="0096754F"/>
    <w:rsid w:val="009675FF"/>
    <w:rsid w:val="0096763A"/>
    <w:rsid w:val="009679C3"/>
    <w:rsid w:val="00967C37"/>
    <w:rsid w:val="00967CBF"/>
    <w:rsid w:val="00970A77"/>
    <w:rsid w:val="00970DA6"/>
    <w:rsid w:val="00971280"/>
    <w:rsid w:val="00971433"/>
    <w:rsid w:val="0097164D"/>
    <w:rsid w:val="00971BA7"/>
    <w:rsid w:val="00971E73"/>
    <w:rsid w:val="00972340"/>
    <w:rsid w:val="00972390"/>
    <w:rsid w:val="009723C1"/>
    <w:rsid w:val="00972A77"/>
    <w:rsid w:val="00972F21"/>
    <w:rsid w:val="0097341C"/>
    <w:rsid w:val="0097359D"/>
    <w:rsid w:val="00973810"/>
    <w:rsid w:val="00973B8F"/>
    <w:rsid w:val="00973E8F"/>
    <w:rsid w:val="0097413F"/>
    <w:rsid w:val="0097426F"/>
    <w:rsid w:val="009742EA"/>
    <w:rsid w:val="00974356"/>
    <w:rsid w:val="009748F6"/>
    <w:rsid w:val="009749DC"/>
    <w:rsid w:val="00974E1D"/>
    <w:rsid w:val="009759A6"/>
    <w:rsid w:val="009759CB"/>
    <w:rsid w:val="00975A12"/>
    <w:rsid w:val="00975A6A"/>
    <w:rsid w:val="00975B43"/>
    <w:rsid w:val="00975CB0"/>
    <w:rsid w:val="00975D47"/>
    <w:rsid w:val="00976296"/>
    <w:rsid w:val="0097649F"/>
    <w:rsid w:val="00976639"/>
    <w:rsid w:val="009766C1"/>
    <w:rsid w:val="00976D8B"/>
    <w:rsid w:val="00976FC9"/>
    <w:rsid w:val="0097756D"/>
    <w:rsid w:val="0098027C"/>
    <w:rsid w:val="0098078A"/>
    <w:rsid w:val="009807BC"/>
    <w:rsid w:val="00980A5A"/>
    <w:rsid w:val="00981F57"/>
    <w:rsid w:val="009827E8"/>
    <w:rsid w:val="0098280B"/>
    <w:rsid w:val="00982B47"/>
    <w:rsid w:val="00982E18"/>
    <w:rsid w:val="00982FBD"/>
    <w:rsid w:val="0098344C"/>
    <w:rsid w:val="009837BA"/>
    <w:rsid w:val="009839F7"/>
    <w:rsid w:val="00983C7D"/>
    <w:rsid w:val="00983DA4"/>
    <w:rsid w:val="00984154"/>
    <w:rsid w:val="00984532"/>
    <w:rsid w:val="00984A82"/>
    <w:rsid w:val="00984BB4"/>
    <w:rsid w:val="00985015"/>
    <w:rsid w:val="009852E2"/>
    <w:rsid w:val="009852FB"/>
    <w:rsid w:val="0098595A"/>
    <w:rsid w:val="00985E8A"/>
    <w:rsid w:val="00986064"/>
    <w:rsid w:val="0098609F"/>
    <w:rsid w:val="0098650C"/>
    <w:rsid w:val="00986B7C"/>
    <w:rsid w:val="00986C38"/>
    <w:rsid w:val="00986D0F"/>
    <w:rsid w:val="00986F28"/>
    <w:rsid w:val="00987D41"/>
    <w:rsid w:val="00987D65"/>
    <w:rsid w:val="0099035F"/>
    <w:rsid w:val="009907E1"/>
    <w:rsid w:val="00990839"/>
    <w:rsid w:val="00990C54"/>
    <w:rsid w:val="00990CC4"/>
    <w:rsid w:val="00990EFA"/>
    <w:rsid w:val="0099169D"/>
    <w:rsid w:val="00991719"/>
    <w:rsid w:val="00991764"/>
    <w:rsid w:val="0099178F"/>
    <w:rsid w:val="00991BC6"/>
    <w:rsid w:val="00991C56"/>
    <w:rsid w:val="00991C88"/>
    <w:rsid w:val="00991F2E"/>
    <w:rsid w:val="0099202B"/>
    <w:rsid w:val="0099340B"/>
    <w:rsid w:val="00993DAF"/>
    <w:rsid w:val="00993EF8"/>
    <w:rsid w:val="0099433D"/>
    <w:rsid w:val="009945D5"/>
    <w:rsid w:val="00994A28"/>
    <w:rsid w:val="00994A39"/>
    <w:rsid w:val="00994DCA"/>
    <w:rsid w:val="009950BE"/>
    <w:rsid w:val="009951AF"/>
    <w:rsid w:val="00995724"/>
    <w:rsid w:val="00995754"/>
    <w:rsid w:val="0099585D"/>
    <w:rsid w:val="009959C2"/>
    <w:rsid w:val="00995A10"/>
    <w:rsid w:val="00995D07"/>
    <w:rsid w:val="00995E86"/>
    <w:rsid w:val="00996BE8"/>
    <w:rsid w:val="00996C1E"/>
    <w:rsid w:val="00997104"/>
    <w:rsid w:val="0099712D"/>
    <w:rsid w:val="00997175"/>
    <w:rsid w:val="009972B7"/>
    <w:rsid w:val="00997802"/>
    <w:rsid w:val="009979EE"/>
    <w:rsid w:val="00997AA8"/>
    <w:rsid w:val="00997AEC"/>
    <w:rsid w:val="00997DA4"/>
    <w:rsid w:val="009A05A4"/>
    <w:rsid w:val="009A0706"/>
    <w:rsid w:val="009A0D07"/>
    <w:rsid w:val="009A119B"/>
    <w:rsid w:val="009A13D0"/>
    <w:rsid w:val="009A15FA"/>
    <w:rsid w:val="009A16A9"/>
    <w:rsid w:val="009A1D3D"/>
    <w:rsid w:val="009A1E0B"/>
    <w:rsid w:val="009A2047"/>
    <w:rsid w:val="009A22D5"/>
    <w:rsid w:val="009A250A"/>
    <w:rsid w:val="009A2631"/>
    <w:rsid w:val="009A2C3B"/>
    <w:rsid w:val="009A2D3C"/>
    <w:rsid w:val="009A2D68"/>
    <w:rsid w:val="009A2E6E"/>
    <w:rsid w:val="009A2FC1"/>
    <w:rsid w:val="009A35EB"/>
    <w:rsid w:val="009A3A40"/>
    <w:rsid w:val="009A43A1"/>
    <w:rsid w:val="009A493D"/>
    <w:rsid w:val="009A4A76"/>
    <w:rsid w:val="009A4C7C"/>
    <w:rsid w:val="009A4E67"/>
    <w:rsid w:val="009A5710"/>
    <w:rsid w:val="009A5FE4"/>
    <w:rsid w:val="009A60B6"/>
    <w:rsid w:val="009A6F19"/>
    <w:rsid w:val="009A73CF"/>
    <w:rsid w:val="009A7481"/>
    <w:rsid w:val="009A7485"/>
    <w:rsid w:val="009A74BE"/>
    <w:rsid w:val="009A79B3"/>
    <w:rsid w:val="009B038C"/>
    <w:rsid w:val="009B0586"/>
    <w:rsid w:val="009B0C88"/>
    <w:rsid w:val="009B0E45"/>
    <w:rsid w:val="009B0E4B"/>
    <w:rsid w:val="009B0F2F"/>
    <w:rsid w:val="009B1042"/>
    <w:rsid w:val="009B14B8"/>
    <w:rsid w:val="009B1741"/>
    <w:rsid w:val="009B1931"/>
    <w:rsid w:val="009B1B2F"/>
    <w:rsid w:val="009B1F76"/>
    <w:rsid w:val="009B1FEA"/>
    <w:rsid w:val="009B1FFD"/>
    <w:rsid w:val="009B1FFE"/>
    <w:rsid w:val="009B2112"/>
    <w:rsid w:val="009B26C7"/>
    <w:rsid w:val="009B2DBA"/>
    <w:rsid w:val="009B3847"/>
    <w:rsid w:val="009B3DFE"/>
    <w:rsid w:val="009B3EF0"/>
    <w:rsid w:val="009B42FA"/>
    <w:rsid w:val="009B47FF"/>
    <w:rsid w:val="009B4883"/>
    <w:rsid w:val="009B4906"/>
    <w:rsid w:val="009B4A25"/>
    <w:rsid w:val="009B4BC8"/>
    <w:rsid w:val="009B4EAE"/>
    <w:rsid w:val="009B557D"/>
    <w:rsid w:val="009B58AD"/>
    <w:rsid w:val="009B5B17"/>
    <w:rsid w:val="009B5C38"/>
    <w:rsid w:val="009B5DFD"/>
    <w:rsid w:val="009B604C"/>
    <w:rsid w:val="009B6A23"/>
    <w:rsid w:val="009B798F"/>
    <w:rsid w:val="009C01AB"/>
    <w:rsid w:val="009C03FE"/>
    <w:rsid w:val="009C0824"/>
    <w:rsid w:val="009C0875"/>
    <w:rsid w:val="009C0990"/>
    <w:rsid w:val="009C0B42"/>
    <w:rsid w:val="009C14DE"/>
    <w:rsid w:val="009C1555"/>
    <w:rsid w:val="009C21BC"/>
    <w:rsid w:val="009C237F"/>
    <w:rsid w:val="009C23E0"/>
    <w:rsid w:val="009C24CD"/>
    <w:rsid w:val="009C2A88"/>
    <w:rsid w:val="009C31EF"/>
    <w:rsid w:val="009C39F7"/>
    <w:rsid w:val="009C3A97"/>
    <w:rsid w:val="009C41F8"/>
    <w:rsid w:val="009C458A"/>
    <w:rsid w:val="009C4E4D"/>
    <w:rsid w:val="009C523F"/>
    <w:rsid w:val="009C5380"/>
    <w:rsid w:val="009C59AF"/>
    <w:rsid w:val="009C5E9F"/>
    <w:rsid w:val="009C6240"/>
    <w:rsid w:val="009C627C"/>
    <w:rsid w:val="009C6CBE"/>
    <w:rsid w:val="009C70A6"/>
    <w:rsid w:val="009C735A"/>
    <w:rsid w:val="009C79F7"/>
    <w:rsid w:val="009C7A3F"/>
    <w:rsid w:val="009C7AEB"/>
    <w:rsid w:val="009C7F9E"/>
    <w:rsid w:val="009C7FC1"/>
    <w:rsid w:val="009D051D"/>
    <w:rsid w:val="009D058D"/>
    <w:rsid w:val="009D0801"/>
    <w:rsid w:val="009D0DD3"/>
    <w:rsid w:val="009D15E8"/>
    <w:rsid w:val="009D1998"/>
    <w:rsid w:val="009D1EC9"/>
    <w:rsid w:val="009D1F4E"/>
    <w:rsid w:val="009D1F67"/>
    <w:rsid w:val="009D2A39"/>
    <w:rsid w:val="009D2C33"/>
    <w:rsid w:val="009D2C99"/>
    <w:rsid w:val="009D2F97"/>
    <w:rsid w:val="009D2FC7"/>
    <w:rsid w:val="009D37CF"/>
    <w:rsid w:val="009D3C85"/>
    <w:rsid w:val="009D43E3"/>
    <w:rsid w:val="009D4862"/>
    <w:rsid w:val="009D4C82"/>
    <w:rsid w:val="009D4EAE"/>
    <w:rsid w:val="009D50EA"/>
    <w:rsid w:val="009D5239"/>
    <w:rsid w:val="009D553D"/>
    <w:rsid w:val="009D5A5A"/>
    <w:rsid w:val="009D61B0"/>
    <w:rsid w:val="009D6474"/>
    <w:rsid w:val="009D64DE"/>
    <w:rsid w:val="009D68CC"/>
    <w:rsid w:val="009D6BDD"/>
    <w:rsid w:val="009D704C"/>
    <w:rsid w:val="009D7406"/>
    <w:rsid w:val="009D77A9"/>
    <w:rsid w:val="009D7D4E"/>
    <w:rsid w:val="009E0425"/>
    <w:rsid w:val="009E046D"/>
    <w:rsid w:val="009E1A5B"/>
    <w:rsid w:val="009E1B2B"/>
    <w:rsid w:val="009E1D91"/>
    <w:rsid w:val="009E2393"/>
    <w:rsid w:val="009E2394"/>
    <w:rsid w:val="009E23D4"/>
    <w:rsid w:val="009E2583"/>
    <w:rsid w:val="009E2B18"/>
    <w:rsid w:val="009E2F3B"/>
    <w:rsid w:val="009E3161"/>
    <w:rsid w:val="009E32BA"/>
    <w:rsid w:val="009E3826"/>
    <w:rsid w:val="009E388E"/>
    <w:rsid w:val="009E4241"/>
    <w:rsid w:val="009E42A2"/>
    <w:rsid w:val="009E44CF"/>
    <w:rsid w:val="009E477F"/>
    <w:rsid w:val="009E49C2"/>
    <w:rsid w:val="009E49FE"/>
    <w:rsid w:val="009E4C1A"/>
    <w:rsid w:val="009E56A8"/>
    <w:rsid w:val="009E5C82"/>
    <w:rsid w:val="009E5E96"/>
    <w:rsid w:val="009E6475"/>
    <w:rsid w:val="009E69C6"/>
    <w:rsid w:val="009E6C68"/>
    <w:rsid w:val="009E6CBA"/>
    <w:rsid w:val="009E7858"/>
    <w:rsid w:val="009E7AB6"/>
    <w:rsid w:val="009E7F59"/>
    <w:rsid w:val="009E7F98"/>
    <w:rsid w:val="009F00AE"/>
    <w:rsid w:val="009F00DA"/>
    <w:rsid w:val="009F01D1"/>
    <w:rsid w:val="009F0C89"/>
    <w:rsid w:val="009F10BE"/>
    <w:rsid w:val="009F154E"/>
    <w:rsid w:val="009F1B83"/>
    <w:rsid w:val="009F1C75"/>
    <w:rsid w:val="009F2523"/>
    <w:rsid w:val="009F25AE"/>
    <w:rsid w:val="009F25F6"/>
    <w:rsid w:val="009F2844"/>
    <w:rsid w:val="009F2D09"/>
    <w:rsid w:val="009F2D84"/>
    <w:rsid w:val="009F2E0D"/>
    <w:rsid w:val="009F315C"/>
    <w:rsid w:val="009F332A"/>
    <w:rsid w:val="009F33F8"/>
    <w:rsid w:val="009F350D"/>
    <w:rsid w:val="009F35BD"/>
    <w:rsid w:val="009F374B"/>
    <w:rsid w:val="009F38DA"/>
    <w:rsid w:val="009F3EC2"/>
    <w:rsid w:val="009F4027"/>
    <w:rsid w:val="009F4250"/>
    <w:rsid w:val="009F4450"/>
    <w:rsid w:val="009F48AB"/>
    <w:rsid w:val="009F4969"/>
    <w:rsid w:val="009F4D56"/>
    <w:rsid w:val="009F5710"/>
    <w:rsid w:val="009F5B7D"/>
    <w:rsid w:val="009F5D0D"/>
    <w:rsid w:val="009F5DB3"/>
    <w:rsid w:val="009F5F5A"/>
    <w:rsid w:val="009F5FD7"/>
    <w:rsid w:val="009F639E"/>
    <w:rsid w:val="009F661B"/>
    <w:rsid w:val="009F671B"/>
    <w:rsid w:val="009F6C9C"/>
    <w:rsid w:val="009F7285"/>
    <w:rsid w:val="009F77A5"/>
    <w:rsid w:val="009F7AA4"/>
    <w:rsid w:val="009F7E73"/>
    <w:rsid w:val="009F7E9A"/>
    <w:rsid w:val="00A00021"/>
    <w:rsid w:val="00A0015D"/>
    <w:rsid w:val="00A003DC"/>
    <w:rsid w:val="00A00562"/>
    <w:rsid w:val="00A009A8"/>
    <w:rsid w:val="00A00C7D"/>
    <w:rsid w:val="00A00ECF"/>
    <w:rsid w:val="00A00F4B"/>
    <w:rsid w:val="00A01339"/>
    <w:rsid w:val="00A0145E"/>
    <w:rsid w:val="00A01C19"/>
    <w:rsid w:val="00A01C38"/>
    <w:rsid w:val="00A02132"/>
    <w:rsid w:val="00A0220E"/>
    <w:rsid w:val="00A0257B"/>
    <w:rsid w:val="00A02709"/>
    <w:rsid w:val="00A027C0"/>
    <w:rsid w:val="00A03188"/>
    <w:rsid w:val="00A03437"/>
    <w:rsid w:val="00A0355A"/>
    <w:rsid w:val="00A03889"/>
    <w:rsid w:val="00A03EA6"/>
    <w:rsid w:val="00A0472E"/>
    <w:rsid w:val="00A04A66"/>
    <w:rsid w:val="00A0529B"/>
    <w:rsid w:val="00A05572"/>
    <w:rsid w:val="00A055EC"/>
    <w:rsid w:val="00A058A1"/>
    <w:rsid w:val="00A065B4"/>
    <w:rsid w:val="00A06BAF"/>
    <w:rsid w:val="00A06FFD"/>
    <w:rsid w:val="00A073EF"/>
    <w:rsid w:val="00A07610"/>
    <w:rsid w:val="00A076AF"/>
    <w:rsid w:val="00A0773F"/>
    <w:rsid w:val="00A07B97"/>
    <w:rsid w:val="00A07D9B"/>
    <w:rsid w:val="00A10296"/>
    <w:rsid w:val="00A1037C"/>
    <w:rsid w:val="00A1090F"/>
    <w:rsid w:val="00A10A17"/>
    <w:rsid w:val="00A10D2F"/>
    <w:rsid w:val="00A10E35"/>
    <w:rsid w:val="00A1166C"/>
    <w:rsid w:val="00A116CE"/>
    <w:rsid w:val="00A12024"/>
    <w:rsid w:val="00A1210D"/>
    <w:rsid w:val="00A1253D"/>
    <w:rsid w:val="00A12AC8"/>
    <w:rsid w:val="00A12CEB"/>
    <w:rsid w:val="00A12E0A"/>
    <w:rsid w:val="00A12E7F"/>
    <w:rsid w:val="00A1315F"/>
    <w:rsid w:val="00A13239"/>
    <w:rsid w:val="00A1351E"/>
    <w:rsid w:val="00A13827"/>
    <w:rsid w:val="00A13D25"/>
    <w:rsid w:val="00A14137"/>
    <w:rsid w:val="00A1436F"/>
    <w:rsid w:val="00A14B0B"/>
    <w:rsid w:val="00A14E1F"/>
    <w:rsid w:val="00A1521D"/>
    <w:rsid w:val="00A15C76"/>
    <w:rsid w:val="00A15D5B"/>
    <w:rsid w:val="00A16247"/>
    <w:rsid w:val="00A1632B"/>
    <w:rsid w:val="00A1640A"/>
    <w:rsid w:val="00A16513"/>
    <w:rsid w:val="00A16701"/>
    <w:rsid w:val="00A16806"/>
    <w:rsid w:val="00A16B46"/>
    <w:rsid w:val="00A17322"/>
    <w:rsid w:val="00A17CA4"/>
    <w:rsid w:val="00A17F3D"/>
    <w:rsid w:val="00A201A2"/>
    <w:rsid w:val="00A204D7"/>
    <w:rsid w:val="00A206B3"/>
    <w:rsid w:val="00A20AE2"/>
    <w:rsid w:val="00A210C4"/>
    <w:rsid w:val="00A2123C"/>
    <w:rsid w:val="00A21670"/>
    <w:rsid w:val="00A2179F"/>
    <w:rsid w:val="00A21E51"/>
    <w:rsid w:val="00A22001"/>
    <w:rsid w:val="00A22D0E"/>
    <w:rsid w:val="00A230AF"/>
    <w:rsid w:val="00A2317B"/>
    <w:rsid w:val="00A231EF"/>
    <w:rsid w:val="00A23297"/>
    <w:rsid w:val="00A237B6"/>
    <w:rsid w:val="00A239B9"/>
    <w:rsid w:val="00A23EF8"/>
    <w:rsid w:val="00A23FB5"/>
    <w:rsid w:val="00A23FDB"/>
    <w:rsid w:val="00A24077"/>
    <w:rsid w:val="00A243EF"/>
    <w:rsid w:val="00A24531"/>
    <w:rsid w:val="00A24660"/>
    <w:rsid w:val="00A24C87"/>
    <w:rsid w:val="00A24EA9"/>
    <w:rsid w:val="00A25A3F"/>
    <w:rsid w:val="00A25CD0"/>
    <w:rsid w:val="00A25E4C"/>
    <w:rsid w:val="00A262E3"/>
    <w:rsid w:val="00A269ED"/>
    <w:rsid w:val="00A26E10"/>
    <w:rsid w:val="00A27855"/>
    <w:rsid w:val="00A27BD6"/>
    <w:rsid w:val="00A302C1"/>
    <w:rsid w:val="00A304E0"/>
    <w:rsid w:val="00A304E1"/>
    <w:rsid w:val="00A30AFD"/>
    <w:rsid w:val="00A30D69"/>
    <w:rsid w:val="00A315BB"/>
    <w:rsid w:val="00A31AC0"/>
    <w:rsid w:val="00A31B0B"/>
    <w:rsid w:val="00A32190"/>
    <w:rsid w:val="00A321A7"/>
    <w:rsid w:val="00A322F1"/>
    <w:rsid w:val="00A326D7"/>
    <w:rsid w:val="00A32BAD"/>
    <w:rsid w:val="00A336DB"/>
    <w:rsid w:val="00A33BAD"/>
    <w:rsid w:val="00A33C03"/>
    <w:rsid w:val="00A33F24"/>
    <w:rsid w:val="00A34A96"/>
    <w:rsid w:val="00A34F77"/>
    <w:rsid w:val="00A3520E"/>
    <w:rsid w:val="00A3581B"/>
    <w:rsid w:val="00A35975"/>
    <w:rsid w:val="00A35AF0"/>
    <w:rsid w:val="00A35BB9"/>
    <w:rsid w:val="00A35D24"/>
    <w:rsid w:val="00A366DD"/>
    <w:rsid w:val="00A36AD4"/>
    <w:rsid w:val="00A3770D"/>
    <w:rsid w:val="00A37B55"/>
    <w:rsid w:val="00A37DA3"/>
    <w:rsid w:val="00A37FF5"/>
    <w:rsid w:val="00A40719"/>
    <w:rsid w:val="00A40C31"/>
    <w:rsid w:val="00A40E90"/>
    <w:rsid w:val="00A4173B"/>
    <w:rsid w:val="00A41CE4"/>
    <w:rsid w:val="00A422B8"/>
    <w:rsid w:val="00A4290E"/>
    <w:rsid w:val="00A42D25"/>
    <w:rsid w:val="00A42D73"/>
    <w:rsid w:val="00A42EAC"/>
    <w:rsid w:val="00A43101"/>
    <w:rsid w:val="00A432CE"/>
    <w:rsid w:val="00A4376A"/>
    <w:rsid w:val="00A43AC1"/>
    <w:rsid w:val="00A43B41"/>
    <w:rsid w:val="00A441F0"/>
    <w:rsid w:val="00A44401"/>
    <w:rsid w:val="00A44545"/>
    <w:rsid w:val="00A449AC"/>
    <w:rsid w:val="00A4502D"/>
    <w:rsid w:val="00A45806"/>
    <w:rsid w:val="00A45AE6"/>
    <w:rsid w:val="00A4613E"/>
    <w:rsid w:val="00A46D46"/>
    <w:rsid w:val="00A46F72"/>
    <w:rsid w:val="00A46FF9"/>
    <w:rsid w:val="00A4700C"/>
    <w:rsid w:val="00A47104"/>
    <w:rsid w:val="00A472BB"/>
    <w:rsid w:val="00A47EDA"/>
    <w:rsid w:val="00A5044A"/>
    <w:rsid w:val="00A50708"/>
    <w:rsid w:val="00A50A8F"/>
    <w:rsid w:val="00A50EC6"/>
    <w:rsid w:val="00A50F2A"/>
    <w:rsid w:val="00A50FF0"/>
    <w:rsid w:val="00A51CD7"/>
    <w:rsid w:val="00A51E1C"/>
    <w:rsid w:val="00A51FC6"/>
    <w:rsid w:val="00A521FC"/>
    <w:rsid w:val="00A528D8"/>
    <w:rsid w:val="00A52981"/>
    <w:rsid w:val="00A52EE5"/>
    <w:rsid w:val="00A530CF"/>
    <w:rsid w:val="00A5408A"/>
    <w:rsid w:val="00A542BF"/>
    <w:rsid w:val="00A54826"/>
    <w:rsid w:val="00A55091"/>
    <w:rsid w:val="00A55516"/>
    <w:rsid w:val="00A55595"/>
    <w:rsid w:val="00A556FD"/>
    <w:rsid w:val="00A55726"/>
    <w:rsid w:val="00A55873"/>
    <w:rsid w:val="00A558F4"/>
    <w:rsid w:val="00A55B0B"/>
    <w:rsid w:val="00A55C38"/>
    <w:rsid w:val="00A56377"/>
    <w:rsid w:val="00A56567"/>
    <w:rsid w:val="00A567FD"/>
    <w:rsid w:val="00A56AB3"/>
    <w:rsid w:val="00A56AD6"/>
    <w:rsid w:val="00A56E05"/>
    <w:rsid w:val="00A56F32"/>
    <w:rsid w:val="00A57387"/>
    <w:rsid w:val="00A57458"/>
    <w:rsid w:val="00A574B2"/>
    <w:rsid w:val="00A574BC"/>
    <w:rsid w:val="00A57C54"/>
    <w:rsid w:val="00A57F15"/>
    <w:rsid w:val="00A57F27"/>
    <w:rsid w:val="00A57FE9"/>
    <w:rsid w:val="00A57FF6"/>
    <w:rsid w:val="00A6008E"/>
    <w:rsid w:val="00A6125F"/>
    <w:rsid w:val="00A6129F"/>
    <w:rsid w:val="00A61456"/>
    <w:rsid w:val="00A61544"/>
    <w:rsid w:val="00A616CE"/>
    <w:rsid w:val="00A6170C"/>
    <w:rsid w:val="00A617BD"/>
    <w:rsid w:val="00A61844"/>
    <w:rsid w:val="00A619C4"/>
    <w:rsid w:val="00A61CAD"/>
    <w:rsid w:val="00A620CF"/>
    <w:rsid w:val="00A621AA"/>
    <w:rsid w:val="00A62631"/>
    <w:rsid w:val="00A62687"/>
    <w:rsid w:val="00A62FE1"/>
    <w:rsid w:val="00A63A07"/>
    <w:rsid w:val="00A63AD0"/>
    <w:rsid w:val="00A63AF8"/>
    <w:rsid w:val="00A63B3C"/>
    <w:rsid w:val="00A6424F"/>
    <w:rsid w:val="00A647EB"/>
    <w:rsid w:val="00A64890"/>
    <w:rsid w:val="00A65066"/>
    <w:rsid w:val="00A65773"/>
    <w:rsid w:val="00A6592C"/>
    <w:rsid w:val="00A65C10"/>
    <w:rsid w:val="00A65C29"/>
    <w:rsid w:val="00A66229"/>
    <w:rsid w:val="00A6680E"/>
    <w:rsid w:val="00A66A9A"/>
    <w:rsid w:val="00A67138"/>
    <w:rsid w:val="00A67B54"/>
    <w:rsid w:val="00A702DB"/>
    <w:rsid w:val="00A70513"/>
    <w:rsid w:val="00A705C1"/>
    <w:rsid w:val="00A706D8"/>
    <w:rsid w:val="00A70709"/>
    <w:rsid w:val="00A707BD"/>
    <w:rsid w:val="00A7135A"/>
    <w:rsid w:val="00A7138A"/>
    <w:rsid w:val="00A713E4"/>
    <w:rsid w:val="00A715DA"/>
    <w:rsid w:val="00A715FD"/>
    <w:rsid w:val="00A716B0"/>
    <w:rsid w:val="00A716C8"/>
    <w:rsid w:val="00A7182D"/>
    <w:rsid w:val="00A71885"/>
    <w:rsid w:val="00A71B32"/>
    <w:rsid w:val="00A71F1C"/>
    <w:rsid w:val="00A7223F"/>
    <w:rsid w:val="00A72AEB"/>
    <w:rsid w:val="00A73234"/>
    <w:rsid w:val="00A734D0"/>
    <w:rsid w:val="00A73539"/>
    <w:rsid w:val="00A736F5"/>
    <w:rsid w:val="00A737AC"/>
    <w:rsid w:val="00A73DD0"/>
    <w:rsid w:val="00A73E49"/>
    <w:rsid w:val="00A7463B"/>
    <w:rsid w:val="00A74766"/>
    <w:rsid w:val="00A7519B"/>
    <w:rsid w:val="00A752A8"/>
    <w:rsid w:val="00A7563B"/>
    <w:rsid w:val="00A75718"/>
    <w:rsid w:val="00A75B43"/>
    <w:rsid w:val="00A75D3E"/>
    <w:rsid w:val="00A76693"/>
    <w:rsid w:val="00A7687B"/>
    <w:rsid w:val="00A76B03"/>
    <w:rsid w:val="00A76B2B"/>
    <w:rsid w:val="00A76FE6"/>
    <w:rsid w:val="00A771BE"/>
    <w:rsid w:val="00A7782E"/>
    <w:rsid w:val="00A77B82"/>
    <w:rsid w:val="00A77BC5"/>
    <w:rsid w:val="00A8085A"/>
    <w:rsid w:val="00A808E2"/>
    <w:rsid w:val="00A80A3B"/>
    <w:rsid w:val="00A80B47"/>
    <w:rsid w:val="00A80F64"/>
    <w:rsid w:val="00A81B0B"/>
    <w:rsid w:val="00A81B82"/>
    <w:rsid w:val="00A82032"/>
    <w:rsid w:val="00A8203E"/>
    <w:rsid w:val="00A82618"/>
    <w:rsid w:val="00A82F1E"/>
    <w:rsid w:val="00A832F9"/>
    <w:rsid w:val="00A836F9"/>
    <w:rsid w:val="00A83A8E"/>
    <w:rsid w:val="00A83C78"/>
    <w:rsid w:val="00A83CB4"/>
    <w:rsid w:val="00A83FF1"/>
    <w:rsid w:val="00A8407A"/>
    <w:rsid w:val="00A84943"/>
    <w:rsid w:val="00A84BF1"/>
    <w:rsid w:val="00A84FED"/>
    <w:rsid w:val="00A85651"/>
    <w:rsid w:val="00A8566C"/>
    <w:rsid w:val="00A85A2F"/>
    <w:rsid w:val="00A86073"/>
    <w:rsid w:val="00A863FB"/>
    <w:rsid w:val="00A86C35"/>
    <w:rsid w:val="00A86CE5"/>
    <w:rsid w:val="00A86FEF"/>
    <w:rsid w:val="00A874A2"/>
    <w:rsid w:val="00A875F2"/>
    <w:rsid w:val="00A87C14"/>
    <w:rsid w:val="00A906D5"/>
    <w:rsid w:val="00A909AC"/>
    <w:rsid w:val="00A90ADE"/>
    <w:rsid w:val="00A91951"/>
    <w:rsid w:val="00A920CC"/>
    <w:rsid w:val="00A9255F"/>
    <w:rsid w:val="00A92704"/>
    <w:rsid w:val="00A92AA7"/>
    <w:rsid w:val="00A92ECB"/>
    <w:rsid w:val="00A93244"/>
    <w:rsid w:val="00A93806"/>
    <w:rsid w:val="00A93891"/>
    <w:rsid w:val="00A93F63"/>
    <w:rsid w:val="00A9445B"/>
    <w:rsid w:val="00A946DE"/>
    <w:rsid w:val="00A94927"/>
    <w:rsid w:val="00A95C39"/>
    <w:rsid w:val="00A95E5B"/>
    <w:rsid w:val="00A961DF"/>
    <w:rsid w:val="00A9671F"/>
    <w:rsid w:val="00A968DA"/>
    <w:rsid w:val="00A96F9D"/>
    <w:rsid w:val="00A97558"/>
    <w:rsid w:val="00A9798D"/>
    <w:rsid w:val="00A97CAA"/>
    <w:rsid w:val="00A97CD8"/>
    <w:rsid w:val="00AA06A9"/>
    <w:rsid w:val="00AA06BC"/>
    <w:rsid w:val="00AA0A50"/>
    <w:rsid w:val="00AA0FF1"/>
    <w:rsid w:val="00AA1394"/>
    <w:rsid w:val="00AA17CB"/>
    <w:rsid w:val="00AA1A6F"/>
    <w:rsid w:val="00AA21A7"/>
    <w:rsid w:val="00AA27CC"/>
    <w:rsid w:val="00AA28E4"/>
    <w:rsid w:val="00AA2BE5"/>
    <w:rsid w:val="00AA2E76"/>
    <w:rsid w:val="00AA31D0"/>
    <w:rsid w:val="00AA3404"/>
    <w:rsid w:val="00AA36E6"/>
    <w:rsid w:val="00AA3A2D"/>
    <w:rsid w:val="00AA3A7A"/>
    <w:rsid w:val="00AA3FC7"/>
    <w:rsid w:val="00AA4505"/>
    <w:rsid w:val="00AA501B"/>
    <w:rsid w:val="00AA5223"/>
    <w:rsid w:val="00AA5BAB"/>
    <w:rsid w:val="00AA5C08"/>
    <w:rsid w:val="00AA5D21"/>
    <w:rsid w:val="00AA6003"/>
    <w:rsid w:val="00AA7313"/>
    <w:rsid w:val="00AA7E56"/>
    <w:rsid w:val="00AB016D"/>
    <w:rsid w:val="00AB024D"/>
    <w:rsid w:val="00AB0264"/>
    <w:rsid w:val="00AB0278"/>
    <w:rsid w:val="00AB0900"/>
    <w:rsid w:val="00AB0CAA"/>
    <w:rsid w:val="00AB0CF6"/>
    <w:rsid w:val="00AB0DDB"/>
    <w:rsid w:val="00AB0F6B"/>
    <w:rsid w:val="00AB116E"/>
    <w:rsid w:val="00AB1FA5"/>
    <w:rsid w:val="00AB219E"/>
    <w:rsid w:val="00AB2284"/>
    <w:rsid w:val="00AB23FB"/>
    <w:rsid w:val="00AB2535"/>
    <w:rsid w:val="00AB2ACB"/>
    <w:rsid w:val="00AB2E26"/>
    <w:rsid w:val="00AB361D"/>
    <w:rsid w:val="00AB3EF0"/>
    <w:rsid w:val="00AB41FD"/>
    <w:rsid w:val="00AB424D"/>
    <w:rsid w:val="00AB441D"/>
    <w:rsid w:val="00AB459A"/>
    <w:rsid w:val="00AB4BDA"/>
    <w:rsid w:val="00AB51AB"/>
    <w:rsid w:val="00AB51DF"/>
    <w:rsid w:val="00AB5456"/>
    <w:rsid w:val="00AB5635"/>
    <w:rsid w:val="00AB57E8"/>
    <w:rsid w:val="00AB581B"/>
    <w:rsid w:val="00AB62E9"/>
    <w:rsid w:val="00AB6359"/>
    <w:rsid w:val="00AB63F6"/>
    <w:rsid w:val="00AB6612"/>
    <w:rsid w:val="00AB7220"/>
    <w:rsid w:val="00AB773F"/>
    <w:rsid w:val="00AB7B95"/>
    <w:rsid w:val="00AB7E4C"/>
    <w:rsid w:val="00AC098F"/>
    <w:rsid w:val="00AC0C52"/>
    <w:rsid w:val="00AC0ECB"/>
    <w:rsid w:val="00AC1C84"/>
    <w:rsid w:val="00AC2439"/>
    <w:rsid w:val="00AC2690"/>
    <w:rsid w:val="00AC291A"/>
    <w:rsid w:val="00AC29A0"/>
    <w:rsid w:val="00AC2ADB"/>
    <w:rsid w:val="00AC30B0"/>
    <w:rsid w:val="00AC31AC"/>
    <w:rsid w:val="00AC36CE"/>
    <w:rsid w:val="00AC3927"/>
    <w:rsid w:val="00AC3A48"/>
    <w:rsid w:val="00AC3A5A"/>
    <w:rsid w:val="00AC3F86"/>
    <w:rsid w:val="00AC4428"/>
    <w:rsid w:val="00AC444F"/>
    <w:rsid w:val="00AC4741"/>
    <w:rsid w:val="00AC47A8"/>
    <w:rsid w:val="00AC48CB"/>
    <w:rsid w:val="00AC499A"/>
    <w:rsid w:val="00AC551F"/>
    <w:rsid w:val="00AC5836"/>
    <w:rsid w:val="00AC58E8"/>
    <w:rsid w:val="00AC5D1F"/>
    <w:rsid w:val="00AC5D7A"/>
    <w:rsid w:val="00AC5DEC"/>
    <w:rsid w:val="00AC609F"/>
    <w:rsid w:val="00AC640B"/>
    <w:rsid w:val="00AC6936"/>
    <w:rsid w:val="00AC787D"/>
    <w:rsid w:val="00AC7A5B"/>
    <w:rsid w:val="00AC7DF4"/>
    <w:rsid w:val="00AD028C"/>
    <w:rsid w:val="00AD0A55"/>
    <w:rsid w:val="00AD0B62"/>
    <w:rsid w:val="00AD0D46"/>
    <w:rsid w:val="00AD12FF"/>
    <w:rsid w:val="00AD1533"/>
    <w:rsid w:val="00AD18CE"/>
    <w:rsid w:val="00AD18D7"/>
    <w:rsid w:val="00AD1B30"/>
    <w:rsid w:val="00AD1C02"/>
    <w:rsid w:val="00AD1DFF"/>
    <w:rsid w:val="00AD1E97"/>
    <w:rsid w:val="00AD20BE"/>
    <w:rsid w:val="00AD2445"/>
    <w:rsid w:val="00AD2986"/>
    <w:rsid w:val="00AD2BE5"/>
    <w:rsid w:val="00AD2FCC"/>
    <w:rsid w:val="00AD31F5"/>
    <w:rsid w:val="00AD348C"/>
    <w:rsid w:val="00AD3856"/>
    <w:rsid w:val="00AD385D"/>
    <w:rsid w:val="00AD3B15"/>
    <w:rsid w:val="00AD40DB"/>
    <w:rsid w:val="00AD47CC"/>
    <w:rsid w:val="00AD491F"/>
    <w:rsid w:val="00AD4921"/>
    <w:rsid w:val="00AD4C89"/>
    <w:rsid w:val="00AD4FB4"/>
    <w:rsid w:val="00AD507B"/>
    <w:rsid w:val="00AD558A"/>
    <w:rsid w:val="00AD5670"/>
    <w:rsid w:val="00AD5B9A"/>
    <w:rsid w:val="00AD5E9C"/>
    <w:rsid w:val="00AD5F7A"/>
    <w:rsid w:val="00AD5FF1"/>
    <w:rsid w:val="00AD65BD"/>
    <w:rsid w:val="00AD670B"/>
    <w:rsid w:val="00AD6ACB"/>
    <w:rsid w:val="00AD76BE"/>
    <w:rsid w:val="00AD78DB"/>
    <w:rsid w:val="00AD7A47"/>
    <w:rsid w:val="00AD7ECF"/>
    <w:rsid w:val="00AE0881"/>
    <w:rsid w:val="00AE0D2D"/>
    <w:rsid w:val="00AE0ED7"/>
    <w:rsid w:val="00AE1383"/>
    <w:rsid w:val="00AE18C1"/>
    <w:rsid w:val="00AE1D65"/>
    <w:rsid w:val="00AE21F1"/>
    <w:rsid w:val="00AE26D5"/>
    <w:rsid w:val="00AE27A4"/>
    <w:rsid w:val="00AE27D4"/>
    <w:rsid w:val="00AE2885"/>
    <w:rsid w:val="00AE29FA"/>
    <w:rsid w:val="00AE2E10"/>
    <w:rsid w:val="00AE30F4"/>
    <w:rsid w:val="00AE34E3"/>
    <w:rsid w:val="00AE3ADD"/>
    <w:rsid w:val="00AE406F"/>
    <w:rsid w:val="00AE4299"/>
    <w:rsid w:val="00AE44B6"/>
    <w:rsid w:val="00AE4A1F"/>
    <w:rsid w:val="00AE4C69"/>
    <w:rsid w:val="00AE4FFD"/>
    <w:rsid w:val="00AE56AC"/>
    <w:rsid w:val="00AE58D3"/>
    <w:rsid w:val="00AE5F43"/>
    <w:rsid w:val="00AE6046"/>
    <w:rsid w:val="00AE613C"/>
    <w:rsid w:val="00AE61E0"/>
    <w:rsid w:val="00AE70F2"/>
    <w:rsid w:val="00AE7441"/>
    <w:rsid w:val="00AE7535"/>
    <w:rsid w:val="00AE7B99"/>
    <w:rsid w:val="00AF07D5"/>
    <w:rsid w:val="00AF11F9"/>
    <w:rsid w:val="00AF1563"/>
    <w:rsid w:val="00AF1E6B"/>
    <w:rsid w:val="00AF1EE3"/>
    <w:rsid w:val="00AF207F"/>
    <w:rsid w:val="00AF25F9"/>
    <w:rsid w:val="00AF28C9"/>
    <w:rsid w:val="00AF28DC"/>
    <w:rsid w:val="00AF2CD7"/>
    <w:rsid w:val="00AF30E0"/>
    <w:rsid w:val="00AF3390"/>
    <w:rsid w:val="00AF33B7"/>
    <w:rsid w:val="00AF34E3"/>
    <w:rsid w:val="00AF3561"/>
    <w:rsid w:val="00AF3687"/>
    <w:rsid w:val="00AF378E"/>
    <w:rsid w:val="00AF3A1A"/>
    <w:rsid w:val="00AF3BF5"/>
    <w:rsid w:val="00AF3D39"/>
    <w:rsid w:val="00AF49B3"/>
    <w:rsid w:val="00AF55DE"/>
    <w:rsid w:val="00AF57D8"/>
    <w:rsid w:val="00AF59DB"/>
    <w:rsid w:val="00AF5F7C"/>
    <w:rsid w:val="00AF63D8"/>
    <w:rsid w:val="00AF6457"/>
    <w:rsid w:val="00AF64D2"/>
    <w:rsid w:val="00AF66C3"/>
    <w:rsid w:val="00AF695E"/>
    <w:rsid w:val="00AF6974"/>
    <w:rsid w:val="00AF6F5E"/>
    <w:rsid w:val="00AF6FEE"/>
    <w:rsid w:val="00AF7061"/>
    <w:rsid w:val="00AF73D6"/>
    <w:rsid w:val="00AF755D"/>
    <w:rsid w:val="00AF7704"/>
    <w:rsid w:val="00AF7729"/>
    <w:rsid w:val="00AF773E"/>
    <w:rsid w:val="00AF7DAB"/>
    <w:rsid w:val="00B000D3"/>
    <w:rsid w:val="00B00588"/>
    <w:rsid w:val="00B00DA7"/>
    <w:rsid w:val="00B00EA2"/>
    <w:rsid w:val="00B0177E"/>
    <w:rsid w:val="00B018C7"/>
    <w:rsid w:val="00B01DB0"/>
    <w:rsid w:val="00B0208E"/>
    <w:rsid w:val="00B020D6"/>
    <w:rsid w:val="00B02143"/>
    <w:rsid w:val="00B0217F"/>
    <w:rsid w:val="00B02182"/>
    <w:rsid w:val="00B025FF"/>
    <w:rsid w:val="00B02BD9"/>
    <w:rsid w:val="00B02EA1"/>
    <w:rsid w:val="00B03131"/>
    <w:rsid w:val="00B031DF"/>
    <w:rsid w:val="00B031FD"/>
    <w:rsid w:val="00B03207"/>
    <w:rsid w:val="00B03B5A"/>
    <w:rsid w:val="00B03DE8"/>
    <w:rsid w:val="00B0475F"/>
    <w:rsid w:val="00B04AF0"/>
    <w:rsid w:val="00B04F42"/>
    <w:rsid w:val="00B050EB"/>
    <w:rsid w:val="00B053CA"/>
    <w:rsid w:val="00B053D9"/>
    <w:rsid w:val="00B05F4F"/>
    <w:rsid w:val="00B06353"/>
    <w:rsid w:val="00B0635C"/>
    <w:rsid w:val="00B06384"/>
    <w:rsid w:val="00B06671"/>
    <w:rsid w:val="00B0698E"/>
    <w:rsid w:val="00B06E9B"/>
    <w:rsid w:val="00B06EF3"/>
    <w:rsid w:val="00B06F5B"/>
    <w:rsid w:val="00B074C6"/>
    <w:rsid w:val="00B078A1"/>
    <w:rsid w:val="00B07BFC"/>
    <w:rsid w:val="00B07DBD"/>
    <w:rsid w:val="00B103C1"/>
    <w:rsid w:val="00B10540"/>
    <w:rsid w:val="00B10F3E"/>
    <w:rsid w:val="00B110E8"/>
    <w:rsid w:val="00B11820"/>
    <w:rsid w:val="00B11821"/>
    <w:rsid w:val="00B12246"/>
    <w:rsid w:val="00B12307"/>
    <w:rsid w:val="00B12AC7"/>
    <w:rsid w:val="00B12BC0"/>
    <w:rsid w:val="00B12E60"/>
    <w:rsid w:val="00B13825"/>
    <w:rsid w:val="00B13BCA"/>
    <w:rsid w:val="00B13C8E"/>
    <w:rsid w:val="00B1419F"/>
    <w:rsid w:val="00B14912"/>
    <w:rsid w:val="00B14C43"/>
    <w:rsid w:val="00B14DA2"/>
    <w:rsid w:val="00B14E0D"/>
    <w:rsid w:val="00B15061"/>
    <w:rsid w:val="00B150D7"/>
    <w:rsid w:val="00B15267"/>
    <w:rsid w:val="00B1562A"/>
    <w:rsid w:val="00B1576F"/>
    <w:rsid w:val="00B15D6A"/>
    <w:rsid w:val="00B15E21"/>
    <w:rsid w:val="00B16778"/>
    <w:rsid w:val="00B167B4"/>
    <w:rsid w:val="00B17301"/>
    <w:rsid w:val="00B17B26"/>
    <w:rsid w:val="00B2079F"/>
    <w:rsid w:val="00B2085C"/>
    <w:rsid w:val="00B21025"/>
    <w:rsid w:val="00B21400"/>
    <w:rsid w:val="00B219B9"/>
    <w:rsid w:val="00B21E20"/>
    <w:rsid w:val="00B21EE1"/>
    <w:rsid w:val="00B225EA"/>
    <w:rsid w:val="00B228F3"/>
    <w:rsid w:val="00B22E2A"/>
    <w:rsid w:val="00B22E64"/>
    <w:rsid w:val="00B235A7"/>
    <w:rsid w:val="00B23914"/>
    <w:rsid w:val="00B23B8B"/>
    <w:rsid w:val="00B23D5B"/>
    <w:rsid w:val="00B241C5"/>
    <w:rsid w:val="00B24277"/>
    <w:rsid w:val="00B242CF"/>
    <w:rsid w:val="00B243C1"/>
    <w:rsid w:val="00B252E0"/>
    <w:rsid w:val="00B25550"/>
    <w:rsid w:val="00B25AAC"/>
    <w:rsid w:val="00B26622"/>
    <w:rsid w:val="00B268BF"/>
    <w:rsid w:val="00B27261"/>
    <w:rsid w:val="00B2797B"/>
    <w:rsid w:val="00B27C87"/>
    <w:rsid w:val="00B301E7"/>
    <w:rsid w:val="00B30AA8"/>
    <w:rsid w:val="00B30C7E"/>
    <w:rsid w:val="00B30E8B"/>
    <w:rsid w:val="00B31191"/>
    <w:rsid w:val="00B31263"/>
    <w:rsid w:val="00B3165D"/>
    <w:rsid w:val="00B318A9"/>
    <w:rsid w:val="00B3190C"/>
    <w:rsid w:val="00B31A6B"/>
    <w:rsid w:val="00B31AB8"/>
    <w:rsid w:val="00B325BE"/>
    <w:rsid w:val="00B32B4D"/>
    <w:rsid w:val="00B32B85"/>
    <w:rsid w:val="00B32D55"/>
    <w:rsid w:val="00B338CE"/>
    <w:rsid w:val="00B338E3"/>
    <w:rsid w:val="00B339CD"/>
    <w:rsid w:val="00B34070"/>
    <w:rsid w:val="00B34825"/>
    <w:rsid w:val="00B348B8"/>
    <w:rsid w:val="00B34C28"/>
    <w:rsid w:val="00B34E93"/>
    <w:rsid w:val="00B35C9F"/>
    <w:rsid w:val="00B35DA9"/>
    <w:rsid w:val="00B35E56"/>
    <w:rsid w:val="00B35F06"/>
    <w:rsid w:val="00B36434"/>
    <w:rsid w:val="00B36828"/>
    <w:rsid w:val="00B36B28"/>
    <w:rsid w:val="00B36B3D"/>
    <w:rsid w:val="00B372A8"/>
    <w:rsid w:val="00B374B0"/>
    <w:rsid w:val="00B3792E"/>
    <w:rsid w:val="00B37977"/>
    <w:rsid w:val="00B379D2"/>
    <w:rsid w:val="00B37E3F"/>
    <w:rsid w:val="00B40023"/>
    <w:rsid w:val="00B40045"/>
    <w:rsid w:val="00B40088"/>
    <w:rsid w:val="00B40381"/>
    <w:rsid w:val="00B40414"/>
    <w:rsid w:val="00B40540"/>
    <w:rsid w:val="00B406DE"/>
    <w:rsid w:val="00B4077C"/>
    <w:rsid w:val="00B40B3E"/>
    <w:rsid w:val="00B412E4"/>
    <w:rsid w:val="00B4160A"/>
    <w:rsid w:val="00B41968"/>
    <w:rsid w:val="00B41E00"/>
    <w:rsid w:val="00B42030"/>
    <w:rsid w:val="00B423BB"/>
    <w:rsid w:val="00B42899"/>
    <w:rsid w:val="00B44189"/>
    <w:rsid w:val="00B4423C"/>
    <w:rsid w:val="00B4457A"/>
    <w:rsid w:val="00B44776"/>
    <w:rsid w:val="00B447BC"/>
    <w:rsid w:val="00B44AA9"/>
    <w:rsid w:val="00B44B8B"/>
    <w:rsid w:val="00B44FA7"/>
    <w:rsid w:val="00B459C0"/>
    <w:rsid w:val="00B45CE3"/>
    <w:rsid w:val="00B45E53"/>
    <w:rsid w:val="00B45ED9"/>
    <w:rsid w:val="00B46736"/>
    <w:rsid w:val="00B47123"/>
    <w:rsid w:val="00B47AA6"/>
    <w:rsid w:val="00B47E16"/>
    <w:rsid w:val="00B47E3B"/>
    <w:rsid w:val="00B47F80"/>
    <w:rsid w:val="00B50021"/>
    <w:rsid w:val="00B5021F"/>
    <w:rsid w:val="00B5084F"/>
    <w:rsid w:val="00B50870"/>
    <w:rsid w:val="00B508B5"/>
    <w:rsid w:val="00B50D65"/>
    <w:rsid w:val="00B516D7"/>
    <w:rsid w:val="00B51B55"/>
    <w:rsid w:val="00B51B5B"/>
    <w:rsid w:val="00B52EEB"/>
    <w:rsid w:val="00B52F94"/>
    <w:rsid w:val="00B5370F"/>
    <w:rsid w:val="00B53DE3"/>
    <w:rsid w:val="00B550A3"/>
    <w:rsid w:val="00B5554A"/>
    <w:rsid w:val="00B555AC"/>
    <w:rsid w:val="00B55B7D"/>
    <w:rsid w:val="00B561E3"/>
    <w:rsid w:val="00B5622A"/>
    <w:rsid w:val="00B56993"/>
    <w:rsid w:val="00B57283"/>
    <w:rsid w:val="00B57A46"/>
    <w:rsid w:val="00B57DA8"/>
    <w:rsid w:val="00B57FAB"/>
    <w:rsid w:val="00B603A3"/>
    <w:rsid w:val="00B608B2"/>
    <w:rsid w:val="00B608FA"/>
    <w:rsid w:val="00B611D4"/>
    <w:rsid w:val="00B61328"/>
    <w:rsid w:val="00B613AB"/>
    <w:rsid w:val="00B6145E"/>
    <w:rsid w:val="00B61A66"/>
    <w:rsid w:val="00B61E7E"/>
    <w:rsid w:val="00B62293"/>
    <w:rsid w:val="00B62C58"/>
    <w:rsid w:val="00B62CB8"/>
    <w:rsid w:val="00B63132"/>
    <w:rsid w:val="00B632E0"/>
    <w:rsid w:val="00B634EE"/>
    <w:rsid w:val="00B63A4C"/>
    <w:rsid w:val="00B63C48"/>
    <w:rsid w:val="00B63D07"/>
    <w:rsid w:val="00B63F58"/>
    <w:rsid w:val="00B64106"/>
    <w:rsid w:val="00B6489F"/>
    <w:rsid w:val="00B64934"/>
    <w:rsid w:val="00B64E7D"/>
    <w:rsid w:val="00B65219"/>
    <w:rsid w:val="00B6521E"/>
    <w:rsid w:val="00B653F6"/>
    <w:rsid w:val="00B654FC"/>
    <w:rsid w:val="00B6552B"/>
    <w:rsid w:val="00B6582A"/>
    <w:rsid w:val="00B65851"/>
    <w:rsid w:val="00B65ADF"/>
    <w:rsid w:val="00B662D3"/>
    <w:rsid w:val="00B66532"/>
    <w:rsid w:val="00B6664E"/>
    <w:rsid w:val="00B66ED4"/>
    <w:rsid w:val="00B66F7F"/>
    <w:rsid w:val="00B67412"/>
    <w:rsid w:val="00B67848"/>
    <w:rsid w:val="00B6793F"/>
    <w:rsid w:val="00B700E5"/>
    <w:rsid w:val="00B70283"/>
    <w:rsid w:val="00B71340"/>
    <w:rsid w:val="00B71516"/>
    <w:rsid w:val="00B71AB4"/>
    <w:rsid w:val="00B71B37"/>
    <w:rsid w:val="00B71CF5"/>
    <w:rsid w:val="00B71D9D"/>
    <w:rsid w:val="00B71DD1"/>
    <w:rsid w:val="00B71F8F"/>
    <w:rsid w:val="00B7237A"/>
    <w:rsid w:val="00B726D7"/>
    <w:rsid w:val="00B72B92"/>
    <w:rsid w:val="00B72BE5"/>
    <w:rsid w:val="00B72E50"/>
    <w:rsid w:val="00B72E75"/>
    <w:rsid w:val="00B72F62"/>
    <w:rsid w:val="00B731A3"/>
    <w:rsid w:val="00B7341E"/>
    <w:rsid w:val="00B734BE"/>
    <w:rsid w:val="00B73BF9"/>
    <w:rsid w:val="00B73D0F"/>
    <w:rsid w:val="00B74DE4"/>
    <w:rsid w:val="00B74F3A"/>
    <w:rsid w:val="00B74F7D"/>
    <w:rsid w:val="00B7537B"/>
    <w:rsid w:val="00B75447"/>
    <w:rsid w:val="00B759DA"/>
    <w:rsid w:val="00B75D83"/>
    <w:rsid w:val="00B7697E"/>
    <w:rsid w:val="00B770DA"/>
    <w:rsid w:val="00B7720A"/>
    <w:rsid w:val="00B773F5"/>
    <w:rsid w:val="00B803E9"/>
    <w:rsid w:val="00B805B0"/>
    <w:rsid w:val="00B80862"/>
    <w:rsid w:val="00B80E9D"/>
    <w:rsid w:val="00B80F15"/>
    <w:rsid w:val="00B80F94"/>
    <w:rsid w:val="00B810CE"/>
    <w:rsid w:val="00B8123E"/>
    <w:rsid w:val="00B81ABE"/>
    <w:rsid w:val="00B8206D"/>
    <w:rsid w:val="00B8225A"/>
    <w:rsid w:val="00B828A3"/>
    <w:rsid w:val="00B8302C"/>
    <w:rsid w:val="00B83310"/>
    <w:rsid w:val="00B8356A"/>
    <w:rsid w:val="00B83684"/>
    <w:rsid w:val="00B83E16"/>
    <w:rsid w:val="00B842D7"/>
    <w:rsid w:val="00B84AC2"/>
    <w:rsid w:val="00B84D82"/>
    <w:rsid w:val="00B84E7F"/>
    <w:rsid w:val="00B84F10"/>
    <w:rsid w:val="00B851BE"/>
    <w:rsid w:val="00B8557B"/>
    <w:rsid w:val="00B855F5"/>
    <w:rsid w:val="00B85748"/>
    <w:rsid w:val="00B85D8D"/>
    <w:rsid w:val="00B8685E"/>
    <w:rsid w:val="00B869A4"/>
    <w:rsid w:val="00B869E9"/>
    <w:rsid w:val="00B86D11"/>
    <w:rsid w:val="00B86F95"/>
    <w:rsid w:val="00B87021"/>
    <w:rsid w:val="00B8736D"/>
    <w:rsid w:val="00B874EF"/>
    <w:rsid w:val="00B87684"/>
    <w:rsid w:val="00B876D9"/>
    <w:rsid w:val="00B8798D"/>
    <w:rsid w:val="00B87A82"/>
    <w:rsid w:val="00B90BDF"/>
    <w:rsid w:val="00B913CB"/>
    <w:rsid w:val="00B916B2"/>
    <w:rsid w:val="00B917E7"/>
    <w:rsid w:val="00B91F0C"/>
    <w:rsid w:val="00B91FEF"/>
    <w:rsid w:val="00B92249"/>
    <w:rsid w:val="00B929E6"/>
    <w:rsid w:val="00B92AA9"/>
    <w:rsid w:val="00B92B76"/>
    <w:rsid w:val="00B92BE9"/>
    <w:rsid w:val="00B92BF2"/>
    <w:rsid w:val="00B92D04"/>
    <w:rsid w:val="00B92FA2"/>
    <w:rsid w:val="00B9332B"/>
    <w:rsid w:val="00B93341"/>
    <w:rsid w:val="00B93360"/>
    <w:rsid w:val="00B933DF"/>
    <w:rsid w:val="00B93631"/>
    <w:rsid w:val="00B93FAE"/>
    <w:rsid w:val="00B94592"/>
    <w:rsid w:val="00B94D5A"/>
    <w:rsid w:val="00B94E83"/>
    <w:rsid w:val="00B95154"/>
    <w:rsid w:val="00B9526D"/>
    <w:rsid w:val="00B955AC"/>
    <w:rsid w:val="00B957F1"/>
    <w:rsid w:val="00B95976"/>
    <w:rsid w:val="00B95B91"/>
    <w:rsid w:val="00B95BCC"/>
    <w:rsid w:val="00B95BE7"/>
    <w:rsid w:val="00B96CA3"/>
    <w:rsid w:val="00B974BD"/>
    <w:rsid w:val="00B97CAA"/>
    <w:rsid w:val="00BA0869"/>
    <w:rsid w:val="00BA0E6A"/>
    <w:rsid w:val="00BA146D"/>
    <w:rsid w:val="00BA1596"/>
    <w:rsid w:val="00BA1865"/>
    <w:rsid w:val="00BA1913"/>
    <w:rsid w:val="00BA1C27"/>
    <w:rsid w:val="00BA1E7A"/>
    <w:rsid w:val="00BA210F"/>
    <w:rsid w:val="00BA2193"/>
    <w:rsid w:val="00BA2931"/>
    <w:rsid w:val="00BA29E3"/>
    <w:rsid w:val="00BA2B04"/>
    <w:rsid w:val="00BA2DF3"/>
    <w:rsid w:val="00BA36E0"/>
    <w:rsid w:val="00BA384C"/>
    <w:rsid w:val="00BA3CBD"/>
    <w:rsid w:val="00BA3F26"/>
    <w:rsid w:val="00BA455A"/>
    <w:rsid w:val="00BA497F"/>
    <w:rsid w:val="00BA4D9E"/>
    <w:rsid w:val="00BA5609"/>
    <w:rsid w:val="00BA66DA"/>
    <w:rsid w:val="00BA712E"/>
    <w:rsid w:val="00BA77C5"/>
    <w:rsid w:val="00BA7D07"/>
    <w:rsid w:val="00BA7DE1"/>
    <w:rsid w:val="00BB0212"/>
    <w:rsid w:val="00BB03BD"/>
    <w:rsid w:val="00BB091F"/>
    <w:rsid w:val="00BB0CAC"/>
    <w:rsid w:val="00BB11A0"/>
    <w:rsid w:val="00BB1257"/>
    <w:rsid w:val="00BB14D7"/>
    <w:rsid w:val="00BB1B3A"/>
    <w:rsid w:val="00BB1C88"/>
    <w:rsid w:val="00BB23F8"/>
    <w:rsid w:val="00BB274E"/>
    <w:rsid w:val="00BB2F62"/>
    <w:rsid w:val="00BB312B"/>
    <w:rsid w:val="00BB3190"/>
    <w:rsid w:val="00BB44EF"/>
    <w:rsid w:val="00BB4804"/>
    <w:rsid w:val="00BB4F09"/>
    <w:rsid w:val="00BB5796"/>
    <w:rsid w:val="00BB585E"/>
    <w:rsid w:val="00BB5C81"/>
    <w:rsid w:val="00BB6520"/>
    <w:rsid w:val="00BB6BD2"/>
    <w:rsid w:val="00BB6D66"/>
    <w:rsid w:val="00BB76D7"/>
    <w:rsid w:val="00BB7DA9"/>
    <w:rsid w:val="00BC03AA"/>
    <w:rsid w:val="00BC07C3"/>
    <w:rsid w:val="00BC07ED"/>
    <w:rsid w:val="00BC0A9B"/>
    <w:rsid w:val="00BC17DE"/>
    <w:rsid w:val="00BC18DE"/>
    <w:rsid w:val="00BC23AB"/>
    <w:rsid w:val="00BC2AC7"/>
    <w:rsid w:val="00BC2B8F"/>
    <w:rsid w:val="00BC2C3A"/>
    <w:rsid w:val="00BC2EC4"/>
    <w:rsid w:val="00BC309C"/>
    <w:rsid w:val="00BC3137"/>
    <w:rsid w:val="00BC3276"/>
    <w:rsid w:val="00BC355A"/>
    <w:rsid w:val="00BC3A16"/>
    <w:rsid w:val="00BC3A32"/>
    <w:rsid w:val="00BC4345"/>
    <w:rsid w:val="00BC4435"/>
    <w:rsid w:val="00BC4B70"/>
    <w:rsid w:val="00BC4BCA"/>
    <w:rsid w:val="00BC4EC9"/>
    <w:rsid w:val="00BC4FDB"/>
    <w:rsid w:val="00BC53B9"/>
    <w:rsid w:val="00BC5405"/>
    <w:rsid w:val="00BC55F7"/>
    <w:rsid w:val="00BC6276"/>
    <w:rsid w:val="00BC62CF"/>
    <w:rsid w:val="00BC67C5"/>
    <w:rsid w:val="00BC6A7A"/>
    <w:rsid w:val="00BC6B1A"/>
    <w:rsid w:val="00BC7077"/>
    <w:rsid w:val="00BC750C"/>
    <w:rsid w:val="00BC7556"/>
    <w:rsid w:val="00BC7677"/>
    <w:rsid w:val="00BC79CD"/>
    <w:rsid w:val="00BC7D0D"/>
    <w:rsid w:val="00BC7E46"/>
    <w:rsid w:val="00BD05D4"/>
    <w:rsid w:val="00BD05F6"/>
    <w:rsid w:val="00BD0FD7"/>
    <w:rsid w:val="00BD0FE6"/>
    <w:rsid w:val="00BD12F9"/>
    <w:rsid w:val="00BD14C2"/>
    <w:rsid w:val="00BD174E"/>
    <w:rsid w:val="00BD19F7"/>
    <w:rsid w:val="00BD290A"/>
    <w:rsid w:val="00BD2A05"/>
    <w:rsid w:val="00BD2B82"/>
    <w:rsid w:val="00BD3149"/>
    <w:rsid w:val="00BD33FA"/>
    <w:rsid w:val="00BD349E"/>
    <w:rsid w:val="00BD3796"/>
    <w:rsid w:val="00BD39E1"/>
    <w:rsid w:val="00BD3B7C"/>
    <w:rsid w:val="00BD3CB1"/>
    <w:rsid w:val="00BD3F34"/>
    <w:rsid w:val="00BD4192"/>
    <w:rsid w:val="00BD442F"/>
    <w:rsid w:val="00BD455C"/>
    <w:rsid w:val="00BD46F7"/>
    <w:rsid w:val="00BD4F2E"/>
    <w:rsid w:val="00BD51C1"/>
    <w:rsid w:val="00BD54E6"/>
    <w:rsid w:val="00BD5582"/>
    <w:rsid w:val="00BD6497"/>
    <w:rsid w:val="00BD6753"/>
    <w:rsid w:val="00BD6AA6"/>
    <w:rsid w:val="00BD6FD3"/>
    <w:rsid w:val="00BD7196"/>
    <w:rsid w:val="00BD77FA"/>
    <w:rsid w:val="00BD79E4"/>
    <w:rsid w:val="00BE02A2"/>
    <w:rsid w:val="00BE0444"/>
    <w:rsid w:val="00BE0822"/>
    <w:rsid w:val="00BE0D23"/>
    <w:rsid w:val="00BE1587"/>
    <w:rsid w:val="00BE1B9C"/>
    <w:rsid w:val="00BE1C6D"/>
    <w:rsid w:val="00BE1CF0"/>
    <w:rsid w:val="00BE1D90"/>
    <w:rsid w:val="00BE226E"/>
    <w:rsid w:val="00BE285B"/>
    <w:rsid w:val="00BE2AF6"/>
    <w:rsid w:val="00BE2E31"/>
    <w:rsid w:val="00BE2FBF"/>
    <w:rsid w:val="00BE3102"/>
    <w:rsid w:val="00BE350E"/>
    <w:rsid w:val="00BE3A12"/>
    <w:rsid w:val="00BE3E58"/>
    <w:rsid w:val="00BE408C"/>
    <w:rsid w:val="00BE457E"/>
    <w:rsid w:val="00BE4894"/>
    <w:rsid w:val="00BE4EC2"/>
    <w:rsid w:val="00BE5319"/>
    <w:rsid w:val="00BE5799"/>
    <w:rsid w:val="00BE5A07"/>
    <w:rsid w:val="00BE5A7E"/>
    <w:rsid w:val="00BE5ECB"/>
    <w:rsid w:val="00BE63D2"/>
    <w:rsid w:val="00BE665D"/>
    <w:rsid w:val="00BE66E0"/>
    <w:rsid w:val="00BE6AA1"/>
    <w:rsid w:val="00BE6F23"/>
    <w:rsid w:val="00BE7091"/>
    <w:rsid w:val="00BE719F"/>
    <w:rsid w:val="00BE7673"/>
    <w:rsid w:val="00BE79C7"/>
    <w:rsid w:val="00BE7A6A"/>
    <w:rsid w:val="00BE7C9C"/>
    <w:rsid w:val="00BE7EC5"/>
    <w:rsid w:val="00BE7F19"/>
    <w:rsid w:val="00BF0297"/>
    <w:rsid w:val="00BF0703"/>
    <w:rsid w:val="00BF085F"/>
    <w:rsid w:val="00BF0ED4"/>
    <w:rsid w:val="00BF1966"/>
    <w:rsid w:val="00BF1A02"/>
    <w:rsid w:val="00BF1A64"/>
    <w:rsid w:val="00BF1C74"/>
    <w:rsid w:val="00BF2382"/>
    <w:rsid w:val="00BF23E5"/>
    <w:rsid w:val="00BF2CB3"/>
    <w:rsid w:val="00BF32DE"/>
    <w:rsid w:val="00BF34CD"/>
    <w:rsid w:val="00BF359B"/>
    <w:rsid w:val="00BF3936"/>
    <w:rsid w:val="00BF3C55"/>
    <w:rsid w:val="00BF3ECA"/>
    <w:rsid w:val="00BF49A1"/>
    <w:rsid w:val="00BF4D32"/>
    <w:rsid w:val="00BF4FDA"/>
    <w:rsid w:val="00BF51C5"/>
    <w:rsid w:val="00BF5396"/>
    <w:rsid w:val="00BF5E5D"/>
    <w:rsid w:val="00BF6038"/>
    <w:rsid w:val="00BF686B"/>
    <w:rsid w:val="00BF690D"/>
    <w:rsid w:val="00BF69D8"/>
    <w:rsid w:val="00BF69F8"/>
    <w:rsid w:val="00BF726B"/>
    <w:rsid w:val="00BF74A3"/>
    <w:rsid w:val="00BF74E4"/>
    <w:rsid w:val="00BF75F5"/>
    <w:rsid w:val="00BF7816"/>
    <w:rsid w:val="00BF7892"/>
    <w:rsid w:val="00BF78E4"/>
    <w:rsid w:val="00BF7A5B"/>
    <w:rsid w:val="00BF7B80"/>
    <w:rsid w:val="00C00AA8"/>
    <w:rsid w:val="00C010E8"/>
    <w:rsid w:val="00C010F5"/>
    <w:rsid w:val="00C01120"/>
    <w:rsid w:val="00C017C2"/>
    <w:rsid w:val="00C02D9C"/>
    <w:rsid w:val="00C033B6"/>
    <w:rsid w:val="00C034F8"/>
    <w:rsid w:val="00C0360B"/>
    <w:rsid w:val="00C037EE"/>
    <w:rsid w:val="00C03844"/>
    <w:rsid w:val="00C03888"/>
    <w:rsid w:val="00C038FF"/>
    <w:rsid w:val="00C03B8E"/>
    <w:rsid w:val="00C03BD4"/>
    <w:rsid w:val="00C03D2D"/>
    <w:rsid w:val="00C03D80"/>
    <w:rsid w:val="00C04477"/>
    <w:rsid w:val="00C046B1"/>
    <w:rsid w:val="00C048AD"/>
    <w:rsid w:val="00C04973"/>
    <w:rsid w:val="00C04A89"/>
    <w:rsid w:val="00C04BE9"/>
    <w:rsid w:val="00C05075"/>
    <w:rsid w:val="00C05253"/>
    <w:rsid w:val="00C0577C"/>
    <w:rsid w:val="00C05CCE"/>
    <w:rsid w:val="00C06243"/>
    <w:rsid w:val="00C062EA"/>
    <w:rsid w:val="00C06ED5"/>
    <w:rsid w:val="00C06ED6"/>
    <w:rsid w:val="00C07D7D"/>
    <w:rsid w:val="00C07EA5"/>
    <w:rsid w:val="00C07FEE"/>
    <w:rsid w:val="00C10214"/>
    <w:rsid w:val="00C1047A"/>
    <w:rsid w:val="00C104F1"/>
    <w:rsid w:val="00C10943"/>
    <w:rsid w:val="00C10DED"/>
    <w:rsid w:val="00C10F2F"/>
    <w:rsid w:val="00C10FEB"/>
    <w:rsid w:val="00C113CB"/>
    <w:rsid w:val="00C11429"/>
    <w:rsid w:val="00C11496"/>
    <w:rsid w:val="00C1186A"/>
    <w:rsid w:val="00C11DBF"/>
    <w:rsid w:val="00C12258"/>
    <w:rsid w:val="00C137F6"/>
    <w:rsid w:val="00C14B42"/>
    <w:rsid w:val="00C14EF1"/>
    <w:rsid w:val="00C14FDE"/>
    <w:rsid w:val="00C14FEF"/>
    <w:rsid w:val="00C1523F"/>
    <w:rsid w:val="00C152BB"/>
    <w:rsid w:val="00C154ED"/>
    <w:rsid w:val="00C155AF"/>
    <w:rsid w:val="00C156B1"/>
    <w:rsid w:val="00C156E2"/>
    <w:rsid w:val="00C15A47"/>
    <w:rsid w:val="00C15E77"/>
    <w:rsid w:val="00C163F2"/>
    <w:rsid w:val="00C168D0"/>
    <w:rsid w:val="00C169B9"/>
    <w:rsid w:val="00C16B35"/>
    <w:rsid w:val="00C1797C"/>
    <w:rsid w:val="00C201C3"/>
    <w:rsid w:val="00C20642"/>
    <w:rsid w:val="00C20D80"/>
    <w:rsid w:val="00C210F7"/>
    <w:rsid w:val="00C21310"/>
    <w:rsid w:val="00C215CD"/>
    <w:rsid w:val="00C21CAC"/>
    <w:rsid w:val="00C2302E"/>
    <w:rsid w:val="00C2352A"/>
    <w:rsid w:val="00C23DB7"/>
    <w:rsid w:val="00C23EC1"/>
    <w:rsid w:val="00C24462"/>
    <w:rsid w:val="00C24ED2"/>
    <w:rsid w:val="00C252B9"/>
    <w:rsid w:val="00C2541B"/>
    <w:rsid w:val="00C259B5"/>
    <w:rsid w:val="00C25BAD"/>
    <w:rsid w:val="00C25D02"/>
    <w:rsid w:val="00C269BA"/>
    <w:rsid w:val="00C26CD0"/>
    <w:rsid w:val="00C272AC"/>
    <w:rsid w:val="00C2739D"/>
    <w:rsid w:val="00C276D6"/>
    <w:rsid w:val="00C27988"/>
    <w:rsid w:val="00C27C61"/>
    <w:rsid w:val="00C27DEB"/>
    <w:rsid w:val="00C307A5"/>
    <w:rsid w:val="00C30873"/>
    <w:rsid w:val="00C30FA3"/>
    <w:rsid w:val="00C3151F"/>
    <w:rsid w:val="00C31B24"/>
    <w:rsid w:val="00C31FCD"/>
    <w:rsid w:val="00C31FEB"/>
    <w:rsid w:val="00C326EC"/>
    <w:rsid w:val="00C32A9A"/>
    <w:rsid w:val="00C32C76"/>
    <w:rsid w:val="00C32F80"/>
    <w:rsid w:val="00C332C0"/>
    <w:rsid w:val="00C333EE"/>
    <w:rsid w:val="00C3362F"/>
    <w:rsid w:val="00C33651"/>
    <w:rsid w:val="00C3366C"/>
    <w:rsid w:val="00C3386E"/>
    <w:rsid w:val="00C33886"/>
    <w:rsid w:val="00C33BF4"/>
    <w:rsid w:val="00C33F32"/>
    <w:rsid w:val="00C348A9"/>
    <w:rsid w:val="00C348C2"/>
    <w:rsid w:val="00C34CF8"/>
    <w:rsid w:val="00C352B9"/>
    <w:rsid w:val="00C35366"/>
    <w:rsid w:val="00C35494"/>
    <w:rsid w:val="00C35667"/>
    <w:rsid w:val="00C35A89"/>
    <w:rsid w:val="00C35BB9"/>
    <w:rsid w:val="00C360C4"/>
    <w:rsid w:val="00C36214"/>
    <w:rsid w:val="00C36343"/>
    <w:rsid w:val="00C36882"/>
    <w:rsid w:val="00C370C4"/>
    <w:rsid w:val="00C372F8"/>
    <w:rsid w:val="00C37352"/>
    <w:rsid w:val="00C40337"/>
    <w:rsid w:val="00C404A9"/>
    <w:rsid w:val="00C407DC"/>
    <w:rsid w:val="00C40843"/>
    <w:rsid w:val="00C4169E"/>
    <w:rsid w:val="00C416D4"/>
    <w:rsid w:val="00C4195A"/>
    <w:rsid w:val="00C425E7"/>
    <w:rsid w:val="00C426A1"/>
    <w:rsid w:val="00C42749"/>
    <w:rsid w:val="00C42C1B"/>
    <w:rsid w:val="00C42D8E"/>
    <w:rsid w:val="00C42F3F"/>
    <w:rsid w:val="00C43220"/>
    <w:rsid w:val="00C438A1"/>
    <w:rsid w:val="00C438CA"/>
    <w:rsid w:val="00C43B42"/>
    <w:rsid w:val="00C43B5F"/>
    <w:rsid w:val="00C43C81"/>
    <w:rsid w:val="00C440F7"/>
    <w:rsid w:val="00C443D9"/>
    <w:rsid w:val="00C444D6"/>
    <w:rsid w:val="00C44E67"/>
    <w:rsid w:val="00C44E85"/>
    <w:rsid w:val="00C44F20"/>
    <w:rsid w:val="00C456FF"/>
    <w:rsid w:val="00C45786"/>
    <w:rsid w:val="00C4582A"/>
    <w:rsid w:val="00C458F4"/>
    <w:rsid w:val="00C462BB"/>
    <w:rsid w:val="00C46B66"/>
    <w:rsid w:val="00C470E2"/>
    <w:rsid w:val="00C47F00"/>
    <w:rsid w:val="00C501C1"/>
    <w:rsid w:val="00C50202"/>
    <w:rsid w:val="00C50276"/>
    <w:rsid w:val="00C50351"/>
    <w:rsid w:val="00C509A7"/>
    <w:rsid w:val="00C50BC1"/>
    <w:rsid w:val="00C51B56"/>
    <w:rsid w:val="00C51C9B"/>
    <w:rsid w:val="00C51EBE"/>
    <w:rsid w:val="00C520D1"/>
    <w:rsid w:val="00C521F4"/>
    <w:rsid w:val="00C522A1"/>
    <w:rsid w:val="00C5239D"/>
    <w:rsid w:val="00C52AF4"/>
    <w:rsid w:val="00C52C92"/>
    <w:rsid w:val="00C52FBF"/>
    <w:rsid w:val="00C53924"/>
    <w:rsid w:val="00C53A26"/>
    <w:rsid w:val="00C53C81"/>
    <w:rsid w:val="00C54254"/>
    <w:rsid w:val="00C54333"/>
    <w:rsid w:val="00C543E9"/>
    <w:rsid w:val="00C5444A"/>
    <w:rsid w:val="00C549DF"/>
    <w:rsid w:val="00C562DE"/>
    <w:rsid w:val="00C5665D"/>
    <w:rsid w:val="00C56AA9"/>
    <w:rsid w:val="00C57163"/>
    <w:rsid w:val="00C57168"/>
    <w:rsid w:val="00C5738F"/>
    <w:rsid w:val="00C57C4A"/>
    <w:rsid w:val="00C57DA7"/>
    <w:rsid w:val="00C60170"/>
    <w:rsid w:val="00C60305"/>
    <w:rsid w:val="00C60460"/>
    <w:rsid w:val="00C60530"/>
    <w:rsid w:val="00C60722"/>
    <w:rsid w:val="00C609E3"/>
    <w:rsid w:val="00C609F2"/>
    <w:rsid w:val="00C60A5B"/>
    <w:rsid w:val="00C60ABA"/>
    <w:rsid w:val="00C60EE1"/>
    <w:rsid w:val="00C60F64"/>
    <w:rsid w:val="00C61878"/>
    <w:rsid w:val="00C61BCD"/>
    <w:rsid w:val="00C6200F"/>
    <w:rsid w:val="00C621CE"/>
    <w:rsid w:val="00C6222B"/>
    <w:rsid w:val="00C626BF"/>
    <w:rsid w:val="00C63432"/>
    <w:rsid w:val="00C636D6"/>
    <w:rsid w:val="00C637D1"/>
    <w:rsid w:val="00C638E8"/>
    <w:rsid w:val="00C63EF4"/>
    <w:rsid w:val="00C6403F"/>
    <w:rsid w:val="00C640EB"/>
    <w:rsid w:val="00C64661"/>
    <w:rsid w:val="00C64F38"/>
    <w:rsid w:val="00C64F57"/>
    <w:rsid w:val="00C657E4"/>
    <w:rsid w:val="00C65D94"/>
    <w:rsid w:val="00C66031"/>
    <w:rsid w:val="00C6653C"/>
    <w:rsid w:val="00C6672E"/>
    <w:rsid w:val="00C66A4F"/>
    <w:rsid w:val="00C66E5C"/>
    <w:rsid w:val="00C67373"/>
    <w:rsid w:val="00C675D1"/>
    <w:rsid w:val="00C67869"/>
    <w:rsid w:val="00C67A35"/>
    <w:rsid w:val="00C702C0"/>
    <w:rsid w:val="00C70657"/>
    <w:rsid w:val="00C70913"/>
    <w:rsid w:val="00C71151"/>
    <w:rsid w:val="00C719D7"/>
    <w:rsid w:val="00C722C3"/>
    <w:rsid w:val="00C728A6"/>
    <w:rsid w:val="00C72D28"/>
    <w:rsid w:val="00C72F9A"/>
    <w:rsid w:val="00C733B2"/>
    <w:rsid w:val="00C735D4"/>
    <w:rsid w:val="00C73677"/>
    <w:rsid w:val="00C73C22"/>
    <w:rsid w:val="00C741AD"/>
    <w:rsid w:val="00C756FE"/>
    <w:rsid w:val="00C75856"/>
    <w:rsid w:val="00C7592F"/>
    <w:rsid w:val="00C75F35"/>
    <w:rsid w:val="00C75F46"/>
    <w:rsid w:val="00C760CD"/>
    <w:rsid w:val="00C766F9"/>
    <w:rsid w:val="00C7699F"/>
    <w:rsid w:val="00C76AF1"/>
    <w:rsid w:val="00C7761B"/>
    <w:rsid w:val="00C77639"/>
    <w:rsid w:val="00C777AE"/>
    <w:rsid w:val="00C77A8B"/>
    <w:rsid w:val="00C77D91"/>
    <w:rsid w:val="00C80562"/>
    <w:rsid w:val="00C805E9"/>
    <w:rsid w:val="00C808C6"/>
    <w:rsid w:val="00C80A98"/>
    <w:rsid w:val="00C80BF1"/>
    <w:rsid w:val="00C80F67"/>
    <w:rsid w:val="00C812D5"/>
    <w:rsid w:val="00C815AA"/>
    <w:rsid w:val="00C815AB"/>
    <w:rsid w:val="00C81EEF"/>
    <w:rsid w:val="00C82E5B"/>
    <w:rsid w:val="00C83048"/>
    <w:rsid w:val="00C83242"/>
    <w:rsid w:val="00C841D5"/>
    <w:rsid w:val="00C84A58"/>
    <w:rsid w:val="00C851D8"/>
    <w:rsid w:val="00C8550C"/>
    <w:rsid w:val="00C85514"/>
    <w:rsid w:val="00C85811"/>
    <w:rsid w:val="00C858C9"/>
    <w:rsid w:val="00C8596D"/>
    <w:rsid w:val="00C85FCF"/>
    <w:rsid w:val="00C86183"/>
    <w:rsid w:val="00C861A8"/>
    <w:rsid w:val="00C86305"/>
    <w:rsid w:val="00C864D5"/>
    <w:rsid w:val="00C865C2"/>
    <w:rsid w:val="00C869FC"/>
    <w:rsid w:val="00C86EA4"/>
    <w:rsid w:val="00C87044"/>
    <w:rsid w:val="00C87466"/>
    <w:rsid w:val="00C874E9"/>
    <w:rsid w:val="00C90130"/>
    <w:rsid w:val="00C905ED"/>
    <w:rsid w:val="00C90DA8"/>
    <w:rsid w:val="00C90E64"/>
    <w:rsid w:val="00C91189"/>
    <w:rsid w:val="00C91526"/>
    <w:rsid w:val="00C915ED"/>
    <w:rsid w:val="00C9163A"/>
    <w:rsid w:val="00C91AE5"/>
    <w:rsid w:val="00C91C3E"/>
    <w:rsid w:val="00C91ED4"/>
    <w:rsid w:val="00C92762"/>
    <w:rsid w:val="00C92A42"/>
    <w:rsid w:val="00C92DA1"/>
    <w:rsid w:val="00C93024"/>
    <w:rsid w:val="00C935AF"/>
    <w:rsid w:val="00C937B6"/>
    <w:rsid w:val="00C93F2B"/>
    <w:rsid w:val="00C94319"/>
    <w:rsid w:val="00C944A9"/>
    <w:rsid w:val="00C945C5"/>
    <w:rsid w:val="00C9552F"/>
    <w:rsid w:val="00C95794"/>
    <w:rsid w:val="00C958CE"/>
    <w:rsid w:val="00C95904"/>
    <w:rsid w:val="00C959C2"/>
    <w:rsid w:val="00C95C17"/>
    <w:rsid w:val="00C96381"/>
    <w:rsid w:val="00C9666D"/>
    <w:rsid w:val="00C96C81"/>
    <w:rsid w:val="00C9722F"/>
    <w:rsid w:val="00C976AE"/>
    <w:rsid w:val="00C976F4"/>
    <w:rsid w:val="00C9784E"/>
    <w:rsid w:val="00C97DB3"/>
    <w:rsid w:val="00CA029E"/>
    <w:rsid w:val="00CA05C1"/>
    <w:rsid w:val="00CA0D15"/>
    <w:rsid w:val="00CA0EC9"/>
    <w:rsid w:val="00CA0F7C"/>
    <w:rsid w:val="00CA1115"/>
    <w:rsid w:val="00CA11BB"/>
    <w:rsid w:val="00CA1373"/>
    <w:rsid w:val="00CA16E1"/>
    <w:rsid w:val="00CA17CF"/>
    <w:rsid w:val="00CA187D"/>
    <w:rsid w:val="00CA1B77"/>
    <w:rsid w:val="00CA233D"/>
    <w:rsid w:val="00CA32AA"/>
    <w:rsid w:val="00CA32C3"/>
    <w:rsid w:val="00CA34D3"/>
    <w:rsid w:val="00CA3664"/>
    <w:rsid w:val="00CA36B8"/>
    <w:rsid w:val="00CA3C15"/>
    <w:rsid w:val="00CA3D31"/>
    <w:rsid w:val="00CA3E86"/>
    <w:rsid w:val="00CA40EA"/>
    <w:rsid w:val="00CA485A"/>
    <w:rsid w:val="00CA5265"/>
    <w:rsid w:val="00CA5558"/>
    <w:rsid w:val="00CA57F7"/>
    <w:rsid w:val="00CA5F06"/>
    <w:rsid w:val="00CA61CC"/>
    <w:rsid w:val="00CA6209"/>
    <w:rsid w:val="00CA6424"/>
    <w:rsid w:val="00CA649F"/>
    <w:rsid w:val="00CA7271"/>
    <w:rsid w:val="00CA76A3"/>
    <w:rsid w:val="00CA79AA"/>
    <w:rsid w:val="00CA7D64"/>
    <w:rsid w:val="00CB0029"/>
    <w:rsid w:val="00CB014E"/>
    <w:rsid w:val="00CB042C"/>
    <w:rsid w:val="00CB0930"/>
    <w:rsid w:val="00CB1041"/>
    <w:rsid w:val="00CB105D"/>
    <w:rsid w:val="00CB14EB"/>
    <w:rsid w:val="00CB1A5B"/>
    <w:rsid w:val="00CB1E30"/>
    <w:rsid w:val="00CB20F6"/>
    <w:rsid w:val="00CB24AC"/>
    <w:rsid w:val="00CB2AD9"/>
    <w:rsid w:val="00CB2DBA"/>
    <w:rsid w:val="00CB2ED4"/>
    <w:rsid w:val="00CB300E"/>
    <w:rsid w:val="00CB30CE"/>
    <w:rsid w:val="00CB360B"/>
    <w:rsid w:val="00CB38EE"/>
    <w:rsid w:val="00CB3979"/>
    <w:rsid w:val="00CB3C27"/>
    <w:rsid w:val="00CB3D52"/>
    <w:rsid w:val="00CB3FC8"/>
    <w:rsid w:val="00CB4038"/>
    <w:rsid w:val="00CB40DD"/>
    <w:rsid w:val="00CB421B"/>
    <w:rsid w:val="00CB4467"/>
    <w:rsid w:val="00CB4874"/>
    <w:rsid w:val="00CB4A62"/>
    <w:rsid w:val="00CB4CDF"/>
    <w:rsid w:val="00CB5091"/>
    <w:rsid w:val="00CB51E7"/>
    <w:rsid w:val="00CB562A"/>
    <w:rsid w:val="00CB5A79"/>
    <w:rsid w:val="00CB5B8E"/>
    <w:rsid w:val="00CB5C05"/>
    <w:rsid w:val="00CB5FC9"/>
    <w:rsid w:val="00CB602C"/>
    <w:rsid w:val="00CB6104"/>
    <w:rsid w:val="00CB6130"/>
    <w:rsid w:val="00CB6269"/>
    <w:rsid w:val="00CB6559"/>
    <w:rsid w:val="00CB6D8B"/>
    <w:rsid w:val="00CB7054"/>
    <w:rsid w:val="00CB754D"/>
    <w:rsid w:val="00CB762C"/>
    <w:rsid w:val="00CB796A"/>
    <w:rsid w:val="00CB79FC"/>
    <w:rsid w:val="00CB7D60"/>
    <w:rsid w:val="00CB7E99"/>
    <w:rsid w:val="00CC0257"/>
    <w:rsid w:val="00CC0357"/>
    <w:rsid w:val="00CC0615"/>
    <w:rsid w:val="00CC07C5"/>
    <w:rsid w:val="00CC07DB"/>
    <w:rsid w:val="00CC0C74"/>
    <w:rsid w:val="00CC1206"/>
    <w:rsid w:val="00CC1D99"/>
    <w:rsid w:val="00CC1ED8"/>
    <w:rsid w:val="00CC20EF"/>
    <w:rsid w:val="00CC25ED"/>
    <w:rsid w:val="00CC279B"/>
    <w:rsid w:val="00CC2A57"/>
    <w:rsid w:val="00CC34D6"/>
    <w:rsid w:val="00CC44A2"/>
    <w:rsid w:val="00CC483E"/>
    <w:rsid w:val="00CC485D"/>
    <w:rsid w:val="00CC4930"/>
    <w:rsid w:val="00CC4D04"/>
    <w:rsid w:val="00CC4DE7"/>
    <w:rsid w:val="00CC51C5"/>
    <w:rsid w:val="00CC536B"/>
    <w:rsid w:val="00CC5BD3"/>
    <w:rsid w:val="00CC6D7C"/>
    <w:rsid w:val="00CC71AD"/>
    <w:rsid w:val="00CC7201"/>
    <w:rsid w:val="00CC758A"/>
    <w:rsid w:val="00CC7B89"/>
    <w:rsid w:val="00CC7E3D"/>
    <w:rsid w:val="00CD0639"/>
    <w:rsid w:val="00CD0DCC"/>
    <w:rsid w:val="00CD12DF"/>
    <w:rsid w:val="00CD1A4C"/>
    <w:rsid w:val="00CD1A8E"/>
    <w:rsid w:val="00CD1E03"/>
    <w:rsid w:val="00CD1E7B"/>
    <w:rsid w:val="00CD26D9"/>
    <w:rsid w:val="00CD29D6"/>
    <w:rsid w:val="00CD2CE9"/>
    <w:rsid w:val="00CD305F"/>
    <w:rsid w:val="00CD371D"/>
    <w:rsid w:val="00CD3936"/>
    <w:rsid w:val="00CD3A84"/>
    <w:rsid w:val="00CD4041"/>
    <w:rsid w:val="00CD40D7"/>
    <w:rsid w:val="00CD449E"/>
    <w:rsid w:val="00CD46AB"/>
    <w:rsid w:val="00CD46E4"/>
    <w:rsid w:val="00CD4B97"/>
    <w:rsid w:val="00CD4CCF"/>
    <w:rsid w:val="00CD4D85"/>
    <w:rsid w:val="00CD4E0F"/>
    <w:rsid w:val="00CD4F15"/>
    <w:rsid w:val="00CD5383"/>
    <w:rsid w:val="00CD576A"/>
    <w:rsid w:val="00CD6760"/>
    <w:rsid w:val="00CD6A6F"/>
    <w:rsid w:val="00CD6CBD"/>
    <w:rsid w:val="00CD6E7B"/>
    <w:rsid w:val="00CD7433"/>
    <w:rsid w:val="00CD7943"/>
    <w:rsid w:val="00CD7985"/>
    <w:rsid w:val="00CD79E1"/>
    <w:rsid w:val="00CE005E"/>
    <w:rsid w:val="00CE0380"/>
    <w:rsid w:val="00CE041E"/>
    <w:rsid w:val="00CE11A4"/>
    <w:rsid w:val="00CE1F99"/>
    <w:rsid w:val="00CE2457"/>
    <w:rsid w:val="00CE287C"/>
    <w:rsid w:val="00CE2B6D"/>
    <w:rsid w:val="00CE2D6D"/>
    <w:rsid w:val="00CE2E8D"/>
    <w:rsid w:val="00CE38F8"/>
    <w:rsid w:val="00CE3997"/>
    <w:rsid w:val="00CE3C29"/>
    <w:rsid w:val="00CE427B"/>
    <w:rsid w:val="00CE42AD"/>
    <w:rsid w:val="00CE439A"/>
    <w:rsid w:val="00CE444C"/>
    <w:rsid w:val="00CE464B"/>
    <w:rsid w:val="00CE4CE6"/>
    <w:rsid w:val="00CE4EA4"/>
    <w:rsid w:val="00CE4FED"/>
    <w:rsid w:val="00CE5611"/>
    <w:rsid w:val="00CE58FD"/>
    <w:rsid w:val="00CE5A80"/>
    <w:rsid w:val="00CE5B2F"/>
    <w:rsid w:val="00CE601A"/>
    <w:rsid w:val="00CE62FC"/>
    <w:rsid w:val="00CE6764"/>
    <w:rsid w:val="00CE67AE"/>
    <w:rsid w:val="00CE68F5"/>
    <w:rsid w:val="00CE6EA5"/>
    <w:rsid w:val="00CF0043"/>
    <w:rsid w:val="00CF074C"/>
    <w:rsid w:val="00CF08BD"/>
    <w:rsid w:val="00CF09F2"/>
    <w:rsid w:val="00CF0A97"/>
    <w:rsid w:val="00CF0B23"/>
    <w:rsid w:val="00CF0BB9"/>
    <w:rsid w:val="00CF1214"/>
    <w:rsid w:val="00CF17DC"/>
    <w:rsid w:val="00CF1B22"/>
    <w:rsid w:val="00CF267D"/>
    <w:rsid w:val="00CF2E8E"/>
    <w:rsid w:val="00CF318E"/>
    <w:rsid w:val="00CF3261"/>
    <w:rsid w:val="00CF38F1"/>
    <w:rsid w:val="00CF3ABA"/>
    <w:rsid w:val="00CF3C77"/>
    <w:rsid w:val="00CF3E5B"/>
    <w:rsid w:val="00CF4130"/>
    <w:rsid w:val="00CF427D"/>
    <w:rsid w:val="00CF4761"/>
    <w:rsid w:val="00CF533B"/>
    <w:rsid w:val="00CF53CC"/>
    <w:rsid w:val="00CF5426"/>
    <w:rsid w:val="00CF5BD6"/>
    <w:rsid w:val="00CF5E5B"/>
    <w:rsid w:val="00CF607C"/>
    <w:rsid w:val="00CF6223"/>
    <w:rsid w:val="00CF62D3"/>
    <w:rsid w:val="00CF65F3"/>
    <w:rsid w:val="00CF672D"/>
    <w:rsid w:val="00CF6F88"/>
    <w:rsid w:val="00CF6FCD"/>
    <w:rsid w:val="00CF7336"/>
    <w:rsid w:val="00CF73B0"/>
    <w:rsid w:val="00CF7C22"/>
    <w:rsid w:val="00D00C9B"/>
    <w:rsid w:val="00D00D60"/>
    <w:rsid w:val="00D00D62"/>
    <w:rsid w:val="00D01933"/>
    <w:rsid w:val="00D01BD0"/>
    <w:rsid w:val="00D01CA1"/>
    <w:rsid w:val="00D01CEA"/>
    <w:rsid w:val="00D01DF0"/>
    <w:rsid w:val="00D02387"/>
    <w:rsid w:val="00D02840"/>
    <w:rsid w:val="00D0295B"/>
    <w:rsid w:val="00D035FF"/>
    <w:rsid w:val="00D037D4"/>
    <w:rsid w:val="00D039B3"/>
    <w:rsid w:val="00D03A17"/>
    <w:rsid w:val="00D03BB0"/>
    <w:rsid w:val="00D0444C"/>
    <w:rsid w:val="00D0454D"/>
    <w:rsid w:val="00D05289"/>
    <w:rsid w:val="00D05519"/>
    <w:rsid w:val="00D05CEC"/>
    <w:rsid w:val="00D060CE"/>
    <w:rsid w:val="00D06559"/>
    <w:rsid w:val="00D0686A"/>
    <w:rsid w:val="00D069ED"/>
    <w:rsid w:val="00D06ABD"/>
    <w:rsid w:val="00D0729D"/>
    <w:rsid w:val="00D07631"/>
    <w:rsid w:val="00D07663"/>
    <w:rsid w:val="00D1017E"/>
    <w:rsid w:val="00D10756"/>
    <w:rsid w:val="00D11177"/>
    <w:rsid w:val="00D120DC"/>
    <w:rsid w:val="00D12187"/>
    <w:rsid w:val="00D12394"/>
    <w:rsid w:val="00D12A6F"/>
    <w:rsid w:val="00D12CA0"/>
    <w:rsid w:val="00D12E17"/>
    <w:rsid w:val="00D12EB9"/>
    <w:rsid w:val="00D12EE4"/>
    <w:rsid w:val="00D134F5"/>
    <w:rsid w:val="00D13D3A"/>
    <w:rsid w:val="00D14443"/>
    <w:rsid w:val="00D14796"/>
    <w:rsid w:val="00D14B48"/>
    <w:rsid w:val="00D14B9D"/>
    <w:rsid w:val="00D14F4E"/>
    <w:rsid w:val="00D15B95"/>
    <w:rsid w:val="00D15DD2"/>
    <w:rsid w:val="00D1601E"/>
    <w:rsid w:val="00D16506"/>
    <w:rsid w:val="00D167E0"/>
    <w:rsid w:val="00D16854"/>
    <w:rsid w:val="00D16ED9"/>
    <w:rsid w:val="00D173D2"/>
    <w:rsid w:val="00D17DC1"/>
    <w:rsid w:val="00D205BE"/>
    <w:rsid w:val="00D20954"/>
    <w:rsid w:val="00D20A60"/>
    <w:rsid w:val="00D2119E"/>
    <w:rsid w:val="00D213DD"/>
    <w:rsid w:val="00D21550"/>
    <w:rsid w:val="00D21776"/>
    <w:rsid w:val="00D21B80"/>
    <w:rsid w:val="00D225C0"/>
    <w:rsid w:val="00D225EA"/>
    <w:rsid w:val="00D2264F"/>
    <w:rsid w:val="00D226C9"/>
    <w:rsid w:val="00D22B8C"/>
    <w:rsid w:val="00D2336A"/>
    <w:rsid w:val="00D233D9"/>
    <w:rsid w:val="00D23990"/>
    <w:rsid w:val="00D239BC"/>
    <w:rsid w:val="00D23E0D"/>
    <w:rsid w:val="00D2445B"/>
    <w:rsid w:val="00D24B82"/>
    <w:rsid w:val="00D24D78"/>
    <w:rsid w:val="00D25194"/>
    <w:rsid w:val="00D25489"/>
    <w:rsid w:val="00D25940"/>
    <w:rsid w:val="00D25D2C"/>
    <w:rsid w:val="00D25FC3"/>
    <w:rsid w:val="00D26537"/>
    <w:rsid w:val="00D26698"/>
    <w:rsid w:val="00D26789"/>
    <w:rsid w:val="00D26BD2"/>
    <w:rsid w:val="00D26CEF"/>
    <w:rsid w:val="00D26E0C"/>
    <w:rsid w:val="00D27167"/>
    <w:rsid w:val="00D27202"/>
    <w:rsid w:val="00D2789A"/>
    <w:rsid w:val="00D278F1"/>
    <w:rsid w:val="00D27FC5"/>
    <w:rsid w:val="00D30965"/>
    <w:rsid w:val="00D31B0B"/>
    <w:rsid w:val="00D31B45"/>
    <w:rsid w:val="00D326CB"/>
    <w:rsid w:val="00D327D4"/>
    <w:rsid w:val="00D32A0B"/>
    <w:rsid w:val="00D335E7"/>
    <w:rsid w:val="00D33694"/>
    <w:rsid w:val="00D33CFC"/>
    <w:rsid w:val="00D33D85"/>
    <w:rsid w:val="00D33F4A"/>
    <w:rsid w:val="00D34081"/>
    <w:rsid w:val="00D34150"/>
    <w:rsid w:val="00D342D2"/>
    <w:rsid w:val="00D343D7"/>
    <w:rsid w:val="00D3483B"/>
    <w:rsid w:val="00D34B52"/>
    <w:rsid w:val="00D34EAB"/>
    <w:rsid w:val="00D3502B"/>
    <w:rsid w:val="00D35035"/>
    <w:rsid w:val="00D350E2"/>
    <w:rsid w:val="00D3588A"/>
    <w:rsid w:val="00D360D2"/>
    <w:rsid w:val="00D36D84"/>
    <w:rsid w:val="00D36F2D"/>
    <w:rsid w:val="00D36FBF"/>
    <w:rsid w:val="00D3724A"/>
    <w:rsid w:val="00D3750D"/>
    <w:rsid w:val="00D3763D"/>
    <w:rsid w:val="00D376E0"/>
    <w:rsid w:val="00D37BB3"/>
    <w:rsid w:val="00D401F2"/>
    <w:rsid w:val="00D40319"/>
    <w:rsid w:val="00D405F2"/>
    <w:rsid w:val="00D40DC1"/>
    <w:rsid w:val="00D40DE1"/>
    <w:rsid w:val="00D40F44"/>
    <w:rsid w:val="00D4135F"/>
    <w:rsid w:val="00D41442"/>
    <w:rsid w:val="00D41490"/>
    <w:rsid w:val="00D414F0"/>
    <w:rsid w:val="00D416D1"/>
    <w:rsid w:val="00D418D9"/>
    <w:rsid w:val="00D41944"/>
    <w:rsid w:val="00D41A5F"/>
    <w:rsid w:val="00D41C42"/>
    <w:rsid w:val="00D421BB"/>
    <w:rsid w:val="00D42286"/>
    <w:rsid w:val="00D42365"/>
    <w:rsid w:val="00D428FF"/>
    <w:rsid w:val="00D42E95"/>
    <w:rsid w:val="00D4301E"/>
    <w:rsid w:val="00D43931"/>
    <w:rsid w:val="00D43E76"/>
    <w:rsid w:val="00D4404B"/>
    <w:rsid w:val="00D4456E"/>
    <w:rsid w:val="00D4461A"/>
    <w:rsid w:val="00D449F1"/>
    <w:rsid w:val="00D44E89"/>
    <w:rsid w:val="00D4516B"/>
    <w:rsid w:val="00D45305"/>
    <w:rsid w:val="00D45542"/>
    <w:rsid w:val="00D45962"/>
    <w:rsid w:val="00D45F32"/>
    <w:rsid w:val="00D47BC8"/>
    <w:rsid w:val="00D47D3B"/>
    <w:rsid w:val="00D47D6F"/>
    <w:rsid w:val="00D47E4A"/>
    <w:rsid w:val="00D5016C"/>
    <w:rsid w:val="00D504C0"/>
    <w:rsid w:val="00D505E3"/>
    <w:rsid w:val="00D50B2B"/>
    <w:rsid w:val="00D51506"/>
    <w:rsid w:val="00D517D0"/>
    <w:rsid w:val="00D519F7"/>
    <w:rsid w:val="00D51A70"/>
    <w:rsid w:val="00D520A9"/>
    <w:rsid w:val="00D52192"/>
    <w:rsid w:val="00D52444"/>
    <w:rsid w:val="00D525FB"/>
    <w:rsid w:val="00D526D2"/>
    <w:rsid w:val="00D5297A"/>
    <w:rsid w:val="00D52B64"/>
    <w:rsid w:val="00D53107"/>
    <w:rsid w:val="00D53C91"/>
    <w:rsid w:val="00D53E93"/>
    <w:rsid w:val="00D54C91"/>
    <w:rsid w:val="00D54DFF"/>
    <w:rsid w:val="00D54E1F"/>
    <w:rsid w:val="00D554DC"/>
    <w:rsid w:val="00D5562C"/>
    <w:rsid w:val="00D556F9"/>
    <w:rsid w:val="00D55DDC"/>
    <w:rsid w:val="00D568AF"/>
    <w:rsid w:val="00D56A1C"/>
    <w:rsid w:val="00D56D32"/>
    <w:rsid w:val="00D57791"/>
    <w:rsid w:val="00D57CEE"/>
    <w:rsid w:val="00D57FAE"/>
    <w:rsid w:val="00D601B5"/>
    <w:rsid w:val="00D606F1"/>
    <w:rsid w:val="00D608BA"/>
    <w:rsid w:val="00D60BC9"/>
    <w:rsid w:val="00D612F1"/>
    <w:rsid w:val="00D615B3"/>
    <w:rsid w:val="00D61842"/>
    <w:rsid w:val="00D618BB"/>
    <w:rsid w:val="00D62763"/>
    <w:rsid w:val="00D628CF"/>
    <w:rsid w:val="00D62D38"/>
    <w:rsid w:val="00D62DB1"/>
    <w:rsid w:val="00D62F80"/>
    <w:rsid w:val="00D63245"/>
    <w:rsid w:val="00D6382A"/>
    <w:rsid w:val="00D6397D"/>
    <w:rsid w:val="00D639BD"/>
    <w:rsid w:val="00D63F0C"/>
    <w:rsid w:val="00D63FC1"/>
    <w:rsid w:val="00D6474F"/>
    <w:rsid w:val="00D648BF"/>
    <w:rsid w:val="00D65287"/>
    <w:rsid w:val="00D65324"/>
    <w:rsid w:val="00D6535F"/>
    <w:rsid w:val="00D656EF"/>
    <w:rsid w:val="00D65E27"/>
    <w:rsid w:val="00D6603C"/>
    <w:rsid w:val="00D660B9"/>
    <w:rsid w:val="00D663BA"/>
    <w:rsid w:val="00D668A3"/>
    <w:rsid w:val="00D668CF"/>
    <w:rsid w:val="00D66A46"/>
    <w:rsid w:val="00D66BAD"/>
    <w:rsid w:val="00D6738D"/>
    <w:rsid w:val="00D67596"/>
    <w:rsid w:val="00D676F3"/>
    <w:rsid w:val="00D67C12"/>
    <w:rsid w:val="00D70240"/>
    <w:rsid w:val="00D704BA"/>
    <w:rsid w:val="00D70692"/>
    <w:rsid w:val="00D70991"/>
    <w:rsid w:val="00D70C59"/>
    <w:rsid w:val="00D71568"/>
    <w:rsid w:val="00D7170D"/>
    <w:rsid w:val="00D71B74"/>
    <w:rsid w:val="00D71B94"/>
    <w:rsid w:val="00D71CF4"/>
    <w:rsid w:val="00D71E5B"/>
    <w:rsid w:val="00D71ED7"/>
    <w:rsid w:val="00D71EEF"/>
    <w:rsid w:val="00D71EF4"/>
    <w:rsid w:val="00D72246"/>
    <w:rsid w:val="00D7224D"/>
    <w:rsid w:val="00D723E9"/>
    <w:rsid w:val="00D725D9"/>
    <w:rsid w:val="00D7266A"/>
    <w:rsid w:val="00D72808"/>
    <w:rsid w:val="00D7294D"/>
    <w:rsid w:val="00D72A83"/>
    <w:rsid w:val="00D72B3D"/>
    <w:rsid w:val="00D72BDC"/>
    <w:rsid w:val="00D73607"/>
    <w:rsid w:val="00D7363E"/>
    <w:rsid w:val="00D738F4"/>
    <w:rsid w:val="00D73900"/>
    <w:rsid w:val="00D73962"/>
    <w:rsid w:val="00D739AF"/>
    <w:rsid w:val="00D73A73"/>
    <w:rsid w:val="00D73EDE"/>
    <w:rsid w:val="00D74295"/>
    <w:rsid w:val="00D74458"/>
    <w:rsid w:val="00D74702"/>
    <w:rsid w:val="00D74905"/>
    <w:rsid w:val="00D74C35"/>
    <w:rsid w:val="00D74E9B"/>
    <w:rsid w:val="00D74FF2"/>
    <w:rsid w:val="00D75553"/>
    <w:rsid w:val="00D75725"/>
    <w:rsid w:val="00D75A09"/>
    <w:rsid w:val="00D75B73"/>
    <w:rsid w:val="00D75C83"/>
    <w:rsid w:val="00D75D5E"/>
    <w:rsid w:val="00D75EC9"/>
    <w:rsid w:val="00D762BE"/>
    <w:rsid w:val="00D762E8"/>
    <w:rsid w:val="00D765D1"/>
    <w:rsid w:val="00D7672C"/>
    <w:rsid w:val="00D76DF4"/>
    <w:rsid w:val="00D771D7"/>
    <w:rsid w:val="00D7759A"/>
    <w:rsid w:val="00D779CF"/>
    <w:rsid w:val="00D77CA9"/>
    <w:rsid w:val="00D77E96"/>
    <w:rsid w:val="00D800ED"/>
    <w:rsid w:val="00D80429"/>
    <w:rsid w:val="00D80E24"/>
    <w:rsid w:val="00D812CA"/>
    <w:rsid w:val="00D815F7"/>
    <w:rsid w:val="00D817C9"/>
    <w:rsid w:val="00D81995"/>
    <w:rsid w:val="00D81A00"/>
    <w:rsid w:val="00D81FAC"/>
    <w:rsid w:val="00D820DA"/>
    <w:rsid w:val="00D820DD"/>
    <w:rsid w:val="00D82405"/>
    <w:rsid w:val="00D827E5"/>
    <w:rsid w:val="00D82C9F"/>
    <w:rsid w:val="00D830AF"/>
    <w:rsid w:val="00D83667"/>
    <w:rsid w:val="00D83714"/>
    <w:rsid w:val="00D839C0"/>
    <w:rsid w:val="00D83AEA"/>
    <w:rsid w:val="00D83D02"/>
    <w:rsid w:val="00D8416F"/>
    <w:rsid w:val="00D84305"/>
    <w:rsid w:val="00D84501"/>
    <w:rsid w:val="00D848CC"/>
    <w:rsid w:val="00D8495C"/>
    <w:rsid w:val="00D84A8E"/>
    <w:rsid w:val="00D84BE8"/>
    <w:rsid w:val="00D85478"/>
    <w:rsid w:val="00D85A1A"/>
    <w:rsid w:val="00D85B34"/>
    <w:rsid w:val="00D864A3"/>
    <w:rsid w:val="00D86A7B"/>
    <w:rsid w:val="00D86B2C"/>
    <w:rsid w:val="00D86E88"/>
    <w:rsid w:val="00D87FAB"/>
    <w:rsid w:val="00D90485"/>
    <w:rsid w:val="00D90BEC"/>
    <w:rsid w:val="00D90FEB"/>
    <w:rsid w:val="00D91240"/>
    <w:rsid w:val="00D918F5"/>
    <w:rsid w:val="00D91DD0"/>
    <w:rsid w:val="00D91E30"/>
    <w:rsid w:val="00D91E5A"/>
    <w:rsid w:val="00D91F28"/>
    <w:rsid w:val="00D92061"/>
    <w:rsid w:val="00D92431"/>
    <w:rsid w:val="00D926F5"/>
    <w:rsid w:val="00D928EC"/>
    <w:rsid w:val="00D929C8"/>
    <w:rsid w:val="00D92D59"/>
    <w:rsid w:val="00D93034"/>
    <w:rsid w:val="00D9354D"/>
    <w:rsid w:val="00D9358D"/>
    <w:rsid w:val="00D9394D"/>
    <w:rsid w:val="00D94A2C"/>
    <w:rsid w:val="00D957BA"/>
    <w:rsid w:val="00D9609F"/>
    <w:rsid w:val="00D96BF5"/>
    <w:rsid w:val="00D96E43"/>
    <w:rsid w:val="00D97033"/>
    <w:rsid w:val="00D973DB"/>
    <w:rsid w:val="00D973FA"/>
    <w:rsid w:val="00D97439"/>
    <w:rsid w:val="00D978A8"/>
    <w:rsid w:val="00D978CB"/>
    <w:rsid w:val="00D978FA"/>
    <w:rsid w:val="00D97908"/>
    <w:rsid w:val="00D97B8F"/>
    <w:rsid w:val="00D97CA1"/>
    <w:rsid w:val="00D97EF0"/>
    <w:rsid w:val="00DA0864"/>
    <w:rsid w:val="00DA0CC9"/>
    <w:rsid w:val="00DA1244"/>
    <w:rsid w:val="00DA1382"/>
    <w:rsid w:val="00DA13A4"/>
    <w:rsid w:val="00DA14C4"/>
    <w:rsid w:val="00DA1ADE"/>
    <w:rsid w:val="00DA1BF6"/>
    <w:rsid w:val="00DA1D08"/>
    <w:rsid w:val="00DA2387"/>
    <w:rsid w:val="00DA23B5"/>
    <w:rsid w:val="00DA2490"/>
    <w:rsid w:val="00DA2AF7"/>
    <w:rsid w:val="00DA31FA"/>
    <w:rsid w:val="00DA3B8D"/>
    <w:rsid w:val="00DA3CE1"/>
    <w:rsid w:val="00DA4198"/>
    <w:rsid w:val="00DA43F8"/>
    <w:rsid w:val="00DA4642"/>
    <w:rsid w:val="00DA4F97"/>
    <w:rsid w:val="00DA522A"/>
    <w:rsid w:val="00DA538A"/>
    <w:rsid w:val="00DA5571"/>
    <w:rsid w:val="00DA570D"/>
    <w:rsid w:val="00DA5780"/>
    <w:rsid w:val="00DA5B1C"/>
    <w:rsid w:val="00DA5B9C"/>
    <w:rsid w:val="00DA66B3"/>
    <w:rsid w:val="00DA68B2"/>
    <w:rsid w:val="00DA6A20"/>
    <w:rsid w:val="00DA710F"/>
    <w:rsid w:val="00DA7325"/>
    <w:rsid w:val="00DA78A6"/>
    <w:rsid w:val="00DA7933"/>
    <w:rsid w:val="00DA7CF6"/>
    <w:rsid w:val="00DB0268"/>
    <w:rsid w:val="00DB03CC"/>
    <w:rsid w:val="00DB03EE"/>
    <w:rsid w:val="00DB0681"/>
    <w:rsid w:val="00DB07A5"/>
    <w:rsid w:val="00DB0C77"/>
    <w:rsid w:val="00DB0D39"/>
    <w:rsid w:val="00DB0DB6"/>
    <w:rsid w:val="00DB14DB"/>
    <w:rsid w:val="00DB16D7"/>
    <w:rsid w:val="00DB19AE"/>
    <w:rsid w:val="00DB19D1"/>
    <w:rsid w:val="00DB1B02"/>
    <w:rsid w:val="00DB1B93"/>
    <w:rsid w:val="00DB1CCE"/>
    <w:rsid w:val="00DB1E7A"/>
    <w:rsid w:val="00DB27E6"/>
    <w:rsid w:val="00DB2931"/>
    <w:rsid w:val="00DB2D4D"/>
    <w:rsid w:val="00DB34E3"/>
    <w:rsid w:val="00DB3679"/>
    <w:rsid w:val="00DB3713"/>
    <w:rsid w:val="00DB3C1E"/>
    <w:rsid w:val="00DB3E1B"/>
    <w:rsid w:val="00DB4077"/>
    <w:rsid w:val="00DB4198"/>
    <w:rsid w:val="00DB42C3"/>
    <w:rsid w:val="00DB4323"/>
    <w:rsid w:val="00DB4CFE"/>
    <w:rsid w:val="00DB4D18"/>
    <w:rsid w:val="00DB50CD"/>
    <w:rsid w:val="00DB5312"/>
    <w:rsid w:val="00DB5765"/>
    <w:rsid w:val="00DB586C"/>
    <w:rsid w:val="00DB5B3F"/>
    <w:rsid w:val="00DB5CE5"/>
    <w:rsid w:val="00DB665E"/>
    <w:rsid w:val="00DB688E"/>
    <w:rsid w:val="00DB7196"/>
    <w:rsid w:val="00DB7204"/>
    <w:rsid w:val="00DB73EB"/>
    <w:rsid w:val="00DB75C3"/>
    <w:rsid w:val="00DB76A7"/>
    <w:rsid w:val="00DB76BD"/>
    <w:rsid w:val="00DB7EE1"/>
    <w:rsid w:val="00DB7FD2"/>
    <w:rsid w:val="00DC0583"/>
    <w:rsid w:val="00DC074D"/>
    <w:rsid w:val="00DC0E54"/>
    <w:rsid w:val="00DC0E76"/>
    <w:rsid w:val="00DC1153"/>
    <w:rsid w:val="00DC1F63"/>
    <w:rsid w:val="00DC21C1"/>
    <w:rsid w:val="00DC23D1"/>
    <w:rsid w:val="00DC259F"/>
    <w:rsid w:val="00DC2610"/>
    <w:rsid w:val="00DC3090"/>
    <w:rsid w:val="00DC3122"/>
    <w:rsid w:val="00DC3425"/>
    <w:rsid w:val="00DC39B0"/>
    <w:rsid w:val="00DC3A4E"/>
    <w:rsid w:val="00DC3BF6"/>
    <w:rsid w:val="00DC3CC0"/>
    <w:rsid w:val="00DC3D2D"/>
    <w:rsid w:val="00DC3FF0"/>
    <w:rsid w:val="00DC41AC"/>
    <w:rsid w:val="00DC4421"/>
    <w:rsid w:val="00DC4725"/>
    <w:rsid w:val="00DC4BA8"/>
    <w:rsid w:val="00DC51EC"/>
    <w:rsid w:val="00DC5602"/>
    <w:rsid w:val="00DC5BA3"/>
    <w:rsid w:val="00DC5D67"/>
    <w:rsid w:val="00DC5F61"/>
    <w:rsid w:val="00DC5FF5"/>
    <w:rsid w:val="00DC671E"/>
    <w:rsid w:val="00DC685A"/>
    <w:rsid w:val="00DC6FDD"/>
    <w:rsid w:val="00DC70D4"/>
    <w:rsid w:val="00DC7222"/>
    <w:rsid w:val="00DC730B"/>
    <w:rsid w:val="00DC7512"/>
    <w:rsid w:val="00DC78F7"/>
    <w:rsid w:val="00DC799E"/>
    <w:rsid w:val="00DD019F"/>
    <w:rsid w:val="00DD01D1"/>
    <w:rsid w:val="00DD0A51"/>
    <w:rsid w:val="00DD127A"/>
    <w:rsid w:val="00DD1CA3"/>
    <w:rsid w:val="00DD1F89"/>
    <w:rsid w:val="00DD22C4"/>
    <w:rsid w:val="00DD2571"/>
    <w:rsid w:val="00DD286F"/>
    <w:rsid w:val="00DD3597"/>
    <w:rsid w:val="00DD35A4"/>
    <w:rsid w:val="00DD38CC"/>
    <w:rsid w:val="00DD3CB3"/>
    <w:rsid w:val="00DD4C78"/>
    <w:rsid w:val="00DD4FC8"/>
    <w:rsid w:val="00DD5574"/>
    <w:rsid w:val="00DD5579"/>
    <w:rsid w:val="00DD55FB"/>
    <w:rsid w:val="00DD5628"/>
    <w:rsid w:val="00DD644F"/>
    <w:rsid w:val="00DD6D6C"/>
    <w:rsid w:val="00DD723D"/>
    <w:rsid w:val="00DD724C"/>
    <w:rsid w:val="00DD7B0D"/>
    <w:rsid w:val="00DD7C7C"/>
    <w:rsid w:val="00DE04F1"/>
    <w:rsid w:val="00DE06AF"/>
    <w:rsid w:val="00DE0A2B"/>
    <w:rsid w:val="00DE1740"/>
    <w:rsid w:val="00DE1873"/>
    <w:rsid w:val="00DE18A0"/>
    <w:rsid w:val="00DE1CB1"/>
    <w:rsid w:val="00DE22A8"/>
    <w:rsid w:val="00DE2739"/>
    <w:rsid w:val="00DE2CA5"/>
    <w:rsid w:val="00DE2CB1"/>
    <w:rsid w:val="00DE2CB4"/>
    <w:rsid w:val="00DE2CCA"/>
    <w:rsid w:val="00DE2D57"/>
    <w:rsid w:val="00DE2F43"/>
    <w:rsid w:val="00DE3536"/>
    <w:rsid w:val="00DE3778"/>
    <w:rsid w:val="00DE3DD8"/>
    <w:rsid w:val="00DE3E95"/>
    <w:rsid w:val="00DE3F0B"/>
    <w:rsid w:val="00DE45F0"/>
    <w:rsid w:val="00DE479C"/>
    <w:rsid w:val="00DE494A"/>
    <w:rsid w:val="00DE4DC4"/>
    <w:rsid w:val="00DE4E9E"/>
    <w:rsid w:val="00DE4EDD"/>
    <w:rsid w:val="00DE4F10"/>
    <w:rsid w:val="00DE5069"/>
    <w:rsid w:val="00DE5AD1"/>
    <w:rsid w:val="00DE610C"/>
    <w:rsid w:val="00DE6252"/>
    <w:rsid w:val="00DE655A"/>
    <w:rsid w:val="00DE663E"/>
    <w:rsid w:val="00DE6878"/>
    <w:rsid w:val="00DE69A9"/>
    <w:rsid w:val="00DE6F00"/>
    <w:rsid w:val="00DE7794"/>
    <w:rsid w:val="00DF0354"/>
    <w:rsid w:val="00DF0A15"/>
    <w:rsid w:val="00DF15CB"/>
    <w:rsid w:val="00DF1691"/>
    <w:rsid w:val="00DF172C"/>
    <w:rsid w:val="00DF213D"/>
    <w:rsid w:val="00DF2854"/>
    <w:rsid w:val="00DF3577"/>
    <w:rsid w:val="00DF35A8"/>
    <w:rsid w:val="00DF4267"/>
    <w:rsid w:val="00DF44F6"/>
    <w:rsid w:val="00DF453E"/>
    <w:rsid w:val="00DF4D59"/>
    <w:rsid w:val="00DF54BD"/>
    <w:rsid w:val="00DF560B"/>
    <w:rsid w:val="00DF578D"/>
    <w:rsid w:val="00DF5798"/>
    <w:rsid w:val="00DF587D"/>
    <w:rsid w:val="00DF5BCC"/>
    <w:rsid w:val="00DF5F12"/>
    <w:rsid w:val="00DF6039"/>
    <w:rsid w:val="00DF633C"/>
    <w:rsid w:val="00DF6885"/>
    <w:rsid w:val="00DF68C8"/>
    <w:rsid w:val="00DF7266"/>
    <w:rsid w:val="00DF72FF"/>
    <w:rsid w:val="00DF75F2"/>
    <w:rsid w:val="00DF772A"/>
    <w:rsid w:val="00DF7B2C"/>
    <w:rsid w:val="00DF7BE9"/>
    <w:rsid w:val="00DF7C5C"/>
    <w:rsid w:val="00E0102A"/>
    <w:rsid w:val="00E010D7"/>
    <w:rsid w:val="00E01213"/>
    <w:rsid w:val="00E01340"/>
    <w:rsid w:val="00E013C1"/>
    <w:rsid w:val="00E01746"/>
    <w:rsid w:val="00E0231C"/>
    <w:rsid w:val="00E023E9"/>
    <w:rsid w:val="00E02BA4"/>
    <w:rsid w:val="00E02EA4"/>
    <w:rsid w:val="00E03362"/>
    <w:rsid w:val="00E03682"/>
    <w:rsid w:val="00E036B4"/>
    <w:rsid w:val="00E03B6D"/>
    <w:rsid w:val="00E03C10"/>
    <w:rsid w:val="00E03D7C"/>
    <w:rsid w:val="00E041F2"/>
    <w:rsid w:val="00E043C9"/>
    <w:rsid w:val="00E044F8"/>
    <w:rsid w:val="00E048D7"/>
    <w:rsid w:val="00E04B29"/>
    <w:rsid w:val="00E04C43"/>
    <w:rsid w:val="00E05633"/>
    <w:rsid w:val="00E06393"/>
    <w:rsid w:val="00E06934"/>
    <w:rsid w:val="00E06CC5"/>
    <w:rsid w:val="00E06D68"/>
    <w:rsid w:val="00E071F4"/>
    <w:rsid w:val="00E073BD"/>
    <w:rsid w:val="00E073C7"/>
    <w:rsid w:val="00E075E4"/>
    <w:rsid w:val="00E078A0"/>
    <w:rsid w:val="00E07BC7"/>
    <w:rsid w:val="00E07BE1"/>
    <w:rsid w:val="00E07C07"/>
    <w:rsid w:val="00E07C6E"/>
    <w:rsid w:val="00E07C84"/>
    <w:rsid w:val="00E07C99"/>
    <w:rsid w:val="00E103B0"/>
    <w:rsid w:val="00E10BBC"/>
    <w:rsid w:val="00E10D96"/>
    <w:rsid w:val="00E10F3C"/>
    <w:rsid w:val="00E10FD3"/>
    <w:rsid w:val="00E11402"/>
    <w:rsid w:val="00E11637"/>
    <w:rsid w:val="00E116AD"/>
    <w:rsid w:val="00E11811"/>
    <w:rsid w:val="00E11B33"/>
    <w:rsid w:val="00E121F3"/>
    <w:rsid w:val="00E1220E"/>
    <w:rsid w:val="00E12372"/>
    <w:rsid w:val="00E12386"/>
    <w:rsid w:val="00E124C7"/>
    <w:rsid w:val="00E128DE"/>
    <w:rsid w:val="00E12D56"/>
    <w:rsid w:val="00E12D75"/>
    <w:rsid w:val="00E12E37"/>
    <w:rsid w:val="00E13350"/>
    <w:rsid w:val="00E13415"/>
    <w:rsid w:val="00E13483"/>
    <w:rsid w:val="00E1389F"/>
    <w:rsid w:val="00E13E4A"/>
    <w:rsid w:val="00E13E54"/>
    <w:rsid w:val="00E14091"/>
    <w:rsid w:val="00E14152"/>
    <w:rsid w:val="00E14208"/>
    <w:rsid w:val="00E14574"/>
    <w:rsid w:val="00E14775"/>
    <w:rsid w:val="00E14C7F"/>
    <w:rsid w:val="00E14CDB"/>
    <w:rsid w:val="00E14EC4"/>
    <w:rsid w:val="00E14F3B"/>
    <w:rsid w:val="00E15052"/>
    <w:rsid w:val="00E150DC"/>
    <w:rsid w:val="00E15544"/>
    <w:rsid w:val="00E15FAC"/>
    <w:rsid w:val="00E162CC"/>
    <w:rsid w:val="00E1643A"/>
    <w:rsid w:val="00E165C1"/>
    <w:rsid w:val="00E166D0"/>
    <w:rsid w:val="00E17126"/>
    <w:rsid w:val="00E1729C"/>
    <w:rsid w:val="00E17736"/>
    <w:rsid w:val="00E17946"/>
    <w:rsid w:val="00E17A14"/>
    <w:rsid w:val="00E17A2F"/>
    <w:rsid w:val="00E2034E"/>
    <w:rsid w:val="00E20FAE"/>
    <w:rsid w:val="00E2106B"/>
    <w:rsid w:val="00E210A5"/>
    <w:rsid w:val="00E2131E"/>
    <w:rsid w:val="00E214A9"/>
    <w:rsid w:val="00E22469"/>
    <w:rsid w:val="00E227CD"/>
    <w:rsid w:val="00E229D4"/>
    <w:rsid w:val="00E22AD4"/>
    <w:rsid w:val="00E232B6"/>
    <w:rsid w:val="00E23505"/>
    <w:rsid w:val="00E23BF0"/>
    <w:rsid w:val="00E24134"/>
    <w:rsid w:val="00E243F7"/>
    <w:rsid w:val="00E244A4"/>
    <w:rsid w:val="00E24713"/>
    <w:rsid w:val="00E247B4"/>
    <w:rsid w:val="00E24ED8"/>
    <w:rsid w:val="00E251C6"/>
    <w:rsid w:val="00E25532"/>
    <w:rsid w:val="00E2587A"/>
    <w:rsid w:val="00E25DEA"/>
    <w:rsid w:val="00E25E1C"/>
    <w:rsid w:val="00E266FE"/>
    <w:rsid w:val="00E2699F"/>
    <w:rsid w:val="00E26A23"/>
    <w:rsid w:val="00E26A95"/>
    <w:rsid w:val="00E26B17"/>
    <w:rsid w:val="00E27055"/>
    <w:rsid w:val="00E27105"/>
    <w:rsid w:val="00E27109"/>
    <w:rsid w:val="00E2752D"/>
    <w:rsid w:val="00E276E5"/>
    <w:rsid w:val="00E30418"/>
    <w:rsid w:val="00E30993"/>
    <w:rsid w:val="00E30F1E"/>
    <w:rsid w:val="00E31245"/>
    <w:rsid w:val="00E31712"/>
    <w:rsid w:val="00E317CD"/>
    <w:rsid w:val="00E31AD7"/>
    <w:rsid w:val="00E31AE2"/>
    <w:rsid w:val="00E31DEA"/>
    <w:rsid w:val="00E321B0"/>
    <w:rsid w:val="00E322DE"/>
    <w:rsid w:val="00E326B1"/>
    <w:rsid w:val="00E3295A"/>
    <w:rsid w:val="00E32A7B"/>
    <w:rsid w:val="00E335B6"/>
    <w:rsid w:val="00E33869"/>
    <w:rsid w:val="00E33973"/>
    <w:rsid w:val="00E33B3C"/>
    <w:rsid w:val="00E33DA3"/>
    <w:rsid w:val="00E33FF1"/>
    <w:rsid w:val="00E34FD0"/>
    <w:rsid w:val="00E351CA"/>
    <w:rsid w:val="00E35249"/>
    <w:rsid w:val="00E35532"/>
    <w:rsid w:val="00E35558"/>
    <w:rsid w:val="00E35D36"/>
    <w:rsid w:val="00E362AC"/>
    <w:rsid w:val="00E367E4"/>
    <w:rsid w:val="00E36B8F"/>
    <w:rsid w:val="00E36ED5"/>
    <w:rsid w:val="00E370CB"/>
    <w:rsid w:val="00E37453"/>
    <w:rsid w:val="00E37C6E"/>
    <w:rsid w:val="00E4017E"/>
    <w:rsid w:val="00E4046D"/>
    <w:rsid w:val="00E408E7"/>
    <w:rsid w:val="00E40A6B"/>
    <w:rsid w:val="00E40EB5"/>
    <w:rsid w:val="00E41300"/>
    <w:rsid w:val="00E419BD"/>
    <w:rsid w:val="00E424F8"/>
    <w:rsid w:val="00E427B0"/>
    <w:rsid w:val="00E427CD"/>
    <w:rsid w:val="00E427DA"/>
    <w:rsid w:val="00E42B51"/>
    <w:rsid w:val="00E42DD3"/>
    <w:rsid w:val="00E43230"/>
    <w:rsid w:val="00E433FC"/>
    <w:rsid w:val="00E436EA"/>
    <w:rsid w:val="00E4399A"/>
    <w:rsid w:val="00E441E7"/>
    <w:rsid w:val="00E44711"/>
    <w:rsid w:val="00E44CA2"/>
    <w:rsid w:val="00E45446"/>
    <w:rsid w:val="00E45609"/>
    <w:rsid w:val="00E45A36"/>
    <w:rsid w:val="00E46049"/>
    <w:rsid w:val="00E46461"/>
    <w:rsid w:val="00E46A75"/>
    <w:rsid w:val="00E46A7D"/>
    <w:rsid w:val="00E46BAC"/>
    <w:rsid w:val="00E46BCE"/>
    <w:rsid w:val="00E46C97"/>
    <w:rsid w:val="00E47135"/>
    <w:rsid w:val="00E476AD"/>
    <w:rsid w:val="00E47A20"/>
    <w:rsid w:val="00E47B45"/>
    <w:rsid w:val="00E5043B"/>
    <w:rsid w:val="00E505D5"/>
    <w:rsid w:val="00E50B21"/>
    <w:rsid w:val="00E50B91"/>
    <w:rsid w:val="00E50D10"/>
    <w:rsid w:val="00E50E7E"/>
    <w:rsid w:val="00E50E99"/>
    <w:rsid w:val="00E51B74"/>
    <w:rsid w:val="00E520B7"/>
    <w:rsid w:val="00E521E5"/>
    <w:rsid w:val="00E5247D"/>
    <w:rsid w:val="00E5281C"/>
    <w:rsid w:val="00E53234"/>
    <w:rsid w:val="00E535FC"/>
    <w:rsid w:val="00E536AC"/>
    <w:rsid w:val="00E5384A"/>
    <w:rsid w:val="00E53E93"/>
    <w:rsid w:val="00E53FAC"/>
    <w:rsid w:val="00E5453C"/>
    <w:rsid w:val="00E55250"/>
    <w:rsid w:val="00E5527D"/>
    <w:rsid w:val="00E552B9"/>
    <w:rsid w:val="00E552DF"/>
    <w:rsid w:val="00E55AFE"/>
    <w:rsid w:val="00E5612F"/>
    <w:rsid w:val="00E5624D"/>
    <w:rsid w:val="00E56578"/>
    <w:rsid w:val="00E56611"/>
    <w:rsid w:val="00E5670F"/>
    <w:rsid w:val="00E56750"/>
    <w:rsid w:val="00E56E54"/>
    <w:rsid w:val="00E5701C"/>
    <w:rsid w:val="00E572FF"/>
    <w:rsid w:val="00E5738F"/>
    <w:rsid w:val="00E57B4F"/>
    <w:rsid w:val="00E60211"/>
    <w:rsid w:val="00E606EB"/>
    <w:rsid w:val="00E609AC"/>
    <w:rsid w:val="00E6136A"/>
    <w:rsid w:val="00E61817"/>
    <w:rsid w:val="00E6189B"/>
    <w:rsid w:val="00E6227A"/>
    <w:rsid w:val="00E622AD"/>
    <w:rsid w:val="00E62611"/>
    <w:rsid w:val="00E62903"/>
    <w:rsid w:val="00E629AE"/>
    <w:rsid w:val="00E629BF"/>
    <w:rsid w:val="00E62C7A"/>
    <w:rsid w:val="00E62EC5"/>
    <w:rsid w:val="00E63930"/>
    <w:rsid w:val="00E63D14"/>
    <w:rsid w:val="00E6486F"/>
    <w:rsid w:val="00E64877"/>
    <w:rsid w:val="00E64A8C"/>
    <w:rsid w:val="00E65095"/>
    <w:rsid w:val="00E65376"/>
    <w:rsid w:val="00E6549F"/>
    <w:rsid w:val="00E65B97"/>
    <w:rsid w:val="00E663DD"/>
    <w:rsid w:val="00E664F7"/>
    <w:rsid w:val="00E66A7F"/>
    <w:rsid w:val="00E66AE3"/>
    <w:rsid w:val="00E66F7B"/>
    <w:rsid w:val="00E67650"/>
    <w:rsid w:val="00E67984"/>
    <w:rsid w:val="00E679F7"/>
    <w:rsid w:val="00E67AD1"/>
    <w:rsid w:val="00E7014F"/>
    <w:rsid w:val="00E701D3"/>
    <w:rsid w:val="00E704C5"/>
    <w:rsid w:val="00E70827"/>
    <w:rsid w:val="00E70965"/>
    <w:rsid w:val="00E70A85"/>
    <w:rsid w:val="00E716EF"/>
    <w:rsid w:val="00E717A1"/>
    <w:rsid w:val="00E71DEF"/>
    <w:rsid w:val="00E71F8A"/>
    <w:rsid w:val="00E720D4"/>
    <w:rsid w:val="00E7212E"/>
    <w:rsid w:val="00E72341"/>
    <w:rsid w:val="00E72F88"/>
    <w:rsid w:val="00E733A3"/>
    <w:rsid w:val="00E733A8"/>
    <w:rsid w:val="00E7385E"/>
    <w:rsid w:val="00E73AB8"/>
    <w:rsid w:val="00E73BBA"/>
    <w:rsid w:val="00E74C14"/>
    <w:rsid w:val="00E74D37"/>
    <w:rsid w:val="00E751DF"/>
    <w:rsid w:val="00E75403"/>
    <w:rsid w:val="00E757BF"/>
    <w:rsid w:val="00E7598B"/>
    <w:rsid w:val="00E75C87"/>
    <w:rsid w:val="00E75D73"/>
    <w:rsid w:val="00E75E80"/>
    <w:rsid w:val="00E76B11"/>
    <w:rsid w:val="00E76B47"/>
    <w:rsid w:val="00E76BE6"/>
    <w:rsid w:val="00E76C6C"/>
    <w:rsid w:val="00E76F30"/>
    <w:rsid w:val="00E770DF"/>
    <w:rsid w:val="00E771D0"/>
    <w:rsid w:val="00E77692"/>
    <w:rsid w:val="00E776E7"/>
    <w:rsid w:val="00E77DB9"/>
    <w:rsid w:val="00E80939"/>
    <w:rsid w:val="00E80987"/>
    <w:rsid w:val="00E809E9"/>
    <w:rsid w:val="00E80EC4"/>
    <w:rsid w:val="00E80ED3"/>
    <w:rsid w:val="00E81127"/>
    <w:rsid w:val="00E811E7"/>
    <w:rsid w:val="00E81266"/>
    <w:rsid w:val="00E81386"/>
    <w:rsid w:val="00E814FB"/>
    <w:rsid w:val="00E81911"/>
    <w:rsid w:val="00E81B32"/>
    <w:rsid w:val="00E81BC7"/>
    <w:rsid w:val="00E81FC9"/>
    <w:rsid w:val="00E82364"/>
    <w:rsid w:val="00E82520"/>
    <w:rsid w:val="00E825A6"/>
    <w:rsid w:val="00E82FCC"/>
    <w:rsid w:val="00E8322F"/>
    <w:rsid w:val="00E832C8"/>
    <w:rsid w:val="00E832FB"/>
    <w:rsid w:val="00E8384F"/>
    <w:rsid w:val="00E83A71"/>
    <w:rsid w:val="00E840A4"/>
    <w:rsid w:val="00E84759"/>
    <w:rsid w:val="00E848A9"/>
    <w:rsid w:val="00E84A48"/>
    <w:rsid w:val="00E85014"/>
    <w:rsid w:val="00E8538E"/>
    <w:rsid w:val="00E85462"/>
    <w:rsid w:val="00E856D6"/>
    <w:rsid w:val="00E8575F"/>
    <w:rsid w:val="00E86021"/>
    <w:rsid w:val="00E861AB"/>
    <w:rsid w:val="00E864C0"/>
    <w:rsid w:val="00E86CE4"/>
    <w:rsid w:val="00E86F77"/>
    <w:rsid w:val="00E87041"/>
    <w:rsid w:val="00E8715D"/>
    <w:rsid w:val="00E879C8"/>
    <w:rsid w:val="00E87A1B"/>
    <w:rsid w:val="00E87DA6"/>
    <w:rsid w:val="00E9064E"/>
    <w:rsid w:val="00E90824"/>
    <w:rsid w:val="00E90826"/>
    <w:rsid w:val="00E90BB4"/>
    <w:rsid w:val="00E90DBA"/>
    <w:rsid w:val="00E912DC"/>
    <w:rsid w:val="00E915E4"/>
    <w:rsid w:val="00E92429"/>
    <w:rsid w:val="00E934E4"/>
    <w:rsid w:val="00E93630"/>
    <w:rsid w:val="00E937A4"/>
    <w:rsid w:val="00E93F2E"/>
    <w:rsid w:val="00E940CD"/>
    <w:rsid w:val="00E94518"/>
    <w:rsid w:val="00E948E4"/>
    <w:rsid w:val="00E94D8E"/>
    <w:rsid w:val="00E94EB2"/>
    <w:rsid w:val="00E95123"/>
    <w:rsid w:val="00E951F5"/>
    <w:rsid w:val="00E9544F"/>
    <w:rsid w:val="00E9588C"/>
    <w:rsid w:val="00E95F35"/>
    <w:rsid w:val="00E96411"/>
    <w:rsid w:val="00E9659B"/>
    <w:rsid w:val="00E9664C"/>
    <w:rsid w:val="00E96826"/>
    <w:rsid w:val="00E96969"/>
    <w:rsid w:val="00E96A73"/>
    <w:rsid w:val="00E96EA5"/>
    <w:rsid w:val="00E96EF9"/>
    <w:rsid w:val="00E97400"/>
    <w:rsid w:val="00E974DC"/>
    <w:rsid w:val="00E97EAF"/>
    <w:rsid w:val="00EA023E"/>
    <w:rsid w:val="00EA08F9"/>
    <w:rsid w:val="00EA0D79"/>
    <w:rsid w:val="00EA0E84"/>
    <w:rsid w:val="00EA12FC"/>
    <w:rsid w:val="00EA1676"/>
    <w:rsid w:val="00EA17BF"/>
    <w:rsid w:val="00EA1EC4"/>
    <w:rsid w:val="00EA1F90"/>
    <w:rsid w:val="00EA1FD0"/>
    <w:rsid w:val="00EA275F"/>
    <w:rsid w:val="00EA2CE9"/>
    <w:rsid w:val="00EA2D77"/>
    <w:rsid w:val="00EA2DC8"/>
    <w:rsid w:val="00EA2FAD"/>
    <w:rsid w:val="00EA33F5"/>
    <w:rsid w:val="00EA3C77"/>
    <w:rsid w:val="00EA41D3"/>
    <w:rsid w:val="00EA438D"/>
    <w:rsid w:val="00EA4611"/>
    <w:rsid w:val="00EA470C"/>
    <w:rsid w:val="00EA4B56"/>
    <w:rsid w:val="00EA5413"/>
    <w:rsid w:val="00EA54DB"/>
    <w:rsid w:val="00EA54DF"/>
    <w:rsid w:val="00EA5B5E"/>
    <w:rsid w:val="00EA610F"/>
    <w:rsid w:val="00EA6990"/>
    <w:rsid w:val="00EA7434"/>
    <w:rsid w:val="00EA79BE"/>
    <w:rsid w:val="00EA7E12"/>
    <w:rsid w:val="00EB021E"/>
    <w:rsid w:val="00EB0803"/>
    <w:rsid w:val="00EB0AD1"/>
    <w:rsid w:val="00EB0C21"/>
    <w:rsid w:val="00EB0FCE"/>
    <w:rsid w:val="00EB16A7"/>
    <w:rsid w:val="00EB18F3"/>
    <w:rsid w:val="00EB1A00"/>
    <w:rsid w:val="00EB1A58"/>
    <w:rsid w:val="00EB1EEB"/>
    <w:rsid w:val="00EB2369"/>
    <w:rsid w:val="00EB23A3"/>
    <w:rsid w:val="00EB263D"/>
    <w:rsid w:val="00EB2658"/>
    <w:rsid w:val="00EB269F"/>
    <w:rsid w:val="00EB32B4"/>
    <w:rsid w:val="00EB35D5"/>
    <w:rsid w:val="00EB36F9"/>
    <w:rsid w:val="00EB3C85"/>
    <w:rsid w:val="00EB4013"/>
    <w:rsid w:val="00EB4109"/>
    <w:rsid w:val="00EB42B6"/>
    <w:rsid w:val="00EB43AD"/>
    <w:rsid w:val="00EB46B0"/>
    <w:rsid w:val="00EB4FD6"/>
    <w:rsid w:val="00EB5620"/>
    <w:rsid w:val="00EB5D24"/>
    <w:rsid w:val="00EB5F41"/>
    <w:rsid w:val="00EB6101"/>
    <w:rsid w:val="00EB680D"/>
    <w:rsid w:val="00EB68F2"/>
    <w:rsid w:val="00EB6D09"/>
    <w:rsid w:val="00EB6E54"/>
    <w:rsid w:val="00EB72BD"/>
    <w:rsid w:val="00EB754E"/>
    <w:rsid w:val="00EB76A5"/>
    <w:rsid w:val="00EB7EA4"/>
    <w:rsid w:val="00EC00D7"/>
    <w:rsid w:val="00EC0342"/>
    <w:rsid w:val="00EC04AA"/>
    <w:rsid w:val="00EC073F"/>
    <w:rsid w:val="00EC0B2E"/>
    <w:rsid w:val="00EC0C2B"/>
    <w:rsid w:val="00EC0FF6"/>
    <w:rsid w:val="00EC148C"/>
    <w:rsid w:val="00EC17B1"/>
    <w:rsid w:val="00EC1A4F"/>
    <w:rsid w:val="00EC1DDF"/>
    <w:rsid w:val="00EC27D7"/>
    <w:rsid w:val="00EC2AD3"/>
    <w:rsid w:val="00EC30E4"/>
    <w:rsid w:val="00EC327E"/>
    <w:rsid w:val="00EC37AE"/>
    <w:rsid w:val="00EC3898"/>
    <w:rsid w:val="00EC3A76"/>
    <w:rsid w:val="00EC3B0A"/>
    <w:rsid w:val="00EC3B17"/>
    <w:rsid w:val="00EC3B47"/>
    <w:rsid w:val="00EC4064"/>
    <w:rsid w:val="00EC4195"/>
    <w:rsid w:val="00EC4A38"/>
    <w:rsid w:val="00EC4D57"/>
    <w:rsid w:val="00EC52F5"/>
    <w:rsid w:val="00EC5823"/>
    <w:rsid w:val="00EC5FEA"/>
    <w:rsid w:val="00EC6683"/>
    <w:rsid w:val="00EC69F2"/>
    <w:rsid w:val="00EC6DF9"/>
    <w:rsid w:val="00EC6FFC"/>
    <w:rsid w:val="00ED0198"/>
    <w:rsid w:val="00ED04F7"/>
    <w:rsid w:val="00ED05BB"/>
    <w:rsid w:val="00ED069D"/>
    <w:rsid w:val="00ED0991"/>
    <w:rsid w:val="00ED0C25"/>
    <w:rsid w:val="00ED0C41"/>
    <w:rsid w:val="00ED0DB4"/>
    <w:rsid w:val="00ED0EEF"/>
    <w:rsid w:val="00ED1384"/>
    <w:rsid w:val="00ED138F"/>
    <w:rsid w:val="00ED1403"/>
    <w:rsid w:val="00ED1667"/>
    <w:rsid w:val="00ED1A12"/>
    <w:rsid w:val="00ED1CD6"/>
    <w:rsid w:val="00ED1D48"/>
    <w:rsid w:val="00ED1E3B"/>
    <w:rsid w:val="00ED1EEA"/>
    <w:rsid w:val="00ED2099"/>
    <w:rsid w:val="00ED2565"/>
    <w:rsid w:val="00ED2C04"/>
    <w:rsid w:val="00ED2E23"/>
    <w:rsid w:val="00ED2E9F"/>
    <w:rsid w:val="00ED2F9E"/>
    <w:rsid w:val="00ED3248"/>
    <w:rsid w:val="00ED3E7B"/>
    <w:rsid w:val="00ED4791"/>
    <w:rsid w:val="00ED4C31"/>
    <w:rsid w:val="00ED4CC2"/>
    <w:rsid w:val="00ED4DE8"/>
    <w:rsid w:val="00ED4E9A"/>
    <w:rsid w:val="00ED4F92"/>
    <w:rsid w:val="00ED540C"/>
    <w:rsid w:val="00ED55ED"/>
    <w:rsid w:val="00ED5A20"/>
    <w:rsid w:val="00ED5AAF"/>
    <w:rsid w:val="00ED5B3A"/>
    <w:rsid w:val="00ED65D9"/>
    <w:rsid w:val="00ED7475"/>
    <w:rsid w:val="00ED784C"/>
    <w:rsid w:val="00ED7CB4"/>
    <w:rsid w:val="00EE0A65"/>
    <w:rsid w:val="00EE1199"/>
    <w:rsid w:val="00EE11D0"/>
    <w:rsid w:val="00EE1405"/>
    <w:rsid w:val="00EE158B"/>
    <w:rsid w:val="00EE1CFF"/>
    <w:rsid w:val="00EE2079"/>
    <w:rsid w:val="00EE2698"/>
    <w:rsid w:val="00EE2863"/>
    <w:rsid w:val="00EE289A"/>
    <w:rsid w:val="00EE289D"/>
    <w:rsid w:val="00EE2D99"/>
    <w:rsid w:val="00EE2D9B"/>
    <w:rsid w:val="00EE2DC1"/>
    <w:rsid w:val="00EE370B"/>
    <w:rsid w:val="00EE396E"/>
    <w:rsid w:val="00EE4F53"/>
    <w:rsid w:val="00EE5AF7"/>
    <w:rsid w:val="00EE5B16"/>
    <w:rsid w:val="00EE6143"/>
    <w:rsid w:val="00EE6380"/>
    <w:rsid w:val="00EE6F25"/>
    <w:rsid w:val="00EE7E2B"/>
    <w:rsid w:val="00EF0055"/>
    <w:rsid w:val="00EF0264"/>
    <w:rsid w:val="00EF0800"/>
    <w:rsid w:val="00EF0E62"/>
    <w:rsid w:val="00EF15DB"/>
    <w:rsid w:val="00EF16BF"/>
    <w:rsid w:val="00EF17D9"/>
    <w:rsid w:val="00EF1940"/>
    <w:rsid w:val="00EF1A92"/>
    <w:rsid w:val="00EF1AC5"/>
    <w:rsid w:val="00EF1DF4"/>
    <w:rsid w:val="00EF28F4"/>
    <w:rsid w:val="00EF2B85"/>
    <w:rsid w:val="00EF2F52"/>
    <w:rsid w:val="00EF2F91"/>
    <w:rsid w:val="00EF30A8"/>
    <w:rsid w:val="00EF30BB"/>
    <w:rsid w:val="00EF313C"/>
    <w:rsid w:val="00EF31F1"/>
    <w:rsid w:val="00EF32C8"/>
    <w:rsid w:val="00EF32DA"/>
    <w:rsid w:val="00EF3327"/>
    <w:rsid w:val="00EF33B0"/>
    <w:rsid w:val="00EF33F5"/>
    <w:rsid w:val="00EF3467"/>
    <w:rsid w:val="00EF3570"/>
    <w:rsid w:val="00EF39A8"/>
    <w:rsid w:val="00EF3A3F"/>
    <w:rsid w:val="00EF3E98"/>
    <w:rsid w:val="00EF4377"/>
    <w:rsid w:val="00EF442F"/>
    <w:rsid w:val="00EF4681"/>
    <w:rsid w:val="00EF47FC"/>
    <w:rsid w:val="00EF4A34"/>
    <w:rsid w:val="00EF4CD8"/>
    <w:rsid w:val="00EF4D11"/>
    <w:rsid w:val="00EF51CB"/>
    <w:rsid w:val="00EF5369"/>
    <w:rsid w:val="00EF5674"/>
    <w:rsid w:val="00EF5816"/>
    <w:rsid w:val="00EF5915"/>
    <w:rsid w:val="00EF67D9"/>
    <w:rsid w:val="00EF6909"/>
    <w:rsid w:val="00EF6F12"/>
    <w:rsid w:val="00EF6F45"/>
    <w:rsid w:val="00F00D89"/>
    <w:rsid w:val="00F00FF0"/>
    <w:rsid w:val="00F014D2"/>
    <w:rsid w:val="00F0176E"/>
    <w:rsid w:val="00F01CE0"/>
    <w:rsid w:val="00F02726"/>
    <w:rsid w:val="00F0294D"/>
    <w:rsid w:val="00F02ABC"/>
    <w:rsid w:val="00F02BBB"/>
    <w:rsid w:val="00F0307E"/>
    <w:rsid w:val="00F04624"/>
    <w:rsid w:val="00F046B6"/>
    <w:rsid w:val="00F04CF9"/>
    <w:rsid w:val="00F04F73"/>
    <w:rsid w:val="00F05255"/>
    <w:rsid w:val="00F053FD"/>
    <w:rsid w:val="00F056CB"/>
    <w:rsid w:val="00F057F1"/>
    <w:rsid w:val="00F05FDB"/>
    <w:rsid w:val="00F067C1"/>
    <w:rsid w:val="00F068FF"/>
    <w:rsid w:val="00F06992"/>
    <w:rsid w:val="00F06BC0"/>
    <w:rsid w:val="00F06EB8"/>
    <w:rsid w:val="00F078AF"/>
    <w:rsid w:val="00F07F5B"/>
    <w:rsid w:val="00F1016C"/>
    <w:rsid w:val="00F1027E"/>
    <w:rsid w:val="00F102CC"/>
    <w:rsid w:val="00F103A6"/>
    <w:rsid w:val="00F1046A"/>
    <w:rsid w:val="00F1046D"/>
    <w:rsid w:val="00F1050C"/>
    <w:rsid w:val="00F106AA"/>
    <w:rsid w:val="00F108B9"/>
    <w:rsid w:val="00F10EE8"/>
    <w:rsid w:val="00F1122D"/>
    <w:rsid w:val="00F11262"/>
    <w:rsid w:val="00F11376"/>
    <w:rsid w:val="00F11678"/>
    <w:rsid w:val="00F12349"/>
    <w:rsid w:val="00F123C1"/>
    <w:rsid w:val="00F128BA"/>
    <w:rsid w:val="00F129FC"/>
    <w:rsid w:val="00F12B99"/>
    <w:rsid w:val="00F12F92"/>
    <w:rsid w:val="00F1344B"/>
    <w:rsid w:val="00F13863"/>
    <w:rsid w:val="00F1399A"/>
    <w:rsid w:val="00F139EC"/>
    <w:rsid w:val="00F140A5"/>
    <w:rsid w:val="00F14166"/>
    <w:rsid w:val="00F145E5"/>
    <w:rsid w:val="00F145F2"/>
    <w:rsid w:val="00F15201"/>
    <w:rsid w:val="00F15B20"/>
    <w:rsid w:val="00F15DBD"/>
    <w:rsid w:val="00F15EF1"/>
    <w:rsid w:val="00F15F67"/>
    <w:rsid w:val="00F16C53"/>
    <w:rsid w:val="00F16EF0"/>
    <w:rsid w:val="00F173BA"/>
    <w:rsid w:val="00F176E8"/>
    <w:rsid w:val="00F2063E"/>
    <w:rsid w:val="00F207D3"/>
    <w:rsid w:val="00F2088A"/>
    <w:rsid w:val="00F20D70"/>
    <w:rsid w:val="00F20FD3"/>
    <w:rsid w:val="00F21037"/>
    <w:rsid w:val="00F21285"/>
    <w:rsid w:val="00F21314"/>
    <w:rsid w:val="00F2179E"/>
    <w:rsid w:val="00F21878"/>
    <w:rsid w:val="00F219A3"/>
    <w:rsid w:val="00F21B18"/>
    <w:rsid w:val="00F21ECD"/>
    <w:rsid w:val="00F22575"/>
    <w:rsid w:val="00F228DE"/>
    <w:rsid w:val="00F22A7C"/>
    <w:rsid w:val="00F23A04"/>
    <w:rsid w:val="00F23E6B"/>
    <w:rsid w:val="00F2498A"/>
    <w:rsid w:val="00F24C39"/>
    <w:rsid w:val="00F24EAA"/>
    <w:rsid w:val="00F256B5"/>
    <w:rsid w:val="00F25836"/>
    <w:rsid w:val="00F25FDC"/>
    <w:rsid w:val="00F264D4"/>
    <w:rsid w:val="00F27870"/>
    <w:rsid w:val="00F305D6"/>
    <w:rsid w:val="00F30667"/>
    <w:rsid w:val="00F3081E"/>
    <w:rsid w:val="00F3087F"/>
    <w:rsid w:val="00F31558"/>
    <w:rsid w:val="00F31D3E"/>
    <w:rsid w:val="00F31EC8"/>
    <w:rsid w:val="00F32322"/>
    <w:rsid w:val="00F32586"/>
    <w:rsid w:val="00F32740"/>
    <w:rsid w:val="00F32B44"/>
    <w:rsid w:val="00F32B57"/>
    <w:rsid w:val="00F32C3A"/>
    <w:rsid w:val="00F32D07"/>
    <w:rsid w:val="00F32D3A"/>
    <w:rsid w:val="00F33531"/>
    <w:rsid w:val="00F33AEA"/>
    <w:rsid w:val="00F33B6B"/>
    <w:rsid w:val="00F33CDA"/>
    <w:rsid w:val="00F341DD"/>
    <w:rsid w:val="00F3423B"/>
    <w:rsid w:val="00F34555"/>
    <w:rsid w:val="00F34763"/>
    <w:rsid w:val="00F34AC5"/>
    <w:rsid w:val="00F34ECF"/>
    <w:rsid w:val="00F3515F"/>
    <w:rsid w:val="00F35B29"/>
    <w:rsid w:val="00F35F40"/>
    <w:rsid w:val="00F362B6"/>
    <w:rsid w:val="00F36487"/>
    <w:rsid w:val="00F368A0"/>
    <w:rsid w:val="00F36917"/>
    <w:rsid w:val="00F36DFD"/>
    <w:rsid w:val="00F37252"/>
    <w:rsid w:val="00F37409"/>
    <w:rsid w:val="00F37B1A"/>
    <w:rsid w:val="00F37C60"/>
    <w:rsid w:val="00F37ECC"/>
    <w:rsid w:val="00F40C8C"/>
    <w:rsid w:val="00F40D65"/>
    <w:rsid w:val="00F41070"/>
    <w:rsid w:val="00F41250"/>
    <w:rsid w:val="00F4148E"/>
    <w:rsid w:val="00F41750"/>
    <w:rsid w:val="00F419CF"/>
    <w:rsid w:val="00F42155"/>
    <w:rsid w:val="00F426F4"/>
    <w:rsid w:val="00F42B3B"/>
    <w:rsid w:val="00F42C39"/>
    <w:rsid w:val="00F42E75"/>
    <w:rsid w:val="00F43622"/>
    <w:rsid w:val="00F436B6"/>
    <w:rsid w:val="00F436E8"/>
    <w:rsid w:val="00F43862"/>
    <w:rsid w:val="00F438BE"/>
    <w:rsid w:val="00F438FF"/>
    <w:rsid w:val="00F43DD4"/>
    <w:rsid w:val="00F441AC"/>
    <w:rsid w:val="00F442CD"/>
    <w:rsid w:val="00F442E7"/>
    <w:rsid w:val="00F44870"/>
    <w:rsid w:val="00F451A9"/>
    <w:rsid w:val="00F4554C"/>
    <w:rsid w:val="00F4572A"/>
    <w:rsid w:val="00F45B1C"/>
    <w:rsid w:val="00F45C55"/>
    <w:rsid w:val="00F460FB"/>
    <w:rsid w:val="00F4651C"/>
    <w:rsid w:val="00F46AB9"/>
    <w:rsid w:val="00F46CD4"/>
    <w:rsid w:val="00F47264"/>
    <w:rsid w:val="00F47311"/>
    <w:rsid w:val="00F474FB"/>
    <w:rsid w:val="00F47505"/>
    <w:rsid w:val="00F505F4"/>
    <w:rsid w:val="00F517E9"/>
    <w:rsid w:val="00F51A88"/>
    <w:rsid w:val="00F51A8B"/>
    <w:rsid w:val="00F51C4A"/>
    <w:rsid w:val="00F5227A"/>
    <w:rsid w:val="00F5276D"/>
    <w:rsid w:val="00F528A2"/>
    <w:rsid w:val="00F52AC5"/>
    <w:rsid w:val="00F52BF4"/>
    <w:rsid w:val="00F53068"/>
    <w:rsid w:val="00F53095"/>
    <w:rsid w:val="00F53268"/>
    <w:rsid w:val="00F533F4"/>
    <w:rsid w:val="00F53448"/>
    <w:rsid w:val="00F5355B"/>
    <w:rsid w:val="00F53A8F"/>
    <w:rsid w:val="00F53E9E"/>
    <w:rsid w:val="00F53F96"/>
    <w:rsid w:val="00F541B6"/>
    <w:rsid w:val="00F54211"/>
    <w:rsid w:val="00F5460D"/>
    <w:rsid w:val="00F54711"/>
    <w:rsid w:val="00F54C00"/>
    <w:rsid w:val="00F54DC7"/>
    <w:rsid w:val="00F54F24"/>
    <w:rsid w:val="00F55148"/>
    <w:rsid w:val="00F553BE"/>
    <w:rsid w:val="00F562D6"/>
    <w:rsid w:val="00F56BD1"/>
    <w:rsid w:val="00F57479"/>
    <w:rsid w:val="00F57683"/>
    <w:rsid w:val="00F576C7"/>
    <w:rsid w:val="00F579A6"/>
    <w:rsid w:val="00F57AF5"/>
    <w:rsid w:val="00F60362"/>
    <w:rsid w:val="00F60373"/>
    <w:rsid w:val="00F603A1"/>
    <w:rsid w:val="00F60C06"/>
    <w:rsid w:val="00F61473"/>
    <w:rsid w:val="00F61812"/>
    <w:rsid w:val="00F61C06"/>
    <w:rsid w:val="00F61E32"/>
    <w:rsid w:val="00F620FC"/>
    <w:rsid w:val="00F62329"/>
    <w:rsid w:val="00F62CAC"/>
    <w:rsid w:val="00F62DE9"/>
    <w:rsid w:val="00F62EB9"/>
    <w:rsid w:val="00F62F53"/>
    <w:rsid w:val="00F635D2"/>
    <w:rsid w:val="00F63881"/>
    <w:rsid w:val="00F63C01"/>
    <w:rsid w:val="00F63E72"/>
    <w:rsid w:val="00F63F5B"/>
    <w:rsid w:val="00F6413E"/>
    <w:rsid w:val="00F646BF"/>
    <w:rsid w:val="00F64CEB"/>
    <w:rsid w:val="00F6556F"/>
    <w:rsid w:val="00F6569D"/>
    <w:rsid w:val="00F65C8D"/>
    <w:rsid w:val="00F65D39"/>
    <w:rsid w:val="00F66528"/>
    <w:rsid w:val="00F667A7"/>
    <w:rsid w:val="00F67171"/>
    <w:rsid w:val="00F67177"/>
    <w:rsid w:val="00F67A35"/>
    <w:rsid w:val="00F67D64"/>
    <w:rsid w:val="00F67FEE"/>
    <w:rsid w:val="00F70233"/>
    <w:rsid w:val="00F709D1"/>
    <w:rsid w:val="00F70F13"/>
    <w:rsid w:val="00F710E8"/>
    <w:rsid w:val="00F712D4"/>
    <w:rsid w:val="00F71A50"/>
    <w:rsid w:val="00F71B7F"/>
    <w:rsid w:val="00F72640"/>
    <w:rsid w:val="00F73E47"/>
    <w:rsid w:val="00F73FF9"/>
    <w:rsid w:val="00F740C5"/>
    <w:rsid w:val="00F74209"/>
    <w:rsid w:val="00F74788"/>
    <w:rsid w:val="00F747F6"/>
    <w:rsid w:val="00F74ACB"/>
    <w:rsid w:val="00F75891"/>
    <w:rsid w:val="00F75C3C"/>
    <w:rsid w:val="00F76998"/>
    <w:rsid w:val="00F76A89"/>
    <w:rsid w:val="00F76CAC"/>
    <w:rsid w:val="00F771B7"/>
    <w:rsid w:val="00F772F0"/>
    <w:rsid w:val="00F77304"/>
    <w:rsid w:val="00F77608"/>
    <w:rsid w:val="00F7766E"/>
    <w:rsid w:val="00F77C69"/>
    <w:rsid w:val="00F8001C"/>
    <w:rsid w:val="00F80B92"/>
    <w:rsid w:val="00F81C28"/>
    <w:rsid w:val="00F81CF2"/>
    <w:rsid w:val="00F81EED"/>
    <w:rsid w:val="00F82121"/>
    <w:rsid w:val="00F821FE"/>
    <w:rsid w:val="00F8297A"/>
    <w:rsid w:val="00F82981"/>
    <w:rsid w:val="00F82F3C"/>
    <w:rsid w:val="00F83025"/>
    <w:rsid w:val="00F830F7"/>
    <w:rsid w:val="00F834C6"/>
    <w:rsid w:val="00F838EC"/>
    <w:rsid w:val="00F83961"/>
    <w:rsid w:val="00F83D07"/>
    <w:rsid w:val="00F840B8"/>
    <w:rsid w:val="00F8416F"/>
    <w:rsid w:val="00F8419B"/>
    <w:rsid w:val="00F8423D"/>
    <w:rsid w:val="00F84320"/>
    <w:rsid w:val="00F84B82"/>
    <w:rsid w:val="00F84C7D"/>
    <w:rsid w:val="00F84DFF"/>
    <w:rsid w:val="00F852B2"/>
    <w:rsid w:val="00F85C2E"/>
    <w:rsid w:val="00F85EC3"/>
    <w:rsid w:val="00F85F79"/>
    <w:rsid w:val="00F86654"/>
    <w:rsid w:val="00F86683"/>
    <w:rsid w:val="00F868BC"/>
    <w:rsid w:val="00F86932"/>
    <w:rsid w:val="00F86BEE"/>
    <w:rsid w:val="00F86ED6"/>
    <w:rsid w:val="00F86EEC"/>
    <w:rsid w:val="00F86F3C"/>
    <w:rsid w:val="00F87067"/>
    <w:rsid w:val="00F87BBE"/>
    <w:rsid w:val="00F87F74"/>
    <w:rsid w:val="00F9007C"/>
    <w:rsid w:val="00F90110"/>
    <w:rsid w:val="00F902F0"/>
    <w:rsid w:val="00F90493"/>
    <w:rsid w:val="00F90619"/>
    <w:rsid w:val="00F9078B"/>
    <w:rsid w:val="00F90981"/>
    <w:rsid w:val="00F90C6E"/>
    <w:rsid w:val="00F91866"/>
    <w:rsid w:val="00F91F7B"/>
    <w:rsid w:val="00F91FC2"/>
    <w:rsid w:val="00F9215A"/>
    <w:rsid w:val="00F923B8"/>
    <w:rsid w:val="00F92774"/>
    <w:rsid w:val="00F92F39"/>
    <w:rsid w:val="00F93189"/>
    <w:rsid w:val="00F93282"/>
    <w:rsid w:val="00F936CA"/>
    <w:rsid w:val="00F938C5"/>
    <w:rsid w:val="00F9413F"/>
    <w:rsid w:val="00F94920"/>
    <w:rsid w:val="00F953C8"/>
    <w:rsid w:val="00F9556A"/>
    <w:rsid w:val="00F95A29"/>
    <w:rsid w:val="00F95C50"/>
    <w:rsid w:val="00F96548"/>
    <w:rsid w:val="00F96966"/>
    <w:rsid w:val="00F9718D"/>
    <w:rsid w:val="00F971E1"/>
    <w:rsid w:val="00F972F1"/>
    <w:rsid w:val="00F973C3"/>
    <w:rsid w:val="00F97595"/>
    <w:rsid w:val="00F97A36"/>
    <w:rsid w:val="00F97A8C"/>
    <w:rsid w:val="00F97CDB"/>
    <w:rsid w:val="00FA00DE"/>
    <w:rsid w:val="00FA07A7"/>
    <w:rsid w:val="00FA0AAB"/>
    <w:rsid w:val="00FA1213"/>
    <w:rsid w:val="00FA1653"/>
    <w:rsid w:val="00FA1C80"/>
    <w:rsid w:val="00FA1F1E"/>
    <w:rsid w:val="00FA1F82"/>
    <w:rsid w:val="00FA2167"/>
    <w:rsid w:val="00FA2611"/>
    <w:rsid w:val="00FA29ED"/>
    <w:rsid w:val="00FA2C8A"/>
    <w:rsid w:val="00FA3CB6"/>
    <w:rsid w:val="00FA4C7A"/>
    <w:rsid w:val="00FA4D8A"/>
    <w:rsid w:val="00FA516C"/>
    <w:rsid w:val="00FA54C2"/>
    <w:rsid w:val="00FA54D6"/>
    <w:rsid w:val="00FA54F4"/>
    <w:rsid w:val="00FA57E3"/>
    <w:rsid w:val="00FA5CC7"/>
    <w:rsid w:val="00FA631C"/>
    <w:rsid w:val="00FA6577"/>
    <w:rsid w:val="00FA6CA6"/>
    <w:rsid w:val="00FA7164"/>
    <w:rsid w:val="00FA7689"/>
    <w:rsid w:val="00FA7BC4"/>
    <w:rsid w:val="00FA7CBD"/>
    <w:rsid w:val="00FB0433"/>
    <w:rsid w:val="00FB0440"/>
    <w:rsid w:val="00FB0668"/>
    <w:rsid w:val="00FB0721"/>
    <w:rsid w:val="00FB07EA"/>
    <w:rsid w:val="00FB0ABA"/>
    <w:rsid w:val="00FB0ADE"/>
    <w:rsid w:val="00FB0BDA"/>
    <w:rsid w:val="00FB0EF5"/>
    <w:rsid w:val="00FB1788"/>
    <w:rsid w:val="00FB1B59"/>
    <w:rsid w:val="00FB1EAC"/>
    <w:rsid w:val="00FB22B6"/>
    <w:rsid w:val="00FB2883"/>
    <w:rsid w:val="00FB2BBF"/>
    <w:rsid w:val="00FB2DFF"/>
    <w:rsid w:val="00FB2F84"/>
    <w:rsid w:val="00FB30C6"/>
    <w:rsid w:val="00FB35DC"/>
    <w:rsid w:val="00FB36BB"/>
    <w:rsid w:val="00FB49D7"/>
    <w:rsid w:val="00FB4AE7"/>
    <w:rsid w:val="00FB4EDA"/>
    <w:rsid w:val="00FB56A6"/>
    <w:rsid w:val="00FB56CF"/>
    <w:rsid w:val="00FB598D"/>
    <w:rsid w:val="00FB65C8"/>
    <w:rsid w:val="00FB6617"/>
    <w:rsid w:val="00FB66C4"/>
    <w:rsid w:val="00FB6773"/>
    <w:rsid w:val="00FB69AD"/>
    <w:rsid w:val="00FB6A8B"/>
    <w:rsid w:val="00FB6CA4"/>
    <w:rsid w:val="00FB6EAB"/>
    <w:rsid w:val="00FB7556"/>
    <w:rsid w:val="00FB7B7B"/>
    <w:rsid w:val="00FB7BDC"/>
    <w:rsid w:val="00FB7C4C"/>
    <w:rsid w:val="00FC1582"/>
    <w:rsid w:val="00FC15FA"/>
    <w:rsid w:val="00FC1B09"/>
    <w:rsid w:val="00FC2220"/>
    <w:rsid w:val="00FC2530"/>
    <w:rsid w:val="00FC2677"/>
    <w:rsid w:val="00FC29E7"/>
    <w:rsid w:val="00FC2C99"/>
    <w:rsid w:val="00FC3E51"/>
    <w:rsid w:val="00FC4252"/>
    <w:rsid w:val="00FC46BC"/>
    <w:rsid w:val="00FC47EC"/>
    <w:rsid w:val="00FC50FE"/>
    <w:rsid w:val="00FC51DE"/>
    <w:rsid w:val="00FC5481"/>
    <w:rsid w:val="00FC569C"/>
    <w:rsid w:val="00FC5743"/>
    <w:rsid w:val="00FC58A9"/>
    <w:rsid w:val="00FC5D98"/>
    <w:rsid w:val="00FC5F76"/>
    <w:rsid w:val="00FC638C"/>
    <w:rsid w:val="00FC641E"/>
    <w:rsid w:val="00FC6E08"/>
    <w:rsid w:val="00FC7108"/>
    <w:rsid w:val="00FC7142"/>
    <w:rsid w:val="00FC7627"/>
    <w:rsid w:val="00FC76E9"/>
    <w:rsid w:val="00FC7739"/>
    <w:rsid w:val="00FC7A88"/>
    <w:rsid w:val="00FC7AC6"/>
    <w:rsid w:val="00FC7B6E"/>
    <w:rsid w:val="00FC7EB0"/>
    <w:rsid w:val="00FD06D6"/>
    <w:rsid w:val="00FD08A0"/>
    <w:rsid w:val="00FD0B57"/>
    <w:rsid w:val="00FD0C62"/>
    <w:rsid w:val="00FD0EAE"/>
    <w:rsid w:val="00FD1D07"/>
    <w:rsid w:val="00FD25E8"/>
    <w:rsid w:val="00FD3540"/>
    <w:rsid w:val="00FD3665"/>
    <w:rsid w:val="00FD3AC1"/>
    <w:rsid w:val="00FD3D33"/>
    <w:rsid w:val="00FD44C7"/>
    <w:rsid w:val="00FD4A9F"/>
    <w:rsid w:val="00FD4B18"/>
    <w:rsid w:val="00FD4DBD"/>
    <w:rsid w:val="00FD4FB9"/>
    <w:rsid w:val="00FD53B0"/>
    <w:rsid w:val="00FD5B55"/>
    <w:rsid w:val="00FD5E4D"/>
    <w:rsid w:val="00FD5FF5"/>
    <w:rsid w:val="00FD60FC"/>
    <w:rsid w:val="00FD6172"/>
    <w:rsid w:val="00FD64D9"/>
    <w:rsid w:val="00FD6A48"/>
    <w:rsid w:val="00FD6BFF"/>
    <w:rsid w:val="00FD6E7A"/>
    <w:rsid w:val="00FD7025"/>
    <w:rsid w:val="00FD70B0"/>
    <w:rsid w:val="00FD7B2F"/>
    <w:rsid w:val="00FE0259"/>
    <w:rsid w:val="00FE0478"/>
    <w:rsid w:val="00FE059B"/>
    <w:rsid w:val="00FE0937"/>
    <w:rsid w:val="00FE0F4B"/>
    <w:rsid w:val="00FE2069"/>
    <w:rsid w:val="00FE3134"/>
    <w:rsid w:val="00FE380C"/>
    <w:rsid w:val="00FE405E"/>
    <w:rsid w:val="00FE4166"/>
    <w:rsid w:val="00FE47CD"/>
    <w:rsid w:val="00FE4850"/>
    <w:rsid w:val="00FE4AC6"/>
    <w:rsid w:val="00FE4D5B"/>
    <w:rsid w:val="00FE4F2D"/>
    <w:rsid w:val="00FE4F3C"/>
    <w:rsid w:val="00FE4F80"/>
    <w:rsid w:val="00FE54EA"/>
    <w:rsid w:val="00FE5600"/>
    <w:rsid w:val="00FE5E59"/>
    <w:rsid w:val="00FE61D1"/>
    <w:rsid w:val="00FE62BB"/>
    <w:rsid w:val="00FE63A4"/>
    <w:rsid w:val="00FE6874"/>
    <w:rsid w:val="00FE68A8"/>
    <w:rsid w:val="00FE6924"/>
    <w:rsid w:val="00FE69FD"/>
    <w:rsid w:val="00FE6B33"/>
    <w:rsid w:val="00FE6C20"/>
    <w:rsid w:val="00FE6C6E"/>
    <w:rsid w:val="00FE7385"/>
    <w:rsid w:val="00FE7C2A"/>
    <w:rsid w:val="00FE7CC5"/>
    <w:rsid w:val="00FF0088"/>
    <w:rsid w:val="00FF05FC"/>
    <w:rsid w:val="00FF0F69"/>
    <w:rsid w:val="00FF11F1"/>
    <w:rsid w:val="00FF1928"/>
    <w:rsid w:val="00FF1AB2"/>
    <w:rsid w:val="00FF1D30"/>
    <w:rsid w:val="00FF2167"/>
    <w:rsid w:val="00FF256C"/>
    <w:rsid w:val="00FF27ED"/>
    <w:rsid w:val="00FF2986"/>
    <w:rsid w:val="00FF2A4D"/>
    <w:rsid w:val="00FF3428"/>
    <w:rsid w:val="00FF369B"/>
    <w:rsid w:val="00FF36B3"/>
    <w:rsid w:val="00FF3B21"/>
    <w:rsid w:val="00FF3FD8"/>
    <w:rsid w:val="00FF4063"/>
    <w:rsid w:val="00FF4135"/>
    <w:rsid w:val="00FF43DF"/>
    <w:rsid w:val="00FF483F"/>
    <w:rsid w:val="00FF4C92"/>
    <w:rsid w:val="00FF4E35"/>
    <w:rsid w:val="00FF4F18"/>
    <w:rsid w:val="00FF53C9"/>
    <w:rsid w:val="00FF63E4"/>
    <w:rsid w:val="00FF663C"/>
    <w:rsid w:val="00FF66BD"/>
    <w:rsid w:val="00FF6CF6"/>
    <w:rsid w:val="00FF6F1A"/>
    <w:rsid w:val="011C74B2"/>
    <w:rsid w:val="012A083E"/>
    <w:rsid w:val="02581525"/>
    <w:rsid w:val="027B639D"/>
    <w:rsid w:val="029568E7"/>
    <w:rsid w:val="02CE2CB2"/>
    <w:rsid w:val="035003D6"/>
    <w:rsid w:val="03863E70"/>
    <w:rsid w:val="03D1158F"/>
    <w:rsid w:val="043F30CA"/>
    <w:rsid w:val="04422E6B"/>
    <w:rsid w:val="04EF18DF"/>
    <w:rsid w:val="0519262A"/>
    <w:rsid w:val="05E059EC"/>
    <w:rsid w:val="05E656E9"/>
    <w:rsid w:val="05FB3814"/>
    <w:rsid w:val="06E65352"/>
    <w:rsid w:val="08624EAC"/>
    <w:rsid w:val="091B7041"/>
    <w:rsid w:val="09C21D61"/>
    <w:rsid w:val="0AC879AB"/>
    <w:rsid w:val="0B094A92"/>
    <w:rsid w:val="0B451036"/>
    <w:rsid w:val="0B833183"/>
    <w:rsid w:val="0C233289"/>
    <w:rsid w:val="0DC55FC0"/>
    <w:rsid w:val="0DE6363E"/>
    <w:rsid w:val="0F1862C4"/>
    <w:rsid w:val="10B97677"/>
    <w:rsid w:val="11401CDB"/>
    <w:rsid w:val="12704669"/>
    <w:rsid w:val="133A279F"/>
    <w:rsid w:val="133E2072"/>
    <w:rsid w:val="143D5AF1"/>
    <w:rsid w:val="14A73940"/>
    <w:rsid w:val="15F87A22"/>
    <w:rsid w:val="171F56EB"/>
    <w:rsid w:val="1819270C"/>
    <w:rsid w:val="190F5991"/>
    <w:rsid w:val="19764F2B"/>
    <w:rsid w:val="1A2449B6"/>
    <w:rsid w:val="1A383CBF"/>
    <w:rsid w:val="1A7E151C"/>
    <w:rsid w:val="1BD368A8"/>
    <w:rsid w:val="1C295ECB"/>
    <w:rsid w:val="1C436579"/>
    <w:rsid w:val="1CA563EF"/>
    <w:rsid w:val="1CB20CF1"/>
    <w:rsid w:val="1CD02421"/>
    <w:rsid w:val="1D6844D5"/>
    <w:rsid w:val="1DDC5928"/>
    <w:rsid w:val="1F7F441C"/>
    <w:rsid w:val="207F634B"/>
    <w:rsid w:val="213A4B92"/>
    <w:rsid w:val="21886640"/>
    <w:rsid w:val="21BF72FA"/>
    <w:rsid w:val="225812B3"/>
    <w:rsid w:val="2301202C"/>
    <w:rsid w:val="23706277"/>
    <w:rsid w:val="23AA7EAF"/>
    <w:rsid w:val="26056817"/>
    <w:rsid w:val="26100D0F"/>
    <w:rsid w:val="27A16FF0"/>
    <w:rsid w:val="289A61FA"/>
    <w:rsid w:val="2AB36FA2"/>
    <w:rsid w:val="2B4104F9"/>
    <w:rsid w:val="2B876854"/>
    <w:rsid w:val="2D0F5CF4"/>
    <w:rsid w:val="2D383323"/>
    <w:rsid w:val="2E0C20D8"/>
    <w:rsid w:val="2E7154B5"/>
    <w:rsid w:val="2F19217E"/>
    <w:rsid w:val="2FA00EA9"/>
    <w:rsid w:val="30450A8C"/>
    <w:rsid w:val="30814F39"/>
    <w:rsid w:val="30BC3ADF"/>
    <w:rsid w:val="30DE251B"/>
    <w:rsid w:val="314A30C8"/>
    <w:rsid w:val="325D0E38"/>
    <w:rsid w:val="32B73692"/>
    <w:rsid w:val="32BC7D33"/>
    <w:rsid w:val="33196C24"/>
    <w:rsid w:val="33775400"/>
    <w:rsid w:val="33FC71AA"/>
    <w:rsid w:val="34251F31"/>
    <w:rsid w:val="34FB0C3B"/>
    <w:rsid w:val="356715F8"/>
    <w:rsid w:val="36346070"/>
    <w:rsid w:val="378917C1"/>
    <w:rsid w:val="37E566EF"/>
    <w:rsid w:val="384A583C"/>
    <w:rsid w:val="38C14966"/>
    <w:rsid w:val="391E546A"/>
    <w:rsid w:val="394C01BD"/>
    <w:rsid w:val="396E1AD1"/>
    <w:rsid w:val="398904C6"/>
    <w:rsid w:val="39B36A66"/>
    <w:rsid w:val="3B9B4A91"/>
    <w:rsid w:val="3BC44ED4"/>
    <w:rsid w:val="3D655001"/>
    <w:rsid w:val="3D914055"/>
    <w:rsid w:val="3D985637"/>
    <w:rsid w:val="3E8F6E8B"/>
    <w:rsid w:val="3EB674BC"/>
    <w:rsid w:val="3EE82BCD"/>
    <w:rsid w:val="3EF510CC"/>
    <w:rsid w:val="3FB22828"/>
    <w:rsid w:val="403A340E"/>
    <w:rsid w:val="40786738"/>
    <w:rsid w:val="409969B6"/>
    <w:rsid w:val="40AD50FD"/>
    <w:rsid w:val="41B0762E"/>
    <w:rsid w:val="42223725"/>
    <w:rsid w:val="42C26016"/>
    <w:rsid w:val="43A050CE"/>
    <w:rsid w:val="44A5003C"/>
    <w:rsid w:val="4521341D"/>
    <w:rsid w:val="4572343E"/>
    <w:rsid w:val="46121C35"/>
    <w:rsid w:val="46267C76"/>
    <w:rsid w:val="4689797D"/>
    <w:rsid w:val="46903F5E"/>
    <w:rsid w:val="482E7E64"/>
    <w:rsid w:val="48887CEC"/>
    <w:rsid w:val="48947FF0"/>
    <w:rsid w:val="4A413C1A"/>
    <w:rsid w:val="4A8F4DC9"/>
    <w:rsid w:val="4AB5604E"/>
    <w:rsid w:val="4C1B4FA3"/>
    <w:rsid w:val="4D502AF2"/>
    <w:rsid w:val="4D597930"/>
    <w:rsid w:val="4D8B54AE"/>
    <w:rsid w:val="4F380BAC"/>
    <w:rsid w:val="4F673E69"/>
    <w:rsid w:val="4FAD0894"/>
    <w:rsid w:val="507E7873"/>
    <w:rsid w:val="50BC414B"/>
    <w:rsid w:val="50F96FFC"/>
    <w:rsid w:val="518A40F8"/>
    <w:rsid w:val="527C37E2"/>
    <w:rsid w:val="53A35D07"/>
    <w:rsid w:val="554F368F"/>
    <w:rsid w:val="55735A3E"/>
    <w:rsid w:val="56182F10"/>
    <w:rsid w:val="568D515A"/>
    <w:rsid w:val="569D1C00"/>
    <w:rsid w:val="56B17B49"/>
    <w:rsid w:val="56BC6B02"/>
    <w:rsid w:val="56C12E34"/>
    <w:rsid w:val="57185AC9"/>
    <w:rsid w:val="57A44CA1"/>
    <w:rsid w:val="58AE691E"/>
    <w:rsid w:val="59A42311"/>
    <w:rsid w:val="5A041853"/>
    <w:rsid w:val="5B40505E"/>
    <w:rsid w:val="5B857E0A"/>
    <w:rsid w:val="5C5509F2"/>
    <w:rsid w:val="5D2850A1"/>
    <w:rsid w:val="5E734892"/>
    <w:rsid w:val="5ED6097D"/>
    <w:rsid w:val="5EDF7683"/>
    <w:rsid w:val="5F3A48D4"/>
    <w:rsid w:val="6300421A"/>
    <w:rsid w:val="632D2297"/>
    <w:rsid w:val="63AD6150"/>
    <w:rsid w:val="63D3661C"/>
    <w:rsid w:val="64340620"/>
    <w:rsid w:val="64F54970"/>
    <w:rsid w:val="65484E76"/>
    <w:rsid w:val="65BE72E4"/>
    <w:rsid w:val="65F65310"/>
    <w:rsid w:val="66060BF9"/>
    <w:rsid w:val="66061D39"/>
    <w:rsid w:val="66B137F8"/>
    <w:rsid w:val="66B71A94"/>
    <w:rsid w:val="679561C0"/>
    <w:rsid w:val="67987117"/>
    <w:rsid w:val="67BF66A7"/>
    <w:rsid w:val="67E1286C"/>
    <w:rsid w:val="67F208BA"/>
    <w:rsid w:val="68E75BA5"/>
    <w:rsid w:val="68EE2307"/>
    <w:rsid w:val="692355DF"/>
    <w:rsid w:val="69F457FF"/>
    <w:rsid w:val="6A9519CB"/>
    <w:rsid w:val="6B0C3838"/>
    <w:rsid w:val="6B2018FE"/>
    <w:rsid w:val="6BAB1F11"/>
    <w:rsid w:val="6C3140AA"/>
    <w:rsid w:val="6E837CDE"/>
    <w:rsid w:val="6F932C86"/>
    <w:rsid w:val="6F9D2F70"/>
    <w:rsid w:val="70074E3A"/>
    <w:rsid w:val="70212176"/>
    <w:rsid w:val="70331110"/>
    <w:rsid w:val="71FA7C7A"/>
    <w:rsid w:val="72E60CA8"/>
    <w:rsid w:val="72EE7CB6"/>
    <w:rsid w:val="733E001A"/>
    <w:rsid w:val="74F769B5"/>
    <w:rsid w:val="77184E78"/>
    <w:rsid w:val="773C7ABF"/>
    <w:rsid w:val="77C107A6"/>
    <w:rsid w:val="78FE3883"/>
    <w:rsid w:val="7BB13288"/>
    <w:rsid w:val="7C885555"/>
    <w:rsid w:val="7C8C5230"/>
    <w:rsid w:val="7CC81F31"/>
    <w:rsid w:val="7CE704CD"/>
    <w:rsid w:val="7D5D6593"/>
    <w:rsid w:val="7D654DE4"/>
    <w:rsid w:val="7D9F0875"/>
    <w:rsid w:val="7DF32EA2"/>
    <w:rsid w:val="7E312487"/>
    <w:rsid w:val="7EAA17B2"/>
    <w:rsid w:val="7F5002B0"/>
    <w:rsid w:val="7FC56178"/>
    <w:rsid w:val="FF1DA1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uiPriority="99" w:name="HTML Typewriter"/>
    <w:lsdException w:qFormat="1" w:uiPriority="99"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nhideWhenUsed="0" w:uiPriority="0" w:semiHidden="0"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0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1"/>
    <w:qFormat/>
    <w:uiPriority w:val="0"/>
    <w:pPr>
      <w:keepNext/>
      <w:keepLines/>
      <w:outlineLvl w:val="1"/>
    </w:pPr>
    <w:rPr>
      <w:rFonts w:ascii="Arial" w:hAnsi="Arial" w:eastAsia="黑体"/>
      <w:b/>
      <w:bCs/>
      <w:sz w:val="28"/>
      <w:szCs w:val="32"/>
    </w:rPr>
  </w:style>
  <w:style w:type="paragraph" w:styleId="4">
    <w:name w:val="heading 3"/>
    <w:basedOn w:val="1"/>
    <w:next w:val="1"/>
    <w:link w:val="193"/>
    <w:semiHidden/>
    <w:unhideWhenUsed/>
    <w:qFormat/>
    <w:uiPriority w:val="9"/>
    <w:pPr>
      <w:keepNext/>
      <w:keepLines/>
      <w:spacing w:before="260" w:after="260" w:line="416" w:lineRule="auto"/>
      <w:outlineLvl w:val="2"/>
    </w:pPr>
    <w:rPr>
      <w:b/>
      <w:bCs/>
      <w:sz w:val="32"/>
      <w:szCs w:val="32"/>
    </w:rPr>
  </w:style>
  <w:style w:type="character" w:default="1" w:styleId="39">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0"/>
    <w:pPr>
      <w:ind w:left="1260"/>
      <w:jc w:val="left"/>
    </w:pPr>
    <w:rPr>
      <w:sz w:val="18"/>
      <w:szCs w:val="18"/>
    </w:rPr>
  </w:style>
  <w:style w:type="paragraph" w:styleId="6">
    <w:name w:val="Normal Indent"/>
    <w:basedOn w:val="1"/>
    <w:link w:val="91"/>
    <w:qFormat/>
    <w:uiPriority w:val="0"/>
    <w:pPr>
      <w:ind w:firstLine="420"/>
    </w:pPr>
    <w:rPr>
      <w:rFonts w:ascii="宋体"/>
      <w:kern w:val="0"/>
      <w:sz w:val="26"/>
      <w:szCs w:val="20"/>
    </w:rPr>
  </w:style>
  <w:style w:type="paragraph" w:styleId="7">
    <w:name w:val="Document Map"/>
    <w:basedOn w:val="1"/>
    <w:link w:val="87"/>
    <w:unhideWhenUsed/>
    <w:qFormat/>
    <w:uiPriority w:val="99"/>
    <w:rPr>
      <w:rFonts w:ascii="宋体"/>
      <w:sz w:val="18"/>
      <w:szCs w:val="18"/>
    </w:rPr>
  </w:style>
  <w:style w:type="paragraph" w:styleId="8">
    <w:name w:val="annotation text"/>
    <w:basedOn w:val="1"/>
    <w:link w:val="72"/>
    <w:qFormat/>
    <w:uiPriority w:val="99"/>
    <w:pPr>
      <w:jc w:val="left"/>
    </w:pPr>
  </w:style>
  <w:style w:type="paragraph" w:styleId="9">
    <w:name w:val="Body Text"/>
    <w:basedOn w:val="1"/>
    <w:link w:val="218"/>
    <w:qFormat/>
    <w:uiPriority w:val="0"/>
    <w:pPr>
      <w:spacing w:after="120"/>
    </w:pPr>
  </w:style>
  <w:style w:type="paragraph" w:styleId="10">
    <w:name w:val="Body Text Indent"/>
    <w:basedOn w:val="1"/>
    <w:next w:val="11"/>
    <w:link w:val="200"/>
    <w:qFormat/>
    <w:uiPriority w:val="0"/>
    <w:pPr>
      <w:spacing w:after="120"/>
      <w:ind w:left="420" w:leftChars="200"/>
    </w:pPr>
    <w:rPr>
      <w:szCs w:val="24"/>
    </w:rPr>
  </w:style>
  <w:style w:type="paragraph" w:styleId="11">
    <w:name w:val="Body Text Indent 2"/>
    <w:basedOn w:val="1"/>
    <w:link w:val="235"/>
    <w:qFormat/>
    <w:uiPriority w:val="0"/>
    <w:pPr>
      <w:spacing w:after="120" w:line="480" w:lineRule="auto"/>
      <w:ind w:left="420" w:leftChars="200"/>
    </w:pPr>
    <w:rPr>
      <w:szCs w:val="24"/>
    </w:rPr>
  </w:style>
  <w:style w:type="paragraph" w:styleId="12">
    <w:name w:val="toc 5"/>
    <w:basedOn w:val="1"/>
    <w:next w:val="1"/>
    <w:semiHidden/>
    <w:qFormat/>
    <w:uiPriority w:val="0"/>
    <w:pPr>
      <w:ind w:left="840"/>
      <w:jc w:val="left"/>
    </w:pPr>
    <w:rPr>
      <w:sz w:val="18"/>
      <w:szCs w:val="18"/>
    </w:rPr>
  </w:style>
  <w:style w:type="paragraph" w:styleId="13">
    <w:name w:val="toc 3"/>
    <w:basedOn w:val="1"/>
    <w:next w:val="1"/>
    <w:semiHidden/>
    <w:qFormat/>
    <w:uiPriority w:val="0"/>
    <w:pPr>
      <w:ind w:left="420"/>
      <w:jc w:val="left"/>
    </w:pPr>
    <w:rPr>
      <w:i/>
      <w:iCs/>
      <w:sz w:val="20"/>
      <w:szCs w:val="20"/>
    </w:rPr>
  </w:style>
  <w:style w:type="paragraph" w:styleId="14">
    <w:name w:val="Plain Text"/>
    <w:basedOn w:val="1"/>
    <w:link w:val="85"/>
    <w:qFormat/>
    <w:uiPriority w:val="0"/>
    <w:rPr>
      <w:rFonts w:ascii="宋体" w:hAnsi="Courier New"/>
      <w:color w:val="000000"/>
      <w:kern w:val="0"/>
      <w:sz w:val="26"/>
      <w:szCs w:val="20"/>
    </w:rPr>
  </w:style>
  <w:style w:type="paragraph" w:styleId="15">
    <w:name w:val="toc 8"/>
    <w:basedOn w:val="1"/>
    <w:next w:val="1"/>
    <w:semiHidden/>
    <w:qFormat/>
    <w:uiPriority w:val="0"/>
    <w:pPr>
      <w:ind w:left="1470"/>
      <w:jc w:val="left"/>
    </w:pPr>
    <w:rPr>
      <w:sz w:val="18"/>
      <w:szCs w:val="18"/>
    </w:rPr>
  </w:style>
  <w:style w:type="paragraph" w:styleId="16">
    <w:name w:val="Date"/>
    <w:basedOn w:val="1"/>
    <w:next w:val="1"/>
    <w:link w:val="253"/>
    <w:qFormat/>
    <w:uiPriority w:val="0"/>
    <w:rPr>
      <w:sz w:val="24"/>
      <w:szCs w:val="20"/>
    </w:rPr>
  </w:style>
  <w:style w:type="paragraph" w:styleId="17">
    <w:name w:val="Balloon Text"/>
    <w:basedOn w:val="1"/>
    <w:link w:val="83"/>
    <w:unhideWhenUsed/>
    <w:qFormat/>
    <w:uiPriority w:val="99"/>
    <w:rPr>
      <w:kern w:val="0"/>
      <w:sz w:val="18"/>
      <w:szCs w:val="18"/>
    </w:rPr>
  </w:style>
  <w:style w:type="paragraph" w:styleId="18">
    <w:name w:val="footer"/>
    <w:basedOn w:val="1"/>
    <w:link w:val="88"/>
    <w:unhideWhenUsed/>
    <w:qFormat/>
    <w:uiPriority w:val="99"/>
    <w:pPr>
      <w:tabs>
        <w:tab w:val="center" w:pos="4153"/>
        <w:tab w:val="right" w:pos="8306"/>
      </w:tabs>
      <w:snapToGrid w:val="0"/>
      <w:jc w:val="left"/>
    </w:pPr>
    <w:rPr>
      <w:kern w:val="0"/>
      <w:sz w:val="18"/>
      <w:szCs w:val="18"/>
    </w:rPr>
  </w:style>
  <w:style w:type="paragraph" w:styleId="19">
    <w:name w:val="envelope return"/>
    <w:basedOn w:val="1"/>
    <w:qFormat/>
    <w:uiPriority w:val="0"/>
    <w:pPr>
      <w:snapToGrid w:val="0"/>
      <w:spacing w:line="500" w:lineRule="exact"/>
    </w:pPr>
    <w:rPr>
      <w:rFonts w:ascii="Arial" w:hAnsi="Arial" w:eastAsia="仿宋_GB2312" w:cs="Arial"/>
      <w:sz w:val="28"/>
      <w:szCs w:val="20"/>
    </w:rPr>
  </w:style>
  <w:style w:type="paragraph" w:styleId="20">
    <w:name w:val="header"/>
    <w:basedOn w:val="1"/>
    <w:link w:val="90"/>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pPr>
      <w:spacing w:before="120" w:after="120"/>
      <w:jc w:val="left"/>
    </w:pPr>
    <w:rPr>
      <w:b/>
      <w:bCs/>
      <w:caps/>
      <w:sz w:val="20"/>
      <w:szCs w:val="20"/>
    </w:rPr>
  </w:style>
  <w:style w:type="paragraph" w:styleId="22">
    <w:name w:val="toc 4"/>
    <w:basedOn w:val="1"/>
    <w:next w:val="1"/>
    <w:semiHidden/>
    <w:qFormat/>
    <w:uiPriority w:val="0"/>
    <w:pPr>
      <w:ind w:left="630"/>
      <w:jc w:val="left"/>
    </w:pPr>
    <w:rPr>
      <w:sz w:val="18"/>
      <w:szCs w:val="18"/>
    </w:rPr>
  </w:style>
  <w:style w:type="paragraph" w:styleId="23">
    <w:name w:val="List"/>
    <w:basedOn w:val="1"/>
    <w:qFormat/>
    <w:uiPriority w:val="0"/>
    <w:pPr>
      <w:ind w:left="200" w:hanging="200" w:hangingChars="200"/>
    </w:pPr>
    <w:rPr>
      <w:szCs w:val="24"/>
    </w:rPr>
  </w:style>
  <w:style w:type="paragraph" w:styleId="24">
    <w:name w:val="toc 6"/>
    <w:basedOn w:val="1"/>
    <w:next w:val="1"/>
    <w:semiHidden/>
    <w:qFormat/>
    <w:uiPriority w:val="0"/>
    <w:pPr>
      <w:ind w:left="1050"/>
      <w:jc w:val="left"/>
    </w:pPr>
    <w:rPr>
      <w:sz w:val="18"/>
      <w:szCs w:val="18"/>
    </w:rPr>
  </w:style>
  <w:style w:type="paragraph" w:styleId="25">
    <w:name w:val="Body Text Indent 3"/>
    <w:basedOn w:val="1"/>
    <w:link w:val="79"/>
    <w:qFormat/>
    <w:uiPriority w:val="0"/>
    <w:pPr>
      <w:spacing w:after="120"/>
      <w:ind w:left="420" w:leftChars="200"/>
    </w:pPr>
    <w:rPr>
      <w:sz w:val="16"/>
      <w:szCs w:val="16"/>
    </w:rPr>
  </w:style>
  <w:style w:type="paragraph" w:styleId="26">
    <w:name w:val="toc 2"/>
    <w:basedOn w:val="1"/>
    <w:next w:val="1"/>
    <w:semiHidden/>
    <w:qFormat/>
    <w:uiPriority w:val="0"/>
    <w:pPr>
      <w:ind w:left="210"/>
      <w:jc w:val="left"/>
    </w:pPr>
    <w:rPr>
      <w:smallCaps/>
      <w:sz w:val="20"/>
      <w:szCs w:val="20"/>
    </w:rPr>
  </w:style>
  <w:style w:type="paragraph" w:styleId="27">
    <w:name w:val="toc 9"/>
    <w:basedOn w:val="1"/>
    <w:next w:val="1"/>
    <w:semiHidden/>
    <w:qFormat/>
    <w:uiPriority w:val="0"/>
    <w:pPr>
      <w:ind w:left="1680"/>
      <w:jc w:val="left"/>
    </w:pPr>
    <w:rPr>
      <w:sz w:val="18"/>
      <w:szCs w:val="18"/>
    </w:rPr>
  </w:style>
  <w:style w:type="paragraph" w:styleId="28">
    <w:name w:val="Body Text 2"/>
    <w:basedOn w:val="1"/>
    <w:link w:val="260"/>
    <w:qFormat/>
    <w:uiPriority w:val="0"/>
    <w:pPr>
      <w:spacing w:after="120" w:line="480" w:lineRule="auto"/>
    </w:pPr>
  </w:style>
  <w:style w:type="paragraph" w:styleId="29">
    <w:name w:val="HTML Preformatted"/>
    <w:basedOn w:val="1"/>
    <w:link w:val="7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30">
    <w:name w:val="Normal (Web)"/>
    <w:basedOn w:val="1"/>
    <w:link w:val="232"/>
    <w:unhideWhenUsed/>
    <w:qFormat/>
    <w:uiPriority w:val="99"/>
    <w:pPr>
      <w:widowControl/>
      <w:spacing w:before="100" w:beforeAutospacing="1" w:after="100" w:afterAutospacing="1"/>
      <w:jc w:val="left"/>
    </w:pPr>
    <w:rPr>
      <w:rFonts w:ascii="宋体" w:hAnsi="宋体"/>
      <w:kern w:val="0"/>
      <w:sz w:val="24"/>
      <w:szCs w:val="24"/>
    </w:rPr>
  </w:style>
  <w:style w:type="paragraph" w:styleId="31">
    <w:name w:val="index 1"/>
    <w:basedOn w:val="1"/>
    <w:next w:val="1"/>
    <w:semiHidden/>
    <w:qFormat/>
    <w:uiPriority w:val="0"/>
    <w:pPr>
      <w:tabs>
        <w:tab w:val="left" w:pos="5580"/>
      </w:tabs>
      <w:spacing w:line="280" w:lineRule="exact"/>
    </w:pPr>
    <w:rPr>
      <w:rFonts w:ascii="宋体" w:hAnsi="宋体" w:cs="宋体"/>
      <w:spacing w:val="10"/>
      <w:szCs w:val="21"/>
    </w:rPr>
  </w:style>
  <w:style w:type="paragraph" w:styleId="32">
    <w:name w:val="Title"/>
    <w:basedOn w:val="1"/>
    <w:next w:val="1"/>
    <w:link w:val="81"/>
    <w:qFormat/>
    <w:uiPriority w:val="10"/>
    <w:pPr>
      <w:spacing w:before="240" w:after="60"/>
      <w:jc w:val="center"/>
      <w:outlineLvl w:val="0"/>
    </w:pPr>
    <w:rPr>
      <w:rFonts w:ascii="Cambria" w:hAnsi="Cambria"/>
      <w:b/>
      <w:bCs/>
      <w:sz w:val="32"/>
      <w:szCs w:val="32"/>
    </w:rPr>
  </w:style>
  <w:style w:type="paragraph" w:styleId="33">
    <w:name w:val="annotation subject"/>
    <w:basedOn w:val="8"/>
    <w:next w:val="8"/>
    <w:link w:val="250"/>
    <w:semiHidden/>
    <w:qFormat/>
    <w:uiPriority w:val="0"/>
    <w:rPr>
      <w:b/>
      <w:bCs/>
    </w:rPr>
  </w:style>
  <w:style w:type="paragraph" w:styleId="34">
    <w:name w:val="Body Text First Indent"/>
    <w:basedOn w:val="9"/>
    <w:link w:val="219"/>
    <w:qFormat/>
    <w:uiPriority w:val="0"/>
    <w:pPr>
      <w:ind w:firstLine="420" w:firstLineChars="100"/>
    </w:pPr>
    <w:rPr>
      <w:rFonts w:ascii="Calibri" w:hAnsi="Calibri"/>
      <w:szCs w:val="24"/>
    </w:rPr>
  </w:style>
  <w:style w:type="paragraph" w:styleId="35">
    <w:name w:val="Body Text First Indent 2"/>
    <w:basedOn w:val="10"/>
    <w:next w:val="1"/>
    <w:link w:val="201"/>
    <w:unhideWhenUsed/>
    <w:qFormat/>
    <w:uiPriority w:val="0"/>
    <w:pPr>
      <w:ind w:firstLine="420" w:firstLineChars="200"/>
    </w:pPr>
  </w:style>
  <w:style w:type="table" w:styleId="37">
    <w:name w:val="Table Grid"/>
    <w:basedOn w:val="3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38">
    <w:name w:val="Table Grid 1"/>
    <w:basedOn w:val="3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40">
    <w:name w:val="Strong"/>
    <w:qFormat/>
    <w:uiPriority w:val="0"/>
    <w:rPr>
      <w:b/>
      <w:bCs/>
    </w:rPr>
  </w:style>
  <w:style w:type="character" w:styleId="41">
    <w:name w:val="page number"/>
    <w:basedOn w:val="39"/>
    <w:qFormat/>
    <w:uiPriority w:val="0"/>
  </w:style>
  <w:style w:type="character" w:styleId="42">
    <w:name w:val="FollowedHyperlink"/>
    <w:unhideWhenUsed/>
    <w:qFormat/>
    <w:uiPriority w:val="99"/>
    <w:rPr>
      <w:color w:val="282828"/>
      <w:u w:val="none"/>
    </w:rPr>
  </w:style>
  <w:style w:type="character" w:styleId="43">
    <w:name w:val="Emphasis"/>
    <w:qFormat/>
    <w:uiPriority w:val="20"/>
    <w:rPr>
      <w:b/>
    </w:rPr>
  </w:style>
  <w:style w:type="character" w:styleId="44">
    <w:name w:val="HTML Definition"/>
    <w:unhideWhenUsed/>
    <w:qFormat/>
    <w:uiPriority w:val="99"/>
  </w:style>
  <w:style w:type="character" w:styleId="45">
    <w:name w:val="HTML Variable"/>
    <w:unhideWhenUsed/>
    <w:qFormat/>
    <w:uiPriority w:val="99"/>
  </w:style>
  <w:style w:type="character" w:styleId="46">
    <w:name w:val="Hyperlink"/>
    <w:unhideWhenUsed/>
    <w:qFormat/>
    <w:uiPriority w:val="99"/>
    <w:rPr>
      <w:color w:val="282828"/>
      <w:u w:val="none"/>
    </w:rPr>
  </w:style>
  <w:style w:type="character" w:styleId="47">
    <w:name w:val="HTML Code"/>
    <w:unhideWhenUsed/>
    <w:qFormat/>
    <w:uiPriority w:val="99"/>
    <w:rPr>
      <w:rFonts w:ascii="Courier New" w:hAnsi="Courier New"/>
      <w:sz w:val="20"/>
    </w:rPr>
  </w:style>
  <w:style w:type="character" w:styleId="48">
    <w:name w:val="annotation reference"/>
    <w:qFormat/>
    <w:uiPriority w:val="99"/>
    <w:rPr>
      <w:sz w:val="21"/>
      <w:szCs w:val="21"/>
    </w:rPr>
  </w:style>
  <w:style w:type="character" w:styleId="49">
    <w:name w:val="HTML Cite"/>
    <w:unhideWhenUsed/>
    <w:qFormat/>
    <w:uiPriority w:val="99"/>
  </w:style>
  <w:style w:type="character" w:styleId="50">
    <w:name w:val="HTML Keyboard"/>
    <w:unhideWhenUsed/>
    <w:qFormat/>
    <w:uiPriority w:val="99"/>
    <w:rPr>
      <w:rFonts w:ascii="Courier New" w:hAnsi="Courier New"/>
      <w:sz w:val="20"/>
    </w:rPr>
  </w:style>
  <w:style w:type="character" w:styleId="51">
    <w:name w:val="HTML Sample"/>
    <w:unhideWhenUsed/>
    <w:qFormat/>
    <w:uiPriority w:val="99"/>
    <w:rPr>
      <w:rFonts w:ascii="Courier New" w:hAnsi="Courier New"/>
    </w:rPr>
  </w:style>
  <w:style w:type="paragraph" w:customStyle="1" w:styleId="52">
    <w:name w:val="Default"/>
    <w:link w:val="20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53">
    <w:name w:val="weather"/>
    <w:basedOn w:val="39"/>
    <w:qFormat/>
    <w:uiPriority w:val="0"/>
  </w:style>
  <w:style w:type="character" w:customStyle="1" w:styleId="54">
    <w:name w:val="样式 (符号) 宋体 四号 加粗 Char"/>
    <w:link w:val="55"/>
    <w:qFormat/>
    <w:uiPriority w:val="0"/>
    <w:rPr>
      <w:rFonts w:hAnsi="宋体" w:eastAsia="宋体"/>
      <w:b/>
      <w:color w:val="000000"/>
      <w:sz w:val="24"/>
      <w:szCs w:val="28"/>
      <w:u w:color="000000"/>
      <w:lang w:val="en-US" w:eastAsia="zh-CN" w:bidi="ar-SA"/>
    </w:rPr>
  </w:style>
  <w:style w:type="paragraph" w:customStyle="1" w:styleId="55">
    <w:name w:val="样式 (符号) 宋体 四号 加粗"/>
    <w:basedOn w:val="1"/>
    <w:link w:val="54"/>
    <w:qFormat/>
    <w:uiPriority w:val="0"/>
    <w:pPr>
      <w:widowControl/>
      <w:spacing w:line="500" w:lineRule="exact"/>
      <w:ind w:firstLine="200" w:firstLineChars="200"/>
      <w:textAlignment w:val="baseline"/>
    </w:pPr>
    <w:rPr>
      <w:rFonts w:hAnsi="宋体"/>
      <w:b/>
      <w:color w:val="000000"/>
      <w:kern w:val="0"/>
      <w:sz w:val="24"/>
      <w:szCs w:val="28"/>
      <w:u w:color="000000"/>
    </w:rPr>
  </w:style>
  <w:style w:type="character" w:customStyle="1" w:styleId="56">
    <w:name w:val="正文1 Char"/>
    <w:link w:val="57"/>
    <w:qFormat/>
    <w:uiPriority w:val="0"/>
    <w:rPr>
      <w:rFonts w:eastAsia="宋体" w:cs="宋体"/>
      <w:spacing w:val="10"/>
      <w:kern w:val="2"/>
      <w:sz w:val="24"/>
      <w:szCs w:val="24"/>
      <w:lang w:val="en-US" w:eastAsia="zh-CN" w:bidi="ar-SA"/>
    </w:rPr>
  </w:style>
  <w:style w:type="paragraph" w:customStyle="1" w:styleId="57">
    <w:name w:val="正文1"/>
    <w:basedOn w:val="1"/>
    <w:link w:val="56"/>
    <w:qFormat/>
    <w:uiPriority w:val="0"/>
    <w:pPr>
      <w:adjustRightInd w:val="0"/>
      <w:spacing w:line="360" w:lineRule="auto"/>
      <w:ind w:firstLine="200" w:firstLineChars="200"/>
      <w:textAlignment w:val="baseline"/>
    </w:pPr>
    <w:rPr>
      <w:rFonts w:cs="宋体"/>
      <w:spacing w:val="10"/>
      <w:sz w:val="24"/>
      <w:szCs w:val="24"/>
    </w:rPr>
  </w:style>
  <w:style w:type="character" w:customStyle="1" w:styleId="58">
    <w:name w:val="state5"/>
    <w:qFormat/>
    <w:uiPriority w:val="0"/>
    <w:rPr>
      <w:color w:val="CF0303"/>
    </w:rPr>
  </w:style>
  <w:style w:type="character" w:customStyle="1" w:styleId="59">
    <w:name w:val="引用 Char"/>
    <w:link w:val="60"/>
    <w:qFormat/>
    <w:uiPriority w:val="0"/>
    <w:rPr>
      <w:iCs/>
      <w:color w:val="000000"/>
      <w:kern w:val="2"/>
      <w:sz w:val="21"/>
      <w:szCs w:val="21"/>
    </w:rPr>
  </w:style>
  <w:style w:type="paragraph" w:customStyle="1" w:styleId="60">
    <w:name w:val="引用1"/>
    <w:basedOn w:val="1"/>
    <w:next w:val="1"/>
    <w:link w:val="59"/>
    <w:qFormat/>
    <w:uiPriority w:val="0"/>
    <w:pPr>
      <w:spacing w:line="360" w:lineRule="exact"/>
      <w:jc w:val="center"/>
    </w:pPr>
    <w:rPr>
      <w:iCs/>
      <w:color w:val="000000"/>
      <w:szCs w:val="21"/>
    </w:rPr>
  </w:style>
  <w:style w:type="character" w:customStyle="1" w:styleId="61">
    <w:name w:val="标题 2 Char1"/>
    <w:link w:val="3"/>
    <w:qFormat/>
    <w:uiPriority w:val="0"/>
    <w:rPr>
      <w:rFonts w:ascii="Arial" w:hAnsi="Arial" w:eastAsia="黑体"/>
      <w:b/>
      <w:bCs/>
      <w:kern w:val="2"/>
      <w:sz w:val="28"/>
      <w:szCs w:val="32"/>
    </w:rPr>
  </w:style>
  <w:style w:type="character" w:customStyle="1" w:styleId="62">
    <w:name w:val="普通文字 Char3"/>
    <w:qFormat/>
    <w:uiPriority w:val="0"/>
    <w:rPr>
      <w:rFonts w:ascii="宋体" w:hAnsi="Courier New" w:eastAsia="宋体"/>
      <w:kern w:val="2"/>
      <w:lang w:val="en-US" w:eastAsia="zh-CN" w:bidi="ar-SA"/>
    </w:rPr>
  </w:style>
  <w:style w:type="character" w:customStyle="1" w:styleId="63">
    <w:name w:val="state3"/>
    <w:basedOn w:val="39"/>
    <w:qFormat/>
    <w:uiPriority w:val="0"/>
  </w:style>
  <w:style w:type="character" w:customStyle="1" w:styleId="64">
    <w:name w:val="Char Char8"/>
    <w:qFormat/>
    <w:uiPriority w:val="0"/>
    <w:rPr>
      <w:rFonts w:ascii="Arial" w:hAnsi="Arial" w:eastAsia="黑体"/>
      <w:b/>
      <w:bCs/>
      <w:kern w:val="2"/>
      <w:sz w:val="28"/>
      <w:szCs w:val="32"/>
      <w:lang w:val="en-US" w:eastAsia="zh-CN" w:bidi="ar-SA"/>
    </w:rPr>
  </w:style>
  <w:style w:type="character" w:customStyle="1" w:styleId="65">
    <w:name w:val="end2"/>
    <w:qFormat/>
    <w:uiPriority w:val="0"/>
    <w:rPr>
      <w:color w:val="03CA1B"/>
    </w:rPr>
  </w:style>
  <w:style w:type="character" w:customStyle="1" w:styleId="66">
    <w:name w:val="图表标注 Char"/>
    <w:link w:val="67"/>
    <w:qFormat/>
    <w:uiPriority w:val="0"/>
    <w:rPr>
      <w:rFonts w:ascii="Times New Roman" w:eastAsia="黑体"/>
    </w:rPr>
  </w:style>
  <w:style w:type="paragraph" w:customStyle="1" w:styleId="67">
    <w:name w:val="图表标注"/>
    <w:basedOn w:val="1"/>
    <w:link w:val="66"/>
    <w:qFormat/>
    <w:uiPriority w:val="0"/>
    <w:pPr>
      <w:spacing w:line="480" w:lineRule="exact"/>
      <w:jc w:val="center"/>
    </w:pPr>
    <w:rPr>
      <w:rFonts w:eastAsia="黑体"/>
      <w:kern w:val="0"/>
      <w:sz w:val="20"/>
      <w:szCs w:val="20"/>
    </w:rPr>
  </w:style>
  <w:style w:type="character" w:customStyle="1" w:styleId="68">
    <w:name w:val="样式1 Char"/>
    <w:link w:val="69"/>
    <w:qFormat/>
    <w:uiPriority w:val="0"/>
    <w:rPr>
      <w:rFonts w:eastAsia="宋体"/>
      <w:kern w:val="2"/>
      <w:sz w:val="24"/>
      <w:szCs w:val="28"/>
      <w:lang w:val="en-US" w:eastAsia="zh-CN" w:bidi="ar-SA"/>
    </w:rPr>
  </w:style>
  <w:style w:type="paragraph" w:customStyle="1" w:styleId="69">
    <w:name w:val="样式1"/>
    <w:basedOn w:val="6"/>
    <w:link w:val="68"/>
    <w:qFormat/>
    <w:uiPriority w:val="0"/>
    <w:pPr>
      <w:spacing w:line="500" w:lineRule="exact"/>
      <w:ind w:firstLine="200" w:firstLineChars="200"/>
    </w:pPr>
    <w:rPr>
      <w:rFonts w:ascii="Times New Roman"/>
      <w:kern w:val="2"/>
      <w:sz w:val="24"/>
      <w:szCs w:val="28"/>
    </w:rPr>
  </w:style>
  <w:style w:type="character" w:customStyle="1" w:styleId="70">
    <w:name w:val="三级标题 Char"/>
    <w:link w:val="71"/>
    <w:qFormat/>
    <w:uiPriority w:val="0"/>
    <w:rPr>
      <w:rFonts w:eastAsia="宋体"/>
      <w:b/>
      <w:kern w:val="2"/>
      <w:sz w:val="24"/>
      <w:szCs w:val="24"/>
      <w:lang w:val="en-US" w:eastAsia="zh-CN" w:bidi="ar-SA"/>
    </w:rPr>
  </w:style>
  <w:style w:type="paragraph" w:customStyle="1" w:styleId="71">
    <w:name w:val="三级标题"/>
    <w:basedOn w:val="1"/>
    <w:link w:val="70"/>
    <w:qFormat/>
    <w:uiPriority w:val="0"/>
    <w:pPr>
      <w:spacing w:before="300" w:line="460" w:lineRule="exact"/>
      <w:outlineLvl w:val="2"/>
    </w:pPr>
    <w:rPr>
      <w:b/>
      <w:sz w:val="24"/>
      <w:szCs w:val="24"/>
    </w:rPr>
  </w:style>
  <w:style w:type="character" w:customStyle="1" w:styleId="72">
    <w:name w:val="批注文字 Char"/>
    <w:link w:val="8"/>
    <w:qFormat/>
    <w:uiPriority w:val="99"/>
    <w:rPr>
      <w:kern w:val="2"/>
      <w:sz w:val="21"/>
      <w:szCs w:val="22"/>
    </w:rPr>
  </w:style>
  <w:style w:type="character" w:customStyle="1" w:styleId="73">
    <w:name w:val="state4"/>
    <w:basedOn w:val="39"/>
    <w:qFormat/>
    <w:uiPriority w:val="0"/>
  </w:style>
  <w:style w:type="character" w:customStyle="1" w:styleId="74">
    <w:name w:val="普通文字 Char2"/>
    <w:qFormat/>
    <w:uiPriority w:val="0"/>
    <w:rPr>
      <w:rFonts w:ascii="宋体" w:hAnsi="Courier New" w:eastAsia="宋体"/>
      <w:color w:val="000000"/>
      <w:kern w:val="2"/>
      <w:sz w:val="26"/>
      <w:lang w:val="en-US" w:eastAsia="zh-CN" w:bidi="ar-SA"/>
    </w:rPr>
  </w:style>
  <w:style w:type="character" w:customStyle="1" w:styleId="75">
    <w:name w:val="num"/>
    <w:basedOn w:val="39"/>
    <w:qFormat/>
    <w:uiPriority w:val="0"/>
  </w:style>
  <w:style w:type="character" w:customStyle="1" w:styleId="76">
    <w:name w:val="department1"/>
    <w:basedOn w:val="39"/>
    <w:qFormat/>
    <w:uiPriority w:val="0"/>
  </w:style>
  <w:style w:type="character" w:customStyle="1" w:styleId="77">
    <w:name w:val="end"/>
    <w:qFormat/>
    <w:uiPriority w:val="0"/>
    <w:rPr>
      <w:color w:val="03CA1B"/>
    </w:rPr>
  </w:style>
  <w:style w:type="character" w:customStyle="1" w:styleId="78">
    <w:name w:val="HTML 预设格式 Char"/>
    <w:link w:val="29"/>
    <w:qFormat/>
    <w:uiPriority w:val="0"/>
    <w:rPr>
      <w:rFonts w:ascii="Arial" w:hAnsi="Arial" w:cs="Arial"/>
      <w:sz w:val="21"/>
      <w:szCs w:val="21"/>
    </w:rPr>
  </w:style>
  <w:style w:type="character" w:customStyle="1" w:styleId="79">
    <w:name w:val="正文文本缩进 3 Char"/>
    <w:link w:val="25"/>
    <w:qFormat/>
    <w:uiPriority w:val="0"/>
    <w:rPr>
      <w:rFonts w:ascii="Times New Roman" w:hAnsi="Times New Roman"/>
      <w:kern w:val="2"/>
      <w:sz w:val="16"/>
      <w:szCs w:val="16"/>
    </w:rPr>
  </w:style>
  <w:style w:type="character" w:customStyle="1" w:styleId="80">
    <w:name w:val="标题 2 Char"/>
    <w:qFormat/>
    <w:uiPriority w:val="0"/>
    <w:rPr>
      <w:rFonts w:ascii="Arial" w:hAnsi="Arial" w:eastAsia="黑体"/>
      <w:b/>
      <w:bCs/>
      <w:kern w:val="2"/>
      <w:sz w:val="28"/>
      <w:szCs w:val="32"/>
    </w:rPr>
  </w:style>
  <w:style w:type="character" w:customStyle="1" w:styleId="81">
    <w:name w:val="标题 Char"/>
    <w:link w:val="32"/>
    <w:qFormat/>
    <w:uiPriority w:val="10"/>
    <w:rPr>
      <w:rFonts w:ascii="Cambria" w:hAnsi="Cambria" w:cs="Times New Roman"/>
      <w:b/>
      <w:bCs/>
      <w:kern w:val="2"/>
      <w:sz w:val="32"/>
      <w:szCs w:val="32"/>
    </w:rPr>
  </w:style>
  <w:style w:type="character" w:customStyle="1" w:styleId="82">
    <w:name w:val="state2"/>
    <w:qFormat/>
    <w:uiPriority w:val="0"/>
    <w:rPr>
      <w:color w:val="CF0303"/>
    </w:rPr>
  </w:style>
  <w:style w:type="character" w:customStyle="1" w:styleId="83">
    <w:name w:val="批注框文本 Char"/>
    <w:link w:val="17"/>
    <w:qFormat/>
    <w:uiPriority w:val="99"/>
    <w:rPr>
      <w:sz w:val="18"/>
      <w:szCs w:val="18"/>
    </w:rPr>
  </w:style>
  <w:style w:type="character" w:customStyle="1" w:styleId="84">
    <w:name w:val="txt_color"/>
    <w:qFormat/>
    <w:uiPriority w:val="0"/>
    <w:rPr>
      <w:color w:val="C0C0C0"/>
    </w:rPr>
  </w:style>
  <w:style w:type="character" w:customStyle="1" w:styleId="85">
    <w:name w:val="纯文本 Char1"/>
    <w:link w:val="14"/>
    <w:qFormat/>
    <w:uiPriority w:val="0"/>
    <w:rPr>
      <w:rFonts w:ascii="宋体" w:hAnsi="Courier New" w:eastAsia="宋体" w:cs="Times New Roman"/>
      <w:color w:val="000000"/>
      <w:sz w:val="26"/>
      <w:szCs w:val="20"/>
    </w:rPr>
  </w:style>
  <w:style w:type="character" w:customStyle="1" w:styleId="86">
    <w:name w:val="name"/>
    <w:basedOn w:val="39"/>
    <w:qFormat/>
    <w:uiPriority w:val="0"/>
  </w:style>
  <w:style w:type="character" w:customStyle="1" w:styleId="87">
    <w:name w:val="文档结构图 Char1"/>
    <w:link w:val="7"/>
    <w:qFormat/>
    <w:uiPriority w:val="99"/>
    <w:rPr>
      <w:rFonts w:ascii="宋体"/>
      <w:kern w:val="2"/>
      <w:sz w:val="18"/>
      <w:szCs w:val="18"/>
    </w:rPr>
  </w:style>
  <w:style w:type="character" w:customStyle="1" w:styleId="88">
    <w:name w:val="页脚 Char"/>
    <w:link w:val="18"/>
    <w:qFormat/>
    <w:uiPriority w:val="99"/>
    <w:rPr>
      <w:sz w:val="18"/>
      <w:szCs w:val="18"/>
    </w:rPr>
  </w:style>
  <w:style w:type="character" w:customStyle="1" w:styleId="89">
    <w:name w:val="apple-converted-space"/>
    <w:basedOn w:val="39"/>
    <w:qFormat/>
    <w:uiPriority w:val="0"/>
  </w:style>
  <w:style w:type="character" w:customStyle="1" w:styleId="90">
    <w:name w:val="页眉 Char"/>
    <w:link w:val="20"/>
    <w:qFormat/>
    <w:uiPriority w:val="99"/>
    <w:rPr>
      <w:sz w:val="18"/>
      <w:szCs w:val="18"/>
    </w:rPr>
  </w:style>
  <w:style w:type="character" w:customStyle="1" w:styleId="91">
    <w:name w:val="正文缩进 Char"/>
    <w:link w:val="6"/>
    <w:qFormat/>
    <w:uiPriority w:val="0"/>
    <w:rPr>
      <w:rFonts w:ascii="宋体" w:hAnsi="Times New Roman" w:eastAsia="宋体" w:cs="Times New Roman"/>
      <w:sz w:val="26"/>
      <w:szCs w:val="20"/>
    </w:rPr>
  </w:style>
  <w:style w:type="character" w:customStyle="1" w:styleId="92">
    <w:name w:val="end1"/>
    <w:qFormat/>
    <w:uiPriority w:val="0"/>
    <w:rPr>
      <w:color w:val="03CA1B"/>
    </w:rPr>
  </w:style>
  <w:style w:type="character" w:customStyle="1" w:styleId="93">
    <w:name w:val="文档结构图 Char"/>
    <w:qFormat/>
    <w:uiPriority w:val="0"/>
    <w:rPr>
      <w:rFonts w:ascii="宋体"/>
      <w:kern w:val="2"/>
      <w:sz w:val="18"/>
      <w:szCs w:val="18"/>
    </w:rPr>
  </w:style>
  <w:style w:type="character" w:customStyle="1" w:styleId="94">
    <w:name w:val="正文(首行缩进) Char1"/>
    <w:link w:val="95"/>
    <w:qFormat/>
    <w:uiPriority w:val="0"/>
    <w:rPr>
      <w:rFonts w:ascii="宋体"/>
      <w:snapToGrid w:val="0"/>
      <w:sz w:val="24"/>
      <w:szCs w:val="24"/>
      <w:lang w:bidi="ar-SA"/>
    </w:rPr>
  </w:style>
  <w:style w:type="paragraph" w:customStyle="1" w:styleId="95">
    <w:name w:val="正文(首行缩进)"/>
    <w:basedOn w:val="1"/>
    <w:link w:val="94"/>
    <w:qFormat/>
    <w:uiPriority w:val="0"/>
    <w:pPr>
      <w:spacing w:line="360" w:lineRule="auto"/>
      <w:ind w:firstLine="480" w:firstLineChars="200"/>
    </w:pPr>
    <w:rPr>
      <w:rFonts w:ascii="宋体"/>
      <w:snapToGrid w:val="0"/>
      <w:kern w:val="0"/>
      <w:sz w:val="24"/>
      <w:szCs w:val="24"/>
    </w:rPr>
  </w:style>
  <w:style w:type="character" w:customStyle="1" w:styleId="96">
    <w:name w:val="15"/>
    <w:qFormat/>
    <w:uiPriority w:val="0"/>
    <w:rPr>
      <w:rFonts w:hint="default" w:ascii="Times New Roman" w:hAnsi="Times New Roman" w:cs="Times New Roman"/>
      <w:color w:val="0000FF"/>
      <w:sz w:val="20"/>
      <w:szCs w:val="20"/>
      <w:u w:val="single"/>
    </w:rPr>
  </w:style>
  <w:style w:type="character" w:customStyle="1" w:styleId="97">
    <w:name w:val="doc_title"/>
    <w:basedOn w:val="39"/>
    <w:qFormat/>
    <w:uiPriority w:val="0"/>
  </w:style>
  <w:style w:type="character" w:customStyle="1" w:styleId="98">
    <w:name w:val="state"/>
    <w:qFormat/>
    <w:uiPriority w:val="0"/>
    <w:rPr>
      <w:color w:val="CF0303"/>
    </w:rPr>
  </w:style>
  <w:style w:type="character" w:customStyle="1" w:styleId="99">
    <w:name w:val="样式 宋体 小四 Char"/>
    <w:link w:val="100"/>
    <w:qFormat/>
    <w:uiPriority w:val="0"/>
    <w:rPr>
      <w:rFonts w:eastAsia="宋体"/>
      <w:color w:val="000000"/>
      <w:sz w:val="24"/>
      <w:u w:color="000000"/>
      <w:lang w:val="en-US" w:eastAsia="zh-CN" w:bidi="ar-SA"/>
    </w:rPr>
  </w:style>
  <w:style w:type="paragraph" w:customStyle="1" w:styleId="100">
    <w:name w:val="样式 宋体 小四"/>
    <w:basedOn w:val="1"/>
    <w:link w:val="99"/>
    <w:qFormat/>
    <w:uiPriority w:val="0"/>
    <w:pPr>
      <w:widowControl/>
      <w:spacing w:line="500" w:lineRule="exact"/>
      <w:ind w:firstLine="200" w:firstLineChars="200"/>
      <w:textAlignment w:val="baseline"/>
    </w:pPr>
    <w:rPr>
      <w:color w:val="000000"/>
      <w:kern w:val="0"/>
      <w:sz w:val="24"/>
      <w:szCs w:val="20"/>
      <w:u w:color="000000"/>
    </w:rPr>
  </w:style>
  <w:style w:type="character" w:customStyle="1" w:styleId="101">
    <w:name w:val="纯文本 Char"/>
    <w:qFormat/>
    <w:uiPriority w:val="99"/>
    <w:rPr>
      <w:rFonts w:ascii="宋体" w:hAnsi="Courier New" w:eastAsia="宋体" w:cs="Times New Roman"/>
      <w:color w:val="000000"/>
      <w:sz w:val="26"/>
      <w:szCs w:val="20"/>
    </w:rPr>
  </w:style>
  <w:style w:type="character" w:customStyle="1" w:styleId="102">
    <w:name w:val="标题 1 Char"/>
    <w:link w:val="2"/>
    <w:qFormat/>
    <w:uiPriority w:val="9"/>
    <w:rPr>
      <w:b/>
      <w:bCs/>
      <w:kern w:val="44"/>
      <w:sz w:val="44"/>
      <w:szCs w:val="44"/>
    </w:rPr>
  </w:style>
  <w:style w:type="character" w:customStyle="1" w:styleId="103">
    <w:name w:val="state1"/>
    <w:basedOn w:val="39"/>
    <w:qFormat/>
    <w:uiPriority w:val="0"/>
  </w:style>
  <w:style w:type="character" w:customStyle="1" w:styleId="104">
    <w:name w:val="gl"/>
    <w:qFormat/>
    <w:uiPriority w:val="0"/>
    <w:rPr>
      <w:rFonts w:ascii="Verdana" w:hAnsi="Verdana" w:eastAsia="仿宋_GB2312" w:cs="”“Times New Roman”“"/>
      <w:kern w:val="0"/>
      <w:sz w:val="28"/>
      <w:szCs w:val="28"/>
      <w:lang w:eastAsia="en-US"/>
    </w:rPr>
  </w:style>
  <w:style w:type="character" w:customStyle="1" w:styleId="105">
    <w:name w:val="num1"/>
    <w:basedOn w:val="39"/>
    <w:qFormat/>
    <w:uiPriority w:val="0"/>
  </w:style>
  <w:style w:type="character" w:customStyle="1" w:styleId="106">
    <w:name w:val="department"/>
    <w:basedOn w:val="39"/>
    <w:qFormat/>
    <w:uiPriority w:val="0"/>
  </w:style>
  <w:style w:type="character" w:customStyle="1" w:styleId="107">
    <w:name w:val="font31"/>
    <w:qFormat/>
    <w:uiPriority w:val="0"/>
    <w:rPr>
      <w:rFonts w:hint="default" w:ascii="Calibri" w:hAnsi="Calibri" w:eastAsia="仿宋_GB2312" w:cs="”“Times New Roman”“"/>
      <w:color w:val="000000"/>
      <w:kern w:val="0"/>
      <w:sz w:val="21"/>
      <w:szCs w:val="21"/>
      <w:u w:val="none"/>
      <w:vertAlign w:val="superscript"/>
      <w:lang w:eastAsia="en-US"/>
    </w:rPr>
  </w:style>
  <w:style w:type="paragraph" w:customStyle="1" w:styleId="108">
    <w:name w:val="表格正文"/>
    <w:basedOn w:val="1"/>
    <w:next w:val="1"/>
    <w:link w:val="190"/>
    <w:qFormat/>
    <w:uiPriority w:val="0"/>
    <w:pPr>
      <w:spacing w:line="360" w:lineRule="exact"/>
      <w:jc w:val="center"/>
    </w:pPr>
    <w:rPr>
      <w:szCs w:val="20"/>
    </w:rPr>
  </w:style>
  <w:style w:type="paragraph" w:customStyle="1" w:styleId="109">
    <w:name w:val="p22"/>
    <w:basedOn w:val="1"/>
    <w:qFormat/>
    <w:uiPriority w:val="0"/>
    <w:pPr>
      <w:widowControl/>
      <w:spacing w:before="100" w:after="100"/>
      <w:jc w:val="center"/>
    </w:pPr>
    <w:rPr>
      <w:rFonts w:ascii="宋体" w:hAnsi="宋体" w:cs="宋体"/>
      <w:color w:val="000000"/>
      <w:kern w:val="0"/>
      <w:sz w:val="24"/>
      <w:szCs w:val="24"/>
    </w:rPr>
  </w:style>
  <w:style w:type="paragraph" w:customStyle="1" w:styleId="110">
    <w:name w:val="reader-word-layer reader-word-s6-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1">
    <w:name w:val="_Style 70"/>
    <w:basedOn w:val="1"/>
    <w:qFormat/>
    <w:uiPriority w:val="0"/>
    <w:rPr>
      <w:rFonts w:eastAsia="仿宋_GB2312"/>
      <w:sz w:val="28"/>
      <w:szCs w:val="20"/>
    </w:rPr>
  </w:style>
  <w:style w:type="paragraph" w:customStyle="1" w:styleId="112">
    <w:name w:val="p0"/>
    <w:basedOn w:val="1"/>
    <w:qFormat/>
    <w:uiPriority w:val="0"/>
    <w:pPr>
      <w:widowControl/>
    </w:pPr>
    <w:rPr>
      <w:kern w:val="0"/>
      <w:szCs w:val="21"/>
    </w:rPr>
  </w:style>
  <w:style w:type="paragraph" w:customStyle="1" w:styleId="113">
    <w:name w:val="样式 样式 标题 3 + 段前: 0.5 行 段后: 0.5 行1 + 宋体 段前: 0.5 行 段后: 0.5 行"/>
    <w:basedOn w:val="1"/>
    <w:qFormat/>
    <w:uiPriority w:val="0"/>
    <w:pPr>
      <w:keepNext/>
      <w:keepLines/>
      <w:adjustRightInd w:val="0"/>
      <w:snapToGrid w:val="0"/>
      <w:spacing w:beforeLines="50" w:line="360" w:lineRule="auto"/>
      <w:ind w:firstLine="482" w:firstLineChars="200"/>
      <w:jc w:val="left"/>
      <w:outlineLvl w:val="2"/>
    </w:pPr>
    <w:rPr>
      <w:b/>
      <w:kern w:val="44"/>
      <w:sz w:val="24"/>
      <w:szCs w:val="24"/>
    </w:rPr>
  </w:style>
  <w:style w:type="paragraph" w:customStyle="1" w:styleId="114">
    <w:name w:val="Char Char Char Char"/>
    <w:basedOn w:val="1"/>
    <w:qFormat/>
    <w:uiPriority w:val="0"/>
    <w:pPr>
      <w:spacing w:line="360" w:lineRule="auto"/>
      <w:ind w:firstLine="200" w:firstLineChars="200"/>
    </w:pPr>
    <w:rPr>
      <w:rFonts w:ascii="宋体" w:hAnsi="宋体" w:cs="宋体"/>
      <w:sz w:val="24"/>
      <w:szCs w:val="24"/>
    </w:rPr>
  </w:style>
  <w:style w:type="paragraph" w:customStyle="1" w:styleId="115">
    <w:name w:val="reader-word-layer reader-word-s1-2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6">
    <w:name w:val="表头"/>
    <w:basedOn w:val="1"/>
    <w:next w:val="1"/>
    <w:qFormat/>
    <w:uiPriority w:val="0"/>
    <w:pPr>
      <w:keepNext/>
      <w:snapToGrid w:val="0"/>
      <w:spacing w:before="60" w:after="60" w:line="400" w:lineRule="atLeast"/>
      <w:jc w:val="center"/>
    </w:pPr>
    <w:rPr>
      <w:rFonts w:hint="eastAsia" w:ascii="黑体" w:eastAsia="黑体"/>
      <w:spacing w:val="10"/>
      <w:w w:val="90"/>
      <w:kern w:val="21"/>
      <w:sz w:val="24"/>
      <w:szCs w:val="20"/>
    </w:rPr>
  </w:style>
  <w:style w:type="paragraph" w:customStyle="1" w:styleId="117">
    <w:name w:val="reader-word-layer reader-word-s1-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8">
    <w:name w:val="样式 表格正文 + 黑色 段后: 0.1 行 行距: 最小值 12 磅"/>
    <w:basedOn w:val="1"/>
    <w:qFormat/>
    <w:uiPriority w:val="0"/>
    <w:pPr>
      <w:spacing w:line="360" w:lineRule="atLeast"/>
      <w:jc w:val="center"/>
    </w:pPr>
    <w:rPr>
      <w:rFonts w:hint="eastAsia"/>
      <w:color w:val="000000"/>
      <w:szCs w:val="20"/>
    </w:rPr>
  </w:style>
  <w:style w:type="paragraph" w:customStyle="1" w:styleId="119">
    <w:name w:val="样式13"/>
    <w:basedOn w:val="1"/>
    <w:qFormat/>
    <w:uiPriority w:val="0"/>
    <w:pPr>
      <w:spacing w:line="360" w:lineRule="auto"/>
      <w:ind w:firstLine="480" w:firstLineChars="200"/>
    </w:pPr>
    <w:rPr>
      <w:color w:val="000000"/>
      <w:sz w:val="24"/>
      <w:szCs w:val="24"/>
    </w:rPr>
  </w:style>
  <w:style w:type="paragraph" w:customStyle="1" w:styleId="120">
    <w:name w:val="reader-word-layer reader-word-s4-1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1">
    <w:name w:val="xl59"/>
    <w:basedOn w:val="1"/>
    <w:qFormat/>
    <w:uiPriority w:val="0"/>
    <w:pPr>
      <w:widowControl/>
      <w:pBdr>
        <w:bottom w:val="single" w:color="auto" w:sz="8" w:space="0"/>
        <w:right w:val="single" w:color="000000" w:sz="8" w:space="0"/>
      </w:pBdr>
      <w:spacing w:before="100" w:beforeAutospacing="1" w:after="100" w:afterAutospacing="1"/>
      <w:textAlignment w:val="top"/>
    </w:pPr>
    <w:rPr>
      <w:rFonts w:ascii="Arial Unicode MS" w:hAnsi="Arial Unicode MS" w:eastAsia="Arial Unicode MS" w:cs="Arial Unicode MS"/>
      <w:kern w:val="0"/>
      <w:szCs w:val="21"/>
    </w:rPr>
  </w:style>
  <w:style w:type="paragraph" w:customStyle="1" w:styleId="122">
    <w:name w:val="xl26"/>
    <w:basedOn w:val="1"/>
    <w:qFormat/>
    <w:uiPriority w:val="0"/>
    <w:pPr>
      <w:widowControl/>
      <w:spacing w:before="100" w:after="100"/>
      <w:jc w:val="center"/>
    </w:pPr>
    <w:rPr>
      <w:rFonts w:ascii="宋体"/>
      <w:color w:val="000000"/>
      <w:kern w:val="0"/>
      <w:sz w:val="24"/>
      <w:szCs w:val="20"/>
    </w:rPr>
  </w:style>
  <w:style w:type="paragraph" w:customStyle="1" w:styleId="123">
    <w:name w:val="reader-word-layer reader-word-s6-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4">
    <w:name w:val="1标题2级"/>
    <w:basedOn w:val="1"/>
    <w:qFormat/>
    <w:uiPriority w:val="0"/>
    <w:pPr>
      <w:keepNext/>
      <w:snapToGrid w:val="0"/>
      <w:spacing w:line="420" w:lineRule="auto"/>
      <w:outlineLvl w:val="1"/>
    </w:pPr>
    <w:rPr>
      <w:rFonts w:eastAsia="黑体"/>
      <w:b/>
      <w:sz w:val="28"/>
      <w:szCs w:val="20"/>
    </w:rPr>
  </w:style>
  <w:style w:type="paragraph" w:customStyle="1" w:styleId="125">
    <w:name w:val="小四表格"/>
    <w:basedOn w:val="1"/>
    <w:qFormat/>
    <w:uiPriority w:val="0"/>
    <w:pPr>
      <w:jc w:val="center"/>
    </w:pPr>
    <w:rPr>
      <w:kern w:val="0"/>
      <w:sz w:val="24"/>
      <w:szCs w:val="20"/>
    </w:rPr>
  </w:style>
  <w:style w:type="paragraph" w:customStyle="1" w:styleId="126">
    <w:name w:val="Char"/>
    <w:basedOn w:val="1"/>
    <w:qFormat/>
    <w:uiPriority w:val="0"/>
    <w:pPr>
      <w:widowControl/>
      <w:spacing w:after="160"/>
      <w:jc w:val="left"/>
    </w:pPr>
    <w:rPr>
      <w:rFonts w:ascii="Verdana" w:hAnsi="Verdana" w:eastAsia="仿宋_GB2312" w:cs="”“Times New Roman”“"/>
      <w:kern w:val="0"/>
      <w:sz w:val="28"/>
      <w:szCs w:val="28"/>
      <w:lang w:eastAsia="en-US"/>
    </w:rPr>
  </w:style>
  <w:style w:type="paragraph" w:customStyle="1" w:styleId="127">
    <w:name w:val="首行缩进:  2 字符"/>
    <w:basedOn w:val="1"/>
    <w:qFormat/>
    <w:uiPriority w:val="0"/>
    <w:pPr>
      <w:spacing w:line="440" w:lineRule="exact"/>
      <w:ind w:firstLine="200" w:firstLineChars="200"/>
    </w:pPr>
    <w:rPr>
      <w:rFonts w:eastAsia="仿宋_GB2312" w:cs="宋体"/>
      <w:sz w:val="24"/>
      <w:szCs w:val="20"/>
    </w:rPr>
  </w:style>
  <w:style w:type="paragraph" w:customStyle="1" w:styleId="128">
    <w:name w:val="reader-word-layer reader-word-s1-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9">
    <w:name w:val="Char Char Char1 Char Char Char Char"/>
    <w:basedOn w:val="1"/>
    <w:qFormat/>
    <w:uiPriority w:val="0"/>
    <w:pPr>
      <w:adjustRightInd w:val="0"/>
      <w:spacing w:line="360" w:lineRule="auto"/>
      <w:ind w:firstLine="200" w:firstLineChars="200"/>
    </w:pPr>
    <w:rPr>
      <w:rFonts w:eastAsia="楷体_GB2312"/>
      <w:sz w:val="24"/>
      <w:szCs w:val="24"/>
    </w:rPr>
  </w:style>
  <w:style w:type="paragraph" w:customStyle="1" w:styleId="130">
    <w:name w:val="reader-word-layer reader-word-s4-1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
    <w:name w:val="Char Char Char Char Char Char Char"/>
    <w:basedOn w:val="1"/>
    <w:qFormat/>
    <w:uiPriority w:val="0"/>
    <w:rPr>
      <w:sz w:val="24"/>
      <w:szCs w:val="24"/>
    </w:rPr>
  </w:style>
  <w:style w:type="paragraph" w:customStyle="1" w:styleId="132">
    <w:name w:val="p15"/>
    <w:basedOn w:val="1"/>
    <w:qFormat/>
    <w:uiPriority w:val="0"/>
    <w:pPr>
      <w:widowControl/>
      <w:pBdr>
        <w:bottom w:val="single" w:color="000000" w:sz="6" w:space="1"/>
      </w:pBdr>
      <w:snapToGrid w:val="0"/>
      <w:spacing w:after="200"/>
      <w:jc w:val="center"/>
    </w:pPr>
    <w:rPr>
      <w:rFonts w:ascii="Tahoma" w:hAnsi="Tahoma" w:cs="Tahoma"/>
      <w:kern w:val="0"/>
      <w:sz w:val="18"/>
      <w:szCs w:val="18"/>
    </w:rPr>
  </w:style>
  <w:style w:type="paragraph" w:customStyle="1" w:styleId="133">
    <w:name w:val="reader-word-layer reader-word-s20-10 reader-word-s20-3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4">
    <w:name w:val="中文报告书样式"/>
    <w:basedOn w:val="1"/>
    <w:qFormat/>
    <w:uiPriority w:val="0"/>
    <w:pPr>
      <w:widowControl/>
      <w:adjustRightInd w:val="0"/>
      <w:spacing w:line="480" w:lineRule="atLeast"/>
      <w:ind w:firstLine="482"/>
      <w:jc w:val="left"/>
    </w:pPr>
    <w:rPr>
      <w:rFonts w:ascii="黑体" w:hAnsi="黑体" w:cs="黑体"/>
      <w:kern w:val="24"/>
      <w:sz w:val="24"/>
      <w:szCs w:val="20"/>
    </w:rPr>
  </w:style>
  <w:style w:type="paragraph" w:customStyle="1" w:styleId="135">
    <w:name w:val="reader-word-layer reader-word-s1-1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6">
    <w:name w:val="reader-word-layer reader-word-s20-2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7">
    <w:name w:val="reader-word-layer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8">
    <w:name w:val="p19"/>
    <w:basedOn w:val="1"/>
    <w:qFormat/>
    <w:uiPriority w:val="0"/>
    <w:pPr>
      <w:widowControl/>
      <w:ind w:firstLine="420"/>
    </w:pPr>
    <w:rPr>
      <w:rFonts w:ascii="宋体" w:hAnsi="宋体" w:cs="宋体"/>
      <w:kern w:val="0"/>
      <w:sz w:val="26"/>
      <w:szCs w:val="26"/>
    </w:rPr>
  </w:style>
  <w:style w:type="paragraph" w:customStyle="1" w:styleId="139">
    <w:name w:val="reader-word-layer reader-word-s6-1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0">
    <w:name w:val="reader-word-layer reader-word-s6-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1">
    <w:name w:val="标题 41"/>
    <w:basedOn w:val="1"/>
    <w:qFormat/>
    <w:uiPriority w:val="0"/>
    <w:pPr>
      <w:spacing w:before="29"/>
      <w:ind w:left="120"/>
      <w:outlineLvl w:val="3"/>
    </w:pPr>
    <w:rPr>
      <w:rFonts w:ascii="宋体" w:cs="宋体"/>
      <w:b/>
      <w:bCs/>
    </w:rPr>
  </w:style>
  <w:style w:type="paragraph" w:customStyle="1" w:styleId="142">
    <w:name w:val="p24"/>
    <w:basedOn w:val="1"/>
    <w:qFormat/>
    <w:uiPriority w:val="0"/>
    <w:pPr>
      <w:widowControl/>
      <w:spacing w:before="60" w:line="460" w:lineRule="atLeast"/>
      <w:ind w:firstLine="482"/>
    </w:pPr>
    <w:rPr>
      <w:kern w:val="0"/>
      <w:sz w:val="24"/>
      <w:szCs w:val="24"/>
    </w:rPr>
  </w:style>
  <w:style w:type="paragraph" w:customStyle="1" w:styleId="143">
    <w:name w:val="Char Char Char"/>
    <w:basedOn w:val="1"/>
    <w:qFormat/>
    <w:uiPriority w:val="0"/>
    <w:rPr>
      <w:szCs w:val="24"/>
    </w:rPr>
  </w:style>
  <w:style w:type="paragraph" w:styleId="144">
    <w:name w:val="List Paragraph"/>
    <w:basedOn w:val="1"/>
    <w:qFormat/>
    <w:uiPriority w:val="0"/>
    <w:pPr>
      <w:ind w:firstLine="420" w:firstLineChars="200"/>
    </w:pPr>
  </w:style>
  <w:style w:type="paragraph" w:customStyle="1" w:styleId="145">
    <w:name w:val="char"/>
    <w:basedOn w:val="1"/>
    <w:qFormat/>
    <w:uiPriority w:val="0"/>
    <w:pPr>
      <w:widowControl/>
      <w:spacing w:after="160" w:line="240" w:lineRule="atLeast"/>
      <w:ind w:right="533" w:rightChars="254"/>
    </w:pPr>
    <w:rPr>
      <w:szCs w:val="20"/>
    </w:rPr>
  </w:style>
  <w:style w:type="paragraph" w:customStyle="1" w:styleId="146">
    <w:name w:val="reader-word-layer reader-word-s6-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7">
    <w:name w:val="样式12"/>
    <w:basedOn w:val="1"/>
    <w:qFormat/>
    <w:uiPriority w:val="0"/>
    <w:pPr>
      <w:jc w:val="center"/>
    </w:pPr>
    <w:rPr>
      <w:szCs w:val="21"/>
    </w:rPr>
  </w:style>
  <w:style w:type="paragraph" w:customStyle="1" w:styleId="148">
    <w:name w:val="p25"/>
    <w:basedOn w:val="1"/>
    <w:qFormat/>
    <w:uiPriority w:val="0"/>
    <w:pPr>
      <w:widowControl/>
      <w:jc w:val="center"/>
    </w:pPr>
    <w:rPr>
      <w:kern w:val="0"/>
      <w:sz w:val="24"/>
      <w:szCs w:val="24"/>
    </w:rPr>
  </w:style>
  <w:style w:type="paragraph" w:customStyle="1" w:styleId="149">
    <w:name w:val="reader-word-layer reader-word-s1-1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0">
    <w:name w:val="p17"/>
    <w:basedOn w:val="1"/>
    <w:qFormat/>
    <w:uiPriority w:val="0"/>
    <w:pPr>
      <w:widowControl/>
      <w:snapToGrid w:val="0"/>
      <w:spacing w:line="312" w:lineRule="auto"/>
      <w:ind w:left="113" w:right="113" w:firstLine="482"/>
      <w:jc w:val="left"/>
    </w:pPr>
    <w:rPr>
      <w:kern w:val="0"/>
      <w:sz w:val="24"/>
      <w:szCs w:val="24"/>
    </w:rPr>
  </w:style>
  <w:style w:type="paragraph" w:customStyle="1" w:styleId="151">
    <w:name w:val="reader-word-layer reader-word-s1-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2">
    <w:name w:val="reader-word-layer reader-word-s6-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3">
    <w:name w:val="reader-word-layer reader-word-s2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4">
    <w:name w:val="p18"/>
    <w:basedOn w:val="1"/>
    <w:qFormat/>
    <w:uiPriority w:val="0"/>
    <w:pPr>
      <w:widowControl/>
      <w:spacing w:before="78" w:after="78" w:line="360" w:lineRule="auto"/>
    </w:pPr>
    <w:rPr>
      <w:b/>
      <w:bCs/>
      <w:caps/>
      <w:kern w:val="0"/>
      <w:sz w:val="24"/>
      <w:szCs w:val="24"/>
    </w:rPr>
  </w:style>
  <w:style w:type="paragraph" w:customStyle="1" w:styleId="155">
    <w:name w:val="p20"/>
    <w:basedOn w:val="1"/>
    <w:qFormat/>
    <w:uiPriority w:val="0"/>
    <w:pPr>
      <w:pageBreakBefore/>
      <w:widowControl/>
      <w:spacing w:before="60" w:line="460" w:lineRule="atLeast"/>
    </w:pPr>
    <w:rPr>
      <w:rFonts w:ascii="Arial" w:hAnsi="Arial" w:cs="Arial"/>
      <w:b/>
      <w:bCs/>
      <w:color w:val="000000"/>
      <w:kern w:val="0"/>
      <w:sz w:val="24"/>
      <w:szCs w:val="24"/>
    </w:rPr>
  </w:style>
  <w:style w:type="paragraph" w:customStyle="1" w:styleId="156">
    <w:name w:val="标题111 Char Char Char Char Char Char Char"/>
    <w:basedOn w:val="1"/>
    <w:qFormat/>
    <w:uiPriority w:val="0"/>
    <w:pPr>
      <w:spacing w:before="60" w:line="460" w:lineRule="atLeast"/>
      <w:ind w:firstLine="200" w:firstLineChars="200"/>
    </w:pPr>
    <w:rPr>
      <w:rFonts w:ascii="宋体" w:hAnsi="宋体" w:cs="宋体"/>
      <w:sz w:val="24"/>
      <w:szCs w:val="24"/>
    </w:rPr>
  </w:style>
  <w:style w:type="paragraph" w:customStyle="1" w:styleId="157">
    <w:name w:val="样式3"/>
    <w:basedOn w:val="1"/>
    <w:qFormat/>
    <w:uiPriority w:val="0"/>
    <w:pPr>
      <w:autoSpaceDE w:val="0"/>
      <w:autoSpaceDN w:val="0"/>
      <w:snapToGrid w:val="0"/>
      <w:spacing w:before="120" w:line="460" w:lineRule="atLeast"/>
      <w:jc w:val="center"/>
    </w:pPr>
    <w:rPr>
      <w:rFonts w:eastAsia="黑体"/>
      <w:sz w:val="28"/>
      <w:szCs w:val="24"/>
    </w:rPr>
  </w:style>
  <w:style w:type="paragraph" w:customStyle="1" w:styleId="158">
    <w:name w:val="reader-word-layer reader-word-s6-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9">
    <w:name w:val="表格"/>
    <w:basedOn w:val="1"/>
    <w:link w:val="223"/>
    <w:qFormat/>
    <w:uiPriority w:val="0"/>
    <w:pPr>
      <w:jc w:val="center"/>
    </w:pPr>
    <w:rPr>
      <w:sz w:val="24"/>
      <w:szCs w:val="21"/>
    </w:rPr>
  </w:style>
  <w:style w:type="paragraph" w:customStyle="1" w:styleId="160">
    <w:name w:val="样式35"/>
    <w:basedOn w:val="1"/>
    <w:qFormat/>
    <w:uiPriority w:val="0"/>
    <w:pPr>
      <w:adjustRightInd w:val="0"/>
      <w:spacing w:line="312" w:lineRule="auto"/>
      <w:ind w:firstLine="567"/>
    </w:pPr>
    <w:rPr>
      <w:rFonts w:ascii="宋体"/>
      <w:kern w:val="0"/>
      <w:sz w:val="28"/>
      <w:szCs w:val="24"/>
    </w:rPr>
  </w:style>
  <w:style w:type="paragraph" w:customStyle="1" w:styleId="161">
    <w:name w:val="列出段落1"/>
    <w:basedOn w:val="1"/>
    <w:qFormat/>
    <w:uiPriority w:val="0"/>
    <w:pPr>
      <w:spacing w:line="500" w:lineRule="exact"/>
      <w:ind w:firstLine="420" w:firstLineChars="200"/>
    </w:pPr>
    <w:rPr>
      <w:sz w:val="24"/>
      <w:szCs w:val="24"/>
    </w:rPr>
  </w:style>
  <w:style w:type="paragraph" w:customStyle="1" w:styleId="162">
    <w:name w:val="reader-word-layer reader-word-s1-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3">
    <w:name w:val="Char Char6 Char Char Char Char Char Char Char Char Char Char Char Char Char Char Char Char Char Char Char Char"/>
    <w:basedOn w:val="1"/>
    <w:qFormat/>
    <w:uiPriority w:val="0"/>
    <w:rPr>
      <w:sz w:val="24"/>
      <w:szCs w:val="24"/>
    </w:rPr>
  </w:style>
  <w:style w:type="paragraph" w:customStyle="1" w:styleId="164">
    <w:name w:val="Char Char1 Char Char Char Char Char Char"/>
    <w:basedOn w:val="1"/>
    <w:qFormat/>
    <w:uiPriority w:val="0"/>
    <w:rPr>
      <w:szCs w:val="20"/>
    </w:rPr>
  </w:style>
  <w:style w:type="paragraph" w:customStyle="1" w:styleId="165">
    <w:name w:val="reader-word-layer reader-word-s1-2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6">
    <w:name w:val="reader-word-layer reader-word-s1-2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67">
    <w:name w:val="表文1"/>
    <w:basedOn w:val="1"/>
    <w:qFormat/>
    <w:uiPriority w:val="0"/>
    <w:pPr>
      <w:spacing w:beforeLines="50" w:afterLines="50" w:line="360" w:lineRule="auto"/>
    </w:pPr>
    <w:rPr>
      <w:rFonts w:ascii="宋体" w:hAnsi="宋体"/>
      <w:szCs w:val="20"/>
    </w:rPr>
  </w:style>
  <w:style w:type="paragraph" w:customStyle="1" w:styleId="168">
    <w:name w:val="默认段落字体 Para Char Char Char Char"/>
    <w:basedOn w:val="164"/>
    <w:next w:val="5"/>
    <w:qFormat/>
    <w:uiPriority w:val="0"/>
    <w:rPr>
      <w:sz w:val="24"/>
      <w:szCs w:val="24"/>
    </w:rPr>
  </w:style>
  <w:style w:type="paragraph" w:customStyle="1" w:styleId="169">
    <w:name w:val="正文2"/>
    <w:basedOn w:val="1"/>
    <w:qFormat/>
    <w:uiPriority w:val="0"/>
    <w:pPr>
      <w:adjustRightInd w:val="0"/>
      <w:snapToGrid w:val="0"/>
      <w:spacing w:line="440" w:lineRule="atLeast"/>
      <w:ind w:firstLine="510"/>
    </w:pPr>
    <w:rPr>
      <w:szCs w:val="20"/>
    </w:rPr>
  </w:style>
  <w:style w:type="paragraph" w:customStyle="1" w:styleId="170">
    <w:name w:val="reader-word-layer reader-word-s2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1">
    <w:name w:val="reader-word-layer reader-word-s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2">
    <w:name w:val="标题3 Char Char Char Char"/>
    <w:basedOn w:val="1"/>
    <w:qFormat/>
    <w:uiPriority w:val="0"/>
    <w:pPr>
      <w:spacing w:afterLines="50" w:line="560" w:lineRule="exact"/>
    </w:pPr>
    <w:rPr>
      <w:rFonts w:eastAsia="黑体"/>
      <w:sz w:val="30"/>
      <w:szCs w:val="30"/>
    </w:rPr>
  </w:style>
  <w:style w:type="paragraph" w:customStyle="1" w:styleId="173">
    <w:name w:val="2"/>
    <w:basedOn w:val="1"/>
    <w:next w:val="1"/>
    <w:qFormat/>
    <w:uiPriority w:val="0"/>
    <w:pPr>
      <w:spacing w:before="240" w:line="440" w:lineRule="exact"/>
    </w:pPr>
    <w:rPr>
      <w:rFonts w:ascii="黑体" w:eastAsia="黑体"/>
      <w:sz w:val="24"/>
      <w:szCs w:val="28"/>
    </w:rPr>
  </w:style>
  <w:style w:type="paragraph" w:customStyle="1" w:styleId="174">
    <w:name w:val="reader-word-layer reader-word-s6-3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5">
    <w:name w:val="1"/>
    <w:basedOn w:val="1"/>
    <w:next w:val="6"/>
    <w:qFormat/>
    <w:uiPriority w:val="0"/>
    <w:pPr>
      <w:ind w:firstLine="420"/>
    </w:pPr>
    <w:rPr>
      <w:rFonts w:ascii="宋体"/>
      <w:sz w:val="26"/>
      <w:szCs w:val="20"/>
    </w:rPr>
  </w:style>
  <w:style w:type="paragraph" w:customStyle="1" w:styleId="176">
    <w:name w:val="reader-word-layer reader-word-s1-19"/>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7">
    <w:name w:val="p16"/>
    <w:basedOn w:val="1"/>
    <w:qFormat/>
    <w:uiPriority w:val="0"/>
    <w:pPr>
      <w:widowControl/>
      <w:jc w:val="center"/>
    </w:pPr>
    <w:rPr>
      <w:kern w:val="0"/>
      <w:szCs w:val="21"/>
    </w:rPr>
  </w:style>
  <w:style w:type="paragraph" w:customStyle="1" w:styleId="178">
    <w:name w:val="reader-word-layer reader-word-s6-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79">
    <w:name w:val="reader-word-layer reader-word-s1-26"/>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80">
    <w:name w:val="报告表正文"/>
    <w:basedOn w:val="1"/>
    <w:link w:val="197"/>
    <w:qFormat/>
    <w:uiPriority w:val="0"/>
    <w:pPr>
      <w:adjustRightInd w:val="0"/>
      <w:spacing w:line="312" w:lineRule="auto"/>
      <w:ind w:left="113" w:right="113" w:firstLine="482"/>
      <w:jc w:val="left"/>
    </w:pPr>
    <w:rPr>
      <w:kern w:val="0"/>
      <w:sz w:val="24"/>
      <w:szCs w:val="20"/>
    </w:rPr>
  </w:style>
  <w:style w:type="paragraph" w:customStyle="1" w:styleId="181">
    <w:name w:val="reader-word-layer reader-word-s6-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82">
    <w:name w:val="reader-word-layer reader-word-s6-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83">
    <w:name w:val="正文格式"/>
    <w:basedOn w:val="1"/>
    <w:qFormat/>
    <w:uiPriority w:val="0"/>
    <w:pPr>
      <w:ind w:firstLine="480" w:firstLineChars="200"/>
    </w:pPr>
    <w:rPr>
      <w:rFonts w:ascii="仿宋_GB2312" w:eastAsia="仿宋_GB2312"/>
      <w:b/>
      <w:bCs/>
      <w:color w:val="FF6600"/>
      <w:sz w:val="24"/>
      <w:szCs w:val="24"/>
    </w:rPr>
  </w:style>
  <w:style w:type="paragraph" w:customStyle="1" w:styleId="184">
    <w:name w:val="reader-word-layer reader-word-s2-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85">
    <w:name w:val="Char Char Char Char Char Char Char Char2 Char"/>
    <w:basedOn w:val="1"/>
    <w:qFormat/>
    <w:uiPriority w:val="0"/>
    <w:pPr>
      <w:widowControl/>
      <w:adjustRightInd w:val="0"/>
      <w:spacing w:after="160" w:line="240" w:lineRule="exact"/>
      <w:jc w:val="left"/>
    </w:pPr>
    <w:rPr>
      <w:sz w:val="24"/>
      <w:szCs w:val="20"/>
    </w:rPr>
  </w:style>
  <w:style w:type="paragraph" w:customStyle="1" w:styleId="186">
    <w:name w:val="p23"/>
    <w:basedOn w:val="1"/>
    <w:qFormat/>
    <w:uiPriority w:val="0"/>
    <w:pPr>
      <w:widowControl/>
      <w:snapToGrid w:val="0"/>
      <w:spacing w:line="480" w:lineRule="atLeast"/>
      <w:ind w:firstLine="482"/>
    </w:pPr>
    <w:rPr>
      <w:kern w:val="0"/>
      <w:sz w:val="24"/>
      <w:szCs w:val="24"/>
    </w:rPr>
  </w:style>
  <w:style w:type="paragraph" w:customStyle="1" w:styleId="187">
    <w:name w:val="表格文字2"/>
    <w:basedOn w:val="1"/>
    <w:qFormat/>
    <w:uiPriority w:val="0"/>
    <w:pPr>
      <w:adjustRightInd w:val="0"/>
      <w:spacing w:before="60"/>
      <w:jc w:val="center"/>
      <w:textAlignment w:val="baseline"/>
    </w:pPr>
    <w:rPr>
      <w:rFonts w:ascii="宋体"/>
      <w:kern w:val="0"/>
      <w:sz w:val="24"/>
      <w:szCs w:val="20"/>
    </w:rPr>
  </w:style>
  <w:style w:type="paragraph" w:customStyle="1" w:styleId="188">
    <w:name w:val="reader-word-layer reader-word-s1-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89">
    <w:name w:val="p21"/>
    <w:basedOn w:val="1"/>
    <w:qFormat/>
    <w:uiPriority w:val="0"/>
    <w:pPr>
      <w:widowControl/>
      <w:ind w:firstLine="420"/>
    </w:pPr>
    <w:rPr>
      <w:rFonts w:ascii="宋体" w:hAnsi="宋体" w:cs="宋体"/>
      <w:kern w:val="0"/>
      <w:sz w:val="26"/>
      <w:szCs w:val="26"/>
    </w:rPr>
  </w:style>
  <w:style w:type="character" w:customStyle="1" w:styleId="190">
    <w:name w:val="表格正文 Char Char"/>
    <w:link w:val="108"/>
    <w:qFormat/>
    <w:uiPriority w:val="0"/>
    <w:rPr>
      <w:kern w:val="2"/>
      <w:sz w:val="21"/>
    </w:rPr>
  </w:style>
  <w:style w:type="paragraph" w:customStyle="1" w:styleId="191">
    <w:name w:val="Table Paragraph"/>
    <w:basedOn w:val="1"/>
    <w:qFormat/>
    <w:uiPriority w:val="1"/>
    <w:pPr>
      <w:autoSpaceDE w:val="0"/>
      <w:autoSpaceDN w:val="0"/>
      <w:jc w:val="center"/>
    </w:pPr>
    <w:rPr>
      <w:rFonts w:ascii="Noto Sans CJK JP Regular" w:hAnsi="Noto Sans CJK JP Regular" w:eastAsia="Noto Sans CJK JP Regular" w:cs="Noto Sans CJK JP Regular"/>
      <w:kern w:val="0"/>
      <w:sz w:val="22"/>
      <w:lang w:eastAsia="en-US"/>
    </w:rPr>
  </w:style>
  <w:style w:type="paragraph" w:customStyle="1" w:styleId="192">
    <w:name w:val="表内容"/>
    <w:basedOn w:val="1"/>
    <w:next w:val="1"/>
    <w:qFormat/>
    <w:uiPriority w:val="0"/>
    <w:pPr>
      <w:spacing w:line="320" w:lineRule="exact"/>
      <w:jc w:val="center"/>
    </w:pPr>
    <w:rPr>
      <w:szCs w:val="20"/>
    </w:rPr>
  </w:style>
  <w:style w:type="character" w:customStyle="1" w:styleId="193">
    <w:name w:val="标题 3 Char"/>
    <w:link w:val="4"/>
    <w:semiHidden/>
    <w:qFormat/>
    <w:uiPriority w:val="9"/>
    <w:rPr>
      <w:b/>
      <w:bCs/>
      <w:kern w:val="2"/>
      <w:sz w:val="32"/>
      <w:szCs w:val="32"/>
    </w:rPr>
  </w:style>
  <w:style w:type="paragraph" w:customStyle="1" w:styleId="194">
    <w:name w:val="标2lcc"/>
    <w:basedOn w:val="1"/>
    <w:qFormat/>
    <w:uiPriority w:val="0"/>
    <w:pPr>
      <w:outlineLvl w:val="1"/>
    </w:pPr>
    <w:rPr>
      <w:b/>
      <w:kern w:val="0"/>
      <w:sz w:val="28"/>
      <w:szCs w:val="24"/>
    </w:rPr>
  </w:style>
  <w:style w:type="paragraph" w:customStyle="1" w:styleId="195">
    <w:name w:val="正文 首行缩进:  2 字符"/>
    <w:basedOn w:val="1"/>
    <w:qFormat/>
    <w:uiPriority w:val="99"/>
    <w:pPr>
      <w:ind w:firstLine="579" w:firstLineChars="200"/>
    </w:pPr>
    <w:rPr>
      <w:rFonts w:cs="宋体"/>
      <w:szCs w:val="20"/>
    </w:rPr>
  </w:style>
  <w:style w:type="character" w:customStyle="1" w:styleId="196">
    <w:name w:val="批注文字 Char1"/>
    <w:qFormat/>
    <w:locked/>
    <w:uiPriority w:val="99"/>
    <w:rPr>
      <w:szCs w:val="24"/>
    </w:rPr>
  </w:style>
  <w:style w:type="character" w:customStyle="1" w:styleId="197">
    <w:name w:val="报告表正文 Char"/>
    <w:link w:val="180"/>
    <w:qFormat/>
    <w:locked/>
    <w:uiPriority w:val="0"/>
    <w:rPr>
      <w:sz w:val="24"/>
    </w:rPr>
  </w:style>
  <w:style w:type="paragraph" w:customStyle="1" w:styleId="198">
    <w:name w:val="列出段落11"/>
    <w:basedOn w:val="1"/>
    <w:qFormat/>
    <w:uiPriority w:val="0"/>
    <w:pPr>
      <w:spacing w:line="520" w:lineRule="exact"/>
      <w:ind w:firstLine="420" w:firstLineChars="200"/>
    </w:pPr>
    <w:rPr>
      <w:rFonts w:ascii="Calibri" w:hAnsi="Calibri"/>
      <w:sz w:val="24"/>
    </w:rPr>
  </w:style>
  <w:style w:type="paragraph" w:customStyle="1" w:styleId="199">
    <w:name w:val="正文首行缩进 2 + Times New Roman"/>
    <w:basedOn w:val="1"/>
    <w:qFormat/>
    <w:uiPriority w:val="0"/>
    <w:pPr>
      <w:tabs>
        <w:tab w:val="left" w:pos="0"/>
        <w:tab w:val="left" w:pos="870"/>
        <w:tab w:val="left" w:pos="3150"/>
      </w:tabs>
      <w:autoSpaceDE w:val="0"/>
      <w:autoSpaceDN w:val="0"/>
      <w:spacing w:line="360" w:lineRule="auto"/>
      <w:ind w:firstLine="480" w:firstLineChars="200"/>
      <w:jc w:val="left"/>
    </w:pPr>
    <w:rPr>
      <w:kern w:val="0"/>
      <w:sz w:val="24"/>
      <w:szCs w:val="24"/>
    </w:rPr>
  </w:style>
  <w:style w:type="character" w:customStyle="1" w:styleId="200">
    <w:name w:val="正文文本缩进 Char"/>
    <w:link w:val="10"/>
    <w:qFormat/>
    <w:uiPriority w:val="0"/>
    <w:rPr>
      <w:kern w:val="2"/>
      <w:sz w:val="21"/>
      <w:szCs w:val="24"/>
    </w:rPr>
  </w:style>
  <w:style w:type="character" w:customStyle="1" w:styleId="201">
    <w:name w:val="正文首行缩进 2 Char"/>
    <w:basedOn w:val="200"/>
    <w:link w:val="35"/>
    <w:qFormat/>
    <w:uiPriority w:val="0"/>
    <w:rPr>
      <w:kern w:val="2"/>
      <w:sz w:val="21"/>
      <w:szCs w:val="24"/>
    </w:rPr>
  </w:style>
  <w:style w:type="character" w:customStyle="1" w:styleId="202">
    <w:name w:val="表头格式 Char"/>
    <w:link w:val="203"/>
    <w:qFormat/>
    <w:locked/>
    <w:uiPriority w:val="0"/>
    <w:rPr>
      <w:b/>
      <w:color w:val="000000"/>
      <w:sz w:val="24"/>
      <w:szCs w:val="24"/>
    </w:rPr>
  </w:style>
  <w:style w:type="paragraph" w:customStyle="1" w:styleId="203">
    <w:name w:val="表头格式"/>
    <w:basedOn w:val="1"/>
    <w:link w:val="202"/>
    <w:qFormat/>
    <w:uiPriority w:val="0"/>
    <w:pPr>
      <w:spacing w:line="480" w:lineRule="exact"/>
      <w:jc w:val="center"/>
    </w:pPr>
    <w:rPr>
      <w:b/>
      <w:color w:val="000000"/>
      <w:kern w:val="0"/>
      <w:sz w:val="24"/>
      <w:szCs w:val="24"/>
    </w:rPr>
  </w:style>
  <w:style w:type="character" w:customStyle="1" w:styleId="204">
    <w:name w:val="表格正文 Char"/>
    <w:qFormat/>
    <w:locked/>
    <w:uiPriority w:val="0"/>
    <w:rPr>
      <w:kern w:val="2"/>
      <w:sz w:val="21"/>
      <w:szCs w:val="24"/>
    </w:rPr>
  </w:style>
  <w:style w:type="paragraph" w:customStyle="1" w:styleId="205">
    <w:name w:val="报告 Char"/>
    <w:basedOn w:val="1"/>
    <w:qFormat/>
    <w:uiPriority w:val="0"/>
    <w:pPr>
      <w:adjustRightInd w:val="0"/>
      <w:spacing w:line="360" w:lineRule="auto"/>
      <w:ind w:firstLine="505" w:firstLineChars="200"/>
    </w:pPr>
    <w:rPr>
      <w:sz w:val="24"/>
      <w:szCs w:val="24"/>
    </w:rPr>
  </w:style>
  <w:style w:type="character" w:customStyle="1" w:styleId="206">
    <w:name w:val="Default Char Char"/>
    <w:link w:val="52"/>
    <w:qFormat/>
    <w:locked/>
    <w:uiPriority w:val="0"/>
    <w:rPr>
      <w:color w:val="000000"/>
      <w:sz w:val="24"/>
      <w:szCs w:val="24"/>
      <w:lang w:bidi="ar-SA"/>
    </w:rPr>
  </w:style>
  <w:style w:type="character" w:customStyle="1" w:styleId="207">
    <w:name w:val="表格内容 Char Char"/>
    <w:link w:val="208"/>
    <w:qFormat/>
    <w:locked/>
    <w:uiPriority w:val="0"/>
    <w:rPr>
      <w:rFonts w:ascii="宋体" w:hAnsi="宋体"/>
      <w:sz w:val="18"/>
    </w:rPr>
  </w:style>
  <w:style w:type="paragraph" w:customStyle="1" w:styleId="208">
    <w:name w:val="表格内容"/>
    <w:basedOn w:val="1"/>
    <w:link w:val="207"/>
    <w:qFormat/>
    <w:uiPriority w:val="0"/>
    <w:pPr>
      <w:tabs>
        <w:tab w:val="left" w:pos="1535"/>
        <w:tab w:val="left" w:pos="3105"/>
        <w:tab w:val="left" w:pos="4676"/>
        <w:tab w:val="left" w:pos="6247"/>
        <w:tab w:val="left" w:pos="7740"/>
        <w:tab w:val="left" w:pos="9288"/>
      </w:tabs>
      <w:snapToGrid w:val="0"/>
      <w:ind w:left="-25" w:leftChars="-12"/>
    </w:pPr>
    <w:rPr>
      <w:rFonts w:ascii="宋体" w:hAnsi="宋体"/>
      <w:kern w:val="0"/>
      <w:sz w:val="18"/>
      <w:szCs w:val="20"/>
    </w:rPr>
  </w:style>
  <w:style w:type="paragraph" w:customStyle="1" w:styleId="209">
    <w:name w:val="表格标题"/>
    <w:basedOn w:val="1"/>
    <w:next w:val="1"/>
    <w:qFormat/>
    <w:uiPriority w:val="0"/>
    <w:pPr>
      <w:spacing w:line="360" w:lineRule="auto"/>
      <w:jc w:val="center"/>
    </w:pPr>
    <w:rPr>
      <w:b/>
      <w:szCs w:val="20"/>
    </w:rPr>
  </w:style>
  <w:style w:type="paragraph" w:customStyle="1" w:styleId="210">
    <w:name w:val="样式 正文文本缩进 3 + 左侧:  2 字符"/>
    <w:basedOn w:val="25"/>
    <w:qFormat/>
    <w:uiPriority w:val="0"/>
    <w:pPr>
      <w:widowControl/>
      <w:spacing w:line="360" w:lineRule="auto"/>
      <w:ind w:left="0" w:leftChars="0" w:firstLine="200" w:firstLineChars="200"/>
      <w:jc w:val="left"/>
    </w:pPr>
    <w:rPr>
      <w:rFonts w:cs="PMingLiU"/>
      <w:kern w:val="0"/>
      <w:sz w:val="24"/>
      <w:szCs w:val="20"/>
    </w:rPr>
  </w:style>
  <w:style w:type="character" w:customStyle="1" w:styleId="211">
    <w:name w:val="表格内容--1.15 Char"/>
    <w:link w:val="212"/>
    <w:qFormat/>
    <w:locked/>
    <w:uiPriority w:val="0"/>
    <w:rPr>
      <w:color w:val="0D0D0D"/>
      <w:sz w:val="21"/>
      <w:szCs w:val="21"/>
    </w:rPr>
  </w:style>
  <w:style w:type="paragraph" w:customStyle="1" w:styleId="212">
    <w:name w:val="表格内容--1.15"/>
    <w:basedOn w:val="1"/>
    <w:link w:val="211"/>
    <w:qFormat/>
    <w:uiPriority w:val="0"/>
    <w:pPr>
      <w:tabs>
        <w:tab w:val="left" w:pos="567"/>
        <w:tab w:val="left" w:pos="1134"/>
        <w:tab w:val="right" w:leader="middleDot" w:pos="7938"/>
      </w:tabs>
      <w:spacing w:line="276" w:lineRule="auto"/>
      <w:jc w:val="center"/>
    </w:pPr>
    <w:rPr>
      <w:color w:val="0D0D0D"/>
      <w:kern w:val="0"/>
      <w:szCs w:val="21"/>
    </w:rPr>
  </w:style>
  <w:style w:type="character" w:customStyle="1" w:styleId="213">
    <w:name w:val="正文文本 (2)_"/>
    <w:link w:val="214"/>
    <w:qFormat/>
    <w:uiPriority w:val="99"/>
    <w:rPr>
      <w:rFonts w:ascii="微软雅黑" w:eastAsia="微软雅黑" w:cs="微软雅黑"/>
      <w:sz w:val="21"/>
      <w:szCs w:val="21"/>
      <w:shd w:val="clear" w:color="auto" w:fill="FFFFFF"/>
    </w:rPr>
  </w:style>
  <w:style w:type="paragraph" w:customStyle="1" w:styleId="214">
    <w:name w:val="正文文本 (2)1"/>
    <w:basedOn w:val="1"/>
    <w:link w:val="213"/>
    <w:qFormat/>
    <w:uiPriority w:val="99"/>
    <w:pPr>
      <w:shd w:val="clear" w:color="auto" w:fill="FFFFFF"/>
      <w:spacing w:before="60" w:line="413" w:lineRule="exact"/>
      <w:ind w:firstLine="300"/>
      <w:jc w:val="left"/>
    </w:pPr>
    <w:rPr>
      <w:rFonts w:ascii="微软雅黑" w:eastAsia="微软雅黑"/>
      <w:kern w:val="0"/>
      <w:szCs w:val="21"/>
    </w:rPr>
  </w:style>
  <w:style w:type="paragraph" w:customStyle="1" w:styleId="215">
    <w:name w:val="纯文本1"/>
    <w:basedOn w:val="1"/>
    <w:qFormat/>
    <w:uiPriority w:val="0"/>
    <w:pPr>
      <w:spacing w:line="480" w:lineRule="exact"/>
      <w:ind w:firstLine="480" w:firstLineChars="200"/>
    </w:pPr>
    <w:rPr>
      <w:rFonts w:ascii="宋体" w:hAnsi="Courier New"/>
      <w:kern w:val="0"/>
      <w:sz w:val="20"/>
      <w:szCs w:val="20"/>
    </w:rPr>
  </w:style>
  <w:style w:type="character" w:customStyle="1" w:styleId="216">
    <w:name w:val="表格字体 Char"/>
    <w:link w:val="217"/>
    <w:qFormat/>
    <w:uiPriority w:val="0"/>
    <w:rPr>
      <w:spacing w:val="-2"/>
      <w:kern w:val="28"/>
      <w:sz w:val="21"/>
    </w:rPr>
  </w:style>
  <w:style w:type="paragraph" w:customStyle="1" w:styleId="217">
    <w:name w:val="表格字体"/>
    <w:basedOn w:val="14"/>
    <w:link w:val="216"/>
    <w:qFormat/>
    <w:uiPriority w:val="0"/>
    <w:pPr>
      <w:adjustRightInd w:val="0"/>
      <w:snapToGrid w:val="0"/>
      <w:spacing w:before="120" w:line="400" w:lineRule="exact"/>
      <w:jc w:val="center"/>
      <w:textAlignment w:val="baseline"/>
    </w:pPr>
    <w:rPr>
      <w:rFonts w:ascii="Times New Roman" w:hAnsi="Times New Roman"/>
      <w:color w:val="auto"/>
      <w:spacing w:val="-2"/>
      <w:kern w:val="28"/>
      <w:sz w:val="21"/>
    </w:rPr>
  </w:style>
  <w:style w:type="character" w:customStyle="1" w:styleId="218">
    <w:name w:val="正文文本 Char"/>
    <w:link w:val="9"/>
    <w:qFormat/>
    <w:uiPriority w:val="0"/>
    <w:rPr>
      <w:kern w:val="2"/>
      <w:sz w:val="21"/>
      <w:szCs w:val="22"/>
    </w:rPr>
  </w:style>
  <w:style w:type="character" w:customStyle="1" w:styleId="219">
    <w:name w:val="正文首行缩进 Char"/>
    <w:basedOn w:val="218"/>
    <w:link w:val="34"/>
    <w:qFormat/>
    <w:uiPriority w:val="0"/>
    <w:rPr>
      <w:kern w:val="2"/>
      <w:sz w:val="21"/>
      <w:szCs w:val="22"/>
    </w:rPr>
  </w:style>
  <w:style w:type="paragraph" w:customStyle="1" w:styleId="220">
    <w:name w:val="图、表内容"/>
    <w:basedOn w:val="1"/>
    <w:qFormat/>
    <w:uiPriority w:val="0"/>
    <w:pPr>
      <w:adjustRightInd w:val="0"/>
      <w:snapToGrid w:val="0"/>
      <w:spacing w:line="360" w:lineRule="auto"/>
      <w:ind w:firstLine="640" w:firstLineChars="200"/>
      <w:jc w:val="center"/>
    </w:pPr>
    <w:rPr>
      <w:rFonts w:cs="宋体"/>
      <w:spacing w:val="-2"/>
      <w:kern w:val="0"/>
      <w:sz w:val="20"/>
      <w:szCs w:val="20"/>
    </w:rPr>
  </w:style>
  <w:style w:type="paragraph" w:customStyle="1" w:styleId="221">
    <w:name w:val="+正文"/>
    <w:basedOn w:val="1"/>
    <w:qFormat/>
    <w:uiPriority w:val="0"/>
    <w:pPr>
      <w:spacing w:line="360" w:lineRule="auto"/>
      <w:jc w:val="left"/>
    </w:pPr>
    <w:rPr>
      <w:rFonts w:cs="黑体"/>
      <w:sz w:val="24"/>
    </w:rPr>
  </w:style>
  <w:style w:type="table" w:customStyle="1" w:styleId="222">
    <w:name w:val="Table Normal"/>
    <w:unhideWhenUsed/>
    <w:qFormat/>
    <w:uiPriority w:val="0"/>
    <w:pPr>
      <w:widowControl w:val="0"/>
    </w:pPr>
    <w:rPr>
      <w:rFonts w:ascii="Calibri" w:hAnsi="Calibri"/>
      <w:sz w:val="22"/>
      <w:szCs w:val="22"/>
      <w:lang w:eastAsia="en-US"/>
    </w:rPr>
    <w:tblPr>
      <w:tblCellMar>
        <w:top w:w="0" w:type="dxa"/>
        <w:left w:w="0" w:type="dxa"/>
        <w:bottom w:w="0" w:type="dxa"/>
        <w:right w:w="0" w:type="dxa"/>
      </w:tblCellMar>
    </w:tblPr>
  </w:style>
  <w:style w:type="character" w:customStyle="1" w:styleId="223">
    <w:name w:val="表格 Char"/>
    <w:link w:val="159"/>
    <w:qFormat/>
    <w:locked/>
    <w:uiPriority w:val="0"/>
    <w:rPr>
      <w:kern w:val="2"/>
      <w:sz w:val="24"/>
      <w:szCs w:val="21"/>
    </w:rPr>
  </w:style>
  <w:style w:type="character" w:customStyle="1" w:styleId="224">
    <w:name w:val="S 正文 Char"/>
    <w:link w:val="225"/>
    <w:qFormat/>
    <w:locked/>
    <w:uiPriority w:val="0"/>
    <w:rPr>
      <w:sz w:val="24"/>
      <w:lang w:val="en-US" w:eastAsia="en-US" w:bidi="en-US"/>
    </w:rPr>
  </w:style>
  <w:style w:type="paragraph" w:customStyle="1" w:styleId="225">
    <w:name w:val="S 正文"/>
    <w:link w:val="224"/>
    <w:qFormat/>
    <w:uiPriority w:val="0"/>
    <w:pPr>
      <w:widowControl w:val="0"/>
      <w:adjustRightInd w:val="0"/>
      <w:snapToGrid w:val="0"/>
      <w:spacing w:line="360" w:lineRule="auto"/>
      <w:ind w:firstLine="480" w:firstLineChars="200"/>
    </w:pPr>
    <w:rPr>
      <w:rFonts w:ascii="Times New Roman" w:hAnsi="Times New Roman" w:eastAsia="宋体" w:cs="Times New Roman"/>
      <w:sz w:val="24"/>
      <w:lang w:val="en-US" w:eastAsia="en-US" w:bidi="en-US"/>
    </w:rPr>
  </w:style>
  <w:style w:type="character" w:customStyle="1" w:styleId="226">
    <w:name w:val="报告表正文 Char Char"/>
    <w:qFormat/>
    <w:locked/>
    <w:uiPriority w:val="0"/>
    <w:rPr>
      <w:sz w:val="24"/>
    </w:rPr>
  </w:style>
  <w:style w:type="paragraph" w:customStyle="1" w:styleId="227">
    <w:name w:val="1正文段落"/>
    <w:basedOn w:val="1"/>
    <w:link w:val="228"/>
    <w:qFormat/>
    <w:uiPriority w:val="0"/>
    <w:pPr>
      <w:spacing w:line="360" w:lineRule="auto"/>
      <w:ind w:firstLine="200" w:firstLineChars="200"/>
    </w:pPr>
    <w:rPr>
      <w:snapToGrid w:val="0"/>
      <w:kern w:val="0"/>
      <w:sz w:val="24"/>
      <w:szCs w:val="21"/>
    </w:rPr>
  </w:style>
  <w:style w:type="character" w:customStyle="1" w:styleId="228">
    <w:name w:val="1正文段落 Char"/>
    <w:link w:val="227"/>
    <w:qFormat/>
    <w:uiPriority w:val="0"/>
    <w:rPr>
      <w:rFonts w:cs="Times New Roman"/>
      <w:snapToGrid w:val="0"/>
      <w:sz w:val="24"/>
      <w:szCs w:val="21"/>
    </w:rPr>
  </w:style>
  <w:style w:type="paragraph" w:customStyle="1" w:styleId="229">
    <w:name w:val="修订1"/>
    <w:hidden/>
    <w:unhideWhenUsed/>
    <w:qFormat/>
    <w:uiPriority w:val="99"/>
    <w:rPr>
      <w:rFonts w:ascii="Times New Roman" w:hAnsi="Times New Roman" w:eastAsia="宋体" w:cs="Times New Roman"/>
      <w:kern w:val="2"/>
      <w:sz w:val="21"/>
      <w:szCs w:val="22"/>
      <w:lang w:val="en-US" w:eastAsia="zh-CN" w:bidi="ar-SA"/>
    </w:rPr>
  </w:style>
  <w:style w:type="character" w:customStyle="1" w:styleId="230">
    <w:name w:val="01正文 字符"/>
    <w:link w:val="231"/>
    <w:qFormat/>
    <w:locked/>
    <w:uiPriority w:val="0"/>
    <w:rPr>
      <w:kern w:val="2"/>
      <w:sz w:val="24"/>
      <w:szCs w:val="21"/>
    </w:rPr>
  </w:style>
  <w:style w:type="paragraph" w:customStyle="1" w:styleId="231">
    <w:name w:val="01正文"/>
    <w:basedOn w:val="1"/>
    <w:link w:val="230"/>
    <w:qFormat/>
    <w:uiPriority w:val="0"/>
    <w:pPr>
      <w:adjustRightInd w:val="0"/>
      <w:snapToGrid w:val="0"/>
      <w:spacing w:line="460" w:lineRule="exact"/>
      <w:ind w:firstLine="200" w:firstLineChars="200"/>
    </w:pPr>
    <w:rPr>
      <w:sz w:val="24"/>
      <w:szCs w:val="21"/>
    </w:rPr>
  </w:style>
  <w:style w:type="character" w:customStyle="1" w:styleId="232">
    <w:name w:val="普通(网站) Char"/>
    <w:link w:val="30"/>
    <w:qFormat/>
    <w:locked/>
    <w:uiPriority w:val="99"/>
    <w:rPr>
      <w:rFonts w:ascii="宋体" w:hAnsi="宋体" w:cs="宋体"/>
      <w:sz w:val="24"/>
      <w:szCs w:val="24"/>
    </w:rPr>
  </w:style>
  <w:style w:type="character" w:customStyle="1" w:styleId="233">
    <w:name w:val="表 Char"/>
    <w:link w:val="234"/>
    <w:qFormat/>
    <w:locked/>
    <w:uiPriority w:val="0"/>
    <w:rPr>
      <w:spacing w:val="2"/>
      <w:sz w:val="24"/>
    </w:rPr>
  </w:style>
  <w:style w:type="paragraph" w:customStyle="1" w:styleId="234">
    <w:name w:val="表"/>
    <w:basedOn w:val="1"/>
    <w:link w:val="233"/>
    <w:qFormat/>
    <w:uiPriority w:val="0"/>
    <w:pPr>
      <w:snapToGrid w:val="0"/>
      <w:jc w:val="center"/>
    </w:pPr>
    <w:rPr>
      <w:spacing w:val="2"/>
      <w:kern w:val="0"/>
      <w:sz w:val="24"/>
      <w:szCs w:val="20"/>
    </w:rPr>
  </w:style>
  <w:style w:type="character" w:customStyle="1" w:styleId="235">
    <w:name w:val="正文文本缩进 2 Char"/>
    <w:basedOn w:val="39"/>
    <w:link w:val="11"/>
    <w:qFormat/>
    <w:uiPriority w:val="0"/>
    <w:rPr>
      <w:kern w:val="2"/>
      <w:sz w:val="21"/>
      <w:szCs w:val="24"/>
    </w:rPr>
  </w:style>
  <w:style w:type="character" w:customStyle="1" w:styleId="236">
    <w:name w:val="表格内文字 Char"/>
    <w:link w:val="237"/>
    <w:qFormat/>
    <w:locked/>
    <w:uiPriority w:val="0"/>
    <w:rPr>
      <w:rFonts w:ascii="仿宋_GB2312" w:hAnsi="Calibri" w:eastAsia="仿宋_GB2312"/>
      <w:spacing w:val="4"/>
      <w:kern w:val="18"/>
      <w:sz w:val="24"/>
      <w:szCs w:val="24"/>
    </w:rPr>
  </w:style>
  <w:style w:type="paragraph" w:customStyle="1" w:styleId="237">
    <w:name w:val="表格内文字"/>
    <w:basedOn w:val="1"/>
    <w:link w:val="236"/>
    <w:qFormat/>
    <w:uiPriority w:val="0"/>
    <w:pPr>
      <w:tabs>
        <w:tab w:val="left" w:pos="0"/>
      </w:tabs>
      <w:adjustRightInd w:val="0"/>
      <w:snapToGrid w:val="0"/>
      <w:jc w:val="center"/>
    </w:pPr>
    <w:rPr>
      <w:rFonts w:ascii="仿宋_GB2312" w:hAnsi="Calibri" w:eastAsia="仿宋_GB2312"/>
      <w:spacing w:val="4"/>
      <w:kern w:val="18"/>
      <w:sz w:val="24"/>
      <w:szCs w:val="24"/>
    </w:rPr>
  </w:style>
  <w:style w:type="paragraph" w:customStyle="1" w:styleId="238">
    <w:name w:val="表格内容格式"/>
    <w:basedOn w:val="1"/>
    <w:qFormat/>
    <w:uiPriority w:val="0"/>
    <w:pPr>
      <w:adjustRightInd w:val="0"/>
      <w:snapToGrid w:val="0"/>
      <w:jc w:val="center"/>
    </w:pPr>
    <w:rPr>
      <w:kern w:val="0"/>
      <w:szCs w:val="21"/>
    </w:rPr>
  </w:style>
  <w:style w:type="character" w:customStyle="1" w:styleId="239">
    <w:name w:val="2 表格内容 Char"/>
    <w:link w:val="240"/>
    <w:qFormat/>
    <w:locked/>
    <w:uiPriority w:val="0"/>
    <w:rPr>
      <w:szCs w:val="21"/>
    </w:rPr>
  </w:style>
  <w:style w:type="paragraph" w:customStyle="1" w:styleId="240">
    <w:name w:val="2 表格内容"/>
    <w:basedOn w:val="1"/>
    <w:link w:val="239"/>
    <w:qFormat/>
    <w:uiPriority w:val="0"/>
    <w:pPr>
      <w:adjustRightInd w:val="0"/>
      <w:snapToGrid w:val="0"/>
      <w:spacing w:line="320" w:lineRule="exact"/>
      <w:jc w:val="center"/>
    </w:pPr>
    <w:rPr>
      <w:kern w:val="0"/>
      <w:sz w:val="20"/>
      <w:szCs w:val="21"/>
    </w:rPr>
  </w:style>
  <w:style w:type="character" w:customStyle="1" w:styleId="241">
    <w:name w:val="正文文本缩进 Char1"/>
    <w:basedOn w:val="39"/>
    <w:qFormat/>
    <w:locked/>
    <w:uiPriority w:val="0"/>
    <w:rPr>
      <w:kern w:val="2"/>
      <w:sz w:val="21"/>
      <w:szCs w:val="24"/>
    </w:rPr>
  </w:style>
  <w:style w:type="character" w:styleId="242">
    <w:name w:val="Placeholder Text"/>
    <w:basedOn w:val="39"/>
    <w:unhideWhenUsed/>
    <w:qFormat/>
    <w:uiPriority w:val="99"/>
    <w:rPr>
      <w:color w:val="808080"/>
    </w:rPr>
  </w:style>
  <w:style w:type="paragraph" w:customStyle="1" w:styleId="243">
    <w:name w:val="正文缩近"/>
    <w:basedOn w:val="1"/>
    <w:qFormat/>
    <w:uiPriority w:val="0"/>
    <w:pPr>
      <w:spacing w:line="360" w:lineRule="auto"/>
      <w:ind w:firstLine="560" w:firstLineChars="200"/>
    </w:pPr>
    <w:rPr>
      <w:rFonts w:ascii="宋体" w:hAnsi="宋体"/>
      <w:sz w:val="28"/>
      <w:szCs w:val="28"/>
    </w:rPr>
  </w:style>
  <w:style w:type="character" w:customStyle="1" w:styleId="244">
    <w:name w:val="正文首行缩进 2 Char1"/>
    <w:semiHidden/>
    <w:qFormat/>
    <w:locked/>
    <w:uiPriority w:val="0"/>
    <w:rPr>
      <w:kern w:val="2"/>
      <w:sz w:val="21"/>
      <w:szCs w:val="24"/>
    </w:rPr>
  </w:style>
  <w:style w:type="character" w:customStyle="1" w:styleId="245">
    <w:name w:val="表格 首行文字 Char"/>
    <w:link w:val="246"/>
    <w:qFormat/>
    <w:uiPriority w:val="0"/>
    <w:rPr>
      <w:b/>
      <w:kern w:val="2"/>
      <w:sz w:val="21"/>
      <w:szCs w:val="22"/>
    </w:rPr>
  </w:style>
  <w:style w:type="paragraph" w:customStyle="1" w:styleId="246">
    <w:name w:val="表格 首行文字"/>
    <w:link w:val="245"/>
    <w:qFormat/>
    <w:uiPriority w:val="0"/>
    <w:pPr>
      <w:snapToGrid w:val="0"/>
      <w:jc w:val="center"/>
    </w:pPr>
    <w:rPr>
      <w:rFonts w:ascii="Times New Roman" w:hAnsi="Times New Roman" w:eastAsia="宋体" w:cs="Times New Roman"/>
      <w:b/>
      <w:kern w:val="2"/>
      <w:sz w:val="21"/>
      <w:szCs w:val="22"/>
      <w:lang w:val="en-US" w:eastAsia="zh-CN" w:bidi="ar-SA"/>
    </w:rPr>
  </w:style>
  <w:style w:type="character" w:customStyle="1" w:styleId="247">
    <w:name w:val="Default Char"/>
    <w:qFormat/>
    <w:locked/>
    <w:uiPriority w:val="0"/>
    <w:rPr>
      <w:rFonts w:ascii="宋体" w:cs="宋体"/>
      <w:color w:val="000000"/>
      <w:sz w:val="24"/>
      <w:szCs w:val="24"/>
      <w:lang w:val="en-US" w:eastAsia="zh-CN" w:bidi="ar-SA"/>
    </w:rPr>
  </w:style>
  <w:style w:type="character" w:customStyle="1" w:styleId="248">
    <w:name w:val="正文缩进 字符"/>
    <w:qFormat/>
    <w:uiPriority w:val="0"/>
    <w:rPr>
      <w:kern w:val="2"/>
      <w:sz w:val="21"/>
      <w:szCs w:val="24"/>
    </w:rPr>
  </w:style>
  <w:style w:type="character" w:customStyle="1" w:styleId="249">
    <w:name w:val="纯文本 字符1"/>
    <w:qFormat/>
    <w:uiPriority w:val="0"/>
    <w:rPr>
      <w:rFonts w:ascii="宋体" w:hAnsi="Courier New" w:eastAsia="宋体"/>
      <w:kern w:val="2"/>
      <w:sz w:val="21"/>
      <w:szCs w:val="21"/>
      <w:lang w:val="en-US" w:eastAsia="zh-CN" w:bidi="ar-SA"/>
    </w:rPr>
  </w:style>
  <w:style w:type="character" w:customStyle="1" w:styleId="250">
    <w:name w:val="批注主题 Char"/>
    <w:basedOn w:val="196"/>
    <w:link w:val="33"/>
    <w:semiHidden/>
    <w:qFormat/>
    <w:uiPriority w:val="0"/>
    <w:rPr>
      <w:b/>
      <w:bCs/>
      <w:kern w:val="2"/>
      <w:sz w:val="21"/>
      <w:szCs w:val="22"/>
    </w:rPr>
  </w:style>
  <w:style w:type="character" w:customStyle="1" w:styleId="251">
    <w:name w:val="文档结构图 Char2"/>
    <w:basedOn w:val="39"/>
    <w:semiHidden/>
    <w:qFormat/>
    <w:uiPriority w:val="99"/>
    <w:rPr>
      <w:rFonts w:ascii="宋体" w:hAnsi="Times New Roman" w:eastAsia="宋体" w:cs="Times New Roman"/>
      <w:sz w:val="18"/>
      <w:szCs w:val="18"/>
    </w:rPr>
  </w:style>
  <w:style w:type="character" w:customStyle="1" w:styleId="252">
    <w:name w:val="纯文本 Char2"/>
    <w:basedOn w:val="39"/>
    <w:semiHidden/>
    <w:qFormat/>
    <w:uiPriority w:val="99"/>
    <w:rPr>
      <w:rFonts w:ascii="宋体" w:hAnsi="Courier New" w:eastAsia="宋体" w:cs="Courier New"/>
      <w:szCs w:val="21"/>
    </w:rPr>
  </w:style>
  <w:style w:type="character" w:customStyle="1" w:styleId="253">
    <w:name w:val="日期 Char"/>
    <w:basedOn w:val="39"/>
    <w:link w:val="16"/>
    <w:qFormat/>
    <w:uiPriority w:val="0"/>
    <w:rPr>
      <w:kern w:val="2"/>
      <w:sz w:val="24"/>
    </w:rPr>
  </w:style>
  <w:style w:type="character" w:customStyle="1" w:styleId="254">
    <w:name w:val="批注框文本 Char1"/>
    <w:basedOn w:val="39"/>
    <w:semiHidden/>
    <w:qFormat/>
    <w:uiPriority w:val="99"/>
    <w:rPr>
      <w:rFonts w:ascii="Times New Roman" w:hAnsi="Times New Roman" w:eastAsia="宋体" w:cs="Times New Roman"/>
      <w:sz w:val="18"/>
      <w:szCs w:val="18"/>
    </w:rPr>
  </w:style>
  <w:style w:type="character" w:customStyle="1" w:styleId="255">
    <w:name w:val="页眉 Char1"/>
    <w:basedOn w:val="39"/>
    <w:semiHidden/>
    <w:qFormat/>
    <w:uiPriority w:val="99"/>
    <w:rPr>
      <w:rFonts w:ascii="Times New Roman" w:hAnsi="Times New Roman" w:eastAsia="宋体" w:cs="Times New Roman"/>
      <w:sz w:val="18"/>
      <w:szCs w:val="18"/>
    </w:rPr>
  </w:style>
  <w:style w:type="character" w:customStyle="1" w:styleId="256">
    <w:name w:val="HTML 预设格式 Char1"/>
    <w:basedOn w:val="39"/>
    <w:semiHidden/>
    <w:qFormat/>
    <w:uiPriority w:val="99"/>
    <w:rPr>
      <w:rFonts w:ascii="Courier New" w:hAnsi="Courier New" w:eastAsia="宋体" w:cs="Courier New"/>
      <w:sz w:val="20"/>
      <w:szCs w:val="20"/>
    </w:rPr>
  </w:style>
  <w:style w:type="character" w:customStyle="1" w:styleId="257">
    <w:name w:val="页脚 Char1"/>
    <w:basedOn w:val="39"/>
    <w:semiHidden/>
    <w:qFormat/>
    <w:uiPriority w:val="99"/>
    <w:rPr>
      <w:rFonts w:ascii="Times New Roman" w:hAnsi="Times New Roman" w:eastAsia="宋体" w:cs="Times New Roman"/>
      <w:sz w:val="18"/>
      <w:szCs w:val="18"/>
    </w:rPr>
  </w:style>
  <w:style w:type="character" w:customStyle="1" w:styleId="258">
    <w:name w:val="正文文本缩进 3 Char1"/>
    <w:basedOn w:val="39"/>
    <w:semiHidden/>
    <w:qFormat/>
    <w:uiPriority w:val="99"/>
    <w:rPr>
      <w:rFonts w:ascii="Times New Roman" w:hAnsi="Times New Roman" w:eastAsia="宋体" w:cs="Times New Roman"/>
      <w:sz w:val="16"/>
      <w:szCs w:val="16"/>
    </w:rPr>
  </w:style>
  <w:style w:type="character" w:customStyle="1" w:styleId="259">
    <w:name w:val="标题 Char1"/>
    <w:basedOn w:val="39"/>
    <w:qFormat/>
    <w:uiPriority w:val="10"/>
    <w:rPr>
      <w:rFonts w:eastAsia="宋体" w:asciiTheme="majorHAnsi" w:hAnsiTheme="majorHAnsi" w:cstheme="majorBidi"/>
      <w:b/>
      <w:bCs/>
      <w:sz w:val="32"/>
      <w:szCs w:val="32"/>
    </w:rPr>
  </w:style>
  <w:style w:type="character" w:customStyle="1" w:styleId="260">
    <w:name w:val="正文文本 2 Char"/>
    <w:basedOn w:val="39"/>
    <w:link w:val="28"/>
    <w:qFormat/>
    <w:uiPriority w:val="0"/>
    <w:rPr>
      <w:kern w:val="2"/>
      <w:sz w:val="21"/>
      <w:szCs w:val="22"/>
    </w:rPr>
  </w:style>
  <w:style w:type="paragraph" w:customStyle="1" w:styleId="261">
    <w:name w:val="表内正文"/>
    <w:basedOn w:val="1"/>
    <w:link w:val="262"/>
    <w:qFormat/>
    <w:uiPriority w:val="0"/>
    <w:pPr>
      <w:wordWrap w:val="0"/>
      <w:spacing w:line="360" w:lineRule="auto"/>
      <w:ind w:firstLine="1044" w:firstLineChars="200"/>
      <w:jc w:val="left"/>
    </w:pPr>
    <w:rPr>
      <w:sz w:val="24"/>
      <w:szCs w:val="24"/>
    </w:rPr>
  </w:style>
  <w:style w:type="character" w:customStyle="1" w:styleId="262">
    <w:name w:val="表内正文 Char"/>
    <w:link w:val="261"/>
    <w:qFormat/>
    <w:uiPriority w:val="0"/>
    <w:rPr>
      <w:kern w:val="2"/>
      <w:sz w:val="24"/>
      <w:szCs w:val="24"/>
    </w:rPr>
  </w:style>
  <w:style w:type="paragraph" w:customStyle="1" w:styleId="263">
    <w:name w:val="图标 表标"/>
    <w:basedOn w:val="1"/>
    <w:link w:val="264"/>
    <w:qFormat/>
    <w:uiPriority w:val="0"/>
    <w:pPr>
      <w:wordWrap w:val="0"/>
      <w:autoSpaceDE w:val="0"/>
      <w:autoSpaceDN w:val="0"/>
      <w:adjustRightInd w:val="0"/>
      <w:spacing w:line="360" w:lineRule="auto"/>
      <w:jc w:val="center"/>
    </w:pPr>
    <w:rPr>
      <w:b/>
      <w:bCs/>
      <w:kern w:val="21"/>
      <w:sz w:val="24"/>
      <w:szCs w:val="24"/>
    </w:rPr>
  </w:style>
  <w:style w:type="character" w:customStyle="1" w:styleId="264">
    <w:name w:val="图标 表标 Char"/>
    <w:link w:val="263"/>
    <w:qFormat/>
    <w:uiPriority w:val="0"/>
    <w:rPr>
      <w:b/>
      <w:bCs/>
      <w:kern w:val="21"/>
      <w:sz w:val="24"/>
      <w:szCs w:val="24"/>
    </w:rPr>
  </w:style>
  <w:style w:type="paragraph" w:customStyle="1" w:styleId="265">
    <w:name w:val="Revision"/>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9525" cap="flat" cmpd="sng">
          <a:solidFill>
            <a:srgbClr val="000000"/>
          </a:solidFill>
          <a:prstDash val="solid"/>
          <a:miter/>
          <a:headEnd type="none" w="med" len="med"/>
          <a:tailEnd type="none" w="med" len="med"/>
        </a:ln>
      </a:spPr>
      <a:bodyPr upright="1"/>
      <a:lst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769DEF-A346-4ED5-A7C1-77A0B08B143D}">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78</Pages>
  <Words>118</Words>
  <Characters>141</Characters>
  <Lines>451</Lines>
  <Paragraphs>127</Paragraphs>
  <TotalTime>76</TotalTime>
  <ScaleCrop>false</ScaleCrop>
  <LinksUpToDate>false</LinksUpToDate>
  <CharactersWithSpaces>141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2023-06-06T17:59:00Z</dcterms:created>
  <dc:creator>微软用户</dc:creator>
  <cp:lastModifiedBy>triumph</cp:lastModifiedBy>
  <cp:lastPrinted>2021-04-20T09:03:00Z</cp:lastPrinted>
  <dcterms:modified xsi:type="dcterms:W3CDTF">2026-09-28T03:40:02Z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53864B1D322D4EF389D8AE454A242F0A_13</vt:lpwstr>
  </property>
  <property fmtid="{D5CDD505-2E9C-101B-9397-08002B2CF9AE}" pid="4" name="KSOTemplateDocerSaveRecord">
    <vt:lpwstr>eyJoZGlkIjoiMGEzYzg5OTMzZjA1ZWU1NmE3MzBjZDg3YjJiOWJhNjEiLCJ1c2VySWQiOiI3MDYzNjA4NjIifQ==</vt:lpwstr>
  </property>
</Properties>
</file>