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DC647">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_GB2312" w:cs="Times New Roman"/>
          <w:color w:val="auto"/>
          <w:sz w:val="36"/>
          <w:szCs w:val="36"/>
          <w:highlight w:val="none"/>
        </w:rPr>
      </w:pPr>
    </w:p>
    <w:p w14:paraId="08483477">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_GB2312" w:cs="Times New Roman"/>
          <w:color w:val="auto"/>
          <w:sz w:val="36"/>
          <w:szCs w:val="36"/>
          <w:highlight w:val="none"/>
        </w:rPr>
      </w:pPr>
    </w:p>
    <w:p w14:paraId="00B0B320">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_GB2312" w:cs="Times New Roman"/>
          <w:color w:val="auto"/>
          <w:sz w:val="36"/>
          <w:szCs w:val="36"/>
          <w:highlight w:val="none"/>
        </w:rPr>
      </w:pPr>
    </w:p>
    <w:p w14:paraId="73BE31CE">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_GB2312" w:cs="Times New Roman"/>
          <w:color w:val="auto"/>
          <w:sz w:val="36"/>
          <w:szCs w:val="36"/>
          <w:highlight w:val="none"/>
        </w:rPr>
      </w:pPr>
    </w:p>
    <w:p w14:paraId="33C234BF">
      <w:pPr>
        <w:keepNext w:val="0"/>
        <w:keepLines w:val="0"/>
        <w:pageBreakBefore w:val="0"/>
        <w:widowControl w:val="0"/>
        <w:kinsoku/>
        <w:wordWrap/>
        <w:overflowPunct/>
        <w:topLinePunct/>
        <w:autoSpaceDE w:val="0"/>
        <w:autoSpaceDN/>
        <w:bidi w:val="0"/>
        <w:adjustRightInd w:val="0"/>
        <w:snapToGrid w:val="0"/>
        <w:ind w:left="0" w:leftChars="0"/>
        <w:jc w:val="center"/>
        <w:outlineLvl w:val="9"/>
        <w:rPr>
          <w:rFonts w:hint="default" w:ascii="Times New Roman" w:hAnsi="Times New Roman" w:eastAsia="方正小标宋_GBK" w:cs="Times New Roman"/>
          <w:bCs/>
          <w:color w:val="auto"/>
          <w:sz w:val="60"/>
          <w:szCs w:val="60"/>
          <w:highlight w:val="none"/>
        </w:rPr>
      </w:pPr>
      <w:r>
        <w:rPr>
          <w:rFonts w:hint="default" w:ascii="Times New Roman" w:hAnsi="Times New Roman" w:eastAsia="方正小标宋_GBK" w:cs="Times New Roman"/>
          <w:bCs/>
          <w:color w:val="auto"/>
          <w:sz w:val="60"/>
          <w:szCs w:val="60"/>
          <w:highlight w:val="none"/>
        </w:rPr>
        <w:t>建设项目</w:t>
      </w:r>
      <w:r>
        <w:rPr>
          <w:rFonts w:hint="eastAsia" w:ascii="Times New Roman" w:hAnsi="Times New Roman" w:eastAsia="方正小标宋_GBK" w:cs="Times New Roman"/>
          <w:bCs/>
          <w:color w:val="auto"/>
          <w:sz w:val="60"/>
          <w:szCs w:val="60"/>
          <w:highlight w:val="none"/>
          <w:lang w:val="en-US" w:eastAsia="zh-CN"/>
        </w:rPr>
        <w:t>生态</w:t>
      </w:r>
      <w:r>
        <w:rPr>
          <w:rFonts w:hint="default" w:ascii="Times New Roman" w:hAnsi="Times New Roman" w:eastAsia="方正小标宋_GBK" w:cs="Times New Roman"/>
          <w:bCs/>
          <w:color w:val="auto"/>
          <w:sz w:val="60"/>
          <w:szCs w:val="60"/>
          <w:highlight w:val="none"/>
        </w:rPr>
        <w:t>环境影响报告表</w:t>
      </w:r>
    </w:p>
    <w:p w14:paraId="42E14C9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（污染影响类）</w:t>
      </w:r>
    </w:p>
    <w:p w14:paraId="1D35656B">
      <w:pPr>
        <w:keepNext w:val="0"/>
        <w:keepLines w:val="0"/>
        <w:pageBreakBefore w:val="0"/>
        <w:widowControl w:val="0"/>
        <w:kinsoku/>
        <w:wordWrap/>
        <w:overflowPunct/>
        <w:topLinePunct/>
        <w:autoSpaceDE w:val="0"/>
        <w:autoSpaceDN/>
        <w:bidi w:val="0"/>
        <w:adjustRightInd w:val="0"/>
        <w:snapToGrid w:val="0"/>
        <w:spacing w:line="288" w:lineRule="auto"/>
        <w:ind w:left="0" w:leftChars="0"/>
        <w:rPr>
          <w:rFonts w:hint="default" w:ascii="Times New Roman" w:hAnsi="Times New Roman" w:eastAsia="华文仿宋" w:cs="Times New Roman"/>
          <w:color w:val="auto"/>
          <w:kern w:val="44"/>
          <w:sz w:val="44"/>
          <w:szCs w:val="44"/>
          <w:highlight w:val="none"/>
        </w:rPr>
      </w:pPr>
    </w:p>
    <w:p w14:paraId="2373FD06">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 w:cs="Times New Roman"/>
          <w:color w:val="auto"/>
          <w:sz w:val="52"/>
          <w:szCs w:val="52"/>
          <w:highlight w:val="none"/>
        </w:rPr>
      </w:pPr>
    </w:p>
    <w:p w14:paraId="61E721DC">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 w:cs="Times New Roman"/>
          <w:color w:val="auto"/>
          <w:sz w:val="44"/>
          <w:szCs w:val="44"/>
          <w:highlight w:val="none"/>
        </w:rPr>
      </w:pPr>
    </w:p>
    <w:p w14:paraId="01A90DF3">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 w:cs="Times New Roman"/>
          <w:color w:val="auto"/>
          <w:sz w:val="44"/>
          <w:szCs w:val="44"/>
          <w:highlight w:val="none"/>
        </w:rPr>
      </w:pPr>
    </w:p>
    <w:p w14:paraId="7C0EFAFA">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 w:cs="Times New Roman"/>
          <w:color w:val="auto"/>
          <w:sz w:val="44"/>
          <w:szCs w:val="44"/>
          <w:highlight w:val="none"/>
        </w:rPr>
      </w:pPr>
    </w:p>
    <w:p w14:paraId="1DC0FFEF">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 w:cs="Times New Roman"/>
          <w:color w:val="auto"/>
          <w:sz w:val="44"/>
          <w:szCs w:val="44"/>
          <w:highlight w:val="none"/>
        </w:rPr>
      </w:pPr>
    </w:p>
    <w:p w14:paraId="10E27869">
      <w:pPr>
        <w:keepNext w:val="0"/>
        <w:keepLines w:val="0"/>
        <w:pageBreakBefore w:val="0"/>
        <w:widowControl w:val="0"/>
        <w:kinsoku/>
        <w:wordWrap/>
        <w:overflowPunct/>
        <w:topLinePunct/>
        <w:autoSpaceDE w:val="0"/>
        <w:autoSpaceDN/>
        <w:bidi w:val="0"/>
        <w:adjustRightInd w:val="0"/>
        <w:snapToGrid w:val="0"/>
        <w:spacing w:line="288" w:lineRule="auto"/>
        <w:ind w:left="3240" w:leftChars="0" w:hanging="3240" w:hangingChars="900"/>
        <w:rPr>
          <w:rFonts w:hint="default" w:ascii="Times New Roman" w:hAnsi="Times New Roman" w:eastAsia="仿宋_GB2312" w:cs="Times New Roman"/>
          <w:color w:val="auto"/>
          <w:sz w:val="36"/>
          <w:szCs w:val="36"/>
          <w:highlight w:val="none"/>
          <w:lang w:val="en-US"/>
        </w:rPr>
      </w:pPr>
      <w:r>
        <w:rPr>
          <w:rFonts w:hint="default" w:ascii="Times New Roman" w:hAnsi="Times New Roman" w:eastAsia="仿宋_GB2312" w:cs="Times New Roman"/>
          <w:color w:val="auto"/>
          <w:sz w:val="36"/>
          <w:szCs w:val="36"/>
          <w:highlight w:val="none"/>
        </w:rPr>
        <w:t>项  目  名  称</w:t>
      </w:r>
      <w:r>
        <w:rPr>
          <w:rFonts w:hint="default" w:ascii="Times New Roman" w:hAnsi="Times New Roman" w:eastAsia="仿宋_GB2312" w:cs="Times New Roman"/>
          <w:color w:val="auto"/>
          <w:sz w:val="36"/>
          <w:szCs w:val="36"/>
          <w:highlight w:val="none"/>
          <w:lang w:val="en-US" w:eastAsia="zh-CN"/>
        </w:rPr>
        <w:t xml:space="preserve"> </w:t>
      </w:r>
      <w:r>
        <w:rPr>
          <w:rFonts w:hint="default" w:ascii="Times New Roman" w:hAnsi="Times New Roman" w:eastAsia="仿宋_GB2312" w:cs="Times New Roman"/>
          <w:color w:val="auto"/>
          <w:sz w:val="36"/>
          <w:szCs w:val="36"/>
          <w:highlight w:val="none"/>
          <w:u w:val="single"/>
          <w:lang w:val="en-US" w:eastAsia="zh-CN"/>
        </w:rPr>
        <w:t xml:space="preserve">      </w:t>
      </w:r>
      <w:r>
        <w:rPr>
          <w:rFonts w:hint="eastAsia" w:ascii="Times New Roman" w:hAnsi="Times New Roman" w:eastAsia="仿宋_GB2312" w:cs="Times New Roman"/>
          <w:color w:val="auto"/>
          <w:sz w:val="36"/>
          <w:szCs w:val="36"/>
          <w:highlight w:val="none"/>
          <w:u w:val="single"/>
          <w:lang w:val="en-US" w:eastAsia="zh-CN"/>
        </w:rPr>
        <w:t>汽车刹车片生产基地项目</w:t>
      </w:r>
      <w:r>
        <w:rPr>
          <w:rFonts w:hint="default" w:ascii="Times New Roman" w:hAnsi="Times New Roman" w:eastAsia="仿宋_GB2312" w:cs="Times New Roman"/>
          <w:color w:val="auto"/>
          <w:sz w:val="36"/>
          <w:szCs w:val="36"/>
          <w:highlight w:val="none"/>
          <w:u w:val="single"/>
          <w:lang w:val="en-US" w:eastAsia="zh-CN"/>
        </w:rPr>
        <w:t xml:space="preserve">         </w:t>
      </w:r>
    </w:p>
    <w:p w14:paraId="47380F9F">
      <w:pPr>
        <w:keepNext w:val="0"/>
        <w:keepLines w:val="0"/>
        <w:pageBreakBefore w:val="0"/>
        <w:widowControl w:val="0"/>
        <w:kinsoku/>
        <w:wordWrap/>
        <w:overflowPunct/>
        <w:topLinePunct/>
        <w:autoSpaceDE w:val="0"/>
        <w:autoSpaceDN/>
        <w:bidi w:val="0"/>
        <w:adjustRightInd w:val="0"/>
        <w:snapToGrid w:val="0"/>
        <w:spacing w:line="288" w:lineRule="auto"/>
        <w:ind w:left="0" w:leftChars="0"/>
        <w:rPr>
          <w:rFonts w:hint="default" w:ascii="Times New Roman" w:hAnsi="Times New Roman" w:eastAsia="仿宋_GB2312" w:cs="Times New Roman"/>
          <w:color w:val="auto"/>
          <w:sz w:val="36"/>
          <w:szCs w:val="36"/>
          <w:highlight w:val="none"/>
        </w:rPr>
      </w:pPr>
    </w:p>
    <w:p w14:paraId="63BF1923">
      <w:pPr>
        <w:keepNext w:val="0"/>
        <w:keepLines w:val="0"/>
        <w:pageBreakBefore w:val="0"/>
        <w:widowControl w:val="0"/>
        <w:kinsoku/>
        <w:wordWrap/>
        <w:overflowPunct/>
        <w:topLinePunct/>
        <w:autoSpaceDE w:val="0"/>
        <w:autoSpaceDN/>
        <w:bidi w:val="0"/>
        <w:adjustRightInd w:val="0"/>
        <w:snapToGrid w:val="0"/>
        <w:spacing w:line="288" w:lineRule="auto"/>
        <w:ind w:left="0" w:leftChars="0"/>
        <w:rPr>
          <w:rFonts w:hint="default" w:ascii="Times New Roman" w:hAnsi="Times New Roman" w:eastAsia="仿宋_GB2312" w:cs="Times New Roman"/>
          <w:color w:val="auto"/>
          <w:sz w:val="36"/>
          <w:szCs w:val="36"/>
          <w:highlight w:val="none"/>
          <w:u w:val="single"/>
        </w:rPr>
      </w:pPr>
      <w:r>
        <w:rPr>
          <w:rFonts w:hint="default" w:ascii="Times New Roman" w:hAnsi="Times New Roman" w:eastAsia="仿宋_GB2312" w:cs="Times New Roman"/>
          <w:color w:val="auto"/>
          <w:sz w:val="36"/>
          <w:szCs w:val="36"/>
          <w:highlight w:val="none"/>
        </w:rPr>
        <w:t>建设单位（盖章）：</w:t>
      </w:r>
      <w:r>
        <w:rPr>
          <w:rFonts w:hint="default" w:ascii="Times New Roman" w:hAnsi="Times New Roman" w:eastAsia="仿宋_GB2312" w:cs="Times New Roman"/>
          <w:color w:val="auto"/>
          <w:sz w:val="36"/>
          <w:szCs w:val="36"/>
          <w:highlight w:val="none"/>
          <w:u w:val="single"/>
        </w:rPr>
        <w:t xml:space="preserve"> </w:t>
      </w:r>
      <w:r>
        <w:rPr>
          <w:rFonts w:hint="eastAsia" w:ascii="Times New Roman" w:hAnsi="Times New Roman" w:eastAsia="仿宋_GB2312" w:cs="Times New Roman"/>
          <w:color w:val="auto"/>
          <w:sz w:val="36"/>
          <w:szCs w:val="36"/>
          <w:highlight w:val="none"/>
          <w:u w:val="single"/>
          <w:lang w:val="en-US" w:eastAsia="zh-CN"/>
        </w:rPr>
        <w:t>安徽博越汽车安全系统有限公司</w:t>
      </w:r>
      <w:r>
        <w:rPr>
          <w:rFonts w:hint="default" w:ascii="Times New Roman" w:hAnsi="Times New Roman" w:eastAsia="仿宋_GB2312" w:cs="Times New Roman"/>
          <w:color w:val="auto"/>
          <w:sz w:val="36"/>
          <w:szCs w:val="36"/>
          <w:highlight w:val="none"/>
          <w:u w:val="single"/>
        </w:rPr>
        <w:t xml:space="preserve"> </w:t>
      </w:r>
      <w:r>
        <w:rPr>
          <w:rFonts w:hint="default" w:ascii="Times New Roman" w:hAnsi="Times New Roman" w:eastAsia="仿宋_GB2312" w:cs="Times New Roman"/>
          <w:color w:val="auto"/>
          <w:sz w:val="36"/>
          <w:szCs w:val="36"/>
          <w:highlight w:val="none"/>
          <w:u w:val="single"/>
          <w:lang w:val="en-US" w:eastAsia="zh-CN"/>
        </w:rPr>
        <w:t xml:space="preserve"> </w:t>
      </w:r>
    </w:p>
    <w:p w14:paraId="1720FA3A">
      <w:pPr>
        <w:keepNext w:val="0"/>
        <w:keepLines w:val="0"/>
        <w:pageBreakBefore w:val="0"/>
        <w:widowControl w:val="0"/>
        <w:kinsoku/>
        <w:wordWrap/>
        <w:overflowPunct/>
        <w:topLinePunct/>
        <w:autoSpaceDE w:val="0"/>
        <w:autoSpaceDN/>
        <w:bidi w:val="0"/>
        <w:adjustRightInd w:val="0"/>
        <w:snapToGrid w:val="0"/>
        <w:spacing w:line="288" w:lineRule="auto"/>
        <w:ind w:left="0" w:leftChars="0"/>
        <w:rPr>
          <w:rFonts w:hint="default" w:ascii="Times New Roman" w:hAnsi="Times New Roman" w:eastAsia="仿宋_GB2312" w:cs="Times New Roman"/>
          <w:color w:val="auto"/>
          <w:sz w:val="36"/>
          <w:szCs w:val="36"/>
          <w:highlight w:val="none"/>
        </w:rPr>
      </w:pPr>
    </w:p>
    <w:p w14:paraId="043FBF0F">
      <w:pPr>
        <w:keepNext w:val="0"/>
        <w:keepLines w:val="0"/>
        <w:pageBreakBefore w:val="0"/>
        <w:widowControl w:val="0"/>
        <w:kinsoku/>
        <w:wordWrap/>
        <w:overflowPunct/>
        <w:topLinePunct/>
        <w:autoSpaceDE w:val="0"/>
        <w:autoSpaceDN/>
        <w:bidi w:val="0"/>
        <w:adjustRightInd w:val="0"/>
        <w:snapToGrid w:val="0"/>
        <w:spacing w:line="288" w:lineRule="auto"/>
        <w:ind w:left="0" w:leftChars="0"/>
        <w:rPr>
          <w:rFonts w:hint="default" w:ascii="Times New Roman" w:hAnsi="Times New Roman" w:eastAsia="仿宋_GB2312" w:cs="Times New Roman"/>
          <w:color w:val="auto"/>
          <w:sz w:val="36"/>
          <w:szCs w:val="36"/>
          <w:highlight w:val="none"/>
          <w:u w:val="single"/>
        </w:rPr>
      </w:pPr>
      <w:r>
        <w:rPr>
          <w:rFonts w:hint="default" w:ascii="Times New Roman" w:hAnsi="Times New Roman" w:eastAsia="仿宋_GB2312" w:cs="Times New Roman"/>
          <w:color w:val="auto"/>
          <w:sz w:val="36"/>
          <w:szCs w:val="36"/>
          <w:highlight w:val="none"/>
        </w:rPr>
        <w:t>编  制  日  期：</w:t>
      </w:r>
      <w:r>
        <w:rPr>
          <w:rFonts w:hint="default" w:ascii="Times New Roman" w:hAnsi="Times New Roman" w:eastAsia="仿宋_GB2312" w:cs="Times New Roman"/>
          <w:color w:val="auto"/>
          <w:sz w:val="36"/>
          <w:szCs w:val="36"/>
          <w:highlight w:val="none"/>
          <w:u w:val="single"/>
        </w:rPr>
        <w:t xml:space="preserve">        </w:t>
      </w:r>
      <w:r>
        <w:rPr>
          <w:rFonts w:hint="default" w:ascii="Times New Roman" w:hAnsi="Times New Roman" w:eastAsia="仿宋_GB2312" w:cs="Times New Roman"/>
          <w:color w:val="auto"/>
          <w:sz w:val="36"/>
          <w:szCs w:val="36"/>
          <w:highlight w:val="none"/>
          <w:u w:val="single"/>
          <w:lang w:val="en-US" w:eastAsia="zh-CN"/>
        </w:rPr>
        <w:t xml:space="preserve">  </w:t>
      </w:r>
      <w:r>
        <w:rPr>
          <w:rFonts w:hint="default" w:ascii="Times New Roman" w:hAnsi="Times New Roman" w:eastAsia="仿宋_GB2312" w:cs="Times New Roman"/>
          <w:color w:val="auto"/>
          <w:sz w:val="36"/>
          <w:szCs w:val="36"/>
          <w:highlight w:val="none"/>
          <w:u w:val="single"/>
        </w:rPr>
        <w:t xml:space="preserve"> </w:t>
      </w:r>
      <w:r>
        <w:rPr>
          <w:rFonts w:hint="default" w:ascii="Times New Roman" w:hAnsi="Times New Roman" w:eastAsia="仿宋_GB2312" w:cs="Times New Roman"/>
          <w:color w:val="auto"/>
          <w:sz w:val="36"/>
          <w:szCs w:val="36"/>
          <w:highlight w:val="none"/>
          <w:u w:val="single"/>
          <w:lang w:val="en-US" w:eastAsia="zh-CN"/>
        </w:rPr>
        <w:t xml:space="preserve"> </w:t>
      </w:r>
      <w:r>
        <w:rPr>
          <w:rFonts w:hint="default" w:ascii="Times New Roman" w:hAnsi="Times New Roman" w:eastAsia="仿宋_GB2312" w:cs="Times New Roman"/>
          <w:color w:val="auto"/>
          <w:sz w:val="36"/>
          <w:szCs w:val="36"/>
          <w:highlight w:val="none"/>
          <w:u w:val="single"/>
        </w:rPr>
        <w:t>202</w:t>
      </w:r>
      <w:r>
        <w:rPr>
          <w:rFonts w:hint="default" w:ascii="Times New Roman" w:hAnsi="Times New Roman" w:eastAsia="仿宋_GB2312" w:cs="Times New Roman"/>
          <w:color w:val="auto"/>
          <w:sz w:val="36"/>
          <w:szCs w:val="36"/>
          <w:highlight w:val="none"/>
          <w:u w:val="single"/>
          <w:lang w:val="en-US" w:eastAsia="zh-CN"/>
        </w:rPr>
        <w:t>6</w:t>
      </w:r>
      <w:r>
        <w:rPr>
          <w:rFonts w:hint="default" w:ascii="Times New Roman" w:hAnsi="Times New Roman" w:eastAsia="仿宋_GB2312" w:cs="Times New Roman"/>
          <w:color w:val="auto"/>
          <w:sz w:val="36"/>
          <w:szCs w:val="36"/>
          <w:highlight w:val="none"/>
          <w:u w:val="single"/>
        </w:rPr>
        <w:t>年</w:t>
      </w:r>
      <w:r>
        <w:rPr>
          <w:rFonts w:hint="eastAsia" w:ascii="Times New Roman" w:hAnsi="Times New Roman" w:eastAsia="仿宋_GB2312" w:cs="Times New Roman"/>
          <w:color w:val="auto"/>
          <w:sz w:val="36"/>
          <w:szCs w:val="36"/>
          <w:highlight w:val="none"/>
          <w:u w:val="single"/>
          <w:lang w:val="en-US" w:eastAsia="zh-CN"/>
        </w:rPr>
        <w:t>10</w:t>
      </w:r>
      <w:r>
        <w:rPr>
          <w:rFonts w:hint="default" w:ascii="Times New Roman" w:hAnsi="Times New Roman" w:eastAsia="仿宋_GB2312" w:cs="Times New Roman"/>
          <w:color w:val="auto"/>
          <w:sz w:val="36"/>
          <w:szCs w:val="36"/>
          <w:highlight w:val="none"/>
          <w:u w:val="single"/>
        </w:rPr>
        <w:t xml:space="preserve">月  </w:t>
      </w:r>
      <w:r>
        <w:rPr>
          <w:rFonts w:hint="default" w:ascii="Times New Roman" w:hAnsi="Times New Roman" w:eastAsia="仿宋_GB2312" w:cs="Times New Roman"/>
          <w:color w:val="auto"/>
          <w:sz w:val="36"/>
          <w:szCs w:val="36"/>
          <w:highlight w:val="none"/>
          <w:u w:val="single"/>
          <w:lang w:val="en-US" w:eastAsia="zh-CN"/>
        </w:rPr>
        <w:t xml:space="preserve">     </w:t>
      </w:r>
      <w:r>
        <w:rPr>
          <w:rFonts w:hint="default" w:ascii="Times New Roman" w:hAnsi="Times New Roman" w:eastAsia="仿宋_GB2312" w:cs="Times New Roman"/>
          <w:color w:val="auto"/>
          <w:sz w:val="36"/>
          <w:szCs w:val="36"/>
          <w:highlight w:val="none"/>
          <w:u w:val="single"/>
        </w:rPr>
        <w:t xml:space="preserve">  </w:t>
      </w:r>
      <w:r>
        <w:rPr>
          <w:rFonts w:hint="default" w:ascii="Times New Roman" w:hAnsi="Times New Roman" w:eastAsia="仿宋_GB2312" w:cs="Times New Roman"/>
          <w:color w:val="auto"/>
          <w:sz w:val="36"/>
          <w:szCs w:val="36"/>
          <w:highlight w:val="none"/>
          <w:u w:val="single"/>
          <w:lang w:val="en-US" w:eastAsia="zh-CN"/>
        </w:rPr>
        <w:t xml:space="preserve"> </w:t>
      </w:r>
      <w:r>
        <w:rPr>
          <w:rFonts w:hint="default" w:ascii="Times New Roman" w:hAnsi="Times New Roman" w:eastAsia="仿宋_GB2312" w:cs="Times New Roman"/>
          <w:color w:val="auto"/>
          <w:sz w:val="36"/>
          <w:szCs w:val="36"/>
          <w:highlight w:val="none"/>
          <w:u w:val="single"/>
        </w:rPr>
        <w:t xml:space="preserve">   </w:t>
      </w:r>
    </w:p>
    <w:p w14:paraId="14A260F6">
      <w:pPr>
        <w:keepNext w:val="0"/>
        <w:keepLines w:val="0"/>
        <w:pageBreakBefore w:val="0"/>
        <w:widowControl w:val="0"/>
        <w:kinsoku/>
        <w:wordWrap/>
        <w:overflowPunct/>
        <w:topLinePunct/>
        <w:autoSpaceDE w:val="0"/>
        <w:autoSpaceDN/>
        <w:bidi w:val="0"/>
        <w:adjustRightInd w:val="0"/>
        <w:snapToGrid w:val="0"/>
        <w:spacing w:line="288" w:lineRule="auto"/>
        <w:ind w:left="0" w:leftChars="0"/>
        <w:rPr>
          <w:rFonts w:hint="default" w:ascii="Times New Roman" w:hAnsi="Times New Roman" w:eastAsia="仿宋_GB2312" w:cs="Times New Roman"/>
          <w:color w:val="auto"/>
          <w:sz w:val="36"/>
          <w:szCs w:val="36"/>
          <w:highlight w:val="none"/>
          <w:u w:val="single"/>
        </w:rPr>
      </w:pPr>
      <w:bookmarkStart w:id="0" w:name="_Hlk57884087"/>
    </w:p>
    <w:p w14:paraId="7CD2B366">
      <w:pPr>
        <w:keepNext w:val="0"/>
        <w:keepLines w:val="0"/>
        <w:pageBreakBefore w:val="0"/>
        <w:widowControl w:val="0"/>
        <w:kinsoku/>
        <w:wordWrap/>
        <w:overflowPunct/>
        <w:topLinePunct/>
        <w:autoSpaceDE w:val="0"/>
        <w:autoSpaceDN/>
        <w:bidi w:val="0"/>
        <w:adjustRightInd w:val="0"/>
        <w:snapToGrid w:val="0"/>
        <w:spacing w:line="288" w:lineRule="auto"/>
        <w:ind w:left="0" w:leftChars="0"/>
        <w:rPr>
          <w:rFonts w:hint="default" w:ascii="Times New Roman" w:hAnsi="Times New Roman" w:eastAsia="仿宋_GB2312" w:cs="Times New Roman"/>
          <w:color w:val="auto"/>
          <w:sz w:val="36"/>
          <w:szCs w:val="36"/>
          <w:highlight w:val="none"/>
        </w:rPr>
      </w:pPr>
    </w:p>
    <w:p w14:paraId="53A6ADC8">
      <w:pPr>
        <w:keepNext w:val="0"/>
        <w:keepLines w:val="0"/>
        <w:pageBreakBefore w:val="0"/>
        <w:widowControl w:val="0"/>
        <w:kinsoku/>
        <w:wordWrap/>
        <w:overflowPunct/>
        <w:topLinePunct/>
        <w:autoSpaceDE w:val="0"/>
        <w:autoSpaceDN/>
        <w:bidi w:val="0"/>
        <w:adjustRightInd w:val="0"/>
        <w:snapToGrid w:val="0"/>
        <w:spacing w:line="288" w:lineRule="auto"/>
        <w:ind w:left="0" w:leftChars="0"/>
        <w:rPr>
          <w:rFonts w:hint="default" w:ascii="Times New Roman" w:hAnsi="Times New Roman" w:eastAsia="仿宋_GB2312" w:cs="Times New Roman"/>
          <w:color w:val="auto"/>
          <w:sz w:val="36"/>
          <w:szCs w:val="36"/>
          <w:highlight w:val="none"/>
        </w:rPr>
      </w:pPr>
    </w:p>
    <w:p w14:paraId="5B4AD9BF">
      <w:pPr>
        <w:keepNext w:val="0"/>
        <w:keepLines w:val="0"/>
        <w:pageBreakBefore w:val="0"/>
        <w:widowControl w:val="0"/>
        <w:kinsoku/>
        <w:wordWrap/>
        <w:overflowPunct/>
        <w:topLinePunct/>
        <w:autoSpaceDE w:val="0"/>
        <w:autoSpaceDN/>
        <w:bidi w:val="0"/>
        <w:adjustRightInd w:val="0"/>
        <w:snapToGrid w:val="0"/>
        <w:spacing w:line="288" w:lineRule="auto"/>
        <w:ind w:left="0" w:leftChars="0"/>
        <w:rPr>
          <w:rFonts w:hint="default" w:ascii="Times New Roman" w:hAnsi="Times New Roman" w:eastAsia="仿宋_GB2312" w:cs="Times New Roman"/>
          <w:color w:val="auto"/>
          <w:sz w:val="36"/>
          <w:szCs w:val="36"/>
          <w:highlight w:val="none"/>
        </w:rPr>
      </w:pPr>
    </w:p>
    <w:p w14:paraId="5A87BA92">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_GB2312" w:cs="Times New Roman"/>
          <w:color w:val="auto"/>
          <w:sz w:val="36"/>
          <w:szCs w:val="36"/>
          <w:highlight w:val="none"/>
        </w:rPr>
      </w:pPr>
    </w:p>
    <w:p w14:paraId="2A19E702">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eastAsia="仿宋_GB2312" w:cs="Times New Roman"/>
          <w:color w:val="auto"/>
          <w:sz w:val="36"/>
          <w:szCs w:val="36"/>
          <w:highlight w:val="none"/>
        </w:rPr>
      </w:pPr>
    </w:p>
    <w:bookmarkEnd w:id="0"/>
    <w:p w14:paraId="01D0F825">
      <w:pPr>
        <w:keepNext w:val="0"/>
        <w:keepLines w:val="0"/>
        <w:pageBreakBefore w:val="0"/>
        <w:widowControl w:val="0"/>
        <w:kinsoku/>
        <w:wordWrap/>
        <w:overflowPunct/>
        <w:topLinePunct/>
        <w:autoSpaceDE w:val="0"/>
        <w:autoSpaceDN/>
        <w:bidi w:val="0"/>
        <w:adjustRightInd w:val="0"/>
        <w:snapToGrid w:val="0"/>
        <w:spacing w:line="288" w:lineRule="auto"/>
        <w:ind w:left="0" w:leftChars="0"/>
        <w:jc w:val="center"/>
        <w:rPr>
          <w:rFonts w:hint="default" w:ascii="Times New Roman" w:hAnsi="Times New Roman" w:eastAsia="楷体_GB2312" w:cs="Times New Roman"/>
          <w:color w:val="auto"/>
          <w:sz w:val="36"/>
          <w:szCs w:val="36"/>
          <w:highlight w:val="none"/>
        </w:rPr>
      </w:pPr>
      <w:r>
        <w:rPr>
          <w:rFonts w:hint="default" w:ascii="Times New Roman" w:hAnsi="Times New Roman" w:eastAsia="楷体_GB2312" w:cs="Times New Roman"/>
          <w:color w:val="auto"/>
          <w:sz w:val="36"/>
          <w:szCs w:val="36"/>
          <w:highlight w:val="none"/>
        </w:rPr>
        <w:t>中华人民共和国生态环境部制</w:t>
      </w:r>
    </w:p>
    <w:p w14:paraId="5541053E">
      <w:pPr>
        <w:keepNext w:val="0"/>
        <w:keepLines w:val="0"/>
        <w:pageBreakBefore w:val="0"/>
        <w:widowControl w:val="0"/>
        <w:kinsoku/>
        <w:wordWrap/>
        <w:overflowPunct/>
        <w:topLinePunct/>
        <w:autoSpaceDE w:val="0"/>
        <w:autoSpaceDN/>
        <w:bidi w:val="0"/>
        <w:adjustRightInd w:val="0"/>
        <w:snapToGrid w:val="0"/>
        <w:spacing w:line="288" w:lineRule="auto"/>
        <w:ind w:left="0" w:leftChars="0" w:firstLine="1040"/>
        <w:rPr>
          <w:rFonts w:hint="default" w:ascii="Times New Roman" w:hAnsi="Times New Roman" w:eastAsia="仿宋_GB2312" w:cs="Times New Roman"/>
          <w:color w:val="auto"/>
          <w:sz w:val="36"/>
          <w:szCs w:val="36"/>
          <w:highlight w:val="none"/>
        </w:rPr>
        <w:sectPr>
          <w:footerReference r:id="rId3" w:type="default"/>
          <w:footerReference r:id="rId4" w:type="even"/>
          <w:pgSz w:w="11905" w:h="16838"/>
          <w:pgMar w:top="1440" w:right="1803" w:bottom="1440" w:left="1803" w:header="851" w:footer="1077" w:gutter="0"/>
          <w:pgBorders>
            <w:top w:val="none" w:sz="0" w:space="0"/>
            <w:left w:val="none" w:sz="0" w:space="0"/>
            <w:bottom w:val="none" w:sz="0" w:space="0"/>
            <w:right w:val="none" w:sz="0" w:space="0"/>
          </w:pgBorders>
          <w:pgNumType w:start="3"/>
          <w:cols w:space="720" w:num="1"/>
          <w:rtlGutter w:val="0"/>
          <w:docGrid w:linePitch="312" w:charSpace="0"/>
        </w:sectPr>
      </w:pPr>
    </w:p>
    <w:p w14:paraId="615AEC35">
      <w:pPr>
        <w:spacing w:before="0" w:beforeLines="0" w:after="0" w:afterLines="0" w:line="240" w:lineRule="auto"/>
        <w:ind w:left="0" w:leftChars="0" w:right="0" w:rightChars="0" w:firstLine="0" w:firstLineChars="0"/>
        <w:jc w:val="center"/>
        <w:rPr>
          <w:b/>
          <w:bCs/>
          <w:sz w:val="44"/>
          <w:szCs w:val="52"/>
        </w:rPr>
      </w:pPr>
      <w:r>
        <w:rPr>
          <w:rFonts w:ascii="宋体" w:hAnsi="宋体" w:eastAsia="宋体"/>
          <w:b/>
          <w:bCs/>
          <w:sz w:val="44"/>
          <w:szCs w:val="52"/>
        </w:rPr>
        <w:t>目录</w:t>
      </w:r>
    </w:p>
    <w:p w14:paraId="1B395E84">
      <w:pPr>
        <w:pStyle w:val="19"/>
        <w:tabs>
          <w:tab w:val="right" w:leader="dot" w:pos="8299"/>
        </w:tabs>
        <w:spacing w:line="360" w:lineRule="auto"/>
        <w:rPr>
          <w:b w:val="0"/>
          <w:bCs/>
          <w:sz w:val="28"/>
          <w:szCs w:val="36"/>
        </w:rPr>
      </w:pPr>
      <w:r>
        <w:rPr>
          <w:rFonts w:hint="default" w:ascii="Times New Roman" w:hAnsi="Times New Roman" w:eastAsia="黑体" w:cs="Times New Roman"/>
          <w:b w:val="0"/>
          <w:bCs/>
          <w:snapToGrid w:val="0"/>
          <w:color w:val="auto"/>
          <w:sz w:val="40"/>
          <w:szCs w:val="40"/>
          <w:highlight w:val="none"/>
        </w:rPr>
        <w:fldChar w:fldCharType="begin"/>
      </w:r>
      <w:r>
        <w:rPr>
          <w:rFonts w:hint="default" w:ascii="Times New Roman" w:hAnsi="Times New Roman" w:eastAsia="黑体" w:cs="Times New Roman"/>
          <w:b w:val="0"/>
          <w:bCs/>
          <w:snapToGrid w:val="0"/>
          <w:color w:val="auto"/>
          <w:sz w:val="40"/>
          <w:szCs w:val="40"/>
          <w:highlight w:val="none"/>
        </w:rPr>
        <w:instrText xml:space="preserve">TOC \o "1-3" \h \u </w:instrText>
      </w:r>
      <w:r>
        <w:rPr>
          <w:rFonts w:hint="default" w:ascii="Times New Roman" w:hAnsi="Times New Roman" w:eastAsia="黑体" w:cs="Times New Roman"/>
          <w:b w:val="0"/>
          <w:bCs/>
          <w:snapToGrid w:val="0"/>
          <w:color w:val="auto"/>
          <w:sz w:val="40"/>
          <w:szCs w:val="40"/>
          <w:highlight w:val="none"/>
        </w:rPr>
        <w:fldChar w:fldCharType="separate"/>
      </w:r>
      <w:r>
        <w:rPr>
          <w:rFonts w:hint="default" w:ascii="Times New Roman" w:hAnsi="Times New Roman" w:eastAsia="黑体" w:cs="Times New Roman"/>
          <w:b w:val="0"/>
          <w:bCs/>
          <w:snapToGrid w:val="0"/>
          <w:color w:val="auto"/>
          <w:sz w:val="28"/>
          <w:szCs w:val="40"/>
          <w:highlight w:val="none"/>
        </w:rPr>
        <w:fldChar w:fldCharType="begin"/>
      </w:r>
      <w:r>
        <w:rPr>
          <w:rFonts w:hint="default" w:ascii="Times New Roman" w:hAnsi="Times New Roman" w:eastAsia="黑体" w:cs="Times New Roman"/>
          <w:b w:val="0"/>
          <w:bCs/>
          <w:snapToGrid w:val="0"/>
          <w:sz w:val="28"/>
          <w:szCs w:val="40"/>
          <w:highlight w:val="none"/>
        </w:rPr>
        <w:instrText xml:space="preserve"> HYPERLINK \l _Toc26860 </w:instrText>
      </w:r>
      <w:r>
        <w:rPr>
          <w:rFonts w:hint="default" w:ascii="Times New Roman" w:hAnsi="Times New Roman" w:eastAsia="黑体" w:cs="Times New Roman"/>
          <w:b w:val="0"/>
          <w:bCs/>
          <w:snapToGrid w:val="0"/>
          <w:sz w:val="28"/>
          <w:szCs w:val="40"/>
          <w:highlight w:val="none"/>
        </w:rPr>
        <w:fldChar w:fldCharType="separate"/>
      </w:r>
      <w:r>
        <w:rPr>
          <w:rFonts w:hint="default" w:ascii="Times New Roman" w:hAnsi="Times New Roman" w:eastAsia="黑体" w:cs="Times New Roman"/>
          <w:b w:val="0"/>
          <w:bCs/>
          <w:snapToGrid w:val="0"/>
          <w:sz w:val="28"/>
          <w:szCs w:val="40"/>
          <w:highlight w:val="none"/>
        </w:rPr>
        <w:t>一、建设项目基本情况</w:t>
      </w:r>
      <w:r>
        <w:rPr>
          <w:b w:val="0"/>
          <w:bCs/>
          <w:sz w:val="28"/>
          <w:szCs w:val="36"/>
        </w:rPr>
        <w:tab/>
      </w:r>
      <w:r>
        <w:rPr>
          <w:b w:val="0"/>
          <w:bCs/>
          <w:sz w:val="28"/>
          <w:szCs w:val="36"/>
        </w:rPr>
        <w:fldChar w:fldCharType="begin"/>
      </w:r>
      <w:r>
        <w:rPr>
          <w:b w:val="0"/>
          <w:bCs/>
          <w:sz w:val="28"/>
          <w:szCs w:val="36"/>
        </w:rPr>
        <w:instrText xml:space="preserve"> PAGEREF _Toc26860 \h </w:instrText>
      </w:r>
      <w:r>
        <w:rPr>
          <w:b w:val="0"/>
          <w:bCs/>
          <w:sz w:val="28"/>
          <w:szCs w:val="36"/>
        </w:rPr>
        <w:fldChar w:fldCharType="separate"/>
      </w:r>
      <w:r>
        <w:rPr>
          <w:b w:val="0"/>
          <w:bCs/>
          <w:sz w:val="28"/>
          <w:szCs w:val="36"/>
        </w:rPr>
        <w:t>1</w:t>
      </w:r>
      <w:r>
        <w:rPr>
          <w:b w:val="0"/>
          <w:bCs/>
          <w:sz w:val="28"/>
          <w:szCs w:val="36"/>
        </w:rPr>
        <w:fldChar w:fldCharType="end"/>
      </w:r>
      <w:r>
        <w:rPr>
          <w:rFonts w:hint="default" w:ascii="Times New Roman" w:hAnsi="Times New Roman" w:eastAsia="黑体" w:cs="Times New Roman"/>
          <w:b w:val="0"/>
          <w:bCs/>
          <w:snapToGrid w:val="0"/>
          <w:color w:val="auto"/>
          <w:sz w:val="28"/>
          <w:szCs w:val="40"/>
          <w:highlight w:val="none"/>
        </w:rPr>
        <w:fldChar w:fldCharType="end"/>
      </w:r>
    </w:p>
    <w:p w14:paraId="54DF74AB">
      <w:pPr>
        <w:pStyle w:val="19"/>
        <w:tabs>
          <w:tab w:val="right" w:leader="dot" w:pos="8299"/>
        </w:tabs>
        <w:spacing w:line="360" w:lineRule="auto"/>
        <w:rPr>
          <w:b w:val="0"/>
          <w:bCs/>
          <w:sz w:val="28"/>
          <w:szCs w:val="36"/>
        </w:rPr>
      </w:pPr>
      <w:r>
        <w:rPr>
          <w:rFonts w:hint="default" w:ascii="Times New Roman" w:hAnsi="Times New Roman" w:eastAsia="黑体" w:cs="Times New Roman"/>
          <w:b w:val="0"/>
          <w:bCs/>
          <w:snapToGrid w:val="0"/>
          <w:color w:val="auto"/>
          <w:sz w:val="28"/>
          <w:szCs w:val="40"/>
          <w:highlight w:val="none"/>
        </w:rPr>
        <w:fldChar w:fldCharType="begin"/>
      </w:r>
      <w:r>
        <w:rPr>
          <w:rFonts w:hint="default" w:ascii="Times New Roman" w:hAnsi="Times New Roman" w:eastAsia="黑体" w:cs="Times New Roman"/>
          <w:b w:val="0"/>
          <w:bCs/>
          <w:snapToGrid w:val="0"/>
          <w:sz w:val="28"/>
          <w:szCs w:val="40"/>
          <w:highlight w:val="none"/>
        </w:rPr>
        <w:instrText xml:space="preserve"> HYPERLINK \l _Toc18701 </w:instrText>
      </w:r>
      <w:r>
        <w:rPr>
          <w:rFonts w:hint="default" w:ascii="Times New Roman" w:hAnsi="Times New Roman" w:eastAsia="黑体" w:cs="Times New Roman"/>
          <w:b w:val="0"/>
          <w:bCs/>
          <w:snapToGrid w:val="0"/>
          <w:sz w:val="28"/>
          <w:szCs w:val="40"/>
          <w:highlight w:val="none"/>
        </w:rPr>
        <w:fldChar w:fldCharType="separate"/>
      </w:r>
      <w:r>
        <w:rPr>
          <w:rFonts w:hint="default" w:ascii="Times New Roman" w:hAnsi="Times New Roman" w:eastAsia="黑体" w:cs="Times New Roman"/>
          <w:b w:val="0"/>
          <w:bCs/>
          <w:snapToGrid w:val="0"/>
          <w:sz w:val="28"/>
          <w:szCs w:val="40"/>
          <w:highlight w:val="none"/>
        </w:rPr>
        <w:t>二、建设项目工程分析</w:t>
      </w:r>
      <w:r>
        <w:rPr>
          <w:b w:val="0"/>
          <w:bCs/>
          <w:sz w:val="28"/>
          <w:szCs w:val="36"/>
        </w:rPr>
        <w:tab/>
      </w:r>
      <w:r>
        <w:rPr>
          <w:b w:val="0"/>
          <w:bCs/>
          <w:sz w:val="28"/>
          <w:szCs w:val="36"/>
        </w:rPr>
        <w:fldChar w:fldCharType="begin"/>
      </w:r>
      <w:r>
        <w:rPr>
          <w:b w:val="0"/>
          <w:bCs/>
          <w:sz w:val="28"/>
          <w:szCs w:val="36"/>
        </w:rPr>
        <w:instrText xml:space="preserve"> PAGEREF _Toc18701 \h </w:instrText>
      </w:r>
      <w:r>
        <w:rPr>
          <w:b w:val="0"/>
          <w:bCs/>
          <w:sz w:val="28"/>
          <w:szCs w:val="36"/>
        </w:rPr>
        <w:fldChar w:fldCharType="separate"/>
      </w:r>
      <w:r>
        <w:rPr>
          <w:b w:val="0"/>
          <w:bCs/>
          <w:sz w:val="28"/>
          <w:szCs w:val="36"/>
        </w:rPr>
        <w:t>16</w:t>
      </w:r>
      <w:r>
        <w:rPr>
          <w:b w:val="0"/>
          <w:bCs/>
          <w:sz w:val="28"/>
          <w:szCs w:val="36"/>
        </w:rPr>
        <w:fldChar w:fldCharType="end"/>
      </w:r>
      <w:r>
        <w:rPr>
          <w:rFonts w:hint="default" w:ascii="Times New Roman" w:hAnsi="Times New Roman" w:eastAsia="黑体" w:cs="Times New Roman"/>
          <w:b w:val="0"/>
          <w:bCs/>
          <w:snapToGrid w:val="0"/>
          <w:color w:val="auto"/>
          <w:sz w:val="28"/>
          <w:szCs w:val="40"/>
          <w:highlight w:val="none"/>
        </w:rPr>
        <w:fldChar w:fldCharType="end"/>
      </w:r>
    </w:p>
    <w:p w14:paraId="798DB776">
      <w:pPr>
        <w:pStyle w:val="19"/>
        <w:tabs>
          <w:tab w:val="right" w:leader="dot" w:pos="8299"/>
        </w:tabs>
        <w:spacing w:line="360" w:lineRule="auto"/>
        <w:rPr>
          <w:b w:val="0"/>
          <w:bCs/>
          <w:sz w:val="28"/>
          <w:szCs w:val="36"/>
        </w:rPr>
      </w:pPr>
      <w:r>
        <w:rPr>
          <w:rFonts w:hint="default" w:ascii="Times New Roman" w:hAnsi="Times New Roman" w:eastAsia="黑体" w:cs="Times New Roman"/>
          <w:b w:val="0"/>
          <w:bCs/>
          <w:snapToGrid w:val="0"/>
          <w:color w:val="auto"/>
          <w:sz w:val="28"/>
          <w:szCs w:val="40"/>
          <w:highlight w:val="none"/>
        </w:rPr>
        <w:fldChar w:fldCharType="begin"/>
      </w:r>
      <w:r>
        <w:rPr>
          <w:rFonts w:hint="default" w:ascii="Times New Roman" w:hAnsi="Times New Roman" w:eastAsia="黑体" w:cs="Times New Roman"/>
          <w:b w:val="0"/>
          <w:bCs/>
          <w:snapToGrid w:val="0"/>
          <w:sz w:val="28"/>
          <w:szCs w:val="40"/>
          <w:highlight w:val="none"/>
        </w:rPr>
        <w:instrText xml:space="preserve"> HYPERLINK \l _Toc1998 </w:instrText>
      </w:r>
      <w:r>
        <w:rPr>
          <w:rFonts w:hint="default" w:ascii="Times New Roman" w:hAnsi="Times New Roman" w:eastAsia="黑体" w:cs="Times New Roman"/>
          <w:b w:val="0"/>
          <w:bCs/>
          <w:snapToGrid w:val="0"/>
          <w:sz w:val="28"/>
          <w:szCs w:val="40"/>
          <w:highlight w:val="none"/>
        </w:rPr>
        <w:fldChar w:fldCharType="separate"/>
      </w:r>
      <w:r>
        <w:rPr>
          <w:rFonts w:hint="default" w:ascii="Times New Roman" w:hAnsi="Times New Roman" w:eastAsia="黑体" w:cs="Times New Roman"/>
          <w:b w:val="0"/>
          <w:bCs/>
          <w:snapToGrid w:val="0"/>
          <w:sz w:val="28"/>
          <w:szCs w:val="40"/>
          <w:highlight w:val="none"/>
        </w:rPr>
        <w:t>三、区域环境质量现状、环境保护目标及评价标准</w:t>
      </w:r>
      <w:r>
        <w:rPr>
          <w:b w:val="0"/>
          <w:bCs/>
          <w:sz w:val="28"/>
          <w:szCs w:val="36"/>
        </w:rPr>
        <w:tab/>
      </w:r>
      <w:r>
        <w:rPr>
          <w:b w:val="0"/>
          <w:bCs/>
          <w:sz w:val="28"/>
          <w:szCs w:val="36"/>
        </w:rPr>
        <w:fldChar w:fldCharType="begin"/>
      </w:r>
      <w:r>
        <w:rPr>
          <w:b w:val="0"/>
          <w:bCs/>
          <w:sz w:val="28"/>
          <w:szCs w:val="36"/>
        </w:rPr>
        <w:instrText xml:space="preserve"> PAGEREF _Toc1998 \h </w:instrText>
      </w:r>
      <w:r>
        <w:rPr>
          <w:b w:val="0"/>
          <w:bCs/>
          <w:sz w:val="28"/>
          <w:szCs w:val="36"/>
        </w:rPr>
        <w:fldChar w:fldCharType="separate"/>
      </w:r>
      <w:r>
        <w:rPr>
          <w:b w:val="0"/>
          <w:bCs/>
          <w:sz w:val="28"/>
          <w:szCs w:val="36"/>
        </w:rPr>
        <w:t>27</w:t>
      </w:r>
      <w:r>
        <w:rPr>
          <w:b w:val="0"/>
          <w:bCs/>
          <w:sz w:val="28"/>
          <w:szCs w:val="36"/>
        </w:rPr>
        <w:fldChar w:fldCharType="end"/>
      </w:r>
      <w:r>
        <w:rPr>
          <w:rFonts w:hint="default" w:ascii="Times New Roman" w:hAnsi="Times New Roman" w:eastAsia="黑体" w:cs="Times New Roman"/>
          <w:b w:val="0"/>
          <w:bCs/>
          <w:snapToGrid w:val="0"/>
          <w:color w:val="auto"/>
          <w:sz w:val="28"/>
          <w:szCs w:val="40"/>
          <w:highlight w:val="none"/>
        </w:rPr>
        <w:fldChar w:fldCharType="end"/>
      </w:r>
    </w:p>
    <w:p w14:paraId="1F4FAA15">
      <w:pPr>
        <w:pStyle w:val="19"/>
        <w:tabs>
          <w:tab w:val="right" w:leader="dot" w:pos="8299"/>
        </w:tabs>
        <w:spacing w:line="360" w:lineRule="auto"/>
        <w:rPr>
          <w:b w:val="0"/>
          <w:bCs/>
          <w:sz w:val="28"/>
          <w:szCs w:val="36"/>
        </w:rPr>
      </w:pPr>
      <w:r>
        <w:rPr>
          <w:rFonts w:hint="default" w:ascii="Times New Roman" w:hAnsi="Times New Roman" w:eastAsia="黑体" w:cs="Times New Roman"/>
          <w:b w:val="0"/>
          <w:bCs/>
          <w:snapToGrid w:val="0"/>
          <w:color w:val="auto"/>
          <w:sz w:val="28"/>
          <w:szCs w:val="40"/>
          <w:highlight w:val="none"/>
        </w:rPr>
        <w:fldChar w:fldCharType="begin"/>
      </w:r>
      <w:r>
        <w:rPr>
          <w:rFonts w:hint="default" w:ascii="Times New Roman" w:hAnsi="Times New Roman" w:eastAsia="黑体" w:cs="Times New Roman"/>
          <w:b w:val="0"/>
          <w:bCs/>
          <w:snapToGrid w:val="0"/>
          <w:sz w:val="28"/>
          <w:szCs w:val="40"/>
          <w:highlight w:val="none"/>
        </w:rPr>
        <w:instrText xml:space="preserve"> HYPERLINK \l _Toc23248 </w:instrText>
      </w:r>
      <w:r>
        <w:rPr>
          <w:rFonts w:hint="default" w:ascii="Times New Roman" w:hAnsi="Times New Roman" w:eastAsia="黑体" w:cs="Times New Roman"/>
          <w:b w:val="0"/>
          <w:bCs/>
          <w:snapToGrid w:val="0"/>
          <w:sz w:val="28"/>
          <w:szCs w:val="40"/>
          <w:highlight w:val="none"/>
        </w:rPr>
        <w:fldChar w:fldCharType="separate"/>
      </w:r>
      <w:r>
        <w:rPr>
          <w:rFonts w:hint="eastAsia" w:ascii="Times New Roman" w:hAnsi="Times New Roman" w:eastAsia="黑体" w:cs="Times New Roman"/>
          <w:b w:val="0"/>
          <w:bCs/>
          <w:snapToGrid w:val="0"/>
          <w:sz w:val="28"/>
          <w:szCs w:val="40"/>
        </w:rPr>
        <w:t xml:space="preserve">四、 </w:t>
      </w:r>
      <w:r>
        <w:rPr>
          <w:rFonts w:hint="default" w:ascii="Times New Roman" w:hAnsi="Times New Roman" w:eastAsia="黑体" w:cs="Times New Roman"/>
          <w:b w:val="0"/>
          <w:bCs/>
          <w:snapToGrid w:val="0"/>
          <w:sz w:val="28"/>
          <w:szCs w:val="40"/>
          <w:highlight w:val="none"/>
        </w:rPr>
        <w:t>主要环境影响和保护措施</w:t>
      </w:r>
      <w:r>
        <w:rPr>
          <w:b w:val="0"/>
          <w:bCs/>
          <w:sz w:val="28"/>
          <w:szCs w:val="36"/>
        </w:rPr>
        <w:tab/>
      </w:r>
      <w:r>
        <w:rPr>
          <w:b w:val="0"/>
          <w:bCs/>
          <w:sz w:val="28"/>
          <w:szCs w:val="36"/>
        </w:rPr>
        <w:fldChar w:fldCharType="begin"/>
      </w:r>
      <w:r>
        <w:rPr>
          <w:b w:val="0"/>
          <w:bCs/>
          <w:sz w:val="28"/>
          <w:szCs w:val="36"/>
        </w:rPr>
        <w:instrText xml:space="preserve"> PAGEREF _Toc23248 \h </w:instrText>
      </w:r>
      <w:r>
        <w:rPr>
          <w:b w:val="0"/>
          <w:bCs/>
          <w:sz w:val="28"/>
          <w:szCs w:val="36"/>
        </w:rPr>
        <w:fldChar w:fldCharType="separate"/>
      </w:r>
      <w:r>
        <w:rPr>
          <w:b w:val="0"/>
          <w:bCs/>
          <w:sz w:val="28"/>
          <w:szCs w:val="36"/>
        </w:rPr>
        <w:t>34</w:t>
      </w:r>
      <w:r>
        <w:rPr>
          <w:b w:val="0"/>
          <w:bCs/>
          <w:sz w:val="28"/>
          <w:szCs w:val="36"/>
        </w:rPr>
        <w:fldChar w:fldCharType="end"/>
      </w:r>
      <w:r>
        <w:rPr>
          <w:rFonts w:hint="default" w:ascii="Times New Roman" w:hAnsi="Times New Roman" w:eastAsia="黑体" w:cs="Times New Roman"/>
          <w:b w:val="0"/>
          <w:bCs/>
          <w:snapToGrid w:val="0"/>
          <w:color w:val="auto"/>
          <w:sz w:val="28"/>
          <w:szCs w:val="40"/>
          <w:highlight w:val="none"/>
        </w:rPr>
        <w:fldChar w:fldCharType="end"/>
      </w:r>
    </w:p>
    <w:p w14:paraId="00E19332">
      <w:pPr>
        <w:pStyle w:val="19"/>
        <w:tabs>
          <w:tab w:val="right" w:leader="dot" w:pos="8299"/>
        </w:tabs>
        <w:spacing w:line="360" w:lineRule="auto"/>
        <w:rPr>
          <w:b w:val="0"/>
          <w:bCs/>
          <w:sz w:val="28"/>
          <w:szCs w:val="36"/>
        </w:rPr>
      </w:pPr>
      <w:r>
        <w:rPr>
          <w:rFonts w:hint="default" w:ascii="Times New Roman" w:hAnsi="Times New Roman" w:eastAsia="黑体" w:cs="Times New Roman"/>
          <w:b w:val="0"/>
          <w:bCs/>
          <w:snapToGrid w:val="0"/>
          <w:color w:val="auto"/>
          <w:sz w:val="28"/>
          <w:szCs w:val="40"/>
          <w:highlight w:val="none"/>
        </w:rPr>
        <w:fldChar w:fldCharType="begin"/>
      </w:r>
      <w:r>
        <w:rPr>
          <w:rFonts w:hint="default" w:ascii="Times New Roman" w:hAnsi="Times New Roman" w:eastAsia="黑体" w:cs="Times New Roman"/>
          <w:b w:val="0"/>
          <w:bCs/>
          <w:snapToGrid w:val="0"/>
          <w:sz w:val="28"/>
          <w:szCs w:val="40"/>
          <w:highlight w:val="none"/>
        </w:rPr>
        <w:instrText xml:space="preserve"> HYPERLINK \l _Toc28137 </w:instrText>
      </w:r>
      <w:r>
        <w:rPr>
          <w:rFonts w:hint="default" w:ascii="Times New Roman" w:hAnsi="Times New Roman" w:eastAsia="黑体" w:cs="Times New Roman"/>
          <w:b w:val="0"/>
          <w:bCs/>
          <w:snapToGrid w:val="0"/>
          <w:sz w:val="28"/>
          <w:szCs w:val="40"/>
          <w:highlight w:val="none"/>
        </w:rPr>
        <w:fldChar w:fldCharType="separate"/>
      </w:r>
      <w:r>
        <w:rPr>
          <w:rFonts w:hint="default" w:ascii="Times New Roman" w:hAnsi="Times New Roman" w:eastAsia="黑体" w:cs="Times New Roman"/>
          <w:b w:val="0"/>
          <w:bCs/>
          <w:snapToGrid w:val="0"/>
          <w:sz w:val="28"/>
          <w:szCs w:val="40"/>
          <w:highlight w:val="none"/>
        </w:rPr>
        <w:t>五、环境保护措施监督检查清单</w:t>
      </w:r>
      <w:r>
        <w:rPr>
          <w:b w:val="0"/>
          <w:bCs/>
          <w:sz w:val="28"/>
          <w:szCs w:val="36"/>
        </w:rPr>
        <w:tab/>
      </w:r>
      <w:r>
        <w:rPr>
          <w:b w:val="0"/>
          <w:bCs/>
          <w:sz w:val="28"/>
          <w:szCs w:val="36"/>
        </w:rPr>
        <w:fldChar w:fldCharType="begin"/>
      </w:r>
      <w:r>
        <w:rPr>
          <w:b w:val="0"/>
          <w:bCs/>
          <w:sz w:val="28"/>
          <w:szCs w:val="36"/>
        </w:rPr>
        <w:instrText xml:space="preserve"> PAGEREF _Toc28137 \h </w:instrText>
      </w:r>
      <w:r>
        <w:rPr>
          <w:b w:val="0"/>
          <w:bCs/>
          <w:sz w:val="28"/>
          <w:szCs w:val="36"/>
        </w:rPr>
        <w:fldChar w:fldCharType="separate"/>
      </w:r>
      <w:r>
        <w:rPr>
          <w:b w:val="0"/>
          <w:bCs/>
          <w:sz w:val="28"/>
          <w:szCs w:val="36"/>
        </w:rPr>
        <w:t>54</w:t>
      </w:r>
      <w:r>
        <w:rPr>
          <w:b w:val="0"/>
          <w:bCs/>
          <w:sz w:val="28"/>
          <w:szCs w:val="36"/>
        </w:rPr>
        <w:fldChar w:fldCharType="end"/>
      </w:r>
      <w:r>
        <w:rPr>
          <w:rFonts w:hint="default" w:ascii="Times New Roman" w:hAnsi="Times New Roman" w:eastAsia="黑体" w:cs="Times New Roman"/>
          <w:b w:val="0"/>
          <w:bCs/>
          <w:snapToGrid w:val="0"/>
          <w:color w:val="auto"/>
          <w:sz w:val="28"/>
          <w:szCs w:val="40"/>
          <w:highlight w:val="none"/>
        </w:rPr>
        <w:fldChar w:fldCharType="end"/>
      </w:r>
    </w:p>
    <w:p w14:paraId="71D89BE4">
      <w:pPr>
        <w:pStyle w:val="19"/>
        <w:tabs>
          <w:tab w:val="right" w:leader="dot" w:pos="8299"/>
        </w:tabs>
        <w:spacing w:line="360" w:lineRule="auto"/>
        <w:rPr>
          <w:b w:val="0"/>
          <w:bCs/>
          <w:sz w:val="28"/>
          <w:szCs w:val="36"/>
        </w:rPr>
      </w:pPr>
      <w:r>
        <w:rPr>
          <w:rFonts w:hint="default" w:ascii="Times New Roman" w:hAnsi="Times New Roman" w:eastAsia="黑体" w:cs="Times New Roman"/>
          <w:b w:val="0"/>
          <w:bCs/>
          <w:snapToGrid w:val="0"/>
          <w:color w:val="auto"/>
          <w:sz w:val="28"/>
          <w:szCs w:val="40"/>
          <w:highlight w:val="none"/>
        </w:rPr>
        <w:fldChar w:fldCharType="begin"/>
      </w:r>
      <w:r>
        <w:rPr>
          <w:rFonts w:hint="default" w:ascii="Times New Roman" w:hAnsi="Times New Roman" w:eastAsia="黑体" w:cs="Times New Roman"/>
          <w:b w:val="0"/>
          <w:bCs/>
          <w:snapToGrid w:val="0"/>
          <w:sz w:val="28"/>
          <w:szCs w:val="40"/>
          <w:highlight w:val="none"/>
        </w:rPr>
        <w:instrText xml:space="preserve"> HYPERLINK \l _Toc8818 </w:instrText>
      </w:r>
      <w:r>
        <w:rPr>
          <w:rFonts w:hint="default" w:ascii="Times New Roman" w:hAnsi="Times New Roman" w:eastAsia="黑体" w:cs="Times New Roman"/>
          <w:b w:val="0"/>
          <w:bCs/>
          <w:snapToGrid w:val="0"/>
          <w:sz w:val="28"/>
          <w:szCs w:val="40"/>
          <w:highlight w:val="none"/>
        </w:rPr>
        <w:fldChar w:fldCharType="separate"/>
      </w:r>
      <w:r>
        <w:rPr>
          <w:rFonts w:hint="default" w:ascii="Times New Roman" w:hAnsi="Times New Roman" w:eastAsia="黑体" w:cs="Times New Roman"/>
          <w:b w:val="0"/>
          <w:bCs/>
          <w:snapToGrid w:val="0"/>
          <w:sz w:val="28"/>
          <w:szCs w:val="40"/>
          <w:highlight w:val="none"/>
        </w:rPr>
        <w:t>六、结论</w:t>
      </w:r>
      <w:r>
        <w:rPr>
          <w:b w:val="0"/>
          <w:bCs/>
          <w:sz w:val="28"/>
          <w:szCs w:val="36"/>
        </w:rPr>
        <w:tab/>
      </w:r>
      <w:r>
        <w:rPr>
          <w:b w:val="0"/>
          <w:bCs/>
          <w:sz w:val="28"/>
          <w:szCs w:val="36"/>
        </w:rPr>
        <w:fldChar w:fldCharType="begin"/>
      </w:r>
      <w:r>
        <w:rPr>
          <w:b w:val="0"/>
          <w:bCs/>
          <w:sz w:val="28"/>
          <w:szCs w:val="36"/>
        </w:rPr>
        <w:instrText xml:space="preserve"> PAGEREF _Toc8818 \h </w:instrText>
      </w:r>
      <w:r>
        <w:rPr>
          <w:b w:val="0"/>
          <w:bCs/>
          <w:sz w:val="28"/>
          <w:szCs w:val="36"/>
        </w:rPr>
        <w:fldChar w:fldCharType="separate"/>
      </w:r>
      <w:r>
        <w:rPr>
          <w:b w:val="0"/>
          <w:bCs/>
          <w:sz w:val="28"/>
          <w:szCs w:val="36"/>
        </w:rPr>
        <w:t>57</w:t>
      </w:r>
      <w:r>
        <w:rPr>
          <w:b w:val="0"/>
          <w:bCs/>
          <w:sz w:val="28"/>
          <w:szCs w:val="36"/>
        </w:rPr>
        <w:fldChar w:fldCharType="end"/>
      </w:r>
      <w:r>
        <w:rPr>
          <w:rFonts w:hint="default" w:ascii="Times New Roman" w:hAnsi="Times New Roman" w:eastAsia="黑体" w:cs="Times New Roman"/>
          <w:b w:val="0"/>
          <w:bCs/>
          <w:snapToGrid w:val="0"/>
          <w:color w:val="auto"/>
          <w:sz w:val="28"/>
          <w:szCs w:val="40"/>
          <w:highlight w:val="none"/>
        </w:rPr>
        <w:fldChar w:fldCharType="end"/>
      </w:r>
    </w:p>
    <w:p w14:paraId="50FCD63F">
      <w:pPr>
        <w:pStyle w:val="19"/>
        <w:tabs>
          <w:tab w:val="right" w:leader="dot" w:pos="8299"/>
        </w:tabs>
        <w:spacing w:line="360" w:lineRule="auto"/>
        <w:rPr>
          <w:b w:val="0"/>
          <w:bCs/>
          <w:sz w:val="28"/>
          <w:szCs w:val="36"/>
        </w:rPr>
      </w:pPr>
      <w:r>
        <w:rPr>
          <w:rFonts w:hint="default" w:ascii="Times New Roman" w:hAnsi="Times New Roman" w:eastAsia="黑体" w:cs="Times New Roman"/>
          <w:b w:val="0"/>
          <w:bCs/>
          <w:snapToGrid w:val="0"/>
          <w:color w:val="auto"/>
          <w:sz w:val="28"/>
          <w:szCs w:val="40"/>
          <w:highlight w:val="none"/>
        </w:rPr>
        <w:fldChar w:fldCharType="begin"/>
      </w:r>
      <w:r>
        <w:rPr>
          <w:rFonts w:hint="default" w:ascii="Times New Roman" w:hAnsi="Times New Roman" w:eastAsia="黑体" w:cs="Times New Roman"/>
          <w:b w:val="0"/>
          <w:bCs/>
          <w:snapToGrid w:val="0"/>
          <w:sz w:val="28"/>
          <w:szCs w:val="40"/>
          <w:highlight w:val="none"/>
        </w:rPr>
        <w:instrText xml:space="preserve"> HYPERLINK \l _Toc17611 </w:instrText>
      </w:r>
      <w:r>
        <w:rPr>
          <w:rFonts w:hint="default" w:ascii="Times New Roman" w:hAnsi="Times New Roman" w:eastAsia="黑体" w:cs="Times New Roman"/>
          <w:b w:val="0"/>
          <w:bCs/>
          <w:snapToGrid w:val="0"/>
          <w:sz w:val="28"/>
          <w:szCs w:val="40"/>
          <w:highlight w:val="none"/>
        </w:rPr>
        <w:fldChar w:fldCharType="separate"/>
      </w:r>
      <w:r>
        <w:rPr>
          <w:rFonts w:hint="default" w:ascii="Times New Roman" w:hAnsi="Times New Roman" w:cs="Times New Roman"/>
          <w:b w:val="0"/>
          <w:bCs/>
          <w:snapToGrid w:val="0"/>
          <w:sz w:val="28"/>
          <w:szCs w:val="40"/>
          <w:highlight w:val="none"/>
        </w:rPr>
        <w:t>附表</w:t>
      </w:r>
      <w:r>
        <w:rPr>
          <w:b w:val="0"/>
          <w:bCs/>
          <w:sz w:val="28"/>
          <w:szCs w:val="36"/>
        </w:rPr>
        <w:tab/>
      </w:r>
      <w:r>
        <w:rPr>
          <w:b w:val="0"/>
          <w:bCs/>
          <w:sz w:val="28"/>
          <w:szCs w:val="36"/>
        </w:rPr>
        <w:fldChar w:fldCharType="begin"/>
      </w:r>
      <w:r>
        <w:rPr>
          <w:b w:val="0"/>
          <w:bCs/>
          <w:sz w:val="28"/>
          <w:szCs w:val="36"/>
        </w:rPr>
        <w:instrText xml:space="preserve"> PAGEREF _Toc17611 \h </w:instrText>
      </w:r>
      <w:r>
        <w:rPr>
          <w:b w:val="0"/>
          <w:bCs/>
          <w:sz w:val="28"/>
          <w:szCs w:val="36"/>
        </w:rPr>
        <w:fldChar w:fldCharType="separate"/>
      </w:r>
      <w:r>
        <w:rPr>
          <w:b w:val="0"/>
          <w:bCs/>
          <w:sz w:val="28"/>
          <w:szCs w:val="36"/>
        </w:rPr>
        <w:t>58</w:t>
      </w:r>
      <w:r>
        <w:rPr>
          <w:b w:val="0"/>
          <w:bCs/>
          <w:sz w:val="28"/>
          <w:szCs w:val="36"/>
        </w:rPr>
        <w:fldChar w:fldCharType="end"/>
      </w:r>
      <w:r>
        <w:rPr>
          <w:rFonts w:hint="default" w:ascii="Times New Roman" w:hAnsi="Times New Roman" w:eastAsia="黑体" w:cs="Times New Roman"/>
          <w:b w:val="0"/>
          <w:bCs/>
          <w:snapToGrid w:val="0"/>
          <w:color w:val="auto"/>
          <w:sz w:val="28"/>
          <w:szCs w:val="40"/>
          <w:highlight w:val="none"/>
        </w:rPr>
        <w:fldChar w:fldCharType="end"/>
      </w:r>
    </w:p>
    <w:p w14:paraId="2E80F687">
      <w:pPr>
        <w:keepNext w:val="0"/>
        <w:keepLines w:val="0"/>
        <w:pageBreakBefore w:val="0"/>
        <w:widowControl w:val="0"/>
        <w:kinsoku/>
        <w:wordWrap/>
        <w:overflowPunct/>
        <w:topLinePunct/>
        <w:autoSpaceDE w:val="0"/>
        <w:autoSpaceDN/>
        <w:bidi w:val="0"/>
        <w:adjustRightInd w:val="0"/>
        <w:snapToGrid w:val="0"/>
        <w:spacing w:line="360" w:lineRule="auto"/>
        <w:ind w:left="0" w:leftChars="0"/>
        <w:jc w:val="center"/>
        <w:outlineLvl w:val="9"/>
        <w:rPr>
          <w:rFonts w:hint="default" w:ascii="Times New Roman" w:hAnsi="Times New Roman" w:eastAsia="黑体" w:cs="Times New Roman"/>
          <w:bCs/>
          <w:snapToGrid w:val="0"/>
          <w:color w:val="auto"/>
          <w:szCs w:val="30"/>
          <w:highlight w:val="none"/>
        </w:rPr>
      </w:pPr>
      <w:r>
        <w:rPr>
          <w:rFonts w:hint="default" w:ascii="Times New Roman" w:hAnsi="Times New Roman" w:eastAsia="黑体" w:cs="Times New Roman"/>
          <w:b w:val="0"/>
          <w:bCs/>
          <w:snapToGrid w:val="0"/>
          <w:color w:val="auto"/>
          <w:sz w:val="28"/>
          <w:szCs w:val="40"/>
          <w:highlight w:val="none"/>
        </w:rPr>
        <w:fldChar w:fldCharType="end"/>
      </w:r>
    </w:p>
    <w:p w14:paraId="4D78FA3F">
      <w:pPr>
        <w:keepNext w:val="0"/>
        <w:keepLines w:val="0"/>
        <w:pageBreakBefore w:val="0"/>
        <w:widowControl w:val="0"/>
        <w:kinsoku/>
        <w:wordWrap/>
        <w:overflowPunct/>
        <w:topLinePunct/>
        <w:autoSpaceDE w:val="0"/>
        <w:autoSpaceDN/>
        <w:bidi w:val="0"/>
        <w:adjustRightInd w:val="0"/>
        <w:snapToGrid w:val="0"/>
        <w:spacing w:line="360" w:lineRule="auto"/>
        <w:ind w:left="0" w:leftChars="0"/>
        <w:jc w:val="center"/>
        <w:outlineLvl w:val="9"/>
        <w:rPr>
          <w:rFonts w:hint="default"/>
        </w:rPr>
        <w:sectPr>
          <w:footerReference r:id="rId5" w:type="default"/>
          <w:pgSz w:w="11905" w:h="16838"/>
          <w:pgMar w:top="1440" w:right="1803" w:bottom="1440" w:left="1803" w:header="851" w:footer="1077" w:gutter="0"/>
          <w:pgBorders>
            <w:top w:val="none" w:sz="0" w:space="0"/>
            <w:left w:val="none" w:sz="0" w:space="0"/>
            <w:bottom w:val="none" w:sz="0" w:space="0"/>
            <w:right w:val="none" w:sz="0" w:space="0"/>
          </w:pgBorders>
          <w:pgNumType w:start="1"/>
          <w:cols w:space="720" w:num="1"/>
          <w:rtlGutter w:val="0"/>
          <w:docGrid w:linePitch="312" w:charSpace="0"/>
        </w:sectPr>
      </w:pPr>
    </w:p>
    <w:p w14:paraId="14E8A11C">
      <w:pPr>
        <w:keepNext w:val="0"/>
        <w:keepLines w:val="0"/>
        <w:pageBreakBefore w:val="0"/>
        <w:widowControl w:val="0"/>
        <w:kinsoku/>
        <w:wordWrap/>
        <w:overflowPunct/>
        <w:topLinePunct/>
        <w:autoSpaceDE w:val="0"/>
        <w:autoSpaceDN/>
        <w:bidi w:val="0"/>
        <w:adjustRightInd w:val="0"/>
        <w:snapToGrid w:val="0"/>
        <w:ind w:left="0" w:leftChars="0"/>
        <w:jc w:val="center"/>
        <w:outlineLvl w:val="0"/>
        <w:rPr>
          <w:rFonts w:hint="default" w:ascii="Times New Roman" w:hAnsi="Times New Roman" w:eastAsia="黑体" w:cs="Times New Roman"/>
          <w:b/>
          <w:bCs/>
          <w:snapToGrid w:val="0"/>
          <w:color w:val="auto"/>
          <w:sz w:val="30"/>
          <w:szCs w:val="30"/>
          <w:highlight w:val="none"/>
        </w:rPr>
      </w:pPr>
      <w:bookmarkStart w:id="1" w:name="_Toc26860"/>
      <w:r>
        <w:rPr>
          <w:rFonts w:hint="default" w:ascii="Times New Roman" w:hAnsi="Times New Roman" w:eastAsia="黑体" w:cs="Times New Roman"/>
          <w:b/>
          <w:bCs/>
          <w:snapToGrid w:val="0"/>
          <w:color w:val="auto"/>
          <w:sz w:val="30"/>
          <w:szCs w:val="30"/>
          <w:highlight w:val="none"/>
        </w:rPr>
        <w:t>一、建设项目基本情况</w:t>
      </w:r>
      <w:bookmarkEnd w:id="1"/>
    </w:p>
    <w:tbl>
      <w:tblPr>
        <w:tblStyle w:val="25"/>
        <w:tblW w:w="493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93"/>
        <w:gridCol w:w="2366"/>
        <w:gridCol w:w="1676"/>
        <w:gridCol w:w="2982"/>
      </w:tblGrid>
      <w:tr w14:paraId="035638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0D05CB6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建设项</w:t>
            </w:r>
          </w:p>
          <w:p w14:paraId="562075E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目名称</w:t>
            </w:r>
          </w:p>
        </w:tc>
        <w:tc>
          <w:tcPr>
            <w:tcW w:w="4273" w:type="pct"/>
            <w:gridSpan w:val="3"/>
            <w:noWrap w:val="0"/>
            <w:vAlign w:val="center"/>
          </w:tcPr>
          <w:p w14:paraId="536B6BE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lang w:val="en-US" w:eastAsia="zh-CN"/>
              </w:rPr>
              <w:t>汽车刹车片生产基地项目</w:t>
            </w:r>
          </w:p>
        </w:tc>
      </w:tr>
      <w:tr w14:paraId="5164F4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150A943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项目代码</w:t>
            </w:r>
          </w:p>
        </w:tc>
        <w:tc>
          <w:tcPr>
            <w:tcW w:w="4273" w:type="pct"/>
            <w:gridSpan w:val="3"/>
            <w:noWrap w:val="0"/>
            <w:vAlign w:val="center"/>
          </w:tcPr>
          <w:p w14:paraId="23E41DB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eastAsia="zh-CN"/>
              </w:rPr>
              <w:t>2504-340463-04-01-197929</w:t>
            </w:r>
          </w:p>
        </w:tc>
      </w:tr>
      <w:tr w14:paraId="330969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397135E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建设单位</w:t>
            </w:r>
          </w:p>
          <w:p w14:paraId="5786614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联系人</w:t>
            </w:r>
          </w:p>
        </w:tc>
        <w:tc>
          <w:tcPr>
            <w:tcW w:w="1439" w:type="pct"/>
            <w:noWrap w:val="0"/>
            <w:vAlign w:val="center"/>
          </w:tcPr>
          <w:p w14:paraId="0C8ED41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eastAsia="zh-CN"/>
              </w:rPr>
              <w:t>木文明</w:t>
            </w:r>
          </w:p>
        </w:tc>
        <w:tc>
          <w:tcPr>
            <w:tcW w:w="1019" w:type="pct"/>
            <w:noWrap w:val="0"/>
            <w:vAlign w:val="center"/>
          </w:tcPr>
          <w:p w14:paraId="0110238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联系方式</w:t>
            </w:r>
          </w:p>
        </w:tc>
        <w:tc>
          <w:tcPr>
            <w:tcW w:w="1814" w:type="pct"/>
            <w:noWrap w:val="0"/>
            <w:vAlign w:val="center"/>
          </w:tcPr>
          <w:p w14:paraId="36521AE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15922302903</w:t>
            </w:r>
          </w:p>
        </w:tc>
      </w:tr>
      <w:tr w14:paraId="4B5464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26" w:type="pct"/>
            <w:noWrap w:val="0"/>
            <w:tcMar>
              <w:top w:w="16" w:type="dxa"/>
              <w:left w:w="16" w:type="dxa"/>
              <w:right w:w="16" w:type="dxa"/>
            </w:tcMar>
            <w:vAlign w:val="center"/>
          </w:tcPr>
          <w:p w14:paraId="1BEA65D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建设地点</w:t>
            </w:r>
          </w:p>
        </w:tc>
        <w:tc>
          <w:tcPr>
            <w:tcW w:w="4273" w:type="pct"/>
            <w:gridSpan w:val="3"/>
            <w:noWrap w:val="0"/>
            <w:vAlign w:val="center"/>
          </w:tcPr>
          <w:p w14:paraId="0478E6B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lang w:eastAsia="zh-CN"/>
              </w:rPr>
              <w:t>安徽省淮南市高新区合创产业园9号厂房</w:t>
            </w:r>
          </w:p>
        </w:tc>
      </w:tr>
      <w:tr w14:paraId="75CF84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14D7306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地理坐标</w:t>
            </w:r>
          </w:p>
        </w:tc>
        <w:tc>
          <w:tcPr>
            <w:tcW w:w="4273" w:type="pct"/>
            <w:gridSpan w:val="3"/>
            <w:noWrap w:val="0"/>
            <w:vAlign w:val="center"/>
          </w:tcPr>
          <w:p w14:paraId="530BDDE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经度116度58分40.422秒，纬度32度34分13.442秒</w:t>
            </w:r>
          </w:p>
        </w:tc>
      </w:tr>
      <w:tr w14:paraId="7CD46F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6E8E795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国民经济</w:t>
            </w:r>
          </w:p>
          <w:p w14:paraId="227D95D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行业类别</w:t>
            </w:r>
          </w:p>
        </w:tc>
        <w:tc>
          <w:tcPr>
            <w:tcW w:w="1439" w:type="pct"/>
            <w:noWrap w:val="0"/>
            <w:vAlign w:val="center"/>
          </w:tcPr>
          <w:p w14:paraId="75CE2E8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C3670</w:t>
            </w:r>
            <w:r>
              <w:rPr>
                <w:rFonts w:hint="default" w:ascii="Times New Roman" w:hAnsi="Times New Roman" w:cs="Times New Roman"/>
                <w:color w:val="auto"/>
                <w:sz w:val="24"/>
                <w:highlight w:val="none"/>
              </w:rPr>
              <w:t>汽车零部件及配件制造</w:t>
            </w:r>
          </w:p>
        </w:tc>
        <w:tc>
          <w:tcPr>
            <w:tcW w:w="1019" w:type="pct"/>
            <w:noWrap w:val="0"/>
            <w:vAlign w:val="center"/>
          </w:tcPr>
          <w:p w14:paraId="588E02D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bookmarkStart w:id="2" w:name="_Hlk49843745"/>
            <w:r>
              <w:rPr>
                <w:rFonts w:hint="default" w:ascii="Times New Roman" w:hAnsi="Times New Roman" w:cs="Times New Roman"/>
                <w:b/>
                <w:bCs/>
                <w:color w:val="auto"/>
                <w:sz w:val="24"/>
                <w:highlight w:val="none"/>
              </w:rPr>
              <w:t>建设项目</w:t>
            </w:r>
          </w:p>
          <w:p w14:paraId="40B8DA3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行业类别</w:t>
            </w:r>
            <w:bookmarkEnd w:id="2"/>
          </w:p>
        </w:tc>
        <w:tc>
          <w:tcPr>
            <w:tcW w:w="1814" w:type="pct"/>
            <w:noWrap w:val="0"/>
            <w:vAlign w:val="center"/>
          </w:tcPr>
          <w:p w14:paraId="2145D3FF">
            <w:pPr>
              <w:keepNext w:val="0"/>
              <w:keepLines w:val="0"/>
              <w:pageBreakBefore w:val="0"/>
              <w:widowControl w:val="0"/>
              <w:kinsoku/>
              <w:wordWrap/>
              <w:overflowPunct/>
              <w:topLinePunct/>
              <w:autoSpaceDE w:val="0"/>
              <w:autoSpaceDN/>
              <w:bidi w:val="0"/>
              <w:adjustRightInd w:val="0"/>
              <w:snapToGrid w:val="0"/>
              <w:spacing w:line="240" w:lineRule="auto"/>
              <w:ind w:left="240" w:leftChars="0" w:hanging="240" w:hangingChars="1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三十三</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汽车制造业36</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71汽车零部件及配件制造367中</w:t>
            </w:r>
            <w:r>
              <w:rPr>
                <w:rFonts w:hint="default" w:ascii="Times New Roman" w:hAnsi="Times New Roman" w:cs="Times New Roman"/>
                <w:color w:val="auto"/>
                <w:sz w:val="24"/>
                <w:highlight w:val="none"/>
              </w:rPr>
              <w:t>“其他（年用非溶剂型低VOCs含量涂料10吨以下的除外）”</w:t>
            </w:r>
          </w:p>
        </w:tc>
      </w:tr>
      <w:tr w14:paraId="727F6E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510AA99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建设性质</w:t>
            </w:r>
          </w:p>
        </w:tc>
        <w:tc>
          <w:tcPr>
            <w:tcW w:w="1439" w:type="pct"/>
            <w:noWrap w:val="0"/>
            <w:vAlign w:val="center"/>
          </w:tcPr>
          <w:p w14:paraId="7077B6DE">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52"/>
            </w:r>
            <w:r>
              <w:rPr>
                <w:rFonts w:hint="default" w:ascii="Times New Roman" w:hAnsi="Times New Roman" w:cs="Times New Roman"/>
                <w:color w:val="auto"/>
                <w:sz w:val="24"/>
                <w:highlight w:val="none"/>
              </w:rPr>
              <w:t>新建（迁建）</w:t>
            </w:r>
          </w:p>
          <w:p w14:paraId="45F4A2E1">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改建</w:t>
            </w:r>
          </w:p>
          <w:p w14:paraId="3FDB2325">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扩建</w:t>
            </w:r>
          </w:p>
          <w:p w14:paraId="1193621D">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技术改造</w:t>
            </w:r>
          </w:p>
        </w:tc>
        <w:tc>
          <w:tcPr>
            <w:tcW w:w="1019" w:type="pct"/>
            <w:noWrap w:val="0"/>
            <w:vAlign w:val="center"/>
          </w:tcPr>
          <w:p w14:paraId="397A300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建设项目</w:t>
            </w:r>
          </w:p>
          <w:p w14:paraId="35EAB60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申报情形</w:t>
            </w:r>
          </w:p>
        </w:tc>
        <w:tc>
          <w:tcPr>
            <w:tcW w:w="1814" w:type="pct"/>
            <w:noWrap w:val="0"/>
            <w:vAlign w:val="center"/>
          </w:tcPr>
          <w:p w14:paraId="0E5F4546">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52"/>
            </w:r>
            <w:r>
              <w:rPr>
                <w:rFonts w:hint="default" w:ascii="Times New Roman" w:hAnsi="Times New Roman" w:cs="Times New Roman"/>
                <w:color w:val="auto"/>
                <w:sz w:val="24"/>
                <w:highlight w:val="none"/>
              </w:rPr>
              <w:t>首次申报项目</w:t>
            </w:r>
          </w:p>
          <w:p w14:paraId="38AF16C3">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不予批准后再次申报项目</w:t>
            </w:r>
          </w:p>
          <w:p w14:paraId="027BBEDC">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超五年重新审核项目</w:t>
            </w:r>
          </w:p>
          <w:p w14:paraId="3E2A22AA">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重大变动重新报批项目</w:t>
            </w:r>
          </w:p>
        </w:tc>
      </w:tr>
      <w:tr w14:paraId="4A0DAA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14903E1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项目审批（核准/备案）部门</w:t>
            </w:r>
          </w:p>
        </w:tc>
        <w:tc>
          <w:tcPr>
            <w:tcW w:w="1439" w:type="pct"/>
            <w:noWrap w:val="0"/>
            <w:vAlign w:val="center"/>
          </w:tcPr>
          <w:p w14:paraId="6D73E76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淮南高新技术产业开发区管理委员会经济发展局</w:t>
            </w:r>
          </w:p>
        </w:tc>
        <w:tc>
          <w:tcPr>
            <w:tcW w:w="1019" w:type="pct"/>
            <w:noWrap w:val="0"/>
            <w:vAlign w:val="center"/>
          </w:tcPr>
          <w:p w14:paraId="199A71A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项目审批（核准/</w:t>
            </w:r>
          </w:p>
          <w:p w14:paraId="3CC4369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备案）文号</w:t>
            </w:r>
          </w:p>
        </w:tc>
        <w:tc>
          <w:tcPr>
            <w:tcW w:w="1814" w:type="pct"/>
            <w:noWrap w:val="0"/>
            <w:vAlign w:val="center"/>
          </w:tcPr>
          <w:p w14:paraId="18CF889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lang w:val="en-US" w:eastAsia="zh-CN"/>
              </w:rPr>
              <w:t>/</w:t>
            </w:r>
          </w:p>
        </w:tc>
      </w:tr>
      <w:tr w14:paraId="3EF8D6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1214567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总投资</w:t>
            </w:r>
          </w:p>
          <w:p w14:paraId="066C92B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（万元）</w:t>
            </w:r>
          </w:p>
        </w:tc>
        <w:tc>
          <w:tcPr>
            <w:tcW w:w="1439" w:type="pct"/>
            <w:noWrap w:val="0"/>
            <w:vAlign w:val="center"/>
          </w:tcPr>
          <w:p w14:paraId="15CBC18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10000</w:t>
            </w:r>
          </w:p>
        </w:tc>
        <w:tc>
          <w:tcPr>
            <w:tcW w:w="1019" w:type="pct"/>
            <w:noWrap w:val="0"/>
            <w:tcMar>
              <w:top w:w="16" w:type="dxa"/>
              <w:left w:w="16" w:type="dxa"/>
              <w:right w:w="16" w:type="dxa"/>
            </w:tcMar>
            <w:vAlign w:val="center"/>
          </w:tcPr>
          <w:p w14:paraId="6008D8E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环保投资（万元）</w:t>
            </w:r>
          </w:p>
        </w:tc>
        <w:tc>
          <w:tcPr>
            <w:tcW w:w="1814" w:type="pct"/>
            <w:noWrap w:val="0"/>
            <w:vAlign w:val="center"/>
          </w:tcPr>
          <w:p w14:paraId="651E759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150</w:t>
            </w:r>
          </w:p>
        </w:tc>
      </w:tr>
      <w:tr w14:paraId="3A68BF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68194B1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环保投资占比（%）</w:t>
            </w:r>
          </w:p>
        </w:tc>
        <w:tc>
          <w:tcPr>
            <w:tcW w:w="1439" w:type="pct"/>
            <w:noWrap w:val="0"/>
            <w:vAlign w:val="center"/>
          </w:tcPr>
          <w:p w14:paraId="6EEECF3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1.5</w:t>
            </w:r>
          </w:p>
        </w:tc>
        <w:tc>
          <w:tcPr>
            <w:tcW w:w="1019" w:type="pct"/>
            <w:noWrap w:val="0"/>
            <w:tcMar>
              <w:top w:w="16" w:type="dxa"/>
              <w:left w:w="16" w:type="dxa"/>
              <w:right w:w="16" w:type="dxa"/>
            </w:tcMar>
            <w:vAlign w:val="center"/>
          </w:tcPr>
          <w:p w14:paraId="64A37C0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施工工期</w:t>
            </w:r>
          </w:p>
        </w:tc>
        <w:tc>
          <w:tcPr>
            <w:tcW w:w="1814" w:type="pct"/>
            <w:noWrap w:val="0"/>
            <w:vAlign w:val="center"/>
          </w:tcPr>
          <w:p w14:paraId="2430496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3个月</w:t>
            </w:r>
          </w:p>
        </w:tc>
      </w:tr>
      <w:tr w14:paraId="7C87C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26" w:type="pct"/>
            <w:noWrap w:val="0"/>
            <w:tcMar>
              <w:top w:w="16" w:type="dxa"/>
              <w:left w:w="16" w:type="dxa"/>
              <w:right w:w="16" w:type="dxa"/>
            </w:tcMar>
            <w:vAlign w:val="center"/>
          </w:tcPr>
          <w:p w14:paraId="43BC8D8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是否开工建设</w:t>
            </w:r>
          </w:p>
        </w:tc>
        <w:tc>
          <w:tcPr>
            <w:tcW w:w="1439" w:type="pct"/>
            <w:noWrap w:val="0"/>
            <w:vAlign w:val="center"/>
          </w:tcPr>
          <w:p w14:paraId="6AE8545B">
            <w:pPr>
              <w:keepNext w:val="0"/>
              <w:keepLines w:val="0"/>
              <w:pageBreakBefore w:val="0"/>
              <w:widowControl w:val="0"/>
              <w:kinsoku/>
              <w:wordWrap/>
              <w:overflowPunct/>
              <w:topLinePunct/>
              <w:autoSpaceDE w:val="0"/>
              <w:autoSpaceDN/>
              <w:bidi w:val="0"/>
              <w:adjustRightInd w:val="0"/>
              <w:snapToGrid w:val="0"/>
              <w:spacing w:line="240" w:lineRule="auto"/>
              <w:ind w:left="0" w:leftChars="0"/>
              <w:rPr>
                <w:rFonts w:hint="default" w:ascii="Times New Roman" w:hAnsi="Times New Roman" w:cs="Times New Roman"/>
                <w:color w:val="auto"/>
                <w:sz w:val="24"/>
                <w:highlight w:val="none"/>
              </w:rPr>
            </w:pPr>
            <w:r>
              <w:rPr>
                <w:rFonts w:hint="default" w:ascii="Times New Roman" w:hAnsi="Times New Roman" w:cs="Times New Roman"/>
                <w:b/>
                <w:bCs/>
                <w:snapToGrid w:val="0"/>
                <w:color w:val="auto"/>
                <w:kern w:val="0"/>
                <w:sz w:val="24"/>
                <w:highlight w:val="none"/>
              </w:rPr>
              <w:sym w:font="Wingdings 2" w:char="0052"/>
            </w:r>
            <w:r>
              <w:rPr>
                <w:rFonts w:hint="default" w:ascii="Times New Roman" w:hAnsi="Times New Roman" w:cs="Times New Roman"/>
                <w:color w:val="auto"/>
                <w:sz w:val="24"/>
                <w:highlight w:val="none"/>
              </w:rPr>
              <w:t>否</w:t>
            </w:r>
          </w:p>
          <w:p w14:paraId="6D1378D0">
            <w:pPr>
              <w:keepNext w:val="0"/>
              <w:keepLines w:val="0"/>
              <w:pageBreakBefore w:val="0"/>
              <w:widowControl w:val="0"/>
              <w:kinsoku/>
              <w:wordWrap/>
              <w:overflowPunct/>
              <w:topLinePunct/>
              <w:autoSpaceDE w:val="0"/>
              <w:autoSpaceDN/>
              <w:bidi w:val="0"/>
              <w:adjustRightInd w:val="0"/>
              <w:snapToGrid w:val="0"/>
              <w:spacing w:line="240" w:lineRule="auto"/>
              <w:ind w:left="0" w:leftChars="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是：</w:t>
            </w:r>
            <w:r>
              <w:rPr>
                <w:rFonts w:hint="default" w:ascii="Times New Roman" w:hAnsi="Times New Roman" w:cs="Times New Roman"/>
                <w:color w:val="auto"/>
                <w:sz w:val="24"/>
                <w:highlight w:val="none"/>
                <w:u w:val="single"/>
              </w:rPr>
              <w:t xml:space="preserve">             </w:t>
            </w:r>
          </w:p>
        </w:tc>
        <w:tc>
          <w:tcPr>
            <w:tcW w:w="1019" w:type="pct"/>
            <w:noWrap w:val="0"/>
            <w:tcMar>
              <w:top w:w="16" w:type="dxa"/>
              <w:left w:w="16" w:type="dxa"/>
              <w:right w:w="16" w:type="dxa"/>
            </w:tcMar>
            <w:vAlign w:val="center"/>
          </w:tcPr>
          <w:p w14:paraId="7E46E65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pacing w:val="-6"/>
                <w:sz w:val="24"/>
                <w:highlight w:val="none"/>
              </w:rPr>
              <w:t>用地面积（m</w:t>
            </w:r>
            <w:r>
              <w:rPr>
                <w:rFonts w:hint="default" w:ascii="Times New Roman" w:hAnsi="Times New Roman" w:cs="Times New Roman"/>
                <w:b/>
                <w:bCs/>
                <w:color w:val="auto"/>
                <w:spacing w:val="-6"/>
                <w:sz w:val="24"/>
                <w:highlight w:val="none"/>
                <w:vertAlign w:val="superscript"/>
              </w:rPr>
              <w:t>2</w:t>
            </w:r>
            <w:r>
              <w:rPr>
                <w:rFonts w:hint="default" w:ascii="Times New Roman" w:hAnsi="Times New Roman" w:cs="Times New Roman"/>
                <w:b/>
                <w:bCs/>
                <w:color w:val="auto"/>
                <w:spacing w:val="-6"/>
                <w:sz w:val="24"/>
                <w:highlight w:val="none"/>
              </w:rPr>
              <w:t>）</w:t>
            </w:r>
          </w:p>
        </w:tc>
        <w:tc>
          <w:tcPr>
            <w:tcW w:w="1814" w:type="pct"/>
            <w:noWrap w:val="0"/>
            <w:vAlign w:val="center"/>
          </w:tcPr>
          <w:p w14:paraId="09B81F5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10000</w:t>
            </w:r>
          </w:p>
        </w:tc>
      </w:tr>
      <w:tr w14:paraId="3CB4A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26" w:type="pct"/>
            <w:noWrap w:val="0"/>
            <w:vAlign w:val="center"/>
          </w:tcPr>
          <w:p w14:paraId="42D526C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专项评价</w:t>
            </w:r>
          </w:p>
          <w:p w14:paraId="2049872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设置情况</w:t>
            </w:r>
          </w:p>
        </w:tc>
        <w:tc>
          <w:tcPr>
            <w:tcW w:w="4273" w:type="pct"/>
            <w:gridSpan w:val="3"/>
            <w:noWrap w:val="0"/>
            <w:vAlign w:val="center"/>
          </w:tcPr>
          <w:p w14:paraId="70922B2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本项目排放甲醛等有毒有害大气污染物，厂界外500m范围内存在居民区等大气环境保护目标，需编制大气环境影响专项评价</w:t>
            </w:r>
          </w:p>
        </w:tc>
      </w:tr>
      <w:tr w14:paraId="5812CE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26" w:type="pct"/>
            <w:noWrap w:val="0"/>
            <w:vAlign w:val="center"/>
          </w:tcPr>
          <w:p w14:paraId="5CD0369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sz w:val="24"/>
                <w:highlight w:val="none"/>
              </w:rPr>
              <w:t>规划情况</w:t>
            </w:r>
          </w:p>
        </w:tc>
        <w:tc>
          <w:tcPr>
            <w:tcW w:w="4273" w:type="pct"/>
            <w:gridSpan w:val="3"/>
            <w:noWrap w:val="0"/>
            <w:vAlign w:val="center"/>
          </w:tcPr>
          <w:p w14:paraId="4F2B5091">
            <w:pPr>
              <w:keepNext w:val="0"/>
              <w:keepLines w:val="0"/>
              <w:pageBreakBefore w:val="0"/>
              <w:widowControl w:val="0"/>
              <w:kinsoku/>
              <w:wordWrap/>
              <w:overflowPunct/>
              <w:topLinePunct/>
              <w:autoSpaceDE w:val="0"/>
              <w:autoSpaceDN/>
              <w:bidi w:val="0"/>
              <w:adjustRightInd w:val="0"/>
              <w:snapToGrid w:val="0"/>
              <w:spacing w:line="360" w:lineRule="auto"/>
              <w:ind w:left="0" w:leftChars="0"/>
              <w:rPr>
                <w:rFonts w:hint="default" w:ascii="Times New Roman" w:hAnsi="Times New Roman" w:cs="Times New Roman"/>
                <w:color w:val="auto"/>
                <w:kern w:val="0"/>
                <w:sz w:val="24"/>
                <w:highlight w:val="none"/>
                <w:lang w:eastAsia="zh-CN"/>
              </w:rPr>
            </w:pPr>
            <w:r>
              <w:rPr>
                <w:rFonts w:hint="default" w:ascii="Times New Roman" w:hAnsi="Times New Roman" w:cs="Times New Roman"/>
                <w:b/>
                <w:bCs/>
                <w:color w:val="auto"/>
                <w:kern w:val="0"/>
                <w:sz w:val="24"/>
                <w:highlight w:val="none"/>
              </w:rPr>
              <w:t>规划名称</w:t>
            </w:r>
            <w:r>
              <w:rPr>
                <w:rFonts w:hint="default" w:ascii="Times New Roman" w:hAnsi="Times New Roman" w:cs="Times New Roman"/>
                <w:b/>
                <w:bCs/>
                <w:color w:val="auto"/>
                <w:kern w:val="0"/>
                <w:sz w:val="24"/>
                <w:highlight w:val="none"/>
                <w:lang w:eastAsia="zh-CN"/>
              </w:rPr>
              <w:t>：</w:t>
            </w:r>
            <w:r>
              <w:rPr>
                <w:rFonts w:hint="default" w:ascii="Times New Roman" w:hAnsi="Times New Roman" w:eastAsia="宋体" w:cs="Times New Roman"/>
                <w:b w:val="0"/>
                <w:bCs w:val="0"/>
                <w:color w:val="auto"/>
                <w:sz w:val="24"/>
                <w:highlight w:val="none"/>
                <w:lang w:val="en-US" w:eastAsia="zh-CN"/>
              </w:rPr>
              <w:t>《淮南高新技术产业开发区总体发展规划（2024-2035年）》</w:t>
            </w:r>
          </w:p>
          <w:p w14:paraId="0F2D79F4">
            <w:pPr>
              <w:keepNext w:val="0"/>
              <w:keepLines w:val="0"/>
              <w:pageBreakBefore w:val="0"/>
              <w:widowControl w:val="0"/>
              <w:kinsoku/>
              <w:wordWrap/>
              <w:overflowPunct/>
              <w:topLinePunct/>
              <w:autoSpaceDE w:val="0"/>
              <w:autoSpaceDN/>
              <w:bidi w:val="0"/>
              <w:adjustRightInd w:val="0"/>
              <w:snapToGrid w:val="0"/>
              <w:spacing w:line="360" w:lineRule="auto"/>
              <w:ind w:left="0" w:leftChars="0"/>
              <w:rPr>
                <w:rFonts w:hint="default" w:ascii="Times New Roman" w:hAnsi="Times New Roman" w:eastAsia="宋体" w:cs="Times New Roman"/>
                <w:color w:val="auto"/>
                <w:kern w:val="0"/>
                <w:sz w:val="24"/>
                <w:highlight w:val="none"/>
                <w:lang w:eastAsia="zh-CN"/>
              </w:rPr>
            </w:pPr>
            <w:r>
              <w:rPr>
                <w:rFonts w:hint="default" w:ascii="Times New Roman" w:hAnsi="Times New Roman" w:cs="Times New Roman"/>
                <w:b/>
                <w:bCs/>
                <w:color w:val="auto"/>
                <w:kern w:val="0"/>
                <w:sz w:val="24"/>
                <w:highlight w:val="none"/>
              </w:rPr>
              <w:t>审批机关</w:t>
            </w:r>
            <w:r>
              <w:rPr>
                <w:rFonts w:hint="default" w:ascii="Times New Roman" w:hAnsi="Times New Roman" w:cs="Times New Roman"/>
                <w:b/>
                <w:bCs/>
                <w:color w:val="auto"/>
                <w:kern w:val="0"/>
                <w:sz w:val="24"/>
                <w:highlight w:val="none"/>
                <w:lang w:eastAsia="zh-CN"/>
              </w:rPr>
              <w:t>：</w:t>
            </w:r>
            <w:r>
              <w:rPr>
                <w:rFonts w:hint="default" w:ascii="Times New Roman" w:hAnsi="Times New Roman" w:cs="Times New Roman"/>
                <w:b w:val="0"/>
                <w:bCs w:val="0"/>
                <w:color w:val="auto"/>
                <w:kern w:val="0"/>
                <w:sz w:val="24"/>
                <w:highlight w:val="none"/>
                <w:lang w:val="en-US" w:eastAsia="zh-CN"/>
              </w:rPr>
              <w:t>/</w:t>
            </w:r>
          </w:p>
          <w:p w14:paraId="32F0A93E">
            <w:pPr>
              <w:keepNext w:val="0"/>
              <w:keepLines w:val="0"/>
              <w:pageBreakBefore w:val="0"/>
              <w:widowControl w:val="0"/>
              <w:kinsoku/>
              <w:wordWrap/>
              <w:overflowPunct/>
              <w:topLinePunct/>
              <w:autoSpaceDE w:val="0"/>
              <w:autoSpaceDN/>
              <w:bidi w:val="0"/>
              <w:adjustRightInd w:val="0"/>
              <w:snapToGrid w:val="0"/>
              <w:spacing w:line="360" w:lineRule="auto"/>
              <w:ind w:left="0" w:leftChars="0"/>
              <w:rPr>
                <w:rFonts w:hint="default" w:ascii="Times New Roman" w:hAnsi="Times New Roman" w:cs="Times New Roman"/>
                <w:color w:val="auto"/>
                <w:sz w:val="24"/>
                <w:highlight w:val="none"/>
                <w:lang w:val="en-US"/>
              </w:rPr>
            </w:pPr>
            <w:r>
              <w:rPr>
                <w:rFonts w:hint="default" w:ascii="Times New Roman" w:hAnsi="Times New Roman" w:cs="Times New Roman"/>
                <w:b/>
                <w:bCs/>
                <w:color w:val="auto"/>
                <w:kern w:val="0"/>
                <w:sz w:val="24"/>
                <w:highlight w:val="none"/>
              </w:rPr>
              <w:t>审批文件名称及文号</w:t>
            </w:r>
            <w:r>
              <w:rPr>
                <w:rFonts w:hint="default" w:ascii="Times New Roman" w:hAnsi="Times New Roman" w:cs="Times New Roman"/>
                <w:b/>
                <w:bCs/>
                <w:color w:val="auto"/>
                <w:kern w:val="0"/>
                <w:sz w:val="24"/>
                <w:highlight w:val="none"/>
                <w:lang w:eastAsia="zh-CN"/>
              </w:rPr>
              <w:t>：</w:t>
            </w:r>
            <w:r>
              <w:rPr>
                <w:rFonts w:hint="default" w:ascii="Times New Roman" w:hAnsi="Times New Roman" w:cs="Times New Roman"/>
                <w:b w:val="0"/>
                <w:bCs w:val="0"/>
                <w:color w:val="auto"/>
                <w:kern w:val="0"/>
                <w:sz w:val="24"/>
                <w:highlight w:val="none"/>
                <w:lang w:val="en-US" w:eastAsia="zh-CN"/>
              </w:rPr>
              <w:t>/</w:t>
            </w:r>
          </w:p>
        </w:tc>
      </w:tr>
      <w:tr w14:paraId="641A90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26" w:type="pct"/>
            <w:noWrap w:val="0"/>
            <w:vAlign w:val="center"/>
          </w:tcPr>
          <w:p w14:paraId="30F634B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sz w:val="24"/>
                <w:highlight w:val="none"/>
              </w:rPr>
              <w:t>规划环境影响评价情况</w:t>
            </w:r>
          </w:p>
        </w:tc>
        <w:tc>
          <w:tcPr>
            <w:tcW w:w="4273" w:type="pct"/>
            <w:gridSpan w:val="3"/>
            <w:noWrap w:val="0"/>
            <w:vAlign w:val="center"/>
          </w:tcPr>
          <w:p w14:paraId="6ACE5EFF">
            <w:pPr>
              <w:keepNext w:val="0"/>
              <w:keepLines w:val="0"/>
              <w:pageBreakBefore w:val="0"/>
              <w:widowControl w:val="0"/>
              <w:kinsoku/>
              <w:wordWrap/>
              <w:overflowPunct/>
              <w:topLinePunct/>
              <w:autoSpaceDE w:val="0"/>
              <w:autoSpaceDN/>
              <w:bidi w:val="0"/>
              <w:adjustRightInd w:val="0"/>
              <w:snapToGrid w:val="0"/>
              <w:spacing w:line="360" w:lineRule="auto"/>
              <w:ind w:left="0" w:leftChars="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b/>
                <w:bCs/>
                <w:color w:val="auto"/>
                <w:sz w:val="24"/>
                <w:highlight w:val="none"/>
              </w:rPr>
              <w:t>规划环境影响评价名称：</w:t>
            </w:r>
            <w:r>
              <w:rPr>
                <w:rFonts w:hint="default" w:ascii="Times New Roman" w:hAnsi="Times New Roman" w:eastAsia="宋体" w:cs="Times New Roman"/>
                <w:b w:val="0"/>
                <w:bCs w:val="0"/>
                <w:color w:val="auto"/>
                <w:sz w:val="24"/>
                <w:highlight w:val="none"/>
                <w:lang w:val="en-US" w:eastAsia="zh-CN"/>
              </w:rPr>
              <w:t>《淮南高新技术产业开发区总体发展规划（2024-2035年）（主导产业变更）环境影响报告</w:t>
            </w:r>
            <w:r>
              <w:rPr>
                <w:rFonts w:hint="default" w:ascii="Times New Roman" w:hAnsi="Times New Roman" w:cs="Times New Roman"/>
                <w:b w:val="0"/>
                <w:bCs w:val="0"/>
                <w:color w:val="auto"/>
                <w:sz w:val="24"/>
                <w:highlight w:val="none"/>
                <w:lang w:val="en-US" w:eastAsia="zh-CN"/>
              </w:rPr>
              <w:t>书</w:t>
            </w:r>
            <w:r>
              <w:rPr>
                <w:rFonts w:hint="default" w:ascii="Times New Roman" w:hAnsi="Times New Roman" w:eastAsia="宋体" w:cs="Times New Roman"/>
                <w:b w:val="0"/>
                <w:bCs w:val="0"/>
                <w:color w:val="auto"/>
                <w:sz w:val="24"/>
                <w:highlight w:val="none"/>
                <w:lang w:val="en-US" w:eastAsia="zh-CN"/>
              </w:rPr>
              <w:t>》</w:t>
            </w:r>
          </w:p>
          <w:p w14:paraId="64E47A35">
            <w:pPr>
              <w:keepNext w:val="0"/>
              <w:keepLines w:val="0"/>
              <w:pageBreakBefore w:val="0"/>
              <w:widowControl w:val="0"/>
              <w:kinsoku/>
              <w:wordWrap/>
              <w:overflowPunct/>
              <w:topLinePunct/>
              <w:autoSpaceDE w:val="0"/>
              <w:autoSpaceDN/>
              <w:bidi w:val="0"/>
              <w:adjustRightInd w:val="0"/>
              <w:snapToGrid w:val="0"/>
              <w:spacing w:line="360" w:lineRule="auto"/>
              <w:ind w:left="0" w:leftChars="0"/>
              <w:jc w:val="both"/>
              <w:rPr>
                <w:rFonts w:hint="default" w:ascii="Times New Roman" w:hAnsi="Times New Roman" w:eastAsia="宋体" w:cs="Times New Roman"/>
                <w:b w:val="0"/>
                <w:bCs w:val="0"/>
                <w:color w:val="auto"/>
                <w:sz w:val="24"/>
                <w:highlight w:val="none"/>
                <w:lang w:eastAsia="zh-CN"/>
              </w:rPr>
            </w:pPr>
            <w:r>
              <w:rPr>
                <w:rFonts w:hint="default" w:ascii="Times New Roman" w:hAnsi="Times New Roman" w:cs="Times New Roman"/>
                <w:b/>
                <w:bCs/>
                <w:color w:val="auto"/>
                <w:sz w:val="24"/>
                <w:highlight w:val="none"/>
              </w:rPr>
              <w:t>审查机关：</w:t>
            </w:r>
            <w:r>
              <w:rPr>
                <w:rFonts w:hint="default" w:ascii="Times New Roman" w:hAnsi="Times New Roman" w:eastAsia="宋体" w:cs="Times New Roman"/>
                <w:b w:val="0"/>
                <w:bCs w:val="0"/>
                <w:color w:val="auto"/>
                <w:sz w:val="24"/>
                <w:highlight w:val="none"/>
                <w:lang w:val="en-US" w:eastAsia="zh-CN"/>
              </w:rPr>
              <w:t>淮南市</w:t>
            </w:r>
            <w:r>
              <w:rPr>
                <w:rFonts w:hint="default" w:ascii="Times New Roman" w:hAnsi="Times New Roman" w:cs="Times New Roman"/>
                <w:b w:val="0"/>
                <w:bCs w:val="0"/>
                <w:color w:val="auto"/>
                <w:sz w:val="24"/>
                <w:highlight w:val="none"/>
                <w:lang w:val="en-US" w:eastAsia="zh-CN"/>
              </w:rPr>
              <w:t>生态</w:t>
            </w:r>
            <w:r>
              <w:rPr>
                <w:rFonts w:hint="default" w:ascii="Times New Roman" w:hAnsi="Times New Roman" w:eastAsia="宋体" w:cs="Times New Roman"/>
                <w:b w:val="0"/>
                <w:bCs w:val="0"/>
                <w:color w:val="auto"/>
                <w:sz w:val="24"/>
                <w:highlight w:val="none"/>
                <w:lang w:val="en-US" w:eastAsia="zh-CN"/>
              </w:rPr>
              <w:t>环境局</w:t>
            </w:r>
          </w:p>
          <w:p w14:paraId="05CAEB05">
            <w:pPr>
              <w:keepNext w:val="0"/>
              <w:keepLines w:val="0"/>
              <w:pageBreakBefore w:val="0"/>
              <w:widowControl w:val="0"/>
              <w:kinsoku/>
              <w:wordWrap/>
              <w:overflowPunct/>
              <w:topLinePunct/>
              <w:autoSpaceDE w:val="0"/>
              <w:autoSpaceDN/>
              <w:bidi w:val="0"/>
              <w:adjustRightInd w:val="0"/>
              <w:snapToGrid w:val="0"/>
              <w:spacing w:line="360" w:lineRule="auto"/>
              <w:ind w:left="0" w:leftChars="0"/>
              <w:jc w:val="both"/>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审查文件名称：</w:t>
            </w:r>
            <w:r>
              <w:rPr>
                <w:rFonts w:hint="default" w:ascii="Times New Roman" w:hAnsi="Times New Roman" w:eastAsia="宋体" w:cs="Times New Roman"/>
                <w:b w:val="0"/>
                <w:bCs w:val="0"/>
                <w:color w:val="auto"/>
                <w:sz w:val="24"/>
                <w:highlight w:val="none"/>
                <w:lang w:val="en-US" w:eastAsia="zh-CN"/>
              </w:rPr>
              <w:t>关于印发《淮南高新技术产业开发区总体发展规划（2024-2035年）（主导产业变更）环境影响报告书》审查意见的函</w:t>
            </w:r>
          </w:p>
          <w:p w14:paraId="6FC87DD9">
            <w:pPr>
              <w:keepNext w:val="0"/>
              <w:keepLines w:val="0"/>
              <w:pageBreakBefore w:val="0"/>
              <w:widowControl w:val="0"/>
              <w:kinsoku/>
              <w:wordWrap/>
              <w:overflowPunct/>
              <w:topLinePunct/>
              <w:autoSpaceDE w:val="0"/>
              <w:autoSpaceDN/>
              <w:bidi w:val="0"/>
              <w:adjustRightInd w:val="0"/>
              <w:snapToGrid w:val="0"/>
              <w:spacing w:line="360" w:lineRule="auto"/>
              <w:ind w:left="0" w:leftChars="0"/>
              <w:jc w:val="both"/>
              <w:rPr>
                <w:rFonts w:hint="default" w:ascii="Times New Roman" w:hAnsi="Times New Roman" w:eastAsia="宋体" w:cs="Times New Roman"/>
                <w:color w:val="auto"/>
                <w:sz w:val="24"/>
                <w:highlight w:val="none"/>
                <w:lang w:eastAsia="zh-CN"/>
              </w:rPr>
            </w:pPr>
            <w:r>
              <w:rPr>
                <w:rFonts w:hint="default" w:ascii="Times New Roman" w:hAnsi="Times New Roman" w:cs="Times New Roman"/>
                <w:b/>
                <w:bCs/>
                <w:color w:val="auto"/>
                <w:sz w:val="24"/>
                <w:highlight w:val="none"/>
              </w:rPr>
              <w:t>审查文件名称及文号：</w:t>
            </w:r>
            <w:r>
              <w:rPr>
                <w:rFonts w:hint="default" w:ascii="Times New Roman" w:hAnsi="Times New Roman" w:cs="Times New Roman"/>
                <w:b w:val="0"/>
                <w:bCs w:val="0"/>
                <w:color w:val="auto"/>
                <w:sz w:val="24"/>
                <w:highlight w:val="none"/>
                <w:lang w:val="en-US" w:eastAsia="zh-CN"/>
              </w:rPr>
              <w:t>淮环函〔2024〕43号</w:t>
            </w:r>
          </w:p>
        </w:tc>
      </w:tr>
      <w:tr w14:paraId="072342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26" w:type="pct"/>
            <w:noWrap w:val="0"/>
            <w:vAlign w:val="center"/>
          </w:tcPr>
          <w:p w14:paraId="323D1E8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kern w:val="0"/>
                <w:sz w:val="24"/>
                <w:highlight w:val="none"/>
              </w:rPr>
            </w:pPr>
            <w:r>
              <w:rPr>
                <w:rFonts w:hint="default" w:ascii="Times New Roman" w:hAnsi="Times New Roman" w:cs="Times New Roman"/>
                <w:b/>
                <w:bCs/>
                <w:color w:val="auto"/>
                <w:kern w:val="0"/>
                <w:sz w:val="24"/>
                <w:highlight w:val="none"/>
              </w:rPr>
              <w:t>规划及规划环境影响评价符合性分析</w:t>
            </w:r>
          </w:p>
        </w:tc>
        <w:tc>
          <w:tcPr>
            <w:tcW w:w="4273" w:type="pct"/>
            <w:gridSpan w:val="3"/>
            <w:noWrap w:val="0"/>
            <w:vAlign w:val="center"/>
          </w:tcPr>
          <w:p w14:paraId="64AA0BCC">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1、与</w:t>
            </w:r>
            <w:r>
              <w:rPr>
                <w:rFonts w:hint="default" w:ascii="Times New Roman" w:hAnsi="Times New Roman" w:eastAsia="宋体" w:cs="Times New Roman"/>
                <w:b/>
                <w:bCs/>
                <w:color w:val="auto"/>
                <w:sz w:val="24"/>
                <w:highlight w:val="none"/>
                <w:lang w:val="en-US" w:eastAsia="zh-CN"/>
              </w:rPr>
              <w:t>《淮南高新技术产业开发区总体发展规划（2024-2035年）》</w:t>
            </w:r>
            <w:r>
              <w:rPr>
                <w:rFonts w:hint="default" w:ascii="Times New Roman" w:hAnsi="Times New Roman" w:cs="Times New Roman"/>
                <w:b/>
                <w:bCs/>
                <w:color w:val="auto"/>
                <w:sz w:val="24"/>
                <w:highlight w:val="none"/>
              </w:rPr>
              <w:t>相符性</w:t>
            </w:r>
          </w:p>
          <w:p w14:paraId="62ACD8C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与</w:t>
            </w:r>
            <w:r>
              <w:rPr>
                <w:rFonts w:hint="default" w:ascii="Times New Roman" w:hAnsi="Times New Roman" w:cs="Times New Roman"/>
                <w:color w:val="auto"/>
                <w:sz w:val="24"/>
                <w:highlight w:val="none"/>
                <w:lang w:eastAsia="zh-CN"/>
              </w:rPr>
              <w:t>用地性质相符性</w:t>
            </w:r>
          </w:p>
          <w:p w14:paraId="3D9CB6F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根据</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淮南高新技术产业开发区总体规划</w:t>
            </w:r>
            <w:r>
              <w:rPr>
                <w:rFonts w:hint="default" w:ascii="Times New Roman" w:hAnsi="Times New Roman" w:cs="Times New Roman"/>
                <w:color w:val="auto"/>
                <w:sz w:val="24"/>
                <w:highlight w:val="none"/>
                <w:lang w:eastAsia="zh-CN"/>
              </w:rPr>
              <w:t>（20</w:t>
            </w:r>
            <w:r>
              <w:rPr>
                <w:rFonts w:hint="default" w:ascii="Times New Roman" w:hAnsi="Times New Roman" w:cs="Times New Roman"/>
                <w:color w:val="auto"/>
                <w:sz w:val="24"/>
                <w:highlight w:val="none"/>
                <w:lang w:val="en-US" w:eastAsia="zh-CN"/>
              </w:rPr>
              <w:t>24</w:t>
            </w:r>
            <w:r>
              <w:rPr>
                <w:rFonts w:hint="default" w:ascii="Times New Roman" w:hAnsi="Times New Roman" w:cs="Times New Roman"/>
                <w:color w:val="auto"/>
                <w:sz w:val="24"/>
                <w:highlight w:val="none"/>
                <w:lang w:eastAsia="zh-CN"/>
              </w:rPr>
              <w:t>-2035年）</w:t>
            </w:r>
            <w:r>
              <w:rPr>
                <w:rFonts w:hint="default" w:ascii="Times New Roman" w:hAnsi="Times New Roman" w:cs="Times New Roman"/>
                <w:color w:val="auto"/>
                <w:sz w:val="24"/>
                <w:highlight w:val="none"/>
                <w:lang w:val="en-US" w:eastAsia="zh-CN"/>
              </w:rPr>
              <w:t>（主导产业变更）环境影响报告书</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中的中心城区土地使用规划图</w:t>
            </w:r>
            <w:r>
              <w:rPr>
                <w:rFonts w:hint="eastAsia" w:ascii="Times New Roman" w:hAnsi="Times New Roman" w:cs="Times New Roman"/>
                <w:color w:val="auto"/>
                <w:sz w:val="24"/>
                <w:highlight w:val="none"/>
                <w:lang w:val="en-US" w:eastAsia="zh-CN"/>
              </w:rPr>
              <w:t>以及</w:t>
            </w:r>
            <w:r>
              <w:rPr>
                <w:rFonts w:hint="default" w:ascii="Times New Roman" w:hAnsi="Times New Roman" w:cs="Times New Roman"/>
                <w:color w:val="auto"/>
                <w:sz w:val="24"/>
                <w:highlight w:val="none"/>
                <w:lang w:val="en-US" w:eastAsia="zh-CN"/>
              </w:rPr>
              <w:t>建设项目投资协议</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用地</w:t>
            </w:r>
            <w:r>
              <w:rPr>
                <w:rFonts w:hint="default" w:ascii="Times New Roman" w:hAnsi="Times New Roman" w:cs="Times New Roman"/>
                <w:color w:val="auto"/>
                <w:sz w:val="24"/>
                <w:highlight w:val="none"/>
                <w:lang w:eastAsia="zh-CN"/>
              </w:rPr>
              <w:t>性质</w:t>
            </w:r>
            <w:r>
              <w:rPr>
                <w:rFonts w:hint="default" w:ascii="Times New Roman" w:hAnsi="Times New Roman" w:cs="Times New Roman"/>
                <w:color w:val="auto"/>
                <w:sz w:val="24"/>
                <w:highlight w:val="none"/>
              </w:rPr>
              <w:t>为工业用地。</w:t>
            </w:r>
          </w:p>
          <w:p w14:paraId="7C3E231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rPr>
              <w:t>因此，用地性质符合规划要求。</w:t>
            </w:r>
          </w:p>
          <w:p w14:paraId="5F7544B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与</w:t>
            </w:r>
            <w:r>
              <w:rPr>
                <w:rFonts w:hint="default" w:ascii="Times New Roman" w:hAnsi="Times New Roman" w:cs="Times New Roman"/>
                <w:color w:val="auto"/>
                <w:sz w:val="24"/>
                <w:highlight w:val="none"/>
                <w:lang w:eastAsia="zh-CN"/>
              </w:rPr>
              <w:t>主导产业</w:t>
            </w:r>
            <w:r>
              <w:rPr>
                <w:rFonts w:hint="default" w:ascii="Times New Roman" w:hAnsi="Times New Roman" w:cs="Times New Roman"/>
                <w:color w:val="auto"/>
                <w:sz w:val="24"/>
                <w:highlight w:val="none"/>
                <w:lang w:val="en-US" w:eastAsia="zh-CN"/>
              </w:rPr>
              <w:t>及功能布局</w:t>
            </w:r>
            <w:r>
              <w:rPr>
                <w:rFonts w:hint="default" w:ascii="Times New Roman" w:hAnsi="Times New Roman" w:cs="Times New Roman"/>
                <w:color w:val="auto"/>
                <w:sz w:val="24"/>
                <w:highlight w:val="none"/>
                <w:lang w:eastAsia="zh-CN"/>
              </w:rPr>
              <w:t>相符性</w:t>
            </w:r>
          </w:p>
          <w:p w14:paraId="4AD6BC8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淮南高新技术产业开发区总体发展规划（2024-2035）（主导产业变更）环境影响报告书》，规划范围包含区块一和区块二两部分。区块一东至淮河大道，南至泰丰大街，西至高压走廊，北至春申大街，面积为5.15平方公里。区块二东至李园路，南至102省道，西至新河排洪渠，北至规划南纬一路，面积为0.49平方公里。</w:t>
            </w:r>
          </w:p>
          <w:p w14:paraId="6A54E42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产业定位：汽车制造、新型显示、煤炭清洁利用。</w:t>
            </w:r>
          </w:p>
          <w:p w14:paraId="0A2DED2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rPr>
            </w:pPr>
            <w:r>
              <w:rPr>
                <w:rFonts w:hint="default" w:ascii="Times New Roman" w:hAnsi="Times New Roman" w:cs="Times New Roman"/>
                <w:color w:val="auto"/>
                <w:sz w:val="24"/>
                <w:highlight w:val="none"/>
                <w:lang w:val="en-US" w:eastAsia="zh-CN"/>
              </w:rPr>
              <w:t>根据《淮南高新技术产业开发区总体发展规划（2024-2035）（主导产业变更）》中淮南高新技术产业开发区功能布局规划图，</w:t>
            </w:r>
            <w:r>
              <w:rPr>
                <w:rFonts w:hint="eastAsia" w:ascii="Times New Roman" w:hAnsi="Times New Roman" w:cs="Times New Roman"/>
                <w:color w:val="auto"/>
                <w:sz w:val="24"/>
                <w:highlight w:val="none"/>
                <w:lang w:val="en-US" w:eastAsia="zh-CN"/>
              </w:rPr>
              <w:t>安徽博越汽车安全系统有限公司</w:t>
            </w:r>
            <w:r>
              <w:rPr>
                <w:rFonts w:hint="default" w:ascii="Times New Roman" w:hAnsi="Times New Roman" w:cs="Times New Roman"/>
                <w:color w:val="auto"/>
                <w:sz w:val="24"/>
                <w:highlight w:val="none"/>
                <w:lang w:val="en-US" w:eastAsia="zh-CN"/>
              </w:rPr>
              <w:t>的</w:t>
            </w:r>
            <w:r>
              <w:rPr>
                <w:rFonts w:hint="eastAsia" w:ascii="Times New Roman" w:hAnsi="Times New Roman" w:cs="Times New Roman"/>
                <w:color w:val="auto"/>
                <w:sz w:val="24"/>
                <w:highlight w:val="none"/>
                <w:lang w:val="en-US" w:eastAsia="zh-CN"/>
              </w:rPr>
              <w:t>汽车刹车片生产基地项目</w:t>
            </w:r>
            <w:r>
              <w:rPr>
                <w:rFonts w:hint="default" w:ascii="Times New Roman" w:hAnsi="Times New Roman" w:cs="Times New Roman"/>
                <w:color w:val="auto"/>
                <w:sz w:val="24"/>
                <w:highlight w:val="none"/>
                <w:lang w:val="en-US" w:eastAsia="zh-CN"/>
              </w:rPr>
              <w:t>位于区块一的汽车制造产业园，该</w:t>
            </w:r>
            <w:r>
              <w:rPr>
                <w:rFonts w:hint="eastAsia" w:ascii="Times New Roman" w:hAnsi="Times New Roman" w:cs="Times New Roman"/>
                <w:color w:val="auto"/>
                <w:sz w:val="24"/>
                <w:highlight w:val="none"/>
                <w:lang w:val="en-US" w:eastAsia="zh-CN"/>
              </w:rPr>
              <w:t>产业园</w:t>
            </w:r>
            <w:r>
              <w:rPr>
                <w:rFonts w:hint="default" w:ascii="Times New Roman" w:hAnsi="Times New Roman" w:cs="Times New Roman"/>
                <w:color w:val="auto"/>
                <w:sz w:val="24"/>
                <w:highlight w:val="none"/>
                <w:lang w:val="en-US" w:eastAsia="zh-CN"/>
              </w:rPr>
              <w:t>围绕整车制造、核心零部件、汽车智能化等方向，强化项目建设和招引，以点带面推动汽车制造产业集群发展。</w:t>
            </w:r>
            <w:r>
              <w:rPr>
                <w:rFonts w:hint="eastAsia"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lang w:val="en-US" w:eastAsia="zh-CN"/>
              </w:rPr>
              <w:t>属于C3670</w:t>
            </w:r>
            <w:r>
              <w:rPr>
                <w:rFonts w:hint="default" w:ascii="Times New Roman" w:hAnsi="Times New Roman" w:cs="Times New Roman"/>
                <w:color w:val="auto"/>
                <w:sz w:val="24"/>
                <w:highlight w:val="none"/>
              </w:rPr>
              <w:t>汽车零部件及配件制造，</w:t>
            </w:r>
            <w:r>
              <w:rPr>
                <w:rFonts w:hint="default" w:ascii="Times New Roman" w:hAnsi="Times New Roman" w:cs="Times New Roman"/>
                <w:color w:val="auto"/>
                <w:sz w:val="24"/>
                <w:highlight w:val="none"/>
                <w:lang w:val="en-US" w:eastAsia="zh-CN"/>
              </w:rPr>
              <w:t>生产的</w:t>
            </w:r>
            <w:r>
              <w:rPr>
                <w:rFonts w:hint="eastAsia" w:ascii="Times New Roman" w:hAnsi="Times New Roman" w:cs="Times New Roman"/>
                <w:snapToGrid/>
                <w:color w:val="auto"/>
                <w:sz w:val="24"/>
                <w:highlight w:val="none"/>
                <w:lang w:val="en-US" w:eastAsia="zh-CN"/>
              </w:rPr>
              <w:t>汽车刹车片</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sz w:val="24"/>
                <w:highlight w:val="none"/>
                <w:lang w:val="en-US" w:eastAsia="zh-CN"/>
              </w:rPr>
              <w:t>属于汽车制造业，</w:t>
            </w:r>
            <w:r>
              <w:rPr>
                <w:rFonts w:hint="default" w:ascii="Times New Roman" w:hAnsi="Times New Roman" w:cs="Times New Roman"/>
                <w:b w:val="0"/>
                <w:bCs w:val="0"/>
                <w:color w:val="auto"/>
                <w:sz w:val="24"/>
                <w:szCs w:val="24"/>
                <w:highlight w:val="none"/>
                <w:lang w:val="en-US" w:eastAsia="zh-CN"/>
              </w:rPr>
              <w:t>与区块一主导产业汽车制造相符</w:t>
            </w:r>
            <w:r>
              <w:rPr>
                <w:rFonts w:hint="default" w:ascii="Times New Roman" w:hAnsi="Times New Roman" w:eastAsia="宋体" w:cs="Times New Roman"/>
                <w:b w:val="0"/>
                <w:bCs w:val="0"/>
                <w:color w:val="auto"/>
                <w:sz w:val="24"/>
                <w:szCs w:val="24"/>
                <w:highlight w:val="none"/>
              </w:rPr>
              <w:t>。</w:t>
            </w:r>
          </w:p>
          <w:p w14:paraId="2F02212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b w:val="0"/>
                <w:bCs w:val="0"/>
                <w:color w:val="auto"/>
                <w:sz w:val="24"/>
                <w:szCs w:val="24"/>
                <w:highlight w:val="none"/>
              </w:rPr>
              <w:t>故项目的建设符合</w:t>
            </w:r>
            <w:r>
              <w:rPr>
                <w:rFonts w:hint="default" w:ascii="Times New Roman" w:hAnsi="Times New Roman" w:cs="Times New Roman"/>
                <w:color w:val="auto"/>
                <w:sz w:val="24"/>
                <w:highlight w:val="none"/>
                <w:lang w:val="en-US" w:eastAsia="zh-CN"/>
              </w:rPr>
              <w:t>《淮南高新技术产业开发区总体发展规划（2024-2035年）》要求</w:t>
            </w:r>
            <w:r>
              <w:rPr>
                <w:rFonts w:hint="default" w:ascii="Times New Roman" w:hAnsi="Times New Roman" w:cs="Times New Roman"/>
                <w:color w:val="auto"/>
                <w:sz w:val="24"/>
                <w:highlight w:val="none"/>
                <w:lang w:eastAsia="zh-CN"/>
              </w:rPr>
              <w:t>。</w:t>
            </w:r>
          </w:p>
          <w:p w14:paraId="0B9323B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2、与</w:t>
            </w:r>
            <w:r>
              <w:rPr>
                <w:rFonts w:hint="default" w:ascii="Times New Roman" w:hAnsi="Times New Roman" w:eastAsia="宋体" w:cs="Times New Roman"/>
                <w:b/>
                <w:bCs/>
                <w:color w:val="auto"/>
                <w:sz w:val="24"/>
                <w:highlight w:val="none"/>
                <w:lang w:val="en-US" w:eastAsia="zh-CN"/>
              </w:rPr>
              <w:t>《淮南高新技术产业开发区总体发展规划（2024-2035年）（主导产业变更）环境影响报告书》及</w:t>
            </w:r>
            <w:r>
              <w:rPr>
                <w:rFonts w:hint="default" w:ascii="Times New Roman" w:hAnsi="Times New Roman" w:cs="Times New Roman"/>
                <w:b/>
                <w:color w:val="auto"/>
                <w:sz w:val="24"/>
                <w:highlight w:val="none"/>
              </w:rPr>
              <w:t>审查意见符合性分析</w:t>
            </w:r>
          </w:p>
          <w:p w14:paraId="434F65F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Cs/>
                <w:color w:val="auto"/>
                <w:sz w:val="24"/>
                <w:szCs w:val="24"/>
                <w:highlight w:val="none"/>
              </w:rPr>
            </w:pPr>
            <w:r>
              <w:rPr>
                <w:rFonts w:hint="default" w:ascii="Times New Roman" w:hAnsi="Times New Roman" w:cs="Times New Roman"/>
                <w:color w:val="auto"/>
                <w:sz w:val="24"/>
                <w:highlight w:val="none"/>
                <w:lang w:val="en-US" w:eastAsia="zh-CN"/>
              </w:rPr>
              <w:t>本项目对照《淮南高新技术产业开发区总体发展规划（2024-2035年）（主导产业变更）环境影响报告书》相关要求，项目与园区规划环评生态环境准入清单符合性分析见下表。</w:t>
            </w:r>
          </w:p>
          <w:p w14:paraId="2C849189">
            <w:pPr>
              <w:keepNext w:val="0"/>
              <w:keepLines w:val="0"/>
              <w:pageBreakBefore w:val="0"/>
              <w:widowControl w:val="0"/>
              <w:kinsoku/>
              <w:wordWrap/>
              <w:overflowPunct/>
              <w:topLinePunct/>
              <w:autoSpaceDE w:val="0"/>
              <w:autoSpaceDN/>
              <w:bidi w:val="0"/>
              <w:adjustRightInd w:val="0"/>
              <w:snapToGrid w:val="0"/>
              <w:ind w:left="0" w:leftChars="0" w:firstLine="422" w:firstLineChars="200"/>
              <w:jc w:val="center"/>
              <w:rPr>
                <w:rFonts w:hint="default" w:ascii="Times New Roman" w:hAnsi="Times New Roman" w:cs="Times New Roman"/>
                <w:b/>
                <w:color w:val="auto"/>
                <w:kern w:val="0"/>
                <w:sz w:val="21"/>
                <w:szCs w:val="21"/>
                <w:highlight w:val="none"/>
                <w:lang w:val="zh-CN"/>
              </w:rPr>
            </w:pPr>
            <w:r>
              <w:rPr>
                <w:rFonts w:hint="default" w:ascii="Times New Roman" w:hAnsi="Times New Roman" w:cs="Times New Roman"/>
                <w:b/>
                <w:color w:val="auto"/>
                <w:kern w:val="0"/>
                <w:sz w:val="21"/>
                <w:szCs w:val="21"/>
                <w:highlight w:val="none"/>
                <w:lang w:val="zh-CN"/>
              </w:rPr>
              <w:t>表1-</w:t>
            </w:r>
            <w:r>
              <w:rPr>
                <w:rFonts w:hint="default" w:ascii="Times New Roman" w:hAnsi="Times New Roman" w:cs="Times New Roman"/>
                <w:b/>
                <w:color w:val="auto"/>
                <w:kern w:val="0"/>
                <w:sz w:val="21"/>
                <w:szCs w:val="21"/>
                <w:highlight w:val="none"/>
              </w:rPr>
              <w:t>1</w:t>
            </w:r>
            <w:r>
              <w:rPr>
                <w:rFonts w:hint="default" w:ascii="Times New Roman" w:hAnsi="Times New Roman" w:cs="Times New Roman"/>
                <w:b/>
                <w:color w:val="auto"/>
                <w:kern w:val="0"/>
                <w:sz w:val="21"/>
                <w:szCs w:val="21"/>
                <w:highlight w:val="none"/>
                <w:lang w:val="zh-CN"/>
              </w:rPr>
              <w:t xml:space="preserve"> </w:t>
            </w:r>
            <w:r>
              <w:rPr>
                <w:rFonts w:hint="eastAsia" w:ascii="Times New Roman" w:hAnsi="Times New Roman" w:cs="Times New Roman"/>
                <w:b/>
                <w:color w:val="auto"/>
                <w:kern w:val="0"/>
                <w:sz w:val="21"/>
                <w:szCs w:val="21"/>
                <w:highlight w:val="none"/>
                <w:lang w:val="en-US" w:eastAsia="zh-CN"/>
              </w:rPr>
              <w:t>项目</w:t>
            </w:r>
            <w:r>
              <w:rPr>
                <w:rFonts w:hint="default" w:ascii="Times New Roman" w:hAnsi="Times New Roman" w:cs="Times New Roman"/>
                <w:b/>
                <w:color w:val="auto"/>
                <w:kern w:val="0"/>
                <w:sz w:val="21"/>
                <w:szCs w:val="21"/>
                <w:highlight w:val="none"/>
                <w:lang w:val="en-US" w:eastAsia="zh-CN"/>
              </w:rPr>
              <w:t>与淮南</w:t>
            </w:r>
            <w:r>
              <w:rPr>
                <w:rFonts w:hint="default" w:ascii="Times New Roman" w:hAnsi="Times New Roman" w:cs="Times New Roman"/>
                <w:b/>
                <w:color w:val="auto"/>
                <w:kern w:val="0"/>
                <w:sz w:val="21"/>
                <w:szCs w:val="21"/>
                <w:highlight w:val="none"/>
                <w:lang w:val="zh-CN"/>
              </w:rPr>
              <w:t>高新区产业发展环境准入清单符合性分析</w:t>
            </w:r>
          </w:p>
          <w:tbl>
            <w:tblPr>
              <w:tblStyle w:val="25"/>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1"/>
              <w:gridCol w:w="5575"/>
              <w:gridCol w:w="859"/>
            </w:tblGrid>
            <w:tr w14:paraId="1B2313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73" w:type="pct"/>
                  <w:tcBorders>
                    <w:tl2br w:val="nil"/>
                    <w:tr2bl w:val="nil"/>
                  </w:tcBorders>
                  <w:noWrap w:val="0"/>
                  <w:vAlign w:val="center"/>
                </w:tcPr>
                <w:p w14:paraId="0998B800">
                  <w:pPr>
                    <w:pStyle w:val="47"/>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项目</w:t>
                  </w:r>
                </w:p>
              </w:tc>
              <w:tc>
                <w:tcPr>
                  <w:tcW w:w="4095" w:type="pct"/>
                  <w:tcBorders>
                    <w:tl2br w:val="nil"/>
                    <w:tr2bl w:val="nil"/>
                  </w:tcBorders>
                  <w:noWrap w:val="0"/>
                  <w:vAlign w:val="center"/>
                </w:tcPr>
                <w:p w14:paraId="0B77D316">
                  <w:pPr>
                    <w:pStyle w:val="47"/>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规划要求</w:t>
                  </w:r>
                </w:p>
              </w:tc>
              <w:tc>
                <w:tcPr>
                  <w:tcW w:w="631" w:type="pct"/>
                  <w:tcBorders>
                    <w:tl2br w:val="nil"/>
                    <w:tr2bl w:val="nil"/>
                  </w:tcBorders>
                  <w:noWrap w:val="0"/>
                  <w:vAlign w:val="center"/>
                </w:tcPr>
                <w:p w14:paraId="04CC575C">
                  <w:pPr>
                    <w:pStyle w:val="47"/>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本项目情况</w:t>
                  </w:r>
                </w:p>
              </w:tc>
            </w:tr>
            <w:tr w14:paraId="5A3F84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73" w:type="pct"/>
                  <w:tcBorders>
                    <w:tl2br w:val="nil"/>
                    <w:tr2bl w:val="nil"/>
                  </w:tcBorders>
                  <w:noWrap w:val="0"/>
                  <w:vAlign w:val="center"/>
                </w:tcPr>
                <w:p w14:paraId="6BCE4477">
                  <w:pPr>
                    <w:pStyle w:val="47"/>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优先进入类</w:t>
                  </w:r>
                </w:p>
              </w:tc>
              <w:tc>
                <w:tcPr>
                  <w:tcW w:w="4095" w:type="pct"/>
                  <w:tcBorders>
                    <w:tl2br w:val="nil"/>
                    <w:tr2bl w:val="nil"/>
                  </w:tcBorders>
                  <w:noWrap w:val="0"/>
                  <w:vAlign w:val="center"/>
                </w:tcPr>
                <w:p w14:paraId="2B69CC63">
                  <w:pPr>
                    <w:pStyle w:val="47"/>
                    <w:jc w:val="left"/>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符合产业定位且属于国家发展和改革委《产业结构调整指导目录（2024年本）</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鼓励外商投资产业目录》（2022年版）、《产业转移指导目录》（2018年版）、《战略性新兴产业重点产品和服务指导目录（2016版）》等产业政策文件中属于鼓励类和重点发展中的产品、工艺和技术。</w:t>
                  </w:r>
                </w:p>
              </w:tc>
              <w:tc>
                <w:tcPr>
                  <w:tcW w:w="631" w:type="pct"/>
                  <w:vMerge w:val="restart"/>
                  <w:tcBorders>
                    <w:tl2br w:val="nil"/>
                    <w:tr2bl w:val="nil"/>
                  </w:tcBorders>
                  <w:noWrap w:val="0"/>
                  <w:vAlign w:val="center"/>
                </w:tcPr>
                <w:p w14:paraId="59F6FFEA">
                  <w:pPr>
                    <w:pStyle w:val="47"/>
                    <w:jc w:val="left"/>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本项目为</w:t>
                  </w:r>
                  <w:r>
                    <w:rPr>
                      <w:rFonts w:hint="default" w:ascii="Times New Roman" w:hAnsi="Times New Roman" w:eastAsia="宋体" w:cs="Times New Roman"/>
                      <w:color w:val="auto"/>
                      <w:sz w:val="21"/>
                      <w:szCs w:val="21"/>
                      <w:highlight w:val="none"/>
                      <w:lang w:val="en-US" w:eastAsia="zh-CN"/>
                    </w:rPr>
                    <w:t>C3670</w:t>
                  </w:r>
                  <w:r>
                    <w:rPr>
                      <w:rFonts w:hint="default" w:ascii="Times New Roman" w:hAnsi="Times New Roman" w:eastAsia="宋体" w:cs="Times New Roman"/>
                      <w:color w:val="auto"/>
                      <w:sz w:val="21"/>
                      <w:szCs w:val="21"/>
                      <w:highlight w:val="none"/>
                      <w:lang w:eastAsia="zh-CN"/>
                    </w:rPr>
                    <w:t>汽车零部件及配件制造，</w:t>
                  </w:r>
                  <w:r>
                    <w:rPr>
                      <w:rFonts w:hint="default" w:ascii="Times New Roman" w:hAnsi="Times New Roman" w:eastAsia="宋体" w:cs="Times New Roman"/>
                      <w:color w:val="auto"/>
                      <w:sz w:val="21"/>
                      <w:szCs w:val="21"/>
                      <w:highlight w:val="none"/>
                      <w:lang w:val="en-US" w:eastAsia="zh-CN"/>
                    </w:rPr>
                    <w:t>与区块一主导产业汽车制造相符。</w:t>
                  </w:r>
                  <w:r>
                    <w:rPr>
                      <w:rFonts w:hint="default" w:ascii="Times New Roman" w:hAnsi="Times New Roman" w:eastAsia="宋体" w:cs="Times New Roman"/>
                      <w:color w:val="auto"/>
                      <w:sz w:val="21"/>
                      <w:szCs w:val="21"/>
                      <w:highlight w:val="none"/>
                      <w:lang w:eastAsia="zh-CN"/>
                    </w:rPr>
                    <w:t>因此，符合</w:t>
                  </w:r>
                  <w:r>
                    <w:rPr>
                      <w:rFonts w:hint="default" w:ascii="Times New Roman" w:hAnsi="Times New Roman" w:eastAsia="宋体" w:cs="Times New Roman"/>
                      <w:color w:val="auto"/>
                      <w:sz w:val="21"/>
                      <w:szCs w:val="21"/>
                      <w:highlight w:val="none"/>
                      <w:lang w:val="en-US" w:eastAsia="zh-CN"/>
                    </w:rPr>
                    <w:t>淮南</w:t>
                  </w:r>
                  <w:r>
                    <w:rPr>
                      <w:rFonts w:hint="default" w:ascii="Times New Roman" w:hAnsi="Times New Roman" w:eastAsia="宋体" w:cs="Times New Roman"/>
                      <w:color w:val="auto"/>
                      <w:sz w:val="21"/>
                      <w:szCs w:val="21"/>
                      <w:highlight w:val="none"/>
                      <w:lang w:val="zh-CN" w:eastAsia="zh-CN"/>
                    </w:rPr>
                    <w:t>高新区产业发展</w:t>
                  </w:r>
                  <w:r>
                    <w:rPr>
                      <w:rFonts w:hint="default" w:ascii="Times New Roman" w:hAnsi="Times New Roman" w:eastAsia="宋体" w:cs="Times New Roman"/>
                      <w:color w:val="auto"/>
                      <w:sz w:val="21"/>
                      <w:szCs w:val="21"/>
                      <w:highlight w:val="none"/>
                      <w:lang w:eastAsia="zh-CN"/>
                    </w:rPr>
                    <w:t>管理的要求。</w:t>
                  </w:r>
                </w:p>
              </w:tc>
            </w:tr>
            <w:tr w14:paraId="649973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73" w:type="pct"/>
                  <w:vMerge w:val="restart"/>
                  <w:tcBorders>
                    <w:tl2br w:val="nil"/>
                    <w:tr2bl w:val="nil"/>
                  </w:tcBorders>
                  <w:noWrap w:val="0"/>
                  <w:vAlign w:val="center"/>
                </w:tcPr>
                <w:p w14:paraId="6BDC3269">
                  <w:pPr>
                    <w:pStyle w:val="47"/>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限制类</w:t>
                  </w:r>
                </w:p>
              </w:tc>
              <w:tc>
                <w:tcPr>
                  <w:tcW w:w="4095" w:type="pct"/>
                  <w:tcBorders>
                    <w:tl2br w:val="nil"/>
                    <w:tr2bl w:val="nil"/>
                  </w:tcBorders>
                  <w:noWrap w:val="0"/>
                  <w:vAlign w:val="center"/>
                </w:tcPr>
                <w:p w14:paraId="771DE124">
                  <w:pPr>
                    <w:pStyle w:val="47"/>
                    <w:jc w:val="left"/>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《产业结构调整指导目录（2024年本）》中限制类项目；</w:t>
                  </w:r>
                </w:p>
              </w:tc>
              <w:tc>
                <w:tcPr>
                  <w:tcW w:w="631" w:type="pct"/>
                  <w:vMerge w:val="continue"/>
                  <w:tcBorders>
                    <w:tl2br w:val="nil"/>
                    <w:tr2bl w:val="nil"/>
                  </w:tcBorders>
                  <w:noWrap w:val="0"/>
                  <w:vAlign w:val="center"/>
                </w:tcPr>
                <w:p w14:paraId="3152A393">
                  <w:pPr>
                    <w:pStyle w:val="47"/>
                    <w:jc w:val="left"/>
                    <w:rPr>
                      <w:rFonts w:hint="default" w:ascii="Times New Roman" w:hAnsi="Times New Roman" w:eastAsia="宋体" w:cs="Times New Roman"/>
                      <w:color w:val="auto"/>
                      <w:sz w:val="21"/>
                      <w:szCs w:val="21"/>
                      <w:highlight w:val="none"/>
                      <w:lang w:eastAsia="zh-CN"/>
                    </w:rPr>
                  </w:pPr>
                </w:p>
              </w:tc>
            </w:tr>
            <w:tr w14:paraId="5CCEBC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73" w:type="pct"/>
                  <w:vMerge w:val="continue"/>
                  <w:tcBorders>
                    <w:tl2br w:val="nil"/>
                    <w:tr2bl w:val="nil"/>
                  </w:tcBorders>
                  <w:noWrap w:val="0"/>
                  <w:vAlign w:val="center"/>
                </w:tcPr>
                <w:p w14:paraId="331FDD2E">
                  <w:pPr>
                    <w:pStyle w:val="48"/>
                    <w:spacing w:beforeLines="0" w:afterLines="0"/>
                    <w:ind w:right="45"/>
                    <w:jc w:val="center"/>
                    <w:rPr>
                      <w:rFonts w:hint="default" w:ascii="Times New Roman" w:hAnsi="Times New Roman" w:cs="Times New Roman"/>
                      <w:color w:val="auto"/>
                      <w:sz w:val="21"/>
                      <w:szCs w:val="21"/>
                      <w:highlight w:val="none"/>
                      <w:lang w:eastAsia="zh-CN"/>
                    </w:rPr>
                  </w:pPr>
                </w:p>
              </w:tc>
              <w:tc>
                <w:tcPr>
                  <w:tcW w:w="4095" w:type="pct"/>
                  <w:tcBorders>
                    <w:tl2br w:val="nil"/>
                    <w:tr2bl w:val="nil"/>
                  </w:tcBorders>
                  <w:noWrap w:val="0"/>
                  <w:vAlign w:val="center"/>
                </w:tcPr>
                <w:p w14:paraId="748F8D94">
                  <w:pPr>
                    <w:pStyle w:val="47"/>
                    <w:jc w:val="left"/>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限制发展能源、资源消耗量或排污量较大但效益相对较好的企业，主要为规划外非禁止类项目，具体项目引入需经充分环境影响论证；</w:t>
                  </w:r>
                </w:p>
              </w:tc>
              <w:tc>
                <w:tcPr>
                  <w:tcW w:w="631" w:type="pct"/>
                  <w:vMerge w:val="continue"/>
                  <w:tcBorders>
                    <w:tl2br w:val="nil"/>
                    <w:tr2bl w:val="nil"/>
                  </w:tcBorders>
                  <w:noWrap w:val="0"/>
                  <w:vAlign w:val="center"/>
                </w:tcPr>
                <w:p w14:paraId="7875F2FA">
                  <w:pPr>
                    <w:pStyle w:val="47"/>
                    <w:jc w:val="left"/>
                    <w:rPr>
                      <w:rFonts w:hint="default" w:ascii="Times New Roman" w:hAnsi="Times New Roman" w:eastAsia="宋体" w:cs="Times New Roman"/>
                      <w:color w:val="auto"/>
                      <w:sz w:val="21"/>
                      <w:szCs w:val="21"/>
                      <w:highlight w:val="none"/>
                      <w:lang w:eastAsia="zh-CN"/>
                    </w:rPr>
                  </w:pPr>
                </w:p>
              </w:tc>
            </w:tr>
            <w:tr w14:paraId="39A6F8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73" w:type="pct"/>
                  <w:vMerge w:val="continue"/>
                  <w:tcBorders>
                    <w:tl2br w:val="nil"/>
                    <w:tr2bl w:val="nil"/>
                  </w:tcBorders>
                  <w:noWrap w:val="0"/>
                  <w:vAlign w:val="center"/>
                </w:tcPr>
                <w:p w14:paraId="198D35ED">
                  <w:pPr>
                    <w:pStyle w:val="48"/>
                    <w:spacing w:beforeLines="0" w:afterLines="0"/>
                    <w:ind w:right="45"/>
                    <w:jc w:val="center"/>
                    <w:rPr>
                      <w:rFonts w:hint="default" w:ascii="Times New Roman" w:hAnsi="Times New Roman" w:cs="Times New Roman"/>
                      <w:color w:val="auto"/>
                      <w:sz w:val="21"/>
                      <w:szCs w:val="21"/>
                      <w:highlight w:val="none"/>
                      <w:lang w:eastAsia="zh-CN"/>
                    </w:rPr>
                  </w:pPr>
                </w:p>
              </w:tc>
              <w:tc>
                <w:tcPr>
                  <w:tcW w:w="4095" w:type="pct"/>
                  <w:tcBorders>
                    <w:tl2br w:val="nil"/>
                    <w:tr2bl w:val="nil"/>
                  </w:tcBorders>
                  <w:noWrap w:val="0"/>
                  <w:vAlign w:val="center"/>
                </w:tcPr>
                <w:p w14:paraId="33A6D2B7">
                  <w:pPr>
                    <w:pStyle w:val="47"/>
                    <w:jc w:val="left"/>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限制新增与主导产业无关的、污染物排放量大的产业项目；</w:t>
                  </w:r>
                </w:p>
              </w:tc>
              <w:tc>
                <w:tcPr>
                  <w:tcW w:w="631" w:type="pct"/>
                  <w:vMerge w:val="continue"/>
                  <w:tcBorders>
                    <w:tl2br w:val="nil"/>
                    <w:tr2bl w:val="nil"/>
                  </w:tcBorders>
                  <w:noWrap w:val="0"/>
                  <w:vAlign w:val="center"/>
                </w:tcPr>
                <w:p w14:paraId="4B609D05">
                  <w:pPr>
                    <w:pStyle w:val="47"/>
                    <w:jc w:val="left"/>
                    <w:rPr>
                      <w:rFonts w:hint="default" w:ascii="Times New Roman" w:hAnsi="Times New Roman" w:eastAsia="宋体" w:cs="Times New Roman"/>
                      <w:color w:val="auto"/>
                      <w:sz w:val="21"/>
                      <w:szCs w:val="21"/>
                      <w:highlight w:val="none"/>
                      <w:lang w:eastAsia="zh-CN"/>
                    </w:rPr>
                  </w:pPr>
                </w:p>
              </w:tc>
            </w:tr>
            <w:tr w14:paraId="1337CD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73" w:type="pct"/>
                  <w:vMerge w:val="continue"/>
                  <w:tcBorders>
                    <w:tl2br w:val="nil"/>
                    <w:tr2bl w:val="nil"/>
                  </w:tcBorders>
                  <w:noWrap w:val="0"/>
                  <w:vAlign w:val="center"/>
                </w:tcPr>
                <w:p w14:paraId="2A4C7CF6">
                  <w:pPr>
                    <w:pStyle w:val="48"/>
                    <w:spacing w:beforeLines="0" w:afterLines="0"/>
                    <w:ind w:right="45"/>
                    <w:jc w:val="center"/>
                    <w:rPr>
                      <w:rFonts w:hint="default" w:ascii="Times New Roman" w:hAnsi="Times New Roman" w:cs="Times New Roman"/>
                      <w:color w:val="auto"/>
                      <w:sz w:val="21"/>
                      <w:szCs w:val="21"/>
                      <w:highlight w:val="none"/>
                      <w:lang w:eastAsia="zh-CN"/>
                    </w:rPr>
                  </w:pPr>
                </w:p>
              </w:tc>
              <w:tc>
                <w:tcPr>
                  <w:tcW w:w="4095" w:type="pct"/>
                  <w:tcBorders>
                    <w:tl2br w:val="nil"/>
                    <w:tr2bl w:val="nil"/>
                  </w:tcBorders>
                  <w:noWrap w:val="0"/>
                  <w:vAlign w:val="center"/>
                </w:tcPr>
                <w:p w14:paraId="72EA9950">
                  <w:pPr>
                    <w:pStyle w:val="47"/>
                    <w:jc w:val="left"/>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与主导产业相关的“两高”类项目需按照《生态环境部关于加强高耗能、高排放建设项目生态环境源头防控的指导意见</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安徽省节能减排及应对气候变化工作领导小组关于进一步加强新上“两高”项目管理的通知》等国家及安徽省相关政策要求严格控制引入，并经过环境影响充分论证；</w:t>
                  </w:r>
                </w:p>
              </w:tc>
              <w:tc>
                <w:tcPr>
                  <w:tcW w:w="631" w:type="pct"/>
                  <w:vMerge w:val="continue"/>
                  <w:tcBorders>
                    <w:tl2br w:val="nil"/>
                    <w:tr2bl w:val="nil"/>
                  </w:tcBorders>
                  <w:noWrap w:val="0"/>
                  <w:vAlign w:val="center"/>
                </w:tcPr>
                <w:p w14:paraId="5CF72329">
                  <w:pPr>
                    <w:pStyle w:val="47"/>
                    <w:jc w:val="left"/>
                    <w:rPr>
                      <w:rFonts w:hint="default" w:ascii="Times New Roman" w:hAnsi="Times New Roman" w:eastAsia="宋体" w:cs="Times New Roman"/>
                      <w:color w:val="auto"/>
                      <w:sz w:val="21"/>
                      <w:szCs w:val="21"/>
                      <w:highlight w:val="none"/>
                      <w:lang w:eastAsia="zh-CN"/>
                    </w:rPr>
                  </w:pPr>
                </w:p>
              </w:tc>
            </w:tr>
            <w:tr w14:paraId="1FA9E5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273" w:type="pct"/>
                  <w:vMerge w:val="continue"/>
                  <w:tcBorders>
                    <w:tl2br w:val="nil"/>
                    <w:tr2bl w:val="nil"/>
                  </w:tcBorders>
                  <w:noWrap w:val="0"/>
                  <w:vAlign w:val="center"/>
                </w:tcPr>
                <w:p w14:paraId="3A64D8C7">
                  <w:pPr>
                    <w:pStyle w:val="48"/>
                    <w:spacing w:beforeLines="0" w:afterLines="0"/>
                    <w:ind w:right="45"/>
                    <w:jc w:val="center"/>
                    <w:rPr>
                      <w:rFonts w:hint="default" w:ascii="Times New Roman" w:hAnsi="Times New Roman" w:cs="Times New Roman"/>
                      <w:color w:val="auto"/>
                      <w:sz w:val="21"/>
                      <w:szCs w:val="21"/>
                      <w:highlight w:val="none"/>
                      <w:lang w:eastAsia="zh-CN"/>
                    </w:rPr>
                  </w:pPr>
                </w:p>
              </w:tc>
              <w:tc>
                <w:tcPr>
                  <w:tcW w:w="4095" w:type="pct"/>
                  <w:tcBorders>
                    <w:tl2br w:val="nil"/>
                    <w:tr2bl w:val="nil"/>
                  </w:tcBorders>
                  <w:noWrap w:val="0"/>
                  <w:vAlign w:val="center"/>
                </w:tcPr>
                <w:p w14:paraId="0502B3AE">
                  <w:pPr>
                    <w:pStyle w:val="47"/>
                    <w:jc w:val="left"/>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严格限制在淮河流域新建印染、制革、电镀、化工、酿造等大中型项目或者其他污染严重的项目；建设该类项目的，应当事前征得省人民政府生态环境行政主管部门的同意，并按照规定办理有关手续；化工项目应符合《关于进一步规范化工项目建设管理的通知》（皖经信原材料</w:t>
                  </w:r>
                  <w:r>
                    <w:rPr>
                      <w:rFonts w:hint="eastAsia" w:ascii="Times New Roman" w:hAnsi="Times New Roman" w:cs="Times New Roman"/>
                      <w:color w:val="auto"/>
                      <w:sz w:val="21"/>
                      <w:szCs w:val="21"/>
                      <w:highlight w:val="none"/>
                      <w:lang w:eastAsia="zh-CN"/>
                    </w:rPr>
                    <w:t>〔2022〕73号</w:t>
                  </w:r>
                  <w:r>
                    <w:rPr>
                      <w:rFonts w:hint="default" w:ascii="Times New Roman" w:hAnsi="Times New Roman" w:eastAsia="宋体" w:cs="Times New Roman"/>
                      <w:color w:val="auto"/>
                      <w:sz w:val="21"/>
                      <w:szCs w:val="21"/>
                      <w:highlight w:val="none"/>
                      <w:lang w:eastAsia="zh-CN"/>
                    </w:rPr>
                    <w:t>）准入管理要求。</w:t>
                  </w:r>
                </w:p>
              </w:tc>
              <w:tc>
                <w:tcPr>
                  <w:tcW w:w="631" w:type="pct"/>
                  <w:vMerge w:val="continue"/>
                  <w:tcBorders>
                    <w:tl2br w:val="nil"/>
                    <w:tr2bl w:val="nil"/>
                  </w:tcBorders>
                  <w:noWrap w:val="0"/>
                  <w:vAlign w:val="center"/>
                </w:tcPr>
                <w:p w14:paraId="4EA3D8F8">
                  <w:pPr>
                    <w:pStyle w:val="47"/>
                    <w:jc w:val="left"/>
                    <w:rPr>
                      <w:rFonts w:hint="default" w:ascii="Times New Roman" w:hAnsi="Times New Roman" w:eastAsia="宋体" w:cs="Times New Roman"/>
                      <w:color w:val="auto"/>
                      <w:sz w:val="21"/>
                      <w:szCs w:val="21"/>
                      <w:highlight w:val="none"/>
                      <w:lang w:eastAsia="zh-CN"/>
                    </w:rPr>
                  </w:pPr>
                </w:p>
              </w:tc>
            </w:tr>
            <w:tr w14:paraId="48C287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273" w:type="pct"/>
                  <w:tcBorders>
                    <w:tl2br w:val="nil"/>
                    <w:tr2bl w:val="nil"/>
                  </w:tcBorders>
                  <w:noWrap w:val="0"/>
                  <w:vAlign w:val="center"/>
                </w:tcPr>
                <w:p w14:paraId="3998633C">
                  <w:pPr>
                    <w:pStyle w:val="47"/>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禁止类</w:t>
                  </w:r>
                </w:p>
              </w:tc>
              <w:tc>
                <w:tcPr>
                  <w:tcW w:w="4095" w:type="pct"/>
                  <w:tcBorders>
                    <w:tl2br w:val="nil"/>
                    <w:tr2bl w:val="nil"/>
                  </w:tcBorders>
                  <w:noWrap w:val="0"/>
                  <w:vAlign w:val="center"/>
                </w:tcPr>
                <w:p w14:paraId="29A8B372">
                  <w:pPr>
                    <w:pStyle w:val="47"/>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禁止引入《产业结构调整指导目录（2024年本）》《外商投资准入特别管理措施（负面清单）（2021年版）》《市场准入负面清单（2020年版）》和《国家长江经济带市场准入禁止限制目录》等相关产业政策中禁止或淘汰类项目、产品、工艺和设备；</w:t>
                  </w:r>
                </w:p>
                <w:p w14:paraId="4C7EF0EC">
                  <w:pPr>
                    <w:pStyle w:val="47"/>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（2）禁止引入专门从事印染、制革、电镀等生产的项目，禁止引入与主导产业不相符的“两高”类项目；</w:t>
                  </w:r>
                </w:p>
                <w:p w14:paraId="44DA857F">
                  <w:pPr>
                    <w:pStyle w:val="47"/>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（3）禁止新建、扩建法律法规和相关政策明令禁止的落后产能项目；</w:t>
                  </w:r>
                </w:p>
                <w:p w14:paraId="499D01D9">
                  <w:pPr>
                    <w:pStyle w:val="47"/>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（4）禁止新建、扩建不符合国家产能置换要求的严重过剩产能行业的项目；</w:t>
                  </w:r>
                </w:p>
                <w:p w14:paraId="6C6D94D5">
                  <w:pPr>
                    <w:pStyle w:val="47"/>
                    <w:jc w:val="left"/>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（5）区内部分紧邻居民点等环境敏感目标的工业用地，严格限制</w:t>
                  </w:r>
                  <w:r>
                    <w:rPr>
                      <w:rFonts w:hint="default" w:ascii="Times New Roman" w:hAnsi="Times New Roman" w:cs="Times New Roman"/>
                      <w:color w:val="auto"/>
                      <w:sz w:val="21"/>
                      <w:szCs w:val="21"/>
                      <w:highlight w:val="none"/>
                      <w:lang w:val="en-US" w:eastAsia="zh-CN"/>
                    </w:rPr>
                    <w:t>涉及</w:t>
                  </w:r>
                  <w:r>
                    <w:rPr>
                      <w:rFonts w:hint="default" w:ascii="Times New Roman" w:hAnsi="Times New Roman" w:eastAsia="宋体" w:cs="Times New Roman"/>
                      <w:color w:val="auto"/>
                      <w:sz w:val="21"/>
                      <w:szCs w:val="21"/>
                      <w:highlight w:val="none"/>
                    </w:rPr>
                    <w:t>使用危险化学品的企业入驻。</w:t>
                  </w:r>
                </w:p>
              </w:tc>
              <w:tc>
                <w:tcPr>
                  <w:tcW w:w="631" w:type="pct"/>
                  <w:vMerge w:val="continue"/>
                  <w:tcBorders>
                    <w:tl2br w:val="nil"/>
                    <w:tr2bl w:val="nil"/>
                  </w:tcBorders>
                  <w:noWrap w:val="0"/>
                  <w:vAlign w:val="center"/>
                </w:tcPr>
                <w:p w14:paraId="23FB9B0D">
                  <w:pPr>
                    <w:pStyle w:val="47"/>
                    <w:jc w:val="left"/>
                    <w:rPr>
                      <w:rFonts w:hint="default" w:ascii="Times New Roman" w:hAnsi="Times New Roman" w:eastAsia="宋体" w:cs="Times New Roman"/>
                      <w:color w:val="auto"/>
                      <w:sz w:val="21"/>
                      <w:szCs w:val="21"/>
                      <w:highlight w:val="none"/>
                      <w:lang w:eastAsia="zh-CN"/>
                    </w:rPr>
                  </w:pPr>
                </w:p>
              </w:tc>
            </w:tr>
          </w:tbl>
          <w:p w14:paraId="0BD1D63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lang w:val="en-US" w:eastAsia="zh-CN"/>
              </w:rPr>
              <w:t>本项目对照《淮南高新技术产业开发区总体发展规划（2024-2035年）（主导产业变更）环境影响报告书》及规划环评审查意见相关要求符合性分析见下表</w:t>
            </w:r>
            <w:r>
              <w:rPr>
                <w:rFonts w:hint="default" w:ascii="Times New Roman" w:hAnsi="Times New Roman" w:cs="Times New Roman"/>
                <w:color w:val="auto"/>
                <w:sz w:val="24"/>
                <w:highlight w:val="none"/>
                <w:lang w:eastAsia="zh-CN"/>
              </w:rPr>
              <w:t>。</w:t>
            </w:r>
          </w:p>
          <w:p w14:paraId="423A6DA3">
            <w:pPr>
              <w:keepNext w:val="0"/>
              <w:keepLines w:val="0"/>
              <w:pageBreakBefore w:val="0"/>
              <w:widowControl w:val="0"/>
              <w:kinsoku/>
              <w:wordWrap/>
              <w:overflowPunct/>
              <w:topLinePunct/>
              <w:autoSpaceDE w:val="0"/>
              <w:autoSpaceDN/>
              <w:bidi w:val="0"/>
              <w:adjustRightInd w:val="0"/>
              <w:snapToGrid w:val="0"/>
              <w:ind w:left="0" w:leftChars="0" w:firstLine="422" w:firstLineChars="200"/>
              <w:jc w:val="center"/>
              <w:rPr>
                <w:rFonts w:hint="default" w:ascii="Times New Roman" w:hAnsi="Times New Roman" w:eastAsia="宋体" w:cs="Times New Roman"/>
                <w:b/>
                <w:color w:val="auto"/>
                <w:kern w:val="0"/>
                <w:sz w:val="21"/>
                <w:szCs w:val="21"/>
                <w:highlight w:val="none"/>
                <w:lang w:val="zh-CN"/>
              </w:rPr>
            </w:pPr>
            <w:r>
              <w:rPr>
                <w:rFonts w:hint="default" w:ascii="Times New Roman" w:hAnsi="Times New Roman" w:eastAsia="宋体" w:cs="Times New Roman"/>
                <w:b/>
                <w:color w:val="auto"/>
                <w:kern w:val="0"/>
                <w:sz w:val="21"/>
                <w:szCs w:val="21"/>
                <w:highlight w:val="none"/>
                <w:lang w:val="zh-CN"/>
              </w:rPr>
              <w:t>表1-</w:t>
            </w:r>
            <w:r>
              <w:rPr>
                <w:rFonts w:hint="default" w:ascii="Times New Roman" w:hAnsi="Times New Roman" w:eastAsia="宋体" w:cs="Times New Roman"/>
                <w:b/>
                <w:color w:val="auto"/>
                <w:kern w:val="0"/>
                <w:sz w:val="21"/>
                <w:szCs w:val="21"/>
                <w:highlight w:val="none"/>
                <w:lang w:val="en-US" w:eastAsia="zh-CN"/>
              </w:rPr>
              <w:t>2</w:t>
            </w:r>
            <w:r>
              <w:rPr>
                <w:rFonts w:hint="default" w:ascii="Times New Roman" w:hAnsi="Times New Roman" w:eastAsia="宋体" w:cs="Times New Roman"/>
                <w:b/>
                <w:color w:val="auto"/>
                <w:kern w:val="0"/>
                <w:sz w:val="21"/>
                <w:szCs w:val="21"/>
                <w:highlight w:val="none"/>
                <w:lang w:val="zh-CN"/>
              </w:rPr>
              <w:t xml:space="preserve"> 与规划环境影响报告书及其审查意见相符性</w:t>
            </w:r>
          </w:p>
          <w:tbl>
            <w:tblPr>
              <w:tblStyle w:val="25"/>
              <w:tblW w:w="4997"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506"/>
              <w:gridCol w:w="2763"/>
              <w:gridCol w:w="2150"/>
              <w:gridCol w:w="855"/>
            </w:tblGrid>
            <w:tr w14:paraId="200A5D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90" w:type="pct"/>
                  <w:tcBorders>
                    <w:tl2br w:val="nil"/>
                    <w:tr2bl w:val="nil"/>
                  </w:tcBorders>
                  <w:noWrap w:val="0"/>
                  <w:vAlign w:val="center"/>
                </w:tcPr>
                <w:p w14:paraId="1F7E4A7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2401" w:type="pct"/>
                  <w:gridSpan w:val="2"/>
                  <w:tcBorders>
                    <w:tl2br w:val="nil"/>
                    <w:tr2bl w:val="nil"/>
                  </w:tcBorders>
                  <w:noWrap w:val="0"/>
                  <w:vAlign w:val="center"/>
                </w:tcPr>
                <w:p w14:paraId="0CF3420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cs="Times New Roman"/>
                      <w:b/>
                      <w:bCs/>
                      <w:color w:val="auto"/>
                      <w:sz w:val="21"/>
                      <w:szCs w:val="21"/>
                      <w:highlight w:val="none"/>
                    </w:rPr>
                    <w:t>规划环评及审查意见要求</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lang w:val="en-US" w:eastAsia="zh-CN"/>
                    </w:rPr>
                    <w:t>节选</w:t>
                  </w:r>
                  <w:r>
                    <w:rPr>
                      <w:rFonts w:hint="default" w:ascii="Times New Roman" w:hAnsi="Times New Roman" w:cs="Times New Roman"/>
                      <w:b/>
                      <w:bCs/>
                      <w:color w:val="auto"/>
                      <w:sz w:val="21"/>
                      <w:szCs w:val="21"/>
                      <w:highlight w:val="none"/>
                      <w:lang w:eastAsia="zh-CN"/>
                    </w:rPr>
                    <w:t>）</w:t>
                  </w:r>
                </w:p>
              </w:tc>
              <w:tc>
                <w:tcPr>
                  <w:tcW w:w="1579" w:type="pct"/>
                  <w:tcBorders>
                    <w:tl2br w:val="nil"/>
                    <w:tr2bl w:val="nil"/>
                  </w:tcBorders>
                  <w:noWrap w:val="0"/>
                  <w:vAlign w:val="center"/>
                </w:tcPr>
                <w:p w14:paraId="7D1786F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本项目情况</w:t>
                  </w:r>
                </w:p>
              </w:tc>
              <w:tc>
                <w:tcPr>
                  <w:tcW w:w="628" w:type="pct"/>
                  <w:tcBorders>
                    <w:tl2br w:val="nil"/>
                    <w:tr2bl w:val="nil"/>
                  </w:tcBorders>
                  <w:noWrap w:val="0"/>
                  <w:vAlign w:val="center"/>
                </w:tcPr>
                <w:p w14:paraId="28680DE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相符性</w:t>
                  </w:r>
                </w:p>
              </w:tc>
            </w:tr>
            <w:tr w14:paraId="6DE617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90" w:type="pct"/>
                  <w:tcBorders>
                    <w:tl2br w:val="nil"/>
                    <w:tr2bl w:val="nil"/>
                  </w:tcBorders>
                  <w:noWrap w:val="0"/>
                  <w:vAlign w:val="center"/>
                </w:tcPr>
                <w:p w14:paraId="5A3B4E0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2401" w:type="pct"/>
                  <w:gridSpan w:val="2"/>
                  <w:tcBorders>
                    <w:tl2br w:val="nil"/>
                    <w:tr2bl w:val="nil"/>
                  </w:tcBorders>
                  <w:noWrap w:val="0"/>
                  <w:vAlign w:val="center"/>
                </w:tcPr>
                <w:p w14:paraId="1207E7B7">
                  <w:pPr>
                    <w:pStyle w:val="47"/>
                    <w:numPr>
                      <w:ilvl w:val="0"/>
                      <w:numId w:val="2"/>
                    </w:numPr>
                    <w:ind w:left="0" w:lef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加强《规划》引领，坚持绿色协调发展。</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规划</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应加强与区域生态环境分区管控的协调衔接、统筹推进开发区整体发展和生态保护。基于环境承载力合理控制开发利用强度和时序，进一步提高土地利用效率，协调好产业发展与区域环境保护的关系。统筹开发区减污降碳协同共治、资源集约节约及循环化利用、能源智慧高效利用、环境风险防控等重大事项，引导开发区高质量发展。落实开发区发展规划，结合区域生态环境承载力，确保产业发展与区域生态环境保护、人居环境质量保障相协调。</w:t>
                  </w:r>
                </w:p>
              </w:tc>
              <w:tc>
                <w:tcPr>
                  <w:tcW w:w="1579" w:type="pct"/>
                  <w:tcBorders>
                    <w:tl2br w:val="nil"/>
                    <w:tr2bl w:val="nil"/>
                  </w:tcBorders>
                  <w:noWrap w:val="0"/>
                  <w:vAlign w:val="center"/>
                </w:tcPr>
                <w:p w14:paraId="1B6CC8D5">
                  <w:pPr>
                    <w:pStyle w:val="47"/>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项目位于</w:t>
                  </w:r>
                  <w:r>
                    <w:rPr>
                      <w:rFonts w:hint="eastAsia" w:ascii="Times New Roman" w:hAnsi="Times New Roman" w:cs="Times New Roman"/>
                      <w:color w:val="auto"/>
                      <w:sz w:val="21"/>
                      <w:szCs w:val="21"/>
                      <w:highlight w:val="none"/>
                      <w:lang w:eastAsia="zh-CN"/>
                    </w:rPr>
                    <w:t>安徽省淮南市高新区合创产业园9号厂房</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根据投资协议，属于工业用地，</w:t>
                  </w:r>
                  <w:r>
                    <w:rPr>
                      <w:rFonts w:hint="default" w:ascii="Times New Roman" w:hAnsi="Times New Roman" w:eastAsia="宋体" w:cs="Times New Roman"/>
                      <w:color w:val="auto"/>
                      <w:sz w:val="21"/>
                      <w:szCs w:val="21"/>
                      <w:highlight w:val="none"/>
                      <w:lang w:val="en-US" w:eastAsia="zh-CN"/>
                    </w:rPr>
                    <w:t>与区块一主导产业汽车制造相符。</w:t>
                  </w:r>
                  <w:r>
                    <w:rPr>
                      <w:rFonts w:hint="default" w:ascii="Times New Roman" w:hAnsi="Times New Roman" w:eastAsia="宋体" w:cs="Times New Roman"/>
                      <w:color w:val="auto"/>
                      <w:sz w:val="21"/>
                      <w:szCs w:val="21"/>
                      <w:highlight w:val="none"/>
                      <w:lang w:eastAsia="zh-CN"/>
                    </w:rPr>
                    <w:t>因此，符合</w:t>
                  </w:r>
                  <w:r>
                    <w:rPr>
                      <w:rFonts w:hint="default" w:ascii="Times New Roman" w:hAnsi="Times New Roman" w:eastAsia="宋体" w:cs="Times New Roman"/>
                      <w:color w:val="auto"/>
                      <w:sz w:val="21"/>
                      <w:szCs w:val="21"/>
                      <w:highlight w:val="none"/>
                      <w:lang w:val="en-US" w:eastAsia="zh-CN"/>
                    </w:rPr>
                    <w:t>淮南</w:t>
                  </w:r>
                  <w:r>
                    <w:rPr>
                      <w:rFonts w:hint="default" w:ascii="Times New Roman" w:hAnsi="Times New Roman" w:eastAsia="宋体" w:cs="Times New Roman"/>
                      <w:color w:val="auto"/>
                      <w:sz w:val="21"/>
                      <w:szCs w:val="21"/>
                      <w:highlight w:val="none"/>
                      <w:lang w:val="zh-CN" w:eastAsia="zh-CN"/>
                    </w:rPr>
                    <w:t>高新区产业发展</w:t>
                  </w:r>
                  <w:r>
                    <w:rPr>
                      <w:rFonts w:hint="default" w:ascii="Times New Roman" w:hAnsi="Times New Roman" w:eastAsia="宋体" w:cs="Times New Roman"/>
                      <w:color w:val="auto"/>
                      <w:sz w:val="21"/>
                      <w:szCs w:val="21"/>
                      <w:highlight w:val="none"/>
                      <w:lang w:eastAsia="zh-CN"/>
                    </w:rPr>
                    <w:t>管理的要求。</w:t>
                  </w:r>
                </w:p>
              </w:tc>
              <w:tc>
                <w:tcPr>
                  <w:tcW w:w="628" w:type="pct"/>
                  <w:tcBorders>
                    <w:tl2br w:val="nil"/>
                    <w:tr2bl w:val="nil"/>
                  </w:tcBorders>
                  <w:noWrap w:val="0"/>
                  <w:vAlign w:val="center"/>
                </w:tcPr>
                <w:p w14:paraId="014ADE1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583AE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90" w:type="pct"/>
                  <w:tcBorders>
                    <w:tl2br w:val="nil"/>
                    <w:tr2bl w:val="nil"/>
                  </w:tcBorders>
                  <w:noWrap w:val="0"/>
                  <w:vAlign w:val="center"/>
                </w:tcPr>
                <w:p w14:paraId="6C657A3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2401" w:type="pct"/>
                  <w:gridSpan w:val="2"/>
                  <w:tcBorders>
                    <w:tl2br w:val="nil"/>
                    <w:tr2bl w:val="nil"/>
                  </w:tcBorders>
                  <w:noWrap w:val="0"/>
                  <w:vAlign w:val="center"/>
                </w:tcPr>
                <w:p w14:paraId="1E321D4A">
                  <w:pPr>
                    <w:pStyle w:val="47"/>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二</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严守环境质量底线，保护区域生态环境质量</w:t>
                  </w:r>
                  <w:r>
                    <w:rPr>
                      <w:rFonts w:hint="default" w:ascii="Times New Roman" w:hAnsi="Times New Roman" w:cs="Times New Roman"/>
                      <w:color w:val="auto"/>
                      <w:highlight w:val="none"/>
                      <w:lang w:eastAsia="zh-CN"/>
                    </w:rPr>
                    <w:t>。</w:t>
                  </w:r>
                  <w:r>
                    <w:rPr>
                      <w:rFonts w:hint="default" w:ascii="Times New Roman" w:hAnsi="Times New Roman" w:cs="Times New Roman"/>
                      <w:color w:val="auto"/>
                      <w:sz w:val="21"/>
                      <w:szCs w:val="21"/>
                      <w:highlight w:val="none"/>
                      <w:lang w:val="en-US" w:eastAsia="zh-CN"/>
                    </w:rPr>
                    <w:t>开发区应坚持生态优先、高效集约发展，以生态环境质量改善、防范环境风险为核心，明确开发区发展存在的制约因素。根据国家和我省大气、水、土壤、固废污染防治相关要求，妥善解决区域生态环境问题，确保开发区建设项目污染物长期稳定达标排放，区域生态环境质量持续优化。</w:t>
                  </w:r>
                </w:p>
              </w:tc>
              <w:tc>
                <w:tcPr>
                  <w:tcW w:w="1579" w:type="pct"/>
                  <w:tcBorders>
                    <w:tl2br w:val="nil"/>
                    <w:tr2bl w:val="nil"/>
                  </w:tcBorders>
                  <w:noWrap w:val="0"/>
                  <w:vAlign w:val="center"/>
                </w:tcPr>
                <w:p w14:paraId="79E8C383">
                  <w:pPr>
                    <w:pStyle w:val="47"/>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项目位于</w:t>
                  </w:r>
                  <w:r>
                    <w:rPr>
                      <w:rFonts w:hint="eastAsia" w:ascii="Times New Roman" w:hAnsi="Times New Roman" w:cs="Times New Roman"/>
                      <w:color w:val="auto"/>
                      <w:sz w:val="21"/>
                      <w:szCs w:val="21"/>
                      <w:highlight w:val="none"/>
                      <w:lang w:eastAsia="zh-CN"/>
                    </w:rPr>
                    <w:t>安徽省淮南市高新区合创产业园9号厂房</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经后文项目与环境质量底线分析，项目满足与水环境质量底线、大气环境质量底线、土壤环境质量底线及相关分区管控相符性分析，外排废水为车间保洁排水、生活污水，废水接管</w:t>
                  </w:r>
                  <w:r>
                    <w:rPr>
                      <w:rFonts w:hint="default" w:ascii="Times New Roman" w:hAnsi="Times New Roman" w:cs="Times New Roman"/>
                      <w:color w:val="auto"/>
                      <w:sz w:val="21"/>
                      <w:szCs w:val="21"/>
                      <w:highlight w:val="none"/>
                    </w:rPr>
                    <w:t>山南新区污水处理厂集中处理</w:t>
                  </w:r>
                  <w:r>
                    <w:rPr>
                      <w:rFonts w:hint="default" w:ascii="Times New Roman" w:hAnsi="Times New Roman" w:cs="Times New Roman"/>
                      <w:color w:val="auto"/>
                      <w:sz w:val="21"/>
                      <w:szCs w:val="21"/>
                      <w:highlight w:val="none"/>
                      <w:lang w:val="en-US" w:eastAsia="zh-CN"/>
                    </w:rPr>
                    <w:t>，总量纳入污水处理厂总量范围内</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废气经处理后</w:t>
                  </w:r>
                  <w:r>
                    <w:rPr>
                      <w:rFonts w:hint="default" w:ascii="Times New Roman" w:hAnsi="Times New Roman" w:cs="Times New Roman"/>
                      <w:color w:val="auto"/>
                      <w:sz w:val="21"/>
                      <w:szCs w:val="21"/>
                      <w:highlight w:val="none"/>
                      <w:lang w:val="en-US" w:eastAsia="zh-CN"/>
                    </w:rPr>
                    <w:t>达标排放，</w:t>
                  </w:r>
                  <w:r>
                    <w:rPr>
                      <w:rFonts w:hint="eastAsia" w:ascii="Times New Roman" w:hAnsi="Times New Roman" w:cs="Times New Roman"/>
                      <w:color w:val="auto"/>
                      <w:sz w:val="21"/>
                      <w:szCs w:val="21"/>
                      <w:highlight w:val="none"/>
                      <w:lang w:val="en-US" w:eastAsia="zh-CN"/>
                    </w:rPr>
                    <w:t>项目</w:t>
                  </w:r>
                  <w:r>
                    <w:rPr>
                      <w:rFonts w:hint="default" w:ascii="Times New Roman" w:hAnsi="Times New Roman" w:cs="Times New Roman"/>
                      <w:color w:val="auto"/>
                      <w:sz w:val="21"/>
                      <w:szCs w:val="21"/>
                      <w:highlight w:val="none"/>
                      <w:lang w:val="en-US" w:eastAsia="zh-CN"/>
                    </w:rPr>
                    <w:t>采取分区防渗等土壤污染防治措施后，对土壤造成的影响较小，符合一般防控区防控要求。危险废物及时入暂存间存放，委托有资质单位处置</w:t>
                  </w:r>
                </w:p>
              </w:tc>
              <w:tc>
                <w:tcPr>
                  <w:tcW w:w="628" w:type="pct"/>
                  <w:tcBorders>
                    <w:tl2br w:val="nil"/>
                    <w:tr2bl w:val="nil"/>
                  </w:tcBorders>
                  <w:noWrap w:val="0"/>
                  <w:vAlign w:val="center"/>
                </w:tcPr>
                <w:p w14:paraId="1BFF02C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B2614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90" w:type="pct"/>
                  <w:tcBorders>
                    <w:tl2br w:val="nil"/>
                    <w:tr2bl w:val="nil"/>
                  </w:tcBorders>
                  <w:noWrap w:val="0"/>
                  <w:vAlign w:val="center"/>
                </w:tcPr>
                <w:p w14:paraId="1289300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2401" w:type="pct"/>
                  <w:gridSpan w:val="2"/>
                  <w:tcBorders>
                    <w:tl2br w:val="nil"/>
                    <w:tr2bl w:val="nil"/>
                  </w:tcBorders>
                  <w:noWrap w:val="0"/>
                  <w:vAlign w:val="center"/>
                </w:tcPr>
                <w:p w14:paraId="46FF1F57">
                  <w:pPr>
                    <w:pStyle w:val="47"/>
                    <w:numPr>
                      <w:ilvl w:val="0"/>
                      <w:numId w:val="0"/>
                    </w:numPr>
                    <w:ind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三）优化产业布局，加强生态环境分区管控，落实生态环境分区管控要求，结合省长江经济带发展负面清单管控要求及区域资源优势和环境制约因素等，进一步完善产业发展规划，优化功能分区和空间布局，合理规划不同功能区的环境保护空间，严禁不符合管控要求的各类开发建设活动，规划实施不得降低淮河、高塘湖、瓦埠湖等地表水体的环境质量</w:t>
                  </w:r>
                  <w:r>
                    <w:rPr>
                      <w:rFonts w:hint="default" w:ascii="Times New Roman" w:hAnsi="Times New Roman" w:cs="Times New Roman"/>
                      <w:color w:val="auto"/>
                      <w:sz w:val="21"/>
                      <w:szCs w:val="21"/>
                      <w:highlight w:val="none"/>
                    </w:rPr>
                    <w:t>。</w:t>
                  </w:r>
                </w:p>
              </w:tc>
              <w:tc>
                <w:tcPr>
                  <w:tcW w:w="1579" w:type="pct"/>
                  <w:tcBorders>
                    <w:tl2br w:val="nil"/>
                    <w:tr2bl w:val="nil"/>
                  </w:tcBorders>
                  <w:noWrap w:val="0"/>
                  <w:vAlign w:val="center"/>
                </w:tcPr>
                <w:p w14:paraId="432BC6AE">
                  <w:pPr>
                    <w:pStyle w:val="47"/>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项目位于</w:t>
                  </w:r>
                  <w:r>
                    <w:rPr>
                      <w:rFonts w:hint="eastAsia" w:ascii="Times New Roman" w:hAnsi="Times New Roman" w:cs="Times New Roman"/>
                      <w:color w:val="auto"/>
                      <w:sz w:val="21"/>
                      <w:szCs w:val="21"/>
                      <w:highlight w:val="none"/>
                      <w:lang w:eastAsia="zh-CN"/>
                    </w:rPr>
                    <w:t>安徽省淮南市高新区合创产业园9号厂房</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根据安徽省“三线一单”公众服务平台成果数据分析，</w:t>
                  </w:r>
                  <w:r>
                    <w:rPr>
                      <w:rFonts w:hint="eastAsia" w:ascii="Times New Roman" w:hAnsi="Times New Roman" w:cs="Times New Roman"/>
                      <w:color w:val="auto"/>
                      <w:sz w:val="21"/>
                      <w:szCs w:val="21"/>
                      <w:highlight w:val="none"/>
                      <w:lang w:val="en-US" w:eastAsia="zh-CN"/>
                    </w:rPr>
                    <w:t>项目</w:t>
                  </w:r>
                  <w:r>
                    <w:rPr>
                      <w:rFonts w:hint="default" w:ascii="Times New Roman" w:hAnsi="Times New Roman" w:cs="Times New Roman"/>
                      <w:color w:val="auto"/>
                      <w:sz w:val="21"/>
                      <w:szCs w:val="21"/>
                      <w:highlight w:val="none"/>
                      <w:lang w:val="en-US" w:eastAsia="zh-CN"/>
                    </w:rPr>
                    <w:t>位于重点管控单元，不涉及优先管控单元、一般管控单元。对照管控单元生态环境准入清单，</w:t>
                  </w:r>
                  <w:r>
                    <w:rPr>
                      <w:rFonts w:hint="eastAsia" w:ascii="Times New Roman" w:hAnsi="Times New Roman" w:cs="Times New Roman"/>
                      <w:color w:val="auto"/>
                      <w:sz w:val="21"/>
                      <w:szCs w:val="21"/>
                      <w:highlight w:val="none"/>
                      <w:lang w:val="en-US" w:eastAsia="zh-CN"/>
                    </w:rPr>
                    <w:t>项目</w:t>
                  </w:r>
                  <w:r>
                    <w:rPr>
                      <w:rFonts w:hint="default" w:ascii="Times New Roman" w:hAnsi="Times New Roman" w:cs="Times New Roman"/>
                      <w:color w:val="auto"/>
                      <w:sz w:val="21"/>
                      <w:szCs w:val="21"/>
                      <w:highlight w:val="none"/>
                      <w:lang w:val="en-US" w:eastAsia="zh-CN"/>
                    </w:rPr>
                    <w:t>不属于管控单元内禁止、限制开发建设活动，项目建设符合管控单元的管控要求。项目废水</w:t>
                  </w:r>
                  <w:r>
                    <w:rPr>
                      <w:rFonts w:hint="default" w:ascii="Times New Roman" w:hAnsi="Times New Roman" w:cs="Times New Roman"/>
                      <w:color w:val="auto"/>
                      <w:sz w:val="21"/>
                      <w:szCs w:val="21"/>
                      <w:highlight w:val="none"/>
                    </w:rPr>
                    <w:t>达到接管标准</w:t>
                  </w:r>
                  <w:r>
                    <w:rPr>
                      <w:rFonts w:hint="eastAsia" w:ascii="Times New Roman" w:hAnsi="Times New Roman" w:cs="Times New Roman"/>
                      <w:color w:val="auto"/>
                      <w:sz w:val="21"/>
                      <w:szCs w:val="21"/>
                      <w:highlight w:val="none"/>
                      <w:lang w:eastAsia="zh-CN"/>
                    </w:rPr>
                    <w:t>后进</w:t>
                  </w:r>
                  <w:r>
                    <w:rPr>
                      <w:rFonts w:hint="default" w:ascii="Times New Roman" w:hAnsi="Times New Roman" w:cs="Times New Roman"/>
                      <w:color w:val="auto"/>
                      <w:sz w:val="21"/>
                      <w:szCs w:val="21"/>
                      <w:highlight w:val="none"/>
                    </w:rPr>
                    <w:t>入山南新区污水处理厂集中处理</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对地表水环境影响不大。</w:t>
                  </w:r>
                </w:p>
              </w:tc>
              <w:tc>
                <w:tcPr>
                  <w:tcW w:w="628" w:type="pct"/>
                  <w:tcBorders>
                    <w:tl2br w:val="nil"/>
                    <w:tr2bl w:val="nil"/>
                  </w:tcBorders>
                  <w:noWrap w:val="0"/>
                  <w:vAlign w:val="center"/>
                </w:tcPr>
                <w:p w14:paraId="696A0D4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3CC4D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90" w:type="pct"/>
                  <w:tcBorders>
                    <w:tl2br w:val="nil"/>
                    <w:tr2bl w:val="nil"/>
                  </w:tcBorders>
                  <w:noWrap w:val="0"/>
                  <w:vAlign w:val="center"/>
                </w:tcPr>
                <w:p w14:paraId="404F5BF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2401" w:type="pct"/>
                  <w:gridSpan w:val="2"/>
                  <w:tcBorders>
                    <w:tl2br w:val="nil"/>
                    <w:tr2bl w:val="nil"/>
                  </w:tcBorders>
                  <w:noWrap w:val="0"/>
                  <w:vAlign w:val="center"/>
                </w:tcPr>
                <w:p w14:paraId="47AD5D67">
                  <w:pPr>
                    <w:pStyle w:val="47"/>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四</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完善环保基础设施建设，强化环境污染防控</w:t>
                  </w:r>
                  <w:r>
                    <w:rPr>
                      <w:rFonts w:hint="default" w:ascii="Times New Roman" w:hAnsi="Times New Roman" w:cs="Times New Roman"/>
                      <w:color w:val="auto"/>
                      <w:highlight w:val="none"/>
                      <w:lang w:eastAsia="zh-CN"/>
                    </w:rPr>
                    <w:t>。</w:t>
                  </w:r>
                  <w:r>
                    <w:rPr>
                      <w:rFonts w:hint="default" w:ascii="Times New Roman" w:hAnsi="Times New Roman" w:cs="Times New Roman"/>
                      <w:color w:val="auto"/>
                      <w:sz w:val="21"/>
                      <w:szCs w:val="21"/>
                      <w:highlight w:val="none"/>
                      <w:lang w:val="en-US" w:eastAsia="zh-CN"/>
                    </w:rPr>
                    <w:t>根据开发时序和开发强度，进一步优化区域供水、排水、供气等规划，完善各项环保基础设施建设，结合区域环境质量现状，细化污染防治措施建设和运行管理要求，保障受纳水体的水环境功能、下游水环境保护目标及相关考核断面水质稳定达标。</w:t>
                  </w:r>
                </w:p>
                <w:p w14:paraId="79CC3838">
                  <w:pPr>
                    <w:pStyle w:val="47"/>
                    <w:ind w:firstLine="0" w:firstLineChars="0"/>
                    <w:jc w:val="center"/>
                    <w:rPr>
                      <w:rFonts w:hint="default" w:ascii="Times New Roman" w:hAnsi="Times New Roman" w:cs="Times New Roman"/>
                      <w:color w:val="auto"/>
                      <w:sz w:val="21"/>
                      <w:szCs w:val="21"/>
                      <w:highlight w:val="none"/>
                    </w:rPr>
                  </w:pPr>
                </w:p>
              </w:tc>
              <w:tc>
                <w:tcPr>
                  <w:tcW w:w="1579" w:type="pct"/>
                  <w:tcBorders>
                    <w:tl2br w:val="nil"/>
                    <w:tr2bl w:val="nil"/>
                  </w:tcBorders>
                  <w:noWrap w:val="0"/>
                  <w:vAlign w:val="center"/>
                </w:tcPr>
                <w:p w14:paraId="6DDB4991">
                  <w:pPr>
                    <w:pStyle w:val="8"/>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项目位于</w:t>
                  </w:r>
                  <w:r>
                    <w:rPr>
                      <w:rFonts w:hint="eastAsia" w:ascii="Times New Roman" w:hAnsi="Times New Roman" w:cs="Times New Roman"/>
                      <w:color w:val="auto"/>
                      <w:sz w:val="21"/>
                      <w:szCs w:val="21"/>
                      <w:highlight w:val="none"/>
                      <w:lang w:eastAsia="zh-CN"/>
                    </w:rPr>
                    <w:t>安徽省淮南市高新区合创产业园9号厂房</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依托园区供水、排水、供气等管网布置，项目有组织废气经处理后达标排放，</w:t>
                  </w:r>
                  <w:r>
                    <w:rPr>
                      <w:rFonts w:hint="default" w:ascii="Times New Roman" w:hAnsi="Times New Roman" w:cs="Times New Roman"/>
                      <w:color w:val="auto"/>
                      <w:highlight w:val="none"/>
                      <w:lang w:val="en-US" w:eastAsia="zh-CN"/>
                    </w:rPr>
                    <w:t>危废固废暂存于危废库，定期委托有资质单位处置；</w:t>
                  </w:r>
                  <w:r>
                    <w:rPr>
                      <w:rFonts w:hint="default" w:ascii="Times New Roman" w:hAnsi="Times New Roman" w:cs="Times New Roman"/>
                      <w:color w:val="auto"/>
                      <w:sz w:val="21"/>
                      <w:szCs w:val="21"/>
                      <w:highlight w:val="none"/>
                    </w:rPr>
                    <w:t>项目废水预处理达到接管标准</w:t>
                  </w:r>
                  <w:r>
                    <w:rPr>
                      <w:rFonts w:hint="eastAsia" w:ascii="Times New Roman" w:hAnsi="Times New Roman" w:cs="Times New Roman"/>
                      <w:color w:val="auto"/>
                      <w:sz w:val="21"/>
                      <w:szCs w:val="21"/>
                      <w:highlight w:val="none"/>
                      <w:lang w:eastAsia="zh-CN"/>
                    </w:rPr>
                    <w:t>后进</w:t>
                  </w:r>
                  <w:r>
                    <w:rPr>
                      <w:rFonts w:hint="default" w:ascii="Times New Roman" w:hAnsi="Times New Roman" w:cs="Times New Roman"/>
                      <w:color w:val="auto"/>
                      <w:sz w:val="21"/>
                      <w:szCs w:val="21"/>
                      <w:highlight w:val="none"/>
                    </w:rPr>
                    <w:t>入山南新区污水处理厂集中处理，对地表水环境影响不大。</w:t>
                  </w:r>
                </w:p>
              </w:tc>
              <w:tc>
                <w:tcPr>
                  <w:tcW w:w="628" w:type="pct"/>
                  <w:tcBorders>
                    <w:tl2br w:val="nil"/>
                    <w:tr2bl w:val="nil"/>
                  </w:tcBorders>
                  <w:noWrap w:val="0"/>
                  <w:vAlign w:val="center"/>
                </w:tcPr>
                <w:p w14:paraId="5F5B327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6B787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90" w:type="pct"/>
                  <w:tcBorders>
                    <w:tl2br w:val="nil"/>
                    <w:tr2bl w:val="nil"/>
                  </w:tcBorders>
                  <w:noWrap w:val="0"/>
                  <w:vAlign w:val="center"/>
                </w:tcPr>
                <w:p w14:paraId="5BE3720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w:t>
                  </w:r>
                </w:p>
              </w:tc>
              <w:tc>
                <w:tcPr>
                  <w:tcW w:w="2401" w:type="pct"/>
                  <w:gridSpan w:val="2"/>
                  <w:tcBorders>
                    <w:tl2br w:val="nil"/>
                    <w:tr2bl w:val="nil"/>
                  </w:tcBorders>
                  <w:noWrap w:val="0"/>
                  <w:vAlign w:val="center"/>
                </w:tcPr>
                <w:p w14:paraId="049C9EC1">
                  <w:pPr>
                    <w:pStyle w:val="47"/>
                    <w:numPr>
                      <w:ilvl w:val="0"/>
                      <w:numId w:val="3"/>
                    </w:numPr>
                    <w:ind w:left="0" w:lef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细化生态环境准入清单，推动高质量发展，根据国家和区域发展规划，结合区域生态环境质量现状、国土空间规划等，严格落实《报告书》生态环境准入要求，严格执行国家产业政策，坚决遏制“两高一低”项目盲目发展，严禁不符合淮河流域生态环境保护要求的项目入园。</w:t>
                  </w:r>
                </w:p>
              </w:tc>
              <w:tc>
                <w:tcPr>
                  <w:tcW w:w="1579" w:type="pct"/>
                  <w:tcBorders>
                    <w:tl2br w:val="nil"/>
                    <w:tr2bl w:val="nil"/>
                  </w:tcBorders>
                  <w:noWrap w:val="0"/>
                  <w:vAlign w:val="center"/>
                </w:tcPr>
                <w:p w14:paraId="75897A32">
                  <w:pPr>
                    <w:pStyle w:val="47"/>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为C3670汽车零部件及配件制造，符合《淮南高新技术产业开发区总体发展规划（2024~2035年）（主导产业变更）环境影响报告书》生态环境准入要求和国家产业政策，不属于“两高一低”项目，不属于淮河流域禁止及严格限制类的产业类型，符合入园要求。</w:t>
                  </w:r>
                </w:p>
              </w:tc>
              <w:tc>
                <w:tcPr>
                  <w:tcW w:w="628" w:type="pct"/>
                  <w:tcBorders>
                    <w:tl2br w:val="nil"/>
                    <w:tr2bl w:val="nil"/>
                  </w:tcBorders>
                  <w:noWrap w:val="0"/>
                  <w:vAlign w:val="center"/>
                </w:tcPr>
                <w:p w14:paraId="1DEDBD3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EC3DC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90" w:type="pct"/>
                  <w:tcBorders>
                    <w:tl2br w:val="nil"/>
                    <w:tr2bl w:val="nil"/>
                  </w:tcBorders>
                  <w:noWrap w:val="0"/>
                  <w:vAlign w:val="center"/>
                </w:tcPr>
                <w:p w14:paraId="07C339D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p>
              </w:tc>
              <w:tc>
                <w:tcPr>
                  <w:tcW w:w="2401" w:type="pct"/>
                  <w:gridSpan w:val="2"/>
                  <w:tcBorders>
                    <w:tl2br w:val="nil"/>
                    <w:tr2bl w:val="nil"/>
                  </w:tcBorders>
                  <w:noWrap w:val="0"/>
                  <w:vAlign w:val="center"/>
                </w:tcPr>
                <w:p w14:paraId="48DC5576">
                  <w:pPr>
                    <w:pStyle w:val="47"/>
                    <w:numPr>
                      <w:ilvl w:val="0"/>
                      <w:numId w:val="3"/>
                    </w:numPr>
                    <w:ind w:left="0" w:lef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提升环境管理水平，加强生态环境风险管控。着力提升开发区环境管理水平，统筹考虑区域内污染物排放、大气环境保护、水环境保护、环境风险防控、环境管理等要求，加强日常环境监管与检测，做好开发区重大环境风险源的识别与管控，落实环境风险防控措施，确保事故废水与外环境有效隔离、及时处置。在规划实施过程中，适时开展规划环境影响评价的跟踪评价，结合规划环评及跟踪评价成果，同步更新“区域评估+环境标准”成果，若规划</w:t>
                  </w:r>
                  <w:r>
                    <w:rPr>
                      <w:rFonts w:hint="eastAsia" w:ascii="Times New Roman" w:hAnsi="Times New Roman" w:cs="Times New Roman"/>
                      <w:color w:val="auto"/>
                      <w:sz w:val="21"/>
                      <w:szCs w:val="21"/>
                      <w:highlight w:val="none"/>
                      <w:lang w:val="en-US" w:eastAsia="zh-CN"/>
                    </w:rPr>
                    <w:t>发生</w:t>
                  </w:r>
                  <w:r>
                    <w:rPr>
                      <w:rFonts w:hint="default" w:ascii="Times New Roman" w:hAnsi="Times New Roman" w:cs="Times New Roman"/>
                      <w:color w:val="auto"/>
                      <w:sz w:val="21"/>
                      <w:szCs w:val="21"/>
                      <w:highlight w:val="none"/>
                      <w:lang w:val="en-US" w:eastAsia="zh-CN"/>
                    </w:rPr>
                    <w:t>调整或修订的，应重新或补充进行环境影响评价。</w:t>
                  </w:r>
                </w:p>
              </w:tc>
              <w:tc>
                <w:tcPr>
                  <w:tcW w:w="1579" w:type="pct"/>
                  <w:tcBorders>
                    <w:tl2br w:val="nil"/>
                    <w:tr2bl w:val="nil"/>
                  </w:tcBorders>
                  <w:noWrap w:val="0"/>
                  <w:vAlign w:val="center"/>
                </w:tcPr>
                <w:p w14:paraId="6B5826EE">
                  <w:pPr>
                    <w:pStyle w:val="47"/>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加强日常管理，</w:t>
                  </w:r>
                  <w:r>
                    <w:rPr>
                      <w:rFonts w:hint="default" w:ascii="Times New Roman" w:hAnsi="Times New Roman" w:cs="Times New Roman"/>
                      <w:color w:val="auto"/>
                      <w:sz w:val="21"/>
                      <w:szCs w:val="21"/>
                      <w:highlight w:val="none"/>
                    </w:rPr>
                    <w:t>严格执行“三同时”制度</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确保</w:t>
                  </w:r>
                  <w:r>
                    <w:rPr>
                      <w:rFonts w:hint="default" w:ascii="Times New Roman" w:hAnsi="Times New Roman" w:cs="Times New Roman"/>
                      <w:color w:val="auto"/>
                      <w:sz w:val="21"/>
                      <w:szCs w:val="21"/>
                      <w:highlight w:val="none"/>
                    </w:rPr>
                    <w:t>项目</w:t>
                  </w:r>
                  <w:r>
                    <w:rPr>
                      <w:rFonts w:hint="default" w:ascii="Times New Roman" w:hAnsi="Times New Roman" w:cs="Times New Roman"/>
                      <w:color w:val="auto"/>
                      <w:sz w:val="21"/>
                      <w:szCs w:val="21"/>
                      <w:highlight w:val="none"/>
                      <w:lang w:val="en-US" w:eastAsia="zh-CN"/>
                    </w:rPr>
                    <w:t>污染物达标排放，做好环境风险防控。项目产生的危废在危废库内暂存后定期委托有资质单位处置；本次提出监测计划，并要求企业执行环境影响评价和排污许可制度。</w:t>
                  </w:r>
                </w:p>
              </w:tc>
              <w:tc>
                <w:tcPr>
                  <w:tcW w:w="628" w:type="pct"/>
                  <w:tcBorders>
                    <w:tl2br w:val="nil"/>
                    <w:tr2bl w:val="nil"/>
                  </w:tcBorders>
                  <w:noWrap w:val="0"/>
                  <w:vAlign w:val="center"/>
                </w:tcPr>
                <w:p w14:paraId="06A1942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AF5AC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390" w:type="pct"/>
                  <w:vMerge w:val="restart"/>
                  <w:tcBorders>
                    <w:tl2br w:val="nil"/>
                    <w:tr2bl w:val="nil"/>
                  </w:tcBorders>
                  <w:noWrap w:val="0"/>
                  <w:vAlign w:val="center"/>
                </w:tcPr>
                <w:p w14:paraId="2ACABF49">
                  <w:pPr>
                    <w:pStyle w:val="47"/>
                    <w:ind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w:t>
                  </w:r>
                </w:p>
              </w:tc>
              <w:tc>
                <w:tcPr>
                  <w:tcW w:w="371" w:type="pct"/>
                  <w:vMerge w:val="restart"/>
                  <w:tcBorders>
                    <w:tl2br w:val="nil"/>
                    <w:tr2bl w:val="nil"/>
                  </w:tcBorders>
                  <w:noWrap w:val="0"/>
                  <w:vAlign w:val="center"/>
                </w:tcPr>
                <w:p w14:paraId="214B30E0">
                  <w:pPr>
                    <w:pStyle w:val="47"/>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 w:val="21"/>
                      <w:szCs w:val="21"/>
                      <w:highlight w:val="none"/>
                    </w:rPr>
                    <w:t>污染物达标排放</w:t>
                  </w:r>
                </w:p>
              </w:tc>
              <w:tc>
                <w:tcPr>
                  <w:tcW w:w="2030" w:type="pct"/>
                  <w:tcBorders>
                    <w:tl2br w:val="nil"/>
                    <w:tr2bl w:val="nil"/>
                  </w:tcBorders>
                  <w:noWrap w:val="0"/>
                  <w:vAlign w:val="center"/>
                </w:tcPr>
                <w:p w14:paraId="54EB185D">
                  <w:pPr>
                    <w:widowControl/>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 w:val="21"/>
                      <w:szCs w:val="21"/>
                      <w:highlight w:val="none"/>
                    </w:rPr>
                    <w:t>废水集中处理率与达标排放率100%</w:t>
                  </w:r>
                </w:p>
              </w:tc>
              <w:tc>
                <w:tcPr>
                  <w:tcW w:w="1579" w:type="pct"/>
                  <w:tcBorders>
                    <w:tl2br w:val="nil"/>
                    <w:tr2bl w:val="nil"/>
                  </w:tcBorders>
                  <w:noWrap w:val="0"/>
                  <w:vAlign w:val="center"/>
                </w:tcPr>
                <w:p w14:paraId="18F34BB6">
                  <w:pPr>
                    <w:pStyle w:val="47"/>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项目废水排入</w:t>
                  </w:r>
                  <w:r>
                    <w:rPr>
                      <w:rFonts w:hint="default" w:ascii="Times New Roman" w:hAnsi="Times New Roman" w:cs="Times New Roman"/>
                      <w:color w:val="auto"/>
                      <w:kern w:val="0"/>
                      <w:sz w:val="21"/>
                      <w:szCs w:val="21"/>
                      <w:highlight w:val="none"/>
                      <w:lang w:eastAsia="zh-CN"/>
                    </w:rPr>
                    <w:t>山南新区污水处理厂，</w:t>
                  </w:r>
                  <w:r>
                    <w:rPr>
                      <w:rFonts w:hint="default" w:ascii="Times New Roman" w:hAnsi="Times New Roman" w:cs="Times New Roman"/>
                      <w:color w:val="auto"/>
                      <w:kern w:val="0"/>
                      <w:sz w:val="21"/>
                      <w:szCs w:val="21"/>
                      <w:highlight w:val="none"/>
                      <w:lang w:val="en-US" w:eastAsia="zh-CN"/>
                    </w:rPr>
                    <w:t>满足</w:t>
                  </w:r>
                  <w:r>
                    <w:rPr>
                      <w:rFonts w:hint="default" w:ascii="Times New Roman" w:hAnsi="Times New Roman" w:cs="Times New Roman"/>
                      <w:color w:val="auto"/>
                      <w:kern w:val="0"/>
                      <w:sz w:val="21"/>
                      <w:szCs w:val="21"/>
                      <w:highlight w:val="none"/>
                      <w:lang w:eastAsia="zh-CN"/>
                    </w:rPr>
                    <w:t>《污水综合排放标准》（GB8978-1996）中</w:t>
                  </w:r>
                  <w:r>
                    <w:rPr>
                      <w:rFonts w:hint="default" w:ascii="Times New Roman" w:hAnsi="Times New Roman" w:cs="Times New Roman"/>
                      <w:color w:val="auto"/>
                      <w:kern w:val="0"/>
                      <w:sz w:val="21"/>
                      <w:szCs w:val="21"/>
                      <w:highlight w:val="none"/>
                      <w:lang w:val="en-US" w:eastAsia="zh-CN"/>
                    </w:rPr>
                    <w:t>表4</w:t>
                  </w:r>
                  <w:r>
                    <w:rPr>
                      <w:rFonts w:hint="default" w:ascii="Times New Roman" w:hAnsi="Times New Roman" w:cs="Times New Roman"/>
                      <w:color w:val="auto"/>
                      <w:kern w:val="0"/>
                      <w:sz w:val="21"/>
                      <w:szCs w:val="21"/>
                      <w:highlight w:val="none"/>
                      <w:lang w:eastAsia="zh-CN"/>
                    </w:rPr>
                    <w:t>三级标准</w:t>
                  </w:r>
                  <w:r>
                    <w:rPr>
                      <w:rFonts w:hint="default" w:ascii="Times New Roman" w:hAnsi="Times New Roman" w:cs="Times New Roman"/>
                      <w:color w:val="auto"/>
                      <w:kern w:val="0"/>
                      <w:sz w:val="21"/>
                      <w:szCs w:val="21"/>
                      <w:highlight w:val="none"/>
                      <w:lang w:val="en-US" w:eastAsia="zh-CN"/>
                    </w:rPr>
                    <w:t>及</w:t>
                  </w:r>
                  <w:r>
                    <w:rPr>
                      <w:rFonts w:hint="default" w:ascii="Times New Roman" w:hAnsi="Times New Roman" w:cs="Times New Roman"/>
                      <w:color w:val="auto"/>
                      <w:kern w:val="0"/>
                      <w:sz w:val="21"/>
                      <w:szCs w:val="21"/>
                      <w:highlight w:val="none"/>
                      <w:lang w:eastAsia="zh-CN"/>
                    </w:rPr>
                    <w:t>山南新区污水处理厂</w:t>
                  </w:r>
                  <w:r>
                    <w:rPr>
                      <w:rFonts w:hint="default" w:ascii="Times New Roman" w:hAnsi="Times New Roman" w:cs="Times New Roman"/>
                      <w:color w:val="auto"/>
                      <w:kern w:val="0"/>
                      <w:sz w:val="21"/>
                      <w:szCs w:val="21"/>
                      <w:highlight w:val="none"/>
                      <w:lang w:val="en-US" w:eastAsia="zh-CN"/>
                    </w:rPr>
                    <w:t>接管标准</w:t>
                  </w:r>
                </w:p>
              </w:tc>
              <w:tc>
                <w:tcPr>
                  <w:tcW w:w="628" w:type="pct"/>
                  <w:tcBorders>
                    <w:tl2br w:val="nil"/>
                    <w:tr2bl w:val="nil"/>
                  </w:tcBorders>
                  <w:noWrap w:val="0"/>
                  <w:vAlign w:val="center"/>
                </w:tcPr>
                <w:p w14:paraId="61327E20">
                  <w:pPr>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符合</w:t>
                  </w:r>
                </w:p>
              </w:tc>
            </w:tr>
            <w:tr w14:paraId="4DDD2E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390" w:type="pct"/>
                  <w:vMerge w:val="continue"/>
                  <w:tcBorders>
                    <w:tl2br w:val="nil"/>
                    <w:tr2bl w:val="nil"/>
                  </w:tcBorders>
                  <w:noWrap w:val="0"/>
                  <w:vAlign w:val="center"/>
                </w:tcPr>
                <w:p w14:paraId="6DCA2845">
                  <w:pPr>
                    <w:pStyle w:val="47"/>
                    <w:ind w:firstLine="0" w:firstLineChars="0"/>
                    <w:jc w:val="center"/>
                    <w:rPr>
                      <w:rFonts w:hint="default" w:ascii="Times New Roman" w:hAnsi="Times New Roman" w:cs="Times New Roman"/>
                      <w:color w:val="auto"/>
                      <w:sz w:val="21"/>
                      <w:szCs w:val="21"/>
                      <w:highlight w:val="none"/>
                      <w:lang w:val="en-US" w:eastAsia="zh-CN"/>
                    </w:rPr>
                  </w:pPr>
                </w:p>
              </w:tc>
              <w:tc>
                <w:tcPr>
                  <w:tcW w:w="371" w:type="pct"/>
                  <w:vMerge w:val="continue"/>
                  <w:tcBorders>
                    <w:tl2br w:val="nil"/>
                    <w:tr2bl w:val="nil"/>
                  </w:tcBorders>
                  <w:noWrap w:val="0"/>
                  <w:vAlign w:val="center"/>
                </w:tcPr>
                <w:p w14:paraId="1BA7F3DA">
                  <w:pPr>
                    <w:pStyle w:val="47"/>
                    <w:ind w:firstLine="0" w:firstLineChars="0"/>
                    <w:jc w:val="center"/>
                    <w:rPr>
                      <w:rFonts w:hint="default" w:ascii="Times New Roman" w:hAnsi="Times New Roman" w:cs="Times New Roman"/>
                      <w:color w:val="auto"/>
                      <w:sz w:val="21"/>
                      <w:szCs w:val="21"/>
                      <w:highlight w:val="none"/>
                      <w:lang w:val="en-US" w:eastAsia="zh-CN"/>
                    </w:rPr>
                  </w:pPr>
                </w:p>
              </w:tc>
              <w:tc>
                <w:tcPr>
                  <w:tcW w:w="2030" w:type="pct"/>
                  <w:tcBorders>
                    <w:tl2br w:val="nil"/>
                    <w:tr2bl w:val="nil"/>
                  </w:tcBorders>
                  <w:noWrap w:val="0"/>
                  <w:vAlign w:val="center"/>
                </w:tcPr>
                <w:p w14:paraId="33784591">
                  <w:pPr>
                    <w:widowControl/>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 w:val="21"/>
                      <w:szCs w:val="21"/>
                      <w:highlight w:val="none"/>
                    </w:rPr>
                    <w:t>废</w:t>
                  </w:r>
                  <w:r>
                    <w:rPr>
                      <w:rFonts w:hint="default" w:ascii="Times New Roman" w:hAnsi="Times New Roman" w:cs="Times New Roman"/>
                      <w:color w:val="auto"/>
                      <w:kern w:val="0"/>
                      <w:sz w:val="21"/>
                      <w:szCs w:val="21"/>
                      <w:highlight w:val="none"/>
                      <w:lang w:val="en-US" w:eastAsia="zh-CN"/>
                    </w:rPr>
                    <w:t>气</w:t>
                  </w:r>
                  <w:r>
                    <w:rPr>
                      <w:rFonts w:hint="default" w:ascii="Times New Roman" w:hAnsi="Times New Roman" w:cs="Times New Roman"/>
                      <w:color w:val="auto"/>
                      <w:kern w:val="0"/>
                      <w:sz w:val="21"/>
                      <w:szCs w:val="21"/>
                      <w:highlight w:val="none"/>
                    </w:rPr>
                    <w:t>集中处理率与达标排放率100%</w:t>
                  </w:r>
                </w:p>
              </w:tc>
              <w:tc>
                <w:tcPr>
                  <w:tcW w:w="1579" w:type="pct"/>
                  <w:tcBorders>
                    <w:tl2br w:val="nil"/>
                    <w:tr2bl w:val="nil"/>
                  </w:tcBorders>
                  <w:noWrap w:val="0"/>
                  <w:vAlign w:val="center"/>
                </w:tcPr>
                <w:p w14:paraId="533F08AF">
                  <w:pPr>
                    <w:pStyle w:val="47"/>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废气经处理后均能</w:t>
                  </w:r>
                  <w:r>
                    <w:rPr>
                      <w:rFonts w:hint="default" w:ascii="Times New Roman" w:hAnsi="Times New Roman" w:eastAsia="宋体" w:cs="Times New Roman"/>
                      <w:color w:val="auto"/>
                      <w:kern w:val="0"/>
                      <w:sz w:val="21"/>
                      <w:szCs w:val="21"/>
                      <w:highlight w:val="none"/>
                      <w:lang w:val="en-US" w:eastAsia="zh-CN" w:bidi="ar-SA"/>
                    </w:rPr>
                    <w:t>达标排放</w:t>
                  </w:r>
                </w:p>
              </w:tc>
              <w:tc>
                <w:tcPr>
                  <w:tcW w:w="628" w:type="pct"/>
                  <w:vMerge w:val="restart"/>
                  <w:tcBorders>
                    <w:tl2br w:val="nil"/>
                    <w:tr2bl w:val="nil"/>
                  </w:tcBorders>
                  <w:noWrap w:val="0"/>
                  <w:vAlign w:val="center"/>
                </w:tcPr>
                <w:p w14:paraId="1A921473">
                  <w:pPr>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符合</w:t>
                  </w:r>
                </w:p>
              </w:tc>
            </w:tr>
            <w:tr w14:paraId="5CA9F6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390" w:type="pct"/>
                  <w:vMerge w:val="continue"/>
                  <w:tcBorders>
                    <w:tl2br w:val="nil"/>
                    <w:tr2bl w:val="nil"/>
                  </w:tcBorders>
                  <w:noWrap w:val="0"/>
                  <w:vAlign w:val="center"/>
                </w:tcPr>
                <w:p w14:paraId="5DA79705">
                  <w:pPr>
                    <w:pStyle w:val="47"/>
                    <w:ind w:firstLine="0" w:firstLineChars="0"/>
                    <w:jc w:val="center"/>
                    <w:rPr>
                      <w:rFonts w:hint="default" w:ascii="Times New Roman" w:hAnsi="Times New Roman" w:cs="Times New Roman"/>
                      <w:color w:val="auto"/>
                      <w:sz w:val="21"/>
                      <w:szCs w:val="21"/>
                      <w:highlight w:val="none"/>
                      <w:lang w:val="en-US" w:eastAsia="zh-CN"/>
                    </w:rPr>
                  </w:pPr>
                </w:p>
              </w:tc>
              <w:tc>
                <w:tcPr>
                  <w:tcW w:w="371" w:type="pct"/>
                  <w:vMerge w:val="continue"/>
                  <w:tcBorders>
                    <w:tl2br w:val="nil"/>
                    <w:tr2bl w:val="nil"/>
                  </w:tcBorders>
                  <w:noWrap w:val="0"/>
                  <w:vAlign w:val="center"/>
                </w:tcPr>
                <w:p w14:paraId="4497E6D1">
                  <w:pPr>
                    <w:pStyle w:val="47"/>
                    <w:ind w:firstLine="0" w:firstLineChars="0"/>
                    <w:jc w:val="center"/>
                    <w:rPr>
                      <w:rFonts w:hint="default" w:ascii="Times New Roman" w:hAnsi="Times New Roman" w:cs="Times New Roman"/>
                      <w:color w:val="auto"/>
                      <w:sz w:val="21"/>
                      <w:szCs w:val="21"/>
                      <w:highlight w:val="none"/>
                      <w:lang w:val="en-US" w:eastAsia="zh-CN"/>
                    </w:rPr>
                  </w:pPr>
                </w:p>
              </w:tc>
              <w:tc>
                <w:tcPr>
                  <w:tcW w:w="2030" w:type="pct"/>
                  <w:tcBorders>
                    <w:tl2br w:val="nil"/>
                    <w:tr2bl w:val="nil"/>
                  </w:tcBorders>
                  <w:noWrap w:val="0"/>
                  <w:vAlign w:val="center"/>
                </w:tcPr>
                <w:p w14:paraId="1E40B768">
                  <w:pPr>
                    <w:widowControl/>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 w:val="21"/>
                      <w:szCs w:val="21"/>
                      <w:highlight w:val="none"/>
                    </w:rPr>
                    <w:t>危险废物处置率100%</w:t>
                  </w:r>
                </w:p>
              </w:tc>
              <w:tc>
                <w:tcPr>
                  <w:tcW w:w="1579" w:type="pct"/>
                  <w:tcBorders>
                    <w:tl2br w:val="nil"/>
                    <w:tr2bl w:val="nil"/>
                  </w:tcBorders>
                  <w:noWrap w:val="0"/>
                  <w:vAlign w:val="center"/>
                </w:tcPr>
                <w:p w14:paraId="0271C91C">
                  <w:pPr>
                    <w:pStyle w:val="47"/>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危险废物在危废暂存间临时储存，定期委托资质单位处置</w:t>
                  </w:r>
                </w:p>
              </w:tc>
              <w:tc>
                <w:tcPr>
                  <w:tcW w:w="628" w:type="pct"/>
                  <w:vMerge w:val="continue"/>
                  <w:tcBorders>
                    <w:tl2br w:val="nil"/>
                    <w:tr2bl w:val="nil"/>
                  </w:tcBorders>
                  <w:noWrap w:val="0"/>
                  <w:vAlign w:val="center"/>
                </w:tcPr>
                <w:p w14:paraId="221239E9">
                  <w:pPr>
                    <w:pStyle w:val="47"/>
                    <w:ind w:firstLine="0" w:firstLineChars="0"/>
                    <w:jc w:val="center"/>
                    <w:rPr>
                      <w:rFonts w:hint="default" w:ascii="Times New Roman" w:hAnsi="Times New Roman" w:cs="Times New Roman"/>
                      <w:color w:val="auto"/>
                      <w:sz w:val="21"/>
                      <w:szCs w:val="21"/>
                      <w:highlight w:val="none"/>
                      <w:lang w:val="en-US" w:eastAsia="zh-CN"/>
                    </w:rPr>
                  </w:pPr>
                </w:p>
              </w:tc>
            </w:tr>
          </w:tbl>
          <w:p w14:paraId="3D7D4A0A">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0" w:firstLineChars="0"/>
              <w:textAlignment w:val="auto"/>
              <w:rPr>
                <w:rFonts w:hint="default" w:ascii="Times New Roman" w:hAnsi="Times New Roman" w:eastAsia="宋体" w:cs="Times New Roman"/>
                <w:color w:val="auto"/>
                <w:sz w:val="24"/>
                <w:highlight w:val="none"/>
                <w:lang w:eastAsia="zh-CN"/>
              </w:rPr>
            </w:pPr>
          </w:p>
        </w:tc>
      </w:tr>
      <w:tr w14:paraId="77A475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26" w:type="pct"/>
            <w:noWrap w:val="0"/>
            <w:vAlign w:val="center"/>
          </w:tcPr>
          <w:p w14:paraId="2B83BA4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kern w:val="0"/>
                <w:sz w:val="24"/>
                <w:highlight w:val="none"/>
              </w:rPr>
            </w:pPr>
            <w:r>
              <w:rPr>
                <w:rFonts w:hint="default" w:ascii="Times New Roman" w:hAnsi="Times New Roman" w:cs="Times New Roman"/>
                <w:b/>
                <w:bCs/>
                <w:color w:val="auto"/>
                <w:kern w:val="0"/>
                <w:sz w:val="24"/>
                <w:highlight w:val="none"/>
              </w:rPr>
              <w:t>其他符合性分析</w:t>
            </w:r>
          </w:p>
        </w:tc>
        <w:tc>
          <w:tcPr>
            <w:tcW w:w="4273" w:type="pct"/>
            <w:gridSpan w:val="3"/>
            <w:noWrap w:val="0"/>
            <w:vAlign w:val="center"/>
          </w:tcPr>
          <w:p w14:paraId="5695F6A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1、产业政策</w:t>
            </w:r>
            <w:r>
              <w:rPr>
                <w:rFonts w:hint="default" w:ascii="Times New Roman" w:hAnsi="Times New Roman" w:cs="Times New Roman"/>
                <w:b/>
                <w:bCs/>
                <w:color w:val="auto"/>
                <w:kern w:val="0"/>
                <w:sz w:val="24"/>
                <w:highlight w:val="none"/>
                <w:lang w:val="en-US" w:eastAsia="zh-CN"/>
              </w:rPr>
              <w:t>符合性</w:t>
            </w:r>
            <w:r>
              <w:rPr>
                <w:rFonts w:hint="default" w:ascii="Times New Roman" w:hAnsi="Times New Roman" w:cs="Times New Roman"/>
                <w:b/>
                <w:bCs/>
                <w:color w:val="auto"/>
                <w:kern w:val="0"/>
                <w:sz w:val="24"/>
                <w:highlight w:val="none"/>
              </w:rPr>
              <w:t>分析</w:t>
            </w:r>
          </w:p>
          <w:p w14:paraId="0478B182">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项目</w:t>
            </w:r>
            <w:r>
              <w:rPr>
                <w:rFonts w:hint="default" w:ascii="Times New Roman" w:hAnsi="Times New Roman" w:eastAsia="宋体" w:cs="Times New Roman"/>
                <w:bCs/>
                <w:color w:val="auto"/>
                <w:sz w:val="24"/>
                <w:highlight w:val="none"/>
                <w:lang w:eastAsia="zh-CN"/>
              </w:rPr>
              <w:t>行业类别为</w:t>
            </w:r>
            <w:r>
              <w:rPr>
                <w:rFonts w:hint="default" w:ascii="Times New Roman" w:hAnsi="Times New Roman" w:eastAsia="宋体" w:cs="Times New Roman"/>
                <w:bCs/>
                <w:color w:val="auto"/>
                <w:sz w:val="24"/>
                <w:highlight w:val="none"/>
                <w:lang w:val="en-US" w:eastAsia="zh-CN"/>
              </w:rPr>
              <w:t>C3670</w:t>
            </w:r>
            <w:r>
              <w:rPr>
                <w:rFonts w:hint="default" w:ascii="Times New Roman" w:hAnsi="Times New Roman" w:eastAsia="宋体" w:cs="Times New Roman"/>
                <w:bCs/>
                <w:color w:val="auto"/>
                <w:sz w:val="24"/>
                <w:highlight w:val="none"/>
                <w:lang w:eastAsia="zh-CN"/>
              </w:rPr>
              <w:t>汽车零部件及配件制造，对照</w:t>
            </w:r>
            <w:r>
              <w:rPr>
                <w:rFonts w:hint="default" w:ascii="Times New Roman" w:hAnsi="Times New Roman" w:cs="Times New Roman"/>
                <w:bCs/>
                <w:color w:val="auto"/>
                <w:sz w:val="24"/>
                <w:highlight w:val="none"/>
                <w:lang w:eastAsia="zh-CN"/>
              </w:rPr>
              <w:t>《产业结构调整指导目录（2024年本）》</w:t>
            </w:r>
            <w:r>
              <w:rPr>
                <w:rFonts w:hint="default" w:ascii="Times New Roman" w:hAnsi="Times New Roman" w:eastAsia="宋体" w:cs="Times New Roman"/>
                <w:bCs/>
                <w:color w:val="auto"/>
                <w:sz w:val="24"/>
                <w:highlight w:val="none"/>
                <w:lang w:eastAsia="zh-CN"/>
              </w:rPr>
              <w:t>，</w:t>
            </w:r>
            <w:r>
              <w:rPr>
                <w:rFonts w:hint="default" w:ascii="Times New Roman" w:hAnsi="Times New Roman" w:cs="Times New Roman"/>
                <w:color w:val="auto"/>
                <w:kern w:val="0"/>
                <w:sz w:val="24"/>
              </w:rPr>
              <w:t>本项目产品及生产工艺不属于其中的鼓励类、淘汰类和限制类，可视为允许类</w:t>
            </w:r>
            <w:r>
              <w:rPr>
                <w:rFonts w:hint="default" w:ascii="Times New Roman" w:hAnsi="Times New Roman" w:eastAsia="宋体"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对照《部分工业行业淘汰落后生产工艺装备和产品指导目录（2010年本）》及《全国落后生产工艺装备淘汰目录清单》，不涉及淘汰落后生产工艺装备和产品。</w:t>
            </w:r>
          </w:p>
          <w:p w14:paraId="75892F2D">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项目</w:t>
            </w:r>
            <w:r>
              <w:rPr>
                <w:rFonts w:hint="default" w:ascii="Times New Roman" w:hAnsi="Times New Roman" w:cs="Times New Roman"/>
                <w:bCs/>
                <w:color w:val="auto"/>
                <w:sz w:val="24"/>
                <w:highlight w:val="none"/>
                <w:lang w:eastAsia="zh-CN"/>
              </w:rPr>
              <w:t>已于</w:t>
            </w:r>
            <w:r>
              <w:rPr>
                <w:rFonts w:hint="eastAsia" w:ascii="Times New Roman" w:hAnsi="Times New Roman" w:cs="Times New Roman"/>
                <w:bCs/>
                <w:color w:val="auto"/>
                <w:sz w:val="24"/>
                <w:highlight w:val="none"/>
                <w:lang w:eastAsia="zh-CN"/>
              </w:rPr>
              <w:t>2025年4月21日</w:t>
            </w:r>
            <w:r>
              <w:rPr>
                <w:rFonts w:hint="default" w:ascii="Times New Roman" w:hAnsi="Times New Roman" w:cs="Times New Roman"/>
                <w:bCs/>
                <w:color w:val="auto"/>
                <w:sz w:val="24"/>
                <w:highlight w:val="none"/>
                <w:lang w:eastAsia="zh-CN"/>
              </w:rPr>
              <w:t>获得</w:t>
            </w:r>
            <w:r>
              <w:rPr>
                <w:rFonts w:hint="default" w:ascii="Times New Roman" w:hAnsi="Times New Roman" w:cs="Times New Roman"/>
                <w:bCs/>
                <w:color w:val="auto"/>
                <w:sz w:val="24"/>
                <w:highlight w:val="none"/>
                <w:lang w:val="en-US" w:eastAsia="zh-CN"/>
              </w:rPr>
              <w:t>淮南高新技术产业开发区管理委员会经济发展局</w:t>
            </w:r>
            <w:r>
              <w:rPr>
                <w:rFonts w:hint="default" w:ascii="Times New Roman" w:hAnsi="Times New Roman" w:cs="Times New Roman"/>
                <w:bCs/>
                <w:color w:val="auto"/>
                <w:sz w:val="24"/>
                <w:highlight w:val="none"/>
                <w:lang w:eastAsia="zh-CN"/>
              </w:rPr>
              <w:t>（项目代码：</w:t>
            </w:r>
            <w:r>
              <w:rPr>
                <w:rFonts w:hint="eastAsia" w:ascii="Times New Roman" w:hAnsi="Times New Roman" w:cs="Times New Roman"/>
                <w:bCs/>
                <w:color w:val="auto"/>
                <w:sz w:val="24"/>
                <w:highlight w:val="none"/>
                <w:lang w:eastAsia="zh-CN"/>
              </w:rPr>
              <w:t>2504-340463-04-01-197929</w:t>
            </w:r>
            <w:r>
              <w:rPr>
                <w:rFonts w:hint="default" w:ascii="Times New Roman" w:hAnsi="Times New Roman" w:cs="Times New Roman"/>
                <w:bCs/>
                <w:color w:val="auto"/>
                <w:sz w:val="24"/>
                <w:highlight w:val="none"/>
                <w:lang w:eastAsia="zh-CN"/>
              </w:rPr>
              <w:t>），因此本项目符合国家和当地的相关产业政策要求</w:t>
            </w:r>
            <w:r>
              <w:rPr>
                <w:rFonts w:hint="default" w:ascii="Times New Roman" w:hAnsi="Times New Roman" w:cs="Times New Roman"/>
                <w:bCs/>
                <w:color w:val="auto"/>
                <w:sz w:val="24"/>
                <w:highlight w:val="none"/>
              </w:rPr>
              <w:t>。</w:t>
            </w:r>
          </w:p>
          <w:p w14:paraId="7C04F3CD">
            <w:pPr>
              <w:keepNext w:val="0"/>
              <w:keepLines w:val="0"/>
              <w:pageBreakBefore w:val="0"/>
              <w:widowControl w:val="0"/>
              <w:kinsoku/>
              <w:wordWrap/>
              <w:overflowPunct/>
              <w:topLinePunct/>
              <w:autoSpaceDE w:val="0"/>
              <w:autoSpaceDN/>
              <w:bidi w:val="0"/>
              <w:adjustRightInd w:val="0"/>
              <w:snapToGrid w:val="0"/>
              <w:spacing w:line="360" w:lineRule="auto"/>
              <w:ind w:left="0" w:leftChars="0" w:right="0" w:firstLine="482" w:firstLineChars="200"/>
              <w:jc w:val="left"/>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2、选址环境相容性分析</w:t>
            </w:r>
          </w:p>
          <w:p w14:paraId="26C61ECF">
            <w:pPr>
              <w:keepNext w:val="0"/>
              <w:keepLines w:val="0"/>
              <w:pageBreakBefore w:val="0"/>
              <w:widowControl w:val="0"/>
              <w:kinsoku/>
              <w:wordWrap/>
              <w:overflowPunct/>
              <w:topLinePunct/>
              <w:autoSpaceDE w:val="0"/>
              <w:autoSpaceDN/>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项目</w:t>
            </w:r>
            <w:r>
              <w:rPr>
                <w:rFonts w:hint="default" w:ascii="Times New Roman" w:hAnsi="Times New Roman" w:eastAsia="宋体" w:cs="Times New Roman"/>
                <w:color w:val="auto"/>
                <w:kern w:val="0"/>
                <w:sz w:val="24"/>
                <w:highlight w:val="none"/>
                <w:lang w:val="en-US" w:eastAsia="zh-CN"/>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eastAsia="宋体" w:cs="Times New Roman"/>
                <w:color w:val="auto"/>
                <w:kern w:val="0"/>
                <w:sz w:val="24"/>
                <w:highlight w:val="none"/>
                <w:lang w:val="en-US" w:eastAsia="zh-CN"/>
              </w:rPr>
              <w:t>，</w:t>
            </w:r>
            <w:r>
              <w:rPr>
                <w:rFonts w:hint="default" w:ascii="Times New Roman" w:hAnsi="Times New Roman" w:cs="Times New Roman"/>
                <w:color w:val="auto"/>
                <w:kern w:val="0"/>
                <w:sz w:val="24"/>
                <w:highlight w:val="none"/>
                <w:lang w:val="en-US" w:eastAsia="zh-CN"/>
              </w:rPr>
              <w:t>属于</w:t>
            </w:r>
            <w:r>
              <w:rPr>
                <w:rFonts w:hint="default" w:ascii="Times New Roman" w:hAnsi="Times New Roman" w:cs="Times New Roman"/>
                <w:color w:val="auto"/>
                <w:sz w:val="24"/>
                <w:highlight w:val="none"/>
                <w:lang w:eastAsia="zh-CN"/>
              </w:rPr>
              <w:t>淮南市高新区合创产业园</w:t>
            </w:r>
            <w:r>
              <w:rPr>
                <w:rFonts w:hint="default" w:ascii="Times New Roman" w:hAnsi="Times New Roman" w:eastAsia="宋体" w:cs="Times New Roman"/>
                <w:color w:val="auto"/>
                <w:kern w:val="0"/>
                <w:sz w:val="24"/>
                <w:highlight w:val="none"/>
                <w:lang w:val="en-US" w:eastAsia="zh-CN"/>
              </w:rPr>
              <w:t>，用地为工业用地，选址不占用</w:t>
            </w:r>
            <w:r>
              <w:rPr>
                <w:rFonts w:hint="default" w:ascii="Times New Roman" w:hAnsi="Times New Roman" w:cs="Times New Roman"/>
                <w:color w:val="auto"/>
                <w:kern w:val="0"/>
                <w:sz w:val="24"/>
                <w:highlight w:val="none"/>
                <w:lang w:val="en-US" w:eastAsia="zh-CN"/>
              </w:rPr>
              <w:t>、不涉及</w:t>
            </w:r>
            <w:r>
              <w:rPr>
                <w:rFonts w:hint="default" w:ascii="Times New Roman" w:hAnsi="Times New Roman" w:eastAsia="宋体" w:cs="Times New Roman"/>
                <w:color w:val="auto"/>
                <w:kern w:val="0"/>
                <w:sz w:val="24"/>
                <w:highlight w:val="none"/>
                <w:lang w:val="en-US" w:eastAsia="zh-CN"/>
              </w:rPr>
              <w:t>国家公园、自然保护区、风景名胜区、世界文化和自然遗产地、饮用水水源保护区、永久基本农田、生态保护红线等环境敏感区，选址符合淮南市生态环境分区管控等要求。</w:t>
            </w:r>
          </w:p>
          <w:p w14:paraId="6514277A">
            <w:pPr>
              <w:keepNext w:val="0"/>
              <w:keepLines w:val="0"/>
              <w:pageBreakBefore w:val="0"/>
              <w:widowControl w:val="0"/>
              <w:kinsoku/>
              <w:wordWrap/>
              <w:overflowPunct/>
              <w:topLinePunct/>
              <w:autoSpaceDE w:val="0"/>
              <w:autoSpaceDN/>
              <w:bidi w:val="0"/>
              <w:adjustRightInd w:val="0"/>
              <w:snapToGrid w:val="0"/>
              <w:spacing w:line="360" w:lineRule="auto"/>
              <w:ind w:left="0" w:leftChars="0" w:right="0" w:firstLine="480" w:firstLineChars="200"/>
              <w:jc w:val="left"/>
              <w:textAlignment w:val="auto"/>
              <w:rPr>
                <w:rFonts w:hint="default" w:ascii="Times New Roman" w:hAnsi="Times New Roman" w:cs="Times New Roman"/>
                <w:b/>
                <w:bCs/>
                <w:color w:val="auto"/>
                <w:sz w:val="24"/>
                <w:highlight w:val="none"/>
                <w:lang w:val="en-US"/>
              </w:rPr>
            </w:pPr>
            <w:r>
              <w:rPr>
                <w:rFonts w:hint="default" w:ascii="Times New Roman" w:hAnsi="Times New Roman" w:eastAsia="宋体" w:cs="Times New Roman"/>
                <w:color w:val="auto"/>
                <w:kern w:val="0"/>
                <w:sz w:val="24"/>
                <w:highlight w:val="none"/>
                <w:lang w:val="en-US" w:eastAsia="zh-CN"/>
              </w:rPr>
              <w:t>根据现场踏勘，项目东侧</w:t>
            </w:r>
            <w:r>
              <w:rPr>
                <w:rFonts w:hint="default" w:ascii="Times New Roman" w:hAnsi="Times New Roman" w:cs="Times New Roman"/>
                <w:color w:val="auto"/>
                <w:kern w:val="0"/>
                <w:sz w:val="24"/>
                <w:highlight w:val="none"/>
                <w:lang w:val="en-US" w:eastAsia="zh-CN"/>
              </w:rPr>
              <w:t>和</w:t>
            </w:r>
            <w:r>
              <w:rPr>
                <w:rFonts w:hint="eastAsia" w:ascii="Times New Roman" w:hAnsi="Times New Roman" w:cs="Times New Roman"/>
                <w:color w:val="auto"/>
                <w:kern w:val="0"/>
                <w:sz w:val="24"/>
                <w:highlight w:val="none"/>
                <w:lang w:val="en-US" w:eastAsia="zh-CN"/>
              </w:rPr>
              <w:t>南侧</w:t>
            </w:r>
            <w:r>
              <w:rPr>
                <w:rFonts w:hint="default" w:ascii="Times New Roman" w:hAnsi="Times New Roman" w:cs="Times New Roman"/>
                <w:color w:val="auto"/>
                <w:kern w:val="0"/>
                <w:sz w:val="24"/>
                <w:highlight w:val="none"/>
                <w:lang w:val="en-US" w:eastAsia="zh-CN"/>
              </w:rPr>
              <w:t>均为合创产业园在建的汽车零部件企业，</w:t>
            </w:r>
            <w:r>
              <w:rPr>
                <w:rFonts w:hint="eastAsia" w:ascii="Times New Roman" w:hAnsi="Times New Roman" w:cs="Times New Roman"/>
                <w:color w:val="auto"/>
                <w:kern w:val="0"/>
                <w:sz w:val="24"/>
                <w:highlight w:val="none"/>
                <w:lang w:val="en-US" w:eastAsia="zh-CN"/>
              </w:rPr>
              <w:t>西侧为青桐大道，隔路为空地，北侧为春申大街，隔路为</w:t>
            </w:r>
            <w:r>
              <w:rPr>
                <w:rFonts w:hint="default" w:ascii="Times New Roman" w:hAnsi="Times New Roman" w:eastAsia="宋体" w:cs="Times New Roman"/>
                <w:color w:val="auto"/>
                <w:kern w:val="0"/>
                <w:sz w:val="24"/>
                <w:highlight w:val="none"/>
                <w:lang w:val="en-US" w:eastAsia="zh-CN"/>
              </w:rPr>
              <w:t>紫薇苑</w:t>
            </w:r>
            <w:r>
              <w:rPr>
                <w:rFonts w:hint="eastAsia" w:ascii="Times New Roman" w:hAnsi="Times New Roman" w:cs="Times New Roman"/>
                <w:color w:val="auto"/>
                <w:kern w:val="0"/>
                <w:sz w:val="24"/>
                <w:highlight w:val="none"/>
                <w:lang w:val="en-US" w:eastAsia="zh-CN"/>
              </w:rPr>
              <w:t>A</w:t>
            </w:r>
            <w:r>
              <w:rPr>
                <w:rFonts w:hint="default" w:ascii="Times New Roman" w:hAnsi="Times New Roman" w:eastAsia="宋体" w:cs="Times New Roman"/>
                <w:color w:val="auto"/>
                <w:kern w:val="0"/>
                <w:sz w:val="24"/>
                <w:highlight w:val="none"/>
                <w:lang w:val="en-US" w:eastAsia="zh-CN"/>
              </w:rPr>
              <w:t>区</w:t>
            </w:r>
            <w:r>
              <w:rPr>
                <w:rFonts w:hint="default" w:ascii="Times New Roman" w:hAnsi="Times New Roman" w:cs="Times New Roman"/>
                <w:color w:val="auto"/>
                <w:kern w:val="0"/>
                <w:sz w:val="24"/>
                <w:highlight w:val="none"/>
                <w:lang w:val="en-US" w:eastAsia="zh-CN"/>
              </w:rPr>
              <w:t>。距离最近敏感目标为北侧约</w:t>
            </w:r>
            <w:r>
              <w:rPr>
                <w:rFonts w:hint="eastAsia" w:ascii="Times New Roman" w:hAnsi="Times New Roman" w:cs="Times New Roman"/>
                <w:color w:val="auto"/>
                <w:kern w:val="0"/>
                <w:sz w:val="24"/>
                <w:highlight w:val="none"/>
                <w:lang w:val="en-US" w:eastAsia="zh-CN"/>
              </w:rPr>
              <w:t>115</w:t>
            </w:r>
            <w:r>
              <w:rPr>
                <w:rFonts w:hint="default" w:ascii="Times New Roman" w:hAnsi="Times New Roman" w:cs="Times New Roman"/>
                <w:color w:val="auto"/>
                <w:kern w:val="0"/>
                <w:sz w:val="24"/>
                <w:highlight w:val="none"/>
                <w:lang w:val="en-US" w:eastAsia="zh-CN"/>
              </w:rPr>
              <w:t>m处</w:t>
            </w:r>
            <w:r>
              <w:rPr>
                <w:rFonts w:hint="eastAsia" w:ascii="Times New Roman" w:hAnsi="Times New Roman" w:cs="Times New Roman"/>
                <w:color w:val="auto"/>
                <w:kern w:val="0"/>
                <w:sz w:val="24"/>
                <w:highlight w:val="none"/>
                <w:lang w:val="en-US" w:eastAsia="zh-CN"/>
              </w:rPr>
              <w:t>的</w:t>
            </w:r>
            <w:r>
              <w:rPr>
                <w:rFonts w:hint="default" w:ascii="Times New Roman" w:hAnsi="Times New Roman" w:eastAsia="宋体" w:cs="Times New Roman"/>
                <w:color w:val="auto"/>
                <w:kern w:val="0"/>
                <w:sz w:val="24"/>
                <w:highlight w:val="none"/>
                <w:lang w:val="en-US" w:eastAsia="zh-CN"/>
              </w:rPr>
              <w:t>紫薇苑</w:t>
            </w:r>
            <w:r>
              <w:rPr>
                <w:rFonts w:hint="eastAsia" w:ascii="Times New Roman" w:hAnsi="Times New Roman" w:cs="Times New Roman"/>
                <w:color w:val="auto"/>
                <w:kern w:val="0"/>
                <w:sz w:val="24"/>
                <w:highlight w:val="none"/>
                <w:lang w:val="en-US" w:eastAsia="zh-CN"/>
              </w:rPr>
              <w:t>A</w:t>
            </w:r>
            <w:r>
              <w:rPr>
                <w:rFonts w:hint="default" w:ascii="Times New Roman" w:hAnsi="Times New Roman" w:eastAsia="宋体" w:cs="Times New Roman"/>
                <w:color w:val="auto"/>
                <w:kern w:val="0"/>
                <w:sz w:val="24"/>
                <w:highlight w:val="none"/>
                <w:lang w:val="en-US" w:eastAsia="zh-CN"/>
              </w:rPr>
              <w:t>区</w:t>
            </w:r>
            <w:r>
              <w:rPr>
                <w:rFonts w:hint="default" w:ascii="Times New Roman" w:hAnsi="Times New Roman" w:cs="Times New Roman"/>
                <w:color w:val="auto"/>
                <w:kern w:val="0"/>
                <w:sz w:val="24"/>
                <w:highlight w:val="none"/>
                <w:lang w:val="en-US" w:eastAsia="zh-CN"/>
              </w:rPr>
              <w:t>，</w:t>
            </w:r>
            <w:r>
              <w:rPr>
                <w:rFonts w:hint="eastAsia" w:ascii="Times New Roman" w:hAnsi="Times New Roman" w:cs="Times New Roman"/>
                <w:color w:val="auto"/>
                <w:kern w:val="0"/>
                <w:sz w:val="24"/>
                <w:highlight w:val="none"/>
                <w:lang w:val="en-US" w:eastAsia="zh-CN"/>
              </w:rPr>
              <w:t>项目</w:t>
            </w:r>
            <w:r>
              <w:rPr>
                <w:rFonts w:hint="default" w:ascii="Times New Roman" w:hAnsi="Times New Roman" w:eastAsia="宋体" w:cs="Times New Roman"/>
                <w:color w:val="auto"/>
                <w:kern w:val="0"/>
                <w:sz w:val="24"/>
                <w:highlight w:val="none"/>
                <w:lang w:val="en-US" w:eastAsia="zh-CN"/>
              </w:rPr>
              <w:t>在采取相应的废气、废水、噪声</w:t>
            </w:r>
            <w:r>
              <w:rPr>
                <w:rFonts w:hint="default" w:ascii="Times New Roman" w:hAnsi="Times New Roman" w:cs="Times New Roman"/>
                <w:color w:val="auto"/>
                <w:kern w:val="0"/>
                <w:sz w:val="24"/>
                <w:highlight w:val="none"/>
                <w:lang w:val="en-US" w:eastAsia="zh-CN"/>
              </w:rPr>
              <w:t>等</w:t>
            </w:r>
            <w:r>
              <w:rPr>
                <w:rFonts w:hint="default" w:ascii="Times New Roman" w:hAnsi="Times New Roman" w:eastAsia="宋体" w:cs="Times New Roman"/>
                <w:color w:val="auto"/>
                <w:kern w:val="0"/>
                <w:sz w:val="24"/>
                <w:highlight w:val="none"/>
                <w:lang w:val="en-US" w:eastAsia="zh-CN"/>
              </w:rPr>
              <w:t>治理措施后，产生的干扰、污染对周边环境敏感点环境影响较小。</w:t>
            </w:r>
          </w:p>
          <w:p w14:paraId="2D62F03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3</w:t>
            </w:r>
            <w:r>
              <w:rPr>
                <w:rFonts w:hint="default" w:ascii="Times New Roman" w:hAnsi="Times New Roman" w:cs="Times New Roman"/>
                <w:b/>
                <w:bCs/>
                <w:color w:val="auto"/>
                <w:sz w:val="24"/>
                <w:highlight w:val="none"/>
              </w:rPr>
              <w:t>、与</w:t>
            </w: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生态环境分区管控</w:t>
            </w: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相符性分析</w:t>
            </w:r>
          </w:p>
          <w:p w14:paraId="2130EF93">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（1）与</w:t>
            </w: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生态</w:t>
            </w:r>
            <w:r>
              <w:rPr>
                <w:rFonts w:hint="default" w:ascii="Times New Roman" w:hAnsi="Times New Roman" w:cs="Times New Roman"/>
                <w:b/>
                <w:bCs/>
                <w:color w:val="auto"/>
                <w:sz w:val="24"/>
                <w:highlight w:val="none"/>
                <w:lang w:val="en-US" w:eastAsia="zh-CN"/>
              </w:rPr>
              <w:t>保护红线及生态分区管控</w:t>
            </w: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相符性分析</w:t>
            </w:r>
          </w:p>
          <w:p w14:paraId="2D1798A1">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①与生态保护红线相符性分析</w:t>
            </w:r>
          </w:p>
          <w:p w14:paraId="00EBB1EC">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rPr>
              <w:t>，根据淮南市生态保护红线</w:t>
            </w:r>
            <w:r>
              <w:rPr>
                <w:rFonts w:hint="default" w:ascii="Times New Roman" w:hAnsi="Times New Roman" w:cs="Times New Roman"/>
                <w:color w:val="auto"/>
                <w:sz w:val="24"/>
                <w:highlight w:val="none"/>
                <w:lang w:val="en-US" w:eastAsia="zh-CN"/>
              </w:rPr>
              <w:t>分布</w:t>
            </w:r>
            <w:r>
              <w:rPr>
                <w:rFonts w:hint="default" w:ascii="Times New Roman" w:hAnsi="Times New Roman" w:cs="Times New Roman"/>
                <w:color w:val="auto"/>
                <w:sz w:val="24"/>
                <w:highlight w:val="none"/>
              </w:rPr>
              <w:t>图</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不占用生态保护红线</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建设在采取相应的措施后，不会导致</w:t>
            </w:r>
            <w:r>
              <w:rPr>
                <w:rFonts w:hint="default" w:ascii="Times New Roman" w:hAnsi="Times New Roman" w:cs="Times New Roman"/>
                <w:color w:val="auto"/>
                <w:sz w:val="24"/>
                <w:highlight w:val="none"/>
                <w:lang w:val="en-US" w:eastAsia="zh-CN"/>
              </w:rPr>
              <w:t>区域</w:t>
            </w:r>
            <w:r>
              <w:rPr>
                <w:rFonts w:hint="default" w:ascii="Times New Roman" w:hAnsi="Times New Roman" w:cs="Times New Roman"/>
                <w:color w:val="auto"/>
                <w:sz w:val="24"/>
                <w:highlight w:val="none"/>
              </w:rPr>
              <w:t>生态服务功能下降。因此，其建设符合生态保护红线的相关要求。</w:t>
            </w:r>
          </w:p>
          <w:p w14:paraId="31B5339E">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②与生态分区管控相符性分析</w:t>
            </w:r>
          </w:p>
          <w:p w14:paraId="05F0928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根据《长江经济带战略环境评价安徽省</w:t>
            </w:r>
            <w:r>
              <w:rPr>
                <w:rFonts w:hint="default" w:ascii="Times New Roman" w:hAnsi="Times New Roman" w:cs="Times New Roman"/>
                <w:color w:val="auto"/>
                <w:sz w:val="24"/>
                <w:highlight w:val="none"/>
                <w:lang w:val="en-US" w:eastAsia="zh-CN"/>
              </w:rPr>
              <w:t>淮南市生态环境分区管控编制文本</w:t>
            </w:r>
            <w:r>
              <w:rPr>
                <w:rFonts w:hint="default" w:ascii="Times New Roman" w:hAnsi="Times New Roman" w:cs="Times New Roman"/>
                <w:color w:val="auto"/>
                <w:sz w:val="24"/>
                <w:highlight w:val="none"/>
              </w:rPr>
              <w:t>》，生态空间分为“生态保护红线”和“一般生态空间”，</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rPr>
              <w:t>，不在</w:t>
            </w:r>
            <w:r>
              <w:rPr>
                <w:rFonts w:hint="default" w:ascii="Times New Roman" w:hAnsi="Times New Roman" w:cs="Times New Roman"/>
                <w:color w:val="auto"/>
                <w:sz w:val="24"/>
                <w:highlight w:val="none"/>
                <w:lang w:val="en-US" w:eastAsia="zh-CN"/>
              </w:rPr>
              <w:t>淮南市</w:t>
            </w:r>
            <w:r>
              <w:rPr>
                <w:rFonts w:hint="default" w:ascii="Times New Roman" w:hAnsi="Times New Roman" w:cs="Times New Roman"/>
                <w:color w:val="auto"/>
                <w:sz w:val="24"/>
                <w:highlight w:val="none"/>
              </w:rPr>
              <w:t>生态空间的“生态保护红线”和“一般生态空间”范围内。因此，</w:t>
            </w:r>
            <w:r>
              <w:rPr>
                <w:rFonts w:hint="default"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符合生态分区管控要求。</w:t>
            </w:r>
          </w:p>
          <w:p w14:paraId="0B935C10">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（2）与</w:t>
            </w:r>
            <w:r>
              <w:rPr>
                <w:rFonts w:hint="default" w:ascii="Times New Roman" w:hAnsi="Times New Roman" w:cs="Times New Roman"/>
                <w:b/>
                <w:bCs/>
                <w:color w:val="auto"/>
                <w:sz w:val="24"/>
                <w:highlight w:val="none"/>
                <w:lang w:val="en-US" w:eastAsia="zh-CN"/>
              </w:rPr>
              <w:t>环境分区管控</w:t>
            </w:r>
            <w:r>
              <w:rPr>
                <w:rFonts w:hint="default" w:ascii="Times New Roman" w:hAnsi="Times New Roman" w:cs="Times New Roman"/>
                <w:b/>
                <w:bCs/>
                <w:color w:val="auto"/>
                <w:sz w:val="24"/>
                <w:highlight w:val="none"/>
              </w:rPr>
              <w:t>相符性分析</w:t>
            </w:r>
          </w:p>
          <w:p w14:paraId="382FC4A7">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①与水环境分区管控相符性分析</w:t>
            </w:r>
          </w:p>
          <w:p w14:paraId="668BCA52">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A.水环境管控分区</w:t>
            </w:r>
          </w:p>
          <w:p w14:paraId="6862BB5F">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根据淮南市</w:t>
            </w:r>
            <w:r>
              <w:rPr>
                <w:rFonts w:hint="default" w:ascii="Times New Roman" w:hAnsi="Times New Roman" w:cs="Times New Roman"/>
                <w:color w:val="auto"/>
                <w:sz w:val="24"/>
                <w:highlight w:val="none"/>
                <w:lang w:val="en-US" w:eastAsia="zh-CN"/>
              </w:rPr>
              <w:t>水环境分区管控图，</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属于“</w:t>
            </w:r>
            <w:r>
              <w:rPr>
                <w:rFonts w:hint="default" w:ascii="Times New Roman" w:hAnsi="Times New Roman" w:cs="Times New Roman"/>
                <w:color w:val="auto"/>
                <w:sz w:val="24"/>
                <w:highlight w:val="none"/>
                <w:lang w:val="en-US" w:eastAsia="zh-CN"/>
              </w:rPr>
              <w:t>水环境工业污染重点管控区</w:t>
            </w:r>
            <w:r>
              <w:rPr>
                <w:rFonts w:hint="default" w:ascii="Times New Roman" w:hAnsi="Times New Roman" w:cs="Times New Roman"/>
                <w:color w:val="auto"/>
                <w:sz w:val="24"/>
                <w:highlight w:val="none"/>
              </w:rPr>
              <w:t>”。</w:t>
            </w:r>
          </w:p>
          <w:p w14:paraId="1C7E1AF3">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重点</w:t>
            </w:r>
            <w:r>
              <w:rPr>
                <w:rFonts w:hint="default" w:ascii="Times New Roman" w:hAnsi="Times New Roman" w:cs="Times New Roman"/>
                <w:color w:val="auto"/>
                <w:sz w:val="24"/>
                <w:highlight w:val="none"/>
              </w:rPr>
              <w:t>管控区管控要</w:t>
            </w:r>
            <w:r>
              <w:rPr>
                <w:rFonts w:hint="default" w:ascii="Times New Roman" w:hAnsi="Times New Roman" w:eastAsia="宋体" w:cs="Times New Roman"/>
                <w:color w:val="auto"/>
                <w:sz w:val="24"/>
                <w:highlight w:val="none"/>
              </w:rPr>
              <w:t>求：依据《中华人民共和国水污染防治法》《水污染防治行动计划》《安徽省水污染防治工作方案》及</w:t>
            </w:r>
            <w:r>
              <w:rPr>
                <w:rFonts w:hint="default" w:ascii="Times New Roman" w:hAnsi="Times New Roman" w:eastAsia="宋体" w:cs="Times New Roman"/>
                <w:color w:val="auto"/>
                <w:sz w:val="24"/>
                <w:highlight w:val="none"/>
                <w:lang w:val="en-US" w:eastAsia="zh-CN"/>
              </w:rPr>
              <w:t>《淮南市水生态环境保护“十四五”规划》（淮环通</w:t>
            </w:r>
            <w:r>
              <w:rPr>
                <w:rFonts w:hint="eastAsia" w:ascii="Times New Roman" w:hAnsi="Times New Roman" w:cs="Times New Roman"/>
                <w:color w:val="auto"/>
                <w:sz w:val="24"/>
                <w:highlight w:val="none"/>
                <w:lang w:val="en-US" w:eastAsia="zh-CN"/>
              </w:rPr>
              <w:t>〔2022〕97号</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对重点管控区实施管控；依据《安徽省淮河流域水污染防治条例》对淮河流域实施管控；依据开发区规划、规划环评及审查意见相关要求对开发区实施管控；落实</w:t>
            </w:r>
            <w:r>
              <w:rPr>
                <w:rFonts w:hint="default" w:ascii="Times New Roman" w:hAnsi="Times New Roman" w:eastAsia="宋体" w:cs="Times New Roman"/>
                <w:color w:val="auto"/>
                <w:sz w:val="24"/>
                <w:highlight w:val="none"/>
                <w:lang w:val="en-US" w:eastAsia="zh-CN"/>
              </w:rPr>
              <w:t>《“十四五”生态环境保护规划》《安徽省“十四五”环境保护规划》《安徽省“十四五”节能减排实施方案》《安徽省“十四五”重点流域水生态环境保护规划》</w:t>
            </w:r>
            <w:r>
              <w:rPr>
                <w:rFonts w:hint="default" w:ascii="Times New Roman" w:hAnsi="Times New Roman" w:eastAsia="宋体" w:cs="Times New Roman"/>
                <w:color w:val="auto"/>
                <w:sz w:val="24"/>
                <w:highlight w:val="none"/>
              </w:rPr>
              <w:t>等要求，新建、改建和扩建项目水污染物实施“等量替代”。</w:t>
            </w:r>
          </w:p>
          <w:p w14:paraId="6613BF15">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val="0"/>
                <w:bCs w:val="0"/>
                <w:snapToGrid w:val="0"/>
                <w:color w:val="auto"/>
                <w:kern w:val="0"/>
                <w:sz w:val="24"/>
                <w:highlight w:val="none"/>
                <w:lang w:eastAsia="zh-CN"/>
              </w:rPr>
            </w:pPr>
            <w:r>
              <w:rPr>
                <w:rFonts w:hint="default" w:ascii="Times New Roman" w:hAnsi="Times New Roman" w:cs="Times New Roman"/>
                <w:b/>
                <w:bCs/>
                <w:snapToGrid w:val="0"/>
                <w:color w:val="auto"/>
                <w:kern w:val="0"/>
                <w:sz w:val="24"/>
                <w:highlight w:val="none"/>
              </w:rPr>
              <w:t>相符性分析：</w:t>
            </w:r>
            <w:r>
              <w:rPr>
                <w:rFonts w:hint="default" w:ascii="Times New Roman" w:hAnsi="Times New Roman" w:cs="Times New Roman"/>
                <w:b w:val="0"/>
                <w:bCs w:val="0"/>
                <w:snapToGrid w:val="0"/>
                <w:color w:val="auto"/>
                <w:kern w:val="0"/>
                <w:sz w:val="24"/>
                <w:highlight w:val="none"/>
                <w:lang w:eastAsia="zh-CN"/>
              </w:rPr>
              <w:t>根据现状评价，</w:t>
            </w:r>
            <w:r>
              <w:rPr>
                <w:rFonts w:hint="default" w:ascii="Times New Roman" w:hAnsi="Times New Roman" w:eastAsia="宋体" w:cs="Times New Roman"/>
                <w:color w:val="auto"/>
                <w:kern w:val="0"/>
                <w:sz w:val="24"/>
                <w:highlight w:val="none"/>
                <w:lang w:val="en-US" w:eastAsia="zh-CN"/>
              </w:rPr>
              <w:t>根据《</w:t>
            </w:r>
            <w:r>
              <w:rPr>
                <w:rFonts w:hint="default" w:ascii="Times New Roman" w:hAnsi="Times New Roman" w:cs="Times New Roman"/>
                <w:color w:val="auto"/>
                <w:kern w:val="0"/>
                <w:sz w:val="24"/>
                <w:highlight w:val="none"/>
                <w:lang w:val="en-US" w:eastAsia="zh-CN"/>
              </w:rPr>
              <w:t>2025年淮南市生态环境质量状况公报</w:t>
            </w:r>
            <w:r>
              <w:rPr>
                <w:rFonts w:hint="default" w:ascii="Times New Roman" w:hAnsi="Times New Roman" w:eastAsia="宋体" w:cs="Times New Roman"/>
                <w:color w:val="auto"/>
                <w:kern w:val="0"/>
                <w:sz w:val="24"/>
                <w:highlight w:val="none"/>
                <w:lang w:val="en-US" w:eastAsia="zh-CN"/>
              </w:rPr>
              <w:t>》</w:t>
            </w:r>
            <w:r>
              <w:rPr>
                <w:rFonts w:hint="default" w:ascii="Times New Roman" w:hAnsi="Times New Roman" w:cs="Times New Roman"/>
                <w:color w:val="auto"/>
                <w:kern w:val="0"/>
                <w:sz w:val="24"/>
                <w:highlight w:val="none"/>
                <w:lang w:val="en-US" w:eastAsia="zh-CN"/>
              </w:rPr>
              <w:t>，2025年，全市地表水24个监测断面中优良水质比例为95.8%，Ⅳ类水质比例4.2%，总体水质状况优，比上年上升了4.1个百分点。</w:t>
            </w:r>
          </w:p>
          <w:p w14:paraId="58FBDD45">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eastAsia" w:ascii="Times New Roman" w:hAnsi="Times New Roman" w:cs="Times New Roman"/>
                <w:b w:val="0"/>
                <w:bCs w:val="0"/>
                <w:snapToGrid w:val="0"/>
                <w:color w:val="auto"/>
                <w:kern w:val="0"/>
                <w:sz w:val="24"/>
                <w:highlight w:val="none"/>
                <w:lang w:eastAsia="zh-CN"/>
              </w:rPr>
              <w:t>项目</w:t>
            </w:r>
            <w:r>
              <w:rPr>
                <w:rFonts w:hint="default" w:ascii="Times New Roman" w:hAnsi="Times New Roman" w:cs="Times New Roman"/>
                <w:snapToGrid w:val="0"/>
                <w:color w:val="auto"/>
                <w:kern w:val="0"/>
                <w:sz w:val="24"/>
                <w:highlight w:val="none"/>
              </w:rPr>
              <w:t>运营期废水</w:t>
            </w:r>
            <w:r>
              <w:rPr>
                <w:rFonts w:hint="default" w:ascii="Times New Roman" w:hAnsi="Times New Roman" w:cs="Times New Roman"/>
                <w:snapToGrid w:val="0"/>
                <w:color w:val="auto"/>
                <w:kern w:val="0"/>
                <w:sz w:val="24"/>
                <w:highlight w:val="none"/>
                <w:lang w:val="en-US" w:eastAsia="zh-CN"/>
              </w:rPr>
              <w:t>经预处理达标后通过市政污水管网排入山南新区污水处理厂深度处理，废水污染物排放总量纳入山南新区污水处理厂总量指标内</w:t>
            </w:r>
            <w:r>
              <w:rPr>
                <w:rFonts w:hint="default" w:ascii="Times New Roman" w:hAnsi="Times New Roman" w:cs="Times New Roman"/>
                <w:snapToGrid w:val="0"/>
                <w:color w:val="auto"/>
                <w:kern w:val="0"/>
                <w:sz w:val="24"/>
                <w:highlight w:val="none"/>
              </w:rPr>
              <w:t>，</w:t>
            </w:r>
            <w:r>
              <w:rPr>
                <w:rFonts w:hint="eastAsia" w:ascii="Times New Roman" w:hAnsi="Times New Roman" w:cs="Times New Roman"/>
                <w:b w:val="0"/>
                <w:bCs w:val="0"/>
                <w:color w:val="auto"/>
                <w:sz w:val="24"/>
                <w:highlight w:val="none"/>
                <w:lang w:eastAsia="zh-CN"/>
              </w:rPr>
              <w:t>项目</w:t>
            </w:r>
            <w:r>
              <w:rPr>
                <w:rFonts w:hint="default" w:ascii="Times New Roman" w:hAnsi="Times New Roman" w:cs="Times New Roman"/>
                <w:b w:val="0"/>
                <w:bCs w:val="0"/>
                <w:color w:val="auto"/>
                <w:sz w:val="24"/>
                <w:highlight w:val="none"/>
              </w:rPr>
              <w:t>在落实有关</w:t>
            </w:r>
            <w:r>
              <w:rPr>
                <w:rFonts w:hint="default" w:ascii="Times New Roman" w:hAnsi="Times New Roman" w:cs="Times New Roman"/>
                <w:b w:val="0"/>
                <w:bCs w:val="0"/>
                <w:color w:val="auto"/>
                <w:sz w:val="24"/>
                <w:highlight w:val="none"/>
                <w:lang w:val="en-US" w:eastAsia="zh-CN"/>
              </w:rPr>
              <w:t>水</w:t>
            </w:r>
            <w:r>
              <w:rPr>
                <w:rFonts w:hint="default" w:ascii="Times New Roman" w:hAnsi="Times New Roman" w:cs="Times New Roman"/>
                <w:b w:val="0"/>
                <w:bCs w:val="0"/>
                <w:color w:val="auto"/>
                <w:sz w:val="24"/>
                <w:highlight w:val="none"/>
              </w:rPr>
              <w:t>污染防治措施后，废</w:t>
            </w:r>
            <w:r>
              <w:rPr>
                <w:rFonts w:hint="default" w:ascii="Times New Roman" w:hAnsi="Times New Roman" w:cs="Times New Roman"/>
                <w:b w:val="0"/>
                <w:bCs w:val="0"/>
                <w:color w:val="auto"/>
                <w:sz w:val="24"/>
                <w:highlight w:val="none"/>
                <w:lang w:val="en-US" w:eastAsia="zh-CN"/>
              </w:rPr>
              <w:t>水</w:t>
            </w:r>
            <w:r>
              <w:rPr>
                <w:rFonts w:hint="default" w:ascii="Times New Roman" w:hAnsi="Times New Roman" w:cs="Times New Roman"/>
                <w:b w:val="0"/>
                <w:bCs w:val="0"/>
                <w:color w:val="auto"/>
                <w:sz w:val="24"/>
                <w:highlight w:val="none"/>
              </w:rPr>
              <w:t>达标排放，</w:t>
            </w:r>
            <w:r>
              <w:rPr>
                <w:rFonts w:hint="default" w:ascii="Times New Roman" w:hAnsi="Times New Roman" w:cs="Times New Roman"/>
                <w:color w:val="auto"/>
                <w:sz w:val="24"/>
                <w:highlight w:val="none"/>
              </w:rPr>
              <w:t>不会对区域</w:t>
            </w:r>
            <w:r>
              <w:rPr>
                <w:rFonts w:hint="default" w:ascii="Times New Roman" w:hAnsi="Times New Roman" w:cs="Times New Roman"/>
                <w:color w:val="auto"/>
                <w:sz w:val="24"/>
                <w:highlight w:val="none"/>
                <w:lang w:val="en-US" w:eastAsia="zh-CN"/>
              </w:rPr>
              <w:t>水</w:t>
            </w:r>
            <w:r>
              <w:rPr>
                <w:rFonts w:hint="default" w:ascii="Times New Roman" w:hAnsi="Times New Roman" w:cs="Times New Roman"/>
                <w:color w:val="auto"/>
                <w:sz w:val="24"/>
                <w:highlight w:val="none"/>
              </w:rPr>
              <w:t>环境质量产生明显影响，项目的建设不会降低区域</w:t>
            </w:r>
            <w:r>
              <w:rPr>
                <w:rFonts w:hint="default" w:ascii="Times New Roman" w:hAnsi="Times New Roman" w:cs="Times New Roman"/>
                <w:color w:val="auto"/>
                <w:sz w:val="24"/>
                <w:highlight w:val="none"/>
                <w:lang w:val="en-US" w:eastAsia="zh-CN"/>
              </w:rPr>
              <w:t>水</w:t>
            </w:r>
            <w:r>
              <w:rPr>
                <w:rFonts w:hint="default" w:ascii="Times New Roman" w:hAnsi="Times New Roman" w:cs="Times New Roman"/>
                <w:color w:val="auto"/>
                <w:sz w:val="24"/>
                <w:highlight w:val="none"/>
              </w:rPr>
              <w:t>环境质量功能</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符合水</w:t>
            </w:r>
            <w:r>
              <w:rPr>
                <w:rFonts w:hint="default" w:ascii="Times New Roman" w:hAnsi="Times New Roman" w:cs="Times New Roman"/>
                <w:color w:val="auto"/>
                <w:sz w:val="24"/>
                <w:highlight w:val="none"/>
              </w:rPr>
              <w:t>环境重点管控区</w:t>
            </w:r>
            <w:r>
              <w:rPr>
                <w:rFonts w:hint="default" w:ascii="Times New Roman" w:hAnsi="Times New Roman" w:cs="Times New Roman"/>
                <w:color w:val="auto"/>
                <w:sz w:val="24"/>
                <w:highlight w:val="none"/>
                <w:lang w:val="en-US" w:eastAsia="zh-CN"/>
              </w:rPr>
              <w:t>管控</w:t>
            </w:r>
            <w:r>
              <w:rPr>
                <w:rFonts w:hint="default" w:ascii="Times New Roman" w:hAnsi="Times New Roman" w:cs="Times New Roman"/>
                <w:color w:val="auto"/>
                <w:sz w:val="24"/>
                <w:highlight w:val="none"/>
              </w:rPr>
              <w:t>要求。</w:t>
            </w:r>
          </w:p>
          <w:p w14:paraId="67208053">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②与大气环境分区管控相符性分析</w:t>
            </w:r>
          </w:p>
          <w:p w14:paraId="46BBBEDB">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A.大气环境管控分区</w:t>
            </w:r>
          </w:p>
          <w:p w14:paraId="1C19CA7A">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根据淮南市</w:t>
            </w:r>
            <w:r>
              <w:rPr>
                <w:rFonts w:hint="default" w:ascii="Times New Roman" w:hAnsi="Times New Roman" w:cs="Times New Roman"/>
                <w:color w:val="auto"/>
                <w:sz w:val="24"/>
                <w:highlight w:val="none"/>
                <w:lang w:val="en-US" w:eastAsia="zh-CN"/>
              </w:rPr>
              <w:t>大气环境分区管控图，</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rPr>
              <w:t>，属于“</w:t>
            </w:r>
            <w:r>
              <w:rPr>
                <w:rFonts w:hint="default" w:ascii="Times New Roman" w:hAnsi="Times New Roman" w:cs="Times New Roman"/>
                <w:color w:val="auto"/>
                <w:sz w:val="24"/>
                <w:highlight w:val="none"/>
                <w:lang w:val="en-US" w:eastAsia="zh-CN"/>
              </w:rPr>
              <w:t>大气环境受体敏感重点管控区</w:t>
            </w:r>
            <w:r>
              <w:rPr>
                <w:rFonts w:hint="default" w:ascii="Times New Roman" w:hAnsi="Times New Roman" w:cs="Times New Roman"/>
                <w:color w:val="auto"/>
                <w:sz w:val="24"/>
                <w:highlight w:val="none"/>
              </w:rPr>
              <w:t>”。</w:t>
            </w:r>
          </w:p>
          <w:p w14:paraId="2BD636C0">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重点</w:t>
            </w:r>
            <w:r>
              <w:rPr>
                <w:rFonts w:hint="default" w:ascii="Times New Roman" w:hAnsi="Times New Roman" w:cs="Times New Roman"/>
                <w:color w:val="auto"/>
                <w:sz w:val="24"/>
                <w:highlight w:val="none"/>
              </w:rPr>
              <w:t>管控区管控要求：落实《“十</w:t>
            </w:r>
            <w:r>
              <w:rPr>
                <w:rFonts w:hint="default" w:ascii="Times New Roman" w:hAnsi="Times New Roman" w:cs="Times New Roman"/>
                <w:color w:val="auto"/>
                <w:sz w:val="24"/>
                <w:highlight w:val="none"/>
                <w:lang w:val="en-US" w:eastAsia="zh-CN"/>
              </w:rPr>
              <w:t>四</w:t>
            </w:r>
            <w:r>
              <w:rPr>
                <w:rFonts w:hint="default" w:ascii="Times New Roman" w:hAnsi="Times New Roman" w:cs="Times New Roman"/>
                <w:color w:val="auto"/>
                <w:sz w:val="24"/>
                <w:highlight w:val="none"/>
              </w:rPr>
              <w:t>五”生态环境保护规划》《安徽省“十</w:t>
            </w:r>
            <w:r>
              <w:rPr>
                <w:rFonts w:hint="default" w:ascii="Times New Roman" w:hAnsi="Times New Roman" w:cs="Times New Roman"/>
                <w:color w:val="auto"/>
                <w:sz w:val="24"/>
                <w:highlight w:val="none"/>
                <w:lang w:val="en-US" w:eastAsia="zh-CN"/>
              </w:rPr>
              <w:t>四</w:t>
            </w:r>
            <w:r>
              <w:rPr>
                <w:rFonts w:hint="default" w:ascii="Times New Roman" w:hAnsi="Times New Roman" w:cs="Times New Roman"/>
                <w:color w:val="auto"/>
                <w:sz w:val="24"/>
                <w:highlight w:val="none"/>
              </w:rPr>
              <w:t>五”环境保护规划》《安徽省自然保护地建设项目准入负面清单（试行）》</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淮南市“十四五”生态环境保护规划</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（淮环通〔2022〕46号）</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淮南市“十四五”大气污染防治规划</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（淮环委办</w:t>
            </w:r>
            <w:r>
              <w:rPr>
                <w:rFonts w:hint="eastAsia" w:ascii="Times New Roman" w:hAnsi="Times New Roman" w:cs="Times New Roman"/>
                <w:color w:val="auto"/>
                <w:sz w:val="24"/>
                <w:highlight w:val="none"/>
                <w:lang w:eastAsia="zh-CN"/>
              </w:rPr>
              <w:t>〔2022〕49号</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深入打好污染防治攻坚战行动方案</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淮发〔2022〕17号</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等要求，严格目标实施计划，加强环境监管，促进生态环境质量好转。上年度PM</w:t>
            </w:r>
            <w:r>
              <w:rPr>
                <w:rFonts w:hint="default" w:ascii="Times New Roman" w:hAnsi="Times New Roman" w:cs="Times New Roman"/>
                <w:color w:val="auto"/>
                <w:sz w:val="24"/>
                <w:highlight w:val="none"/>
                <w:vertAlign w:val="subscript"/>
              </w:rPr>
              <w:t>2.5</w:t>
            </w:r>
            <w:r>
              <w:rPr>
                <w:rFonts w:hint="default" w:ascii="Times New Roman" w:hAnsi="Times New Roman" w:cs="Times New Roman"/>
                <w:color w:val="auto"/>
                <w:sz w:val="24"/>
                <w:highlight w:val="none"/>
              </w:rPr>
              <w:t>不达标城市新建、改建和扩建项目大气污染物实施“倍量替代”</w:t>
            </w:r>
            <w:r>
              <w:rPr>
                <w:rFonts w:hint="eastAsia" w:ascii="Times New Roman" w:hAnsi="Times New Roman" w:cs="Times New Roman"/>
                <w:color w:val="auto"/>
                <w:sz w:val="24"/>
                <w:highlight w:val="none"/>
                <w:lang w:eastAsia="zh-CN"/>
              </w:rPr>
              <w:t>，对</w:t>
            </w:r>
            <w:r>
              <w:rPr>
                <w:rFonts w:hint="default" w:ascii="Times New Roman" w:hAnsi="Times New Roman" w:cs="Times New Roman"/>
                <w:color w:val="auto"/>
                <w:sz w:val="24"/>
                <w:highlight w:val="none"/>
              </w:rPr>
              <w:t>执行特别排放标准的行业实施提标升级改造。</w:t>
            </w:r>
          </w:p>
          <w:p w14:paraId="62B743A8">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相符性分析：</w:t>
            </w:r>
            <w:r>
              <w:rPr>
                <w:rFonts w:hint="eastAsia" w:ascii="Times New Roman" w:hAnsi="Times New Roman" w:cs="Times New Roman"/>
                <w:b w:val="0"/>
                <w:bCs w:val="0"/>
                <w:color w:val="auto"/>
                <w:sz w:val="24"/>
                <w:highlight w:val="none"/>
                <w:lang w:eastAsia="zh-CN"/>
              </w:rPr>
              <w:t>项目</w:t>
            </w:r>
            <w:r>
              <w:rPr>
                <w:rFonts w:hint="default" w:ascii="Times New Roman" w:hAnsi="Times New Roman" w:cs="Times New Roman"/>
                <w:b w:val="0"/>
                <w:bCs w:val="0"/>
                <w:color w:val="auto"/>
                <w:sz w:val="24"/>
                <w:highlight w:val="none"/>
              </w:rPr>
              <w:t>所在区域</w:t>
            </w:r>
            <w:r>
              <w:rPr>
                <w:rFonts w:hint="default" w:ascii="Times New Roman" w:hAnsi="Times New Roman" w:cs="Times New Roman"/>
                <w:b w:val="0"/>
                <w:bCs w:val="0"/>
                <w:color w:val="auto"/>
                <w:sz w:val="24"/>
                <w:highlight w:val="none"/>
                <w:lang w:val="en-US" w:eastAsia="zh-CN"/>
              </w:rPr>
              <w:t>环境空气质量</w:t>
            </w:r>
            <w:r>
              <w:rPr>
                <w:rFonts w:hint="default" w:ascii="Times New Roman" w:hAnsi="Times New Roman" w:cs="Times New Roman"/>
                <w:b w:val="0"/>
                <w:bCs w:val="0"/>
                <w:color w:val="auto"/>
                <w:sz w:val="24"/>
                <w:highlight w:val="none"/>
              </w:rPr>
              <w:t>属于</w:t>
            </w:r>
            <w:r>
              <w:rPr>
                <w:rFonts w:hint="eastAsia" w:ascii="Times New Roman" w:hAnsi="Times New Roman" w:cs="Times New Roman"/>
                <w:b w:val="0"/>
                <w:bCs w:val="0"/>
                <w:color w:val="auto"/>
                <w:sz w:val="24"/>
                <w:highlight w:val="none"/>
                <w:lang w:val="en-US" w:eastAsia="zh-CN"/>
              </w:rPr>
              <w:t>不</w:t>
            </w:r>
            <w:r>
              <w:rPr>
                <w:rFonts w:hint="default" w:ascii="Times New Roman" w:hAnsi="Times New Roman" w:cs="Times New Roman"/>
                <w:b w:val="0"/>
                <w:bCs w:val="0"/>
                <w:color w:val="auto"/>
                <w:sz w:val="24"/>
                <w:highlight w:val="none"/>
              </w:rPr>
              <w:t>达标区。</w:t>
            </w:r>
            <w:r>
              <w:rPr>
                <w:rFonts w:hint="eastAsia" w:ascii="Times New Roman" w:hAnsi="Times New Roman" w:cs="Times New Roman"/>
                <w:b w:val="0"/>
                <w:bCs w:val="0"/>
                <w:color w:val="auto"/>
                <w:sz w:val="24"/>
                <w:highlight w:val="none"/>
                <w:lang w:eastAsia="zh-CN"/>
              </w:rPr>
              <w:t>项目</w:t>
            </w:r>
            <w:r>
              <w:rPr>
                <w:rFonts w:hint="default" w:ascii="Times New Roman" w:hAnsi="Times New Roman" w:cs="Times New Roman"/>
                <w:b w:val="0"/>
                <w:bCs w:val="0"/>
                <w:color w:val="auto"/>
                <w:sz w:val="24"/>
                <w:highlight w:val="none"/>
              </w:rPr>
              <w:t>运营期废气经处理后达标排放。</w:t>
            </w:r>
            <w:r>
              <w:rPr>
                <w:rFonts w:hint="eastAsia" w:ascii="Times New Roman" w:hAnsi="Times New Roman" w:cs="Times New Roman"/>
                <w:b w:val="0"/>
                <w:bCs w:val="0"/>
                <w:color w:val="auto"/>
                <w:sz w:val="24"/>
                <w:highlight w:val="none"/>
                <w:lang w:eastAsia="zh-CN"/>
              </w:rPr>
              <w:t>项目</w:t>
            </w:r>
            <w:r>
              <w:rPr>
                <w:rFonts w:hint="default" w:ascii="Times New Roman" w:hAnsi="Times New Roman" w:cs="Times New Roman"/>
                <w:b w:val="0"/>
                <w:bCs w:val="0"/>
                <w:color w:val="auto"/>
                <w:sz w:val="24"/>
                <w:highlight w:val="none"/>
              </w:rPr>
              <w:t>在落实有关大气污染防治措施后，废气达标排放，</w:t>
            </w:r>
            <w:r>
              <w:rPr>
                <w:rFonts w:hint="default" w:ascii="Times New Roman" w:hAnsi="Times New Roman" w:cs="Times New Roman"/>
                <w:color w:val="auto"/>
                <w:sz w:val="24"/>
                <w:highlight w:val="none"/>
              </w:rPr>
              <w:t>不会对区域大气环境质量产生明显影响，项目的建设不会降低区域大气环境质量功能</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符合</w:t>
            </w:r>
            <w:r>
              <w:rPr>
                <w:rFonts w:hint="default" w:ascii="Times New Roman" w:hAnsi="Times New Roman" w:cs="Times New Roman"/>
                <w:color w:val="auto"/>
                <w:sz w:val="24"/>
                <w:highlight w:val="none"/>
              </w:rPr>
              <w:t>大气环境重点管控区</w:t>
            </w:r>
            <w:r>
              <w:rPr>
                <w:rFonts w:hint="default" w:ascii="Times New Roman" w:hAnsi="Times New Roman" w:cs="Times New Roman"/>
                <w:color w:val="auto"/>
                <w:sz w:val="24"/>
                <w:highlight w:val="none"/>
                <w:lang w:val="en-US" w:eastAsia="zh-CN"/>
              </w:rPr>
              <w:t>管控</w:t>
            </w:r>
            <w:r>
              <w:rPr>
                <w:rFonts w:hint="default" w:ascii="Times New Roman" w:hAnsi="Times New Roman" w:cs="Times New Roman"/>
                <w:color w:val="auto"/>
                <w:sz w:val="24"/>
                <w:highlight w:val="none"/>
              </w:rPr>
              <w:t>要求。</w:t>
            </w:r>
          </w:p>
          <w:p w14:paraId="3D2B49B9">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③土壤环境分区管控相符性分析</w:t>
            </w:r>
          </w:p>
          <w:p w14:paraId="49D3BC4C">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A.土壤环境风险防控分区</w:t>
            </w:r>
          </w:p>
          <w:p w14:paraId="577EE1B0">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根据淮南市</w:t>
            </w:r>
            <w:r>
              <w:rPr>
                <w:rFonts w:hint="default" w:ascii="Times New Roman" w:hAnsi="Times New Roman" w:cs="Times New Roman"/>
                <w:color w:val="auto"/>
                <w:sz w:val="24"/>
                <w:highlight w:val="none"/>
                <w:lang w:val="en-US" w:eastAsia="zh-CN"/>
              </w:rPr>
              <w:t>土壤环境分区管控图，</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w:t>
            </w:r>
            <w:r>
              <w:rPr>
                <w:rFonts w:hint="eastAsia" w:ascii="Times New Roman" w:hAnsi="Times New Roman" w:cs="Times New Roman"/>
                <w:color w:val="auto"/>
                <w:sz w:val="24"/>
                <w:highlight w:val="none"/>
                <w:lang w:eastAsia="zh-CN"/>
              </w:rPr>
              <w:t>于安徽省淮南市高新区合创产业园9号厂房</w:t>
            </w:r>
            <w:r>
              <w:rPr>
                <w:rFonts w:hint="default" w:ascii="Times New Roman" w:hAnsi="Times New Roman" w:cs="Times New Roman"/>
                <w:color w:val="auto"/>
                <w:sz w:val="24"/>
                <w:highlight w:val="none"/>
              </w:rPr>
              <w:t>，属于土壤环境风险分区</w:t>
            </w:r>
            <w:r>
              <w:rPr>
                <w:rFonts w:hint="default" w:ascii="Times New Roman" w:hAnsi="Times New Roman" w:cs="Times New Roman"/>
                <w:color w:val="auto"/>
                <w:sz w:val="24"/>
                <w:highlight w:val="none"/>
                <w:lang w:val="en-US" w:eastAsia="zh-CN"/>
              </w:rPr>
              <w:t>中</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一般</w:t>
            </w:r>
            <w:r>
              <w:rPr>
                <w:rFonts w:hint="default" w:ascii="Times New Roman" w:hAnsi="Times New Roman" w:cs="Times New Roman"/>
                <w:color w:val="auto"/>
                <w:sz w:val="24"/>
                <w:highlight w:val="none"/>
              </w:rPr>
              <w:t>防控区”。</w:t>
            </w:r>
          </w:p>
          <w:p w14:paraId="12201928">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一般</w:t>
            </w:r>
            <w:r>
              <w:rPr>
                <w:rFonts w:hint="default" w:ascii="Times New Roman" w:hAnsi="Times New Roman" w:cs="Times New Roman"/>
                <w:color w:val="auto"/>
                <w:sz w:val="24"/>
                <w:highlight w:val="none"/>
              </w:rPr>
              <w:t>防控区防控要求：依据《中华人民共和国土壤污染防治法》《土壤污染防治行动计划》《安徽省“十</w:t>
            </w:r>
            <w:r>
              <w:rPr>
                <w:rFonts w:hint="default" w:ascii="Times New Roman" w:hAnsi="Times New Roman" w:cs="Times New Roman"/>
                <w:color w:val="auto"/>
                <w:sz w:val="24"/>
                <w:highlight w:val="none"/>
                <w:lang w:val="en-US" w:eastAsia="zh-CN"/>
              </w:rPr>
              <w:t>四</w:t>
            </w:r>
            <w:r>
              <w:rPr>
                <w:rFonts w:hint="default" w:ascii="Times New Roman" w:hAnsi="Times New Roman" w:cs="Times New Roman"/>
                <w:color w:val="auto"/>
                <w:sz w:val="24"/>
                <w:highlight w:val="none"/>
              </w:rPr>
              <w:t>五”环境保护规划》</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淮南市“十四五”生态环境保护规划</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等要求及各市土壤污染防治工作方案对一般管控区实施管控。</w:t>
            </w:r>
          </w:p>
          <w:p w14:paraId="77AB1ADA">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eastAsia="宋体" w:cs="Times New Roman"/>
                <w:b/>
                <w:bCs/>
                <w:color w:val="auto"/>
                <w:sz w:val="24"/>
                <w:highlight w:val="none"/>
                <w:lang w:eastAsia="zh-CN"/>
              </w:rPr>
            </w:pPr>
            <w:r>
              <w:rPr>
                <w:rFonts w:hint="default" w:ascii="Times New Roman" w:hAnsi="Times New Roman" w:cs="Times New Roman"/>
                <w:b/>
                <w:bCs/>
                <w:color w:val="auto"/>
                <w:sz w:val="24"/>
                <w:highlight w:val="none"/>
              </w:rPr>
              <w:t>相符性分析：</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采取</w:t>
            </w:r>
            <w:r>
              <w:rPr>
                <w:rFonts w:hint="default" w:ascii="Times New Roman" w:hAnsi="Times New Roman" w:cs="Times New Roman"/>
                <w:color w:val="auto"/>
                <w:sz w:val="24"/>
                <w:highlight w:val="none"/>
                <w:lang w:eastAsia="zh-CN"/>
              </w:rPr>
              <w:t>分区防渗等</w:t>
            </w:r>
            <w:r>
              <w:rPr>
                <w:rFonts w:hint="default" w:ascii="Times New Roman" w:hAnsi="Times New Roman" w:cs="Times New Roman"/>
                <w:color w:val="auto"/>
                <w:sz w:val="24"/>
                <w:highlight w:val="none"/>
              </w:rPr>
              <w:t>土壤污染防治措施后，对土壤可能造成的影响较小</w:t>
            </w:r>
            <w:r>
              <w:rPr>
                <w:rFonts w:hint="default" w:ascii="Times New Roman" w:hAnsi="Times New Roman" w:cs="Times New Roman"/>
                <w:color w:val="auto"/>
                <w:sz w:val="24"/>
                <w:highlight w:val="none"/>
                <w:lang w:eastAsia="zh-CN"/>
              </w:rPr>
              <w:t>，符合一般防控区</w:t>
            </w:r>
            <w:r>
              <w:rPr>
                <w:rFonts w:hint="default" w:ascii="Times New Roman" w:hAnsi="Times New Roman" w:cs="Times New Roman"/>
                <w:color w:val="auto"/>
                <w:sz w:val="24"/>
                <w:highlight w:val="none"/>
                <w:lang w:val="en-US" w:eastAsia="zh-CN"/>
              </w:rPr>
              <w:t>防控</w:t>
            </w:r>
            <w:r>
              <w:rPr>
                <w:rFonts w:hint="default" w:ascii="Times New Roman" w:hAnsi="Times New Roman" w:cs="Times New Roman"/>
                <w:color w:val="auto"/>
                <w:sz w:val="24"/>
                <w:highlight w:val="none"/>
                <w:lang w:eastAsia="zh-CN"/>
              </w:rPr>
              <w:t>要求。</w:t>
            </w:r>
          </w:p>
          <w:p w14:paraId="350AC4F8">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（3）与资源利用分区管控相符性分析</w:t>
            </w:r>
          </w:p>
          <w:p w14:paraId="3187E5B5">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①煤炭资源利用分区管控相符性分析</w:t>
            </w:r>
          </w:p>
          <w:p w14:paraId="74358CC3">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不涉及煤炭资源使用。</w:t>
            </w:r>
          </w:p>
          <w:p w14:paraId="22D7E984">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②水资源利用分区管控相符性分析</w:t>
            </w:r>
          </w:p>
          <w:p w14:paraId="402C31B5">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根据《长江经济带战略环境评价安徽省淮南市生态环境分区管控编制文本》中淮南市水资源条件和《安徽省“三线一单”》划定成果，淮南市水资源管控区个数为7个，均为一般管控区，</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rPr>
              <w:t>，属于水资源管控区中“一般管控区”。</w:t>
            </w:r>
          </w:p>
          <w:p w14:paraId="0EA1FE8F">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管控要求：落实《国务院办公厅关于印发实行最严格水资源管理制度考核办法的通知》</w:t>
            </w:r>
            <w:r>
              <w:rPr>
                <w:rFonts w:hint="default" w:ascii="Times New Roman" w:hAnsi="Times New Roman" w:cs="Times New Roman"/>
                <w:color w:val="auto"/>
                <w:sz w:val="24"/>
                <w:highlight w:val="none"/>
                <w:lang w:val="en-US" w:eastAsia="zh-CN"/>
              </w:rPr>
              <w:t>《淮南市水利发展“十四五”规划》</w:t>
            </w:r>
            <w:r>
              <w:rPr>
                <w:rFonts w:hint="default" w:ascii="Times New Roman" w:hAnsi="Times New Roman" w:cs="Times New Roman"/>
                <w:color w:val="auto"/>
                <w:sz w:val="24"/>
                <w:highlight w:val="none"/>
                <w:lang w:eastAsia="zh-CN"/>
              </w:rPr>
              <w:t>等要求。</w:t>
            </w:r>
          </w:p>
          <w:p w14:paraId="324A2891">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相符性分析</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用水量较小，符合管控要求。</w:t>
            </w:r>
          </w:p>
          <w:p w14:paraId="58551050">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③土地资源利用分区管控相符性分析</w:t>
            </w:r>
          </w:p>
          <w:p w14:paraId="39DCE408">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根据《长江经济带战略环境评价安徽省淮南市生态环境分区管控编制文本》</w:t>
            </w:r>
            <w:r>
              <w:rPr>
                <w:rFonts w:hint="default" w:ascii="Times New Roman" w:hAnsi="Times New Roman" w:cs="Times New Roman"/>
                <w:color w:val="auto"/>
                <w:sz w:val="24"/>
                <w:highlight w:val="none"/>
              </w:rPr>
              <w:t>淮南市土地资源共划分7个管控区，均为一般管控区，面积553229.92公顷，占全市国土面积的100.00%</w:t>
            </w:r>
            <w:r>
              <w:rPr>
                <w:rFonts w:hint="default"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rPr>
              <w:t>，属于土地资源管控分区中“</w:t>
            </w:r>
            <w:r>
              <w:rPr>
                <w:rFonts w:hint="default" w:ascii="Times New Roman" w:hAnsi="Times New Roman" w:cs="Times New Roman"/>
                <w:color w:val="auto"/>
                <w:sz w:val="24"/>
                <w:highlight w:val="none"/>
                <w:lang w:val="en-US" w:eastAsia="zh-CN"/>
              </w:rPr>
              <w:t>一般管控区</w:t>
            </w:r>
            <w:r>
              <w:rPr>
                <w:rFonts w:hint="default" w:ascii="Times New Roman" w:hAnsi="Times New Roman" w:cs="Times New Roman"/>
                <w:color w:val="auto"/>
                <w:sz w:val="24"/>
                <w:highlight w:val="none"/>
              </w:rPr>
              <w:t>”。</w:t>
            </w:r>
          </w:p>
          <w:p w14:paraId="364F5893">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管控要求：落实淮南市国土空间总体规划（2021—2035年）等要求。</w:t>
            </w:r>
          </w:p>
          <w:p w14:paraId="096A8088">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相符性分析：</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用地符合土地利用规划等要求</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符合管控要求</w:t>
            </w:r>
            <w:r>
              <w:rPr>
                <w:rFonts w:hint="default" w:ascii="Times New Roman" w:hAnsi="Times New Roman" w:cs="Times New Roman"/>
                <w:color w:val="auto"/>
                <w:sz w:val="24"/>
                <w:highlight w:val="none"/>
              </w:rPr>
              <w:t>。</w:t>
            </w:r>
          </w:p>
          <w:p w14:paraId="63541A63">
            <w:pPr>
              <w:keepNext w:val="0"/>
              <w:keepLines w:val="0"/>
              <w:pageBreakBefore w:val="0"/>
              <w:widowControl w:val="0"/>
              <w:numPr>
                <w:ilvl w:val="0"/>
                <w:numId w:val="4"/>
              </w:numPr>
              <w:tabs>
                <w:tab w:val="left" w:pos="138"/>
                <w:tab w:val="left" w:pos="86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与《安徽省“三线一单”生态环境分区管控管理办法（暂行）》</w:t>
            </w:r>
            <w:r>
              <w:rPr>
                <w:rFonts w:hint="default" w:ascii="Times New Roman" w:hAnsi="Times New Roman" w:cs="Times New Roman"/>
                <w:b/>
                <w:bCs/>
                <w:color w:val="auto"/>
                <w:sz w:val="24"/>
                <w:highlight w:val="none"/>
                <w:lang w:val="en-US" w:eastAsia="zh-CN"/>
              </w:rPr>
              <w:t>相符性分析</w:t>
            </w:r>
          </w:p>
          <w:p w14:paraId="1F8B7C5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val="0"/>
                <w:bCs w:val="0"/>
                <w:color w:val="auto"/>
                <w:sz w:val="24"/>
                <w:highlight w:val="none"/>
                <w:lang w:val="en-US" w:eastAsia="zh-CN"/>
              </w:rPr>
            </w:pPr>
            <w:r>
              <w:rPr>
                <w:rFonts w:hint="default" w:ascii="Times New Roman" w:hAnsi="Times New Roman" w:cs="Times New Roman"/>
                <w:b w:val="0"/>
                <w:bCs w:val="0"/>
                <w:color w:val="auto"/>
                <w:sz w:val="24"/>
                <w:highlight w:val="none"/>
                <w:lang w:val="en-US" w:eastAsia="zh-CN"/>
              </w:rPr>
              <w:t>根据安徽省“三线一单”公众服务平台成果数据分析，</w:t>
            </w:r>
            <w:r>
              <w:rPr>
                <w:rFonts w:hint="eastAsia" w:ascii="Times New Roman" w:hAnsi="Times New Roman" w:cs="Times New Roman"/>
                <w:b w:val="0"/>
                <w:bCs w:val="0"/>
                <w:color w:val="auto"/>
                <w:sz w:val="24"/>
                <w:highlight w:val="none"/>
                <w:lang w:val="en-US" w:eastAsia="zh-CN"/>
              </w:rPr>
              <w:t>项目</w:t>
            </w:r>
            <w:r>
              <w:rPr>
                <w:rFonts w:hint="default" w:ascii="Times New Roman" w:hAnsi="Times New Roman" w:cs="Times New Roman"/>
                <w:b w:val="0"/>
                <w:bCs w:val="0"/>
                <w:color w:val="auto"/>
                <w:sz w:val="24"/>
                <w:highlight w:val="none"/>
                <w:lang w:val="en-US" w:eastAsia="zh-CN"/>
              </w:rPr>
              <w:t>位于重点管控单元，环境管控单元编码为ZH34040320027。涉及1个重点管控单位，不涉及优先管控单元、一般管控单元。对照管控单元生态环境准入清单，</w:t>
            </w:r>
            <w:r>
              <w:rPr>
                <w:rFonts w:hint="eastAsia" w:ascii="Times New Roman" w:hAnsi="Times New Roman" w:cs="Times New Roman"/>
                <w:b w:val="0"/>
                <w:bCs w:val="0"/>
                <w:color w:val="auto"/>
                <w:sz w:val="24"/>
                <w:highlight w:val="none"/>
                <w:lang w:val="en-US" w:eastAsia="zh-CN"/>
              </w:rPr>
              <w:t>项目</w:t>
            </w:r>
            <w:r>
              <w:rPr>
                <w:rFonts w:hint="default" w:ascii="Times New Roman" w:hAnsi="Times New Roman" w:cs="Times New Roman"/>
                <w:b w:val="0"/>
                <w:bCs w:val="0"/>
                <w:color w:val="auto"/>
                <w:sz w:val="24"/>
                <w:highlight w:val="none"/>
                <w:lang w:val="en-US" w:eastAsia="zh-CN"/>
              </w:rPr>
              <w:t>不属于管控单元内禁止、限制开发建设活动，项目建设符合管控单元的管控要求。</w:t>
            </w:r>
          </w:p>
          <w:p w14:paraId="4776D707">
            <w:pPr>
              <w:pStyle w:val="52"/>
              <w:bidi w:val="0"/>
              <w:rPr>
                <w:rFonts w:hint="default" w:ascii="Times New Roman" w:hAnsi="Times New Roman" w:eastAsia="宋体" w:cs="Times New Roman"/>
                <w:b/>
                <w:color w:val="auto"/>
                <w:spacing w:val="0"/>
                <w:kern w:val="2"/>
                <w:sz w:val="21"/>
                <w:szCs w:val="21"/>
                <w:highlight w:val="none"/>
                <w:lang w:val="en-US" w:eastAsia="zh-CN" w:bidi="ar-SA"/>
              </w:rPr>
            </w:pPr>
            <w:r>
              <w:rPr>
                <w:rFonts w:hint="default" w:ascii="Times New Roman" w:hAnsi="Times New Roman" w:eastAsia="宋体" w:cs="Times New Roman"/>
                <w:b/>
                <w:color w:val="auto"/>
                <w:spacing w:val="0"/>
                <w:kern w:val="2"/>
                <w:sz w:val="21"/>
                <w:szCs w:val="21"/>
                <w:highlight w:val="none"/>
                <w:lang w:val="en-US" w:eastAsia="zh-CN" w:bidi="ar-SA"/>
              </w:rPr>
              <w:t>表1-3 本项目与生态管控单元的符合性分析</w:t>
            </w:r>
          </w:p>
          <w:tbl>
            <w:tblPr>
              <w:tblStyle w:val="25"/>
              <w:tblW w:w="49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620"/>
              <w:gridCol w:w="2936"/>
              <w:gridCol w:w="1723"/>
              <w:gridCol w:w="809"/>
            </w:tblGrid>
            <w:tr w14:paraId="1D682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1" w:type="pct"/>
                  <w:tcBorders>
                    <w:tl2br w:val="nil"/>
                    <w:tr2bl w:val="nil"/>
                  </w:tcBorders>
                  <w:noWrap w:val="0"/>
                  <w:vAlign w:val="center"/>
                </w:tcPr>
                <w:p w14:paraId="235B505B">
                  <w:pPr>
                    <w:pStyle w:val="5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区域管控要求</w:t>
                  </w:r>
                </w:p>
              </w:tc>
              <w:tc>
                <w:tcPr>
                  <w:tcW w:w="456" w:type="pct"/>
                  <w:tcBorders>
                    <w:tl2br w:val="nil"/>
                    <w:tr2bl w:val="nil"/>
                  </w:tcBorders>
                  <w:noWrap w:val="0"/>
                  <w:vAlign w:val="center"/>
                </w:tcPr>
                <w:p w14:paraId="774D94B2">
                  <w:pPr>
                    <w:pStyle w:val="5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管控</w:t>
                  </w:r>
                </w:p>
                <w:p w14:paraId="56C43028">
                  <w:pPr>
                    <w:pStyle w:val="5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类别</w:t>
                  </w:r>
                </w:p>
              </w:tc>
              <w:tc>
                <w:tcPr>
                  <w:tcW w:w="2159" w:type="pct"/>
                  <w:tcBorders>
                    <w:tl2br w:val="nil"/>
                    <w:tr2bl w:val="nil"/>
                  </w:tcBorders>
                  <w:noWrap w:val="0"/>
                  <w:vAlign w:val="center"/>
                </w:tcPr>
                <w:p w14:paraId="4B0132B7">
                  <w:pPr>
                    <w:pStyle w:val="5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管控要求</w:t>
                  </w:r>
                </w:p>
              </w:tc>
              <w:tc>
                <w:tcPr>
                  <w:tcW w:w="1267" w:type="pct"/>
                  <w:tcBorders>
                    <w:tl2br w:val="nil"/>
                    <w:tr2bl w:val="nil"/>
                  </w:tcBorders>
                  <w:noWrap w:val="0"/>
                  <w:vAlign w:val="center"/>
                </w:tcPr>
                <w:p w14:paraId="633D4ACD">
                  <w:pPr>
                    <w:pStyle w:val="54"/>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本项目情况</w:t>
                  </w:r>
                </w:p>
              </w:tc>
              <w:tc>
                <w:tcPr>
                  <w:tcW w:w="595" w:type="pct"/>
                  <w:tcBorders>
                    <w:tl2br w:val="nil"/>
                    <w:tr2bl w:val="nil"/>
                  </w:tcBorders>
                  <w:noWrap w:val="0"/>
                  <w:vAlign w:val="center"/>
                </w:tcPr>
                <w:p w14:paraId="79049A3E">
                  <w:pPr>
                    <w:pStyle w:val="5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符合性分析</w:t>
                  </w:r>
                </w:p>
              </w:tc>
            </w:tr>
            <w:tr w14:paraId="05AA70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1" w:type="pct"/>
                  <w:vMerge w:val="restart"/>
                  <w:tcBorders>
                    <w:tl2br w:val="nil"/>
                    <w:tr2bl w:val="nil"/>
                  </w:tcBorders>
                  <w:noWrap w:val="0"/>
                  <w:vAlign w:val="center"/>
                </w:tcPr>
                <w:p w14:paraId="0BF1B4E0">
                  <w:pPr>
                    <w:pStyle w:val="5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重点管控单元</w:t>
                  </w:r>
                  <w:r>
                    <w:rPr>
                      <w:rFonts w:hint="default" w:ascii="Times New Roman" w:hAnsi="Times New Roman" w:cs="Times New Roman"/>
                      <w:color w:val="auto"/>
                      <w:highlight w:val="none"/>
                      <w:lang w:val="en-US" w:eastAsia="zh-CN"/>
                    </w:rPr>
                    <w:t>8</w:t>
                  </w:r>
                </w:p>
              </w:tc>
              <w:tc>
                <w:tcPr>
                  <w:tcW w:w="456" w:type="pct"/>
                  <w:vMerge w:val="restart"/>
                  <w:tcBorders>
                    <w:tl2br w:val="nil"/>
                    <w:tr2bl w:val="nil"/>
                  </w:tcBorders>
                  <w:noWrap w:val="0"/>
                  <w:vAlign w:val="center"/>
                </w:tcPr>
                <w:p w14:paraId="07CC9EA3">
                  <w:pPr>
                    <w:pStyle w:val="5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空间布局约束</w:t>
                  </w:r>
                </w:p>
              </w:tc>
              <w:tc>
                <w:tcPr>
                  <w:tcW w:w="2159" w:type="pct"/>
                  <w:tcBorders>
                    <w:tl2br w:val="nil"/>
                    <w:tr2bl w:val="nil"/>
                  </w:tcBorders>
                  <w:noWrap w:val="0"/>
                  <w:vAlign w:val="center"/>
                </w:tcPr>
                <w:p w14:paraId="0877B231">
                  <w:pPr>
                    <w:pStyle w:val="54"/>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1在城市城区及其近郊禁止</w:t>
                  </w:r>
                  <w:r>
                    <w:rPr>
                      <w:rFonts w:hint="default" w:ascii="Times New Roman" w:hAnsi="Times New Roman" w:cs="Times New Roman"/>
                      <w:color w:val="auto"/>
                      <w:highlight w:val="none"/>
                      <w:lang w:val="en-US" w:eastAsia="zh-CN"/>
                    </w:rPr>
                    <w:t>新建、扩建钢铁、有色、石化、</w:t>
                  </w:r>
                  <w:r>
                    <w:rPr>
                      <w:rFonts w:hint="default" w:ascii="Times New Roman" w:hAnsi="Times New Roman" w:cs="Times New Roman"/>
                      <w:color w:val="auto"/>
                      <w:highlight w:val="none"/>
                    </w:rPr>
                    <w:t>水泥、化工等重污染企业</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2禁止新建燃料类煤气发生炉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园区现有企业统一建设的</w:t>
                  </w:r>
                  <w:r>
                    <w:rPr>
                      <w:rFonts w:hint="default" w:ascii="Times New Roman" w:hAnsi="Times New Roman" w:cs="Times New Roman"/>
                      <w:color w:val="auto"/>
                      <w:highlight w:val="none"/>
                      <w:lang w:val="en-US" w:eastAsia="zh-CN"/>
                    </w:rPr>
                    <w:t>清洁</w:t>
                  </w:r>
                  <w:r>
                    <w:rPr>
                      <w:rFonts w:hint="default" w:ascii="Times New Roman" w:hAnsi="Times New Roman" w:cs="Times New Roman"/>
                      <w:color w:val="auto"/>
                      <w:highlight w:val="none"/>
                    </w:rPr>
                    <w:t>煤制气中心除外</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3严禁新增钢铁、焦化、电解铝、铸造、水泥、平板玻璃等产能；严格执行铸造、水泥、平板玻璃等行业产能置换实施办法</w:t>
                  </w:r>
                </w:p>
              </w:tc>
              <w:tc>
                <w:tcPr>
                  <w:tcW w:w="1267" w:type="pct"/>
                  <w:tcBorders>
                    <w:tl2br w:val="nil"/>
                    <w:tr2bl w:val="nil"/>
                  </w:tcBorders>
                  <w:noWrap w:val="0"/>
                  <w:vAlign w:val="center"/>
                </w:tcPr>
                <w:p w14:paraId="24AEEF89">
                  <w:pPr>
                    <w:pStyle w:val="54"/>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本项目属于C3670汽车零部件及配件制造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不属于钢铁、有色、石化、水泥、化工等重污染企业；项目无燃料类煤气发生炉。</w:t>
                  </w:r>
                </w:p>
              </w:tc>
              <w:tc>
                <w:tcPr>
                  <w:tcW w:w="595" w:type="pct"/>
                  <w:tcBorders>
                    <w:tl2br w:val="nil"/>
                    <w:tr2bl w:val="nil"/>
                  </w:tcBorders>
                  <w:noWrap w:val="0"/>
                  <w:vAlign w:val="center"/>
                </w:tcPr>
                <w:p w14:paraId="04816F31">
                  <w:pPr>
                    <w:pStyle w:val="54"/>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kern w:val="2"/>
                      <w:sz w:val="21"/>
                      <w:szCs w:val="24"/>
                      <w:highlight w:val="none"/>
                      <w:lang w:val="en-US" w:eastAsia="zh-CN" w:bidi="ar-SA"/>
                    </w:rPr>
                    <w:t>符合</w:t>
                  </w:r>
                </w:p>
              </w:tc>
            </w:tr>
            <w:tr w14:paraId="4E6CE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1" w:type="pct"/>
                  <w:vMerge w:val="continue"/>
                  <w:tcBorders>
                    <w:tl2br w:val="nil"/>
                    <w:tr2bl w:val="nil"/>
                  </w:tcBorders>
                  <w:noWrap w:val="0"/>
                  <w:vAlign w:val="center"/>
                </w:tcPr>
                <w:p w14:paraId="078DD26F">
                  <w:pPr>
                    <w:pStyle w:val="54"/>
                    <w:bidi w:val="0"/>
                    <w:rPr>
                      <w:rFonts w:hint="default" w:ascii="Times New Roman" w:hAnsi="Times New Roman" w:cs="Times New Roman"/>
                      <w:color w:val="auto"/>
                      <w:highlight w:val="none"/>
                    </w:rPr>
                  </w:pPr>
                </w:p>
              </w:tc>
              <w:tc>
                <w:tcPr>
                  <w:tcW w:w="456" w:type="pct"/>
                  <w:vMerge w:val="continue"/>
                  <w:tcBorders>
                    <w:tl2br w:val="nil"/>
                    <w:tr2bl w:val="nil"/>
                  </w:tcBorders>
                  <w:noWrap w:val="0"/>
                  <w:vAlign w:val="center"/>
                </w:tcPr>
                <w:p w14:paraId="07C02D2E">
                  <w:pPr>
                    <w:pStyle w:val="54"/>
                    <w:bidi w:val="0"/>
                    <w:rPr>
                      <w:rFonts w:hint="default" w:ascii="Times New Roman" w:hAnsi="Times New Roman" w:cs="Times New Roman"/>
                      <w:color w:val="auto"/>
                      <w:highlight w:val="none"/>
                      <w:lang w:val="en-US" w:eastAsia="zh-CN"/>
                    </w:rPr>
                  </w:pPr>
                </w:p>
              </w:tc>
              <w:tc>
                <w:tcPr>
                  <w:tcW w:w="2159" w:type="pct"/>
                  <w:tcBorders>
                    <w:tl2br w:val="nil"/>
                    <w:tr2bl w:val="nil"/>
                  </w:tcBorders>
                  <w:noWrap w:val="0"/>
                  <w:vAlign w:val="center"/>
                </w:tcPr>
                <w:p w14:paraId="709C9CAD">
                  <w:pPr>
                    <w:pStyle w:val="54"/>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严格执行国家关于</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两高</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产业准入目录和产能总量控制政策措施。严禁新增钢铁、焦化、电解铝、铸造、水泥和平板玻璃等产能；新、改、扩建涉及大宗物料运输的建设项目，原则上不得采用公路运输。</w:t>
                  </w:r>
                </w:p>
              </w:tc>
              <w:tc>
                <w:tcPr>
                  <w:tcW w:w="1267" w:type="pct"/>
                  <w:tcBorders>
                    <w:tl2br w:val="nil"/>
                    <w:tr2bl w:val="nil"/>
                  </w:tcBorders>
                  <w:noWrap w:val="0"/>
                  <w:vAlign w:val="center"/>
                </w:tcPr>
                <w:p w14:paraId="5502FF1D">
                  <w:pPr>
                    <w:pStyle w:val="54"/>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本项目不属于</w:t>
                  </w:r>
                  <w:r>
                    <w:rPr>
                      <w:rFonts w:hint="default" w:ascii="Times New Roman" w:hAnsi="Times New Roman" w:cs="Times New Roman"/>
                      <w:color w:val="auto"/>
                      <w:highlight w:val="none"/>
                    </w:rPr>
                    <w:t>钢铁、焦化、电解铝、铸造、水泥和平板玻璃</w:t>
                  </w:r>
                  <w:r>
                    <w:rPr>
                      <w:rFonts w:hint="default" w:ascii="Times New Roman" w:hAnsi="Times New Roman" w:cs="Times New Roman"/>
                      <w:color w:val="auto"/>
                      <w:highlight w:val="none"/>
                      <w:lang w:val="en-US" w:eastAsia="zh-CN"/>
                    </w:rPr>
                    <w:t>。</w:t>
                  </w:r>
                </w:p>
              </w:tc>
              <w:tc>
                <w:tcPr>
                  <w:tcW w:w="595" w:type="pct"/>
                  <w:tcBorders>
                    <w:tl2br w:val="nil"/>
                    <w:tr2bl w:val="nil"/>
                  </w:tcBorders>
                  <w:noWrap w:val="0"/>
                  <w:vAlign w:val="center"/>
                </w:tcPr>
                <w:p w14:paraId="5E62C276">
                  <w:pPr>
                    <w:pStyle w:val="54"/>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符合</w:t>
                  </w:r>
                </w:p>
              </w:tc>
            </w:tr>
            <w:tr w14:paraId="4C1357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1" w:type="pct"/>
                  <w:vMerge w:val="continue"/>
                  <w:tcBorders>
                    <w:tl2br w:val="nil"/>
                    <w:tr2bl w:val="nil"/>
                  </w:tcBorders>
                  <w:noWrap w:val="0"/>
                  <w:vAlign w:val="center"/>
                </w:tcPr>
                <w:p w14:paraId="07A45911">
                  <w:pPr>
                    <w:pStyle w:val="54"/>
                    <w:bidi w:val="0"/>
                    <w:rPr>
                      <w:rFonts w:hint="default" w:ascii="Times New Roman" w:hAnsi="Times New Roman" w:cs="Times New Roman"/>
                      <w:color w:val="auto"/>
                      <w:highlight w:val="none"/>
                    </w:rPr>
                  </w:pPr>
                </w:p>
              </w:tc>
              <w:tc>
                <w:tcPr>
                  <w:tcW w:w="456" w:type="pct"/>
                  <w:vMerge w:val="continue"/>
                  <w:tcBorders>
                    <w:tl2br w:val="nil"/>
                    <w:tr2bl w:val="nil"/>
                  </w:tcBorders>
                  <w:noWrap w:val="0"/>
                  <w:vAlign w:val="center"/>
                </w:tcPr>
                <w:p w14:paraId="1548AD30">
                  <w:pPr>
                    <w:pStyle w:val="54"/>
                    <w:bidi w:val="0"/>
                    <w:rPr>
                      <w:rFonts w:hint="default" w:ascii="Times New Roman" w:hAnsi="Times New Roman" w:cs="Times New Roman"/>
                      <w:color w:val="auto"/>
                      <w:highlight w:val="none"/>
                      <w:lang w:val="en-US" w:eastAsia="zh-CN"/>
                    </w:rPr>
                  </w:pPr>
                </w:p>
              </w:tc>
              <w:tc>
                <w:tcPr>
                  <w:tcW w:w="2159" w:type="pct"/>
                  <w:tcBorders>
                    <w:tl2br w:val="nil"/>
                    <w:tr2bl w:val="nil"/>
                  </w:tcBorders>
                  <w:noWrap w:val="0"/>
                  <w:vAlign w:val="center"/>
                </w:tcPr>
                <w:p w14:paraId="05D5A515">
                  <w:pPr>
                    <w:pStyle w:val="5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10禁止建设生产和使用高挥发性有机物含量涂料、油墨、胶粘剂、清洗剂等项目</w:t>
                  </w:r>
                </w:p>
              </w:tc>
              <w:tc>
                <w:tcPr>
                  <w:tcW w:w="1267" w:type="pct"/>
                  <w:vMerge w:val="restart"/>
                  <w:tcBorders>
                    <w:tl2br w:val="nil"/>
                    <w:tr2bl w:val="nil"/>
                  </w:tcBorders>
                  <w:noWrap w:val="0"/>
                  <w:vAlign w:val="center"/>
                </w:tcPr>
                <w:p w14:paraId="4E10A387">
                  <w:pPr>
                    <w:keepNext w:val="0"/>
                    <w:keepLines w:val="0"/>
                    <w:widowControl/>
                    <w:suppressLineNumbers w:val="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本项目</w:t>
                  </w:r>
                  <w:r>
                    <w:rPr>
                      <w:rFonts w:hint="eastAsia" w:ascii="Times New Roman" w:hAnsi="Times New Roman" w:eastAsia="宋体" w:cs="Times New Roman"/>
                      <w:color w:val="auto"/>
                      <w:kern w:val="2"/>
                      <w:sz w:val="21"/>
                      <w:szCs w:val="24"/>
                      <w:highlight w:val="none"/>
                      <w:lang w:val="en-US" w:eastAsia="zh-CN" w:bidi="ar-SA"/>
                    </w:rPr>
                    <w:t>不</w:t>
                  </w:r>
                  <w:r>
                    <w:rPr>
                      <w:rFonts w:hint="eastAsia" w:cs="Times New Roman"/>
                      <w:color w:val="auto"/>
                      <w:kern w:val="2"/>
                      <w:sz w:val="21"/>
                      <w:szCs w:val="24"/>
                      <w:highlight w:val="none"/>
                      <w:lang w:val="en-US" w:eastAsia="zh-CN" w:bidi="ar-SA"/>
                    </w:rPr>
                    <w:t>涉及</w:t>
                  </w:r>
                  <w:r>
                    <w:rPr>
                      <w:rFonts w:hint="eastAsia" w:ascii="Times New Roman" w:hAnsi="Times New Roman" w:eastAsia="宋体" w:cs="Times New Roman"/>
                      <w:color w:val="auto"/>
                      <w:kern w:val="2"/>
                      <w:sz w:val="21"/>
                      <w:szCs w:val="24"/>
                      <w:highlight w:val="none"/>
                      <w:lang w:val="en-US" w:eastAsia="zh-CN" w:bidi="ar-SA"/>
                    </w:rPr>
                    <w:t>生产使用</w:t>
                  </w:r>
                  <w:r>
                    <w:rPr>
                      <w:rFonts w:hint="default" w:ascii="Times New Roman" w:hAnsi="Times New Roman" w:eastAsia="宋体" w:cs="Times New Roman"/>
                      <w:color w:val="auto"/>
                      <w:kern w:val="2"/>
                      <w:sz w:val="21"/>
                      <w:szCs w:val="24"/>
                      <w:highlight w:val="none"/>
                      <w:lang w:val="en-US" w:eastAsia="zh-CN" w:bidi="ar-SA"/>
                    </w:rPr>
                    <w:t>高挥发性有机物含量油墨、清洗剂</w:t>
                  </w:r>
                  <w:r>
                    <w:rPr>
                      <w:rFonts w:hint="eastAsia" w:ascii="Times New Roman" w:hAnsi="Times New Roman" w:eastAsia="宋体" w:cs="Times New Roman"/>
                      <w:color w:val="auto"/>
                      <w:kern w:val="2"/>
                      <w:sz w:val="21"/>
                      <w:szCs w:val="24"/>
                      <w:highlight w:val="none"/>
                      <w:lang w:val="en-US" w:eastAsia="zh-CN" w:bidi="ar-SA"/>
                    </w:rPr>
                    <w:t>，项目</w:t>
                  </w:r>
                  <w:r>
                    <w:rPr>
                      <w:rFonts w:hint="default" w:ascii="Times New Roman" w:hAnsi="Times New Roman" w:eastAsia="宋体" w:cs="Times New Roman"/>
                      <w:color w:val="auto"/>
                      <w:kern w:val="2"/>
                      <w:sz w:val="21"/>
                      <w:szCs w:val="24"/>
                      <w:highlight w:val="none"/>
                      <w:lang w:val="en-US" w:eastAsia="zh-CN" w:bidi="ar-SA"/>
                    </w:rPr>
                    <w:t>胶粘剂</w:t>
                  </w:r>
                  <w:r>
                    <w:rPr>
                      <w:rFonts w:hint="eastAsia" w:ascii="Times New Roman" w:hAnsi="Times New Roman" w:eastAsia="宋体" w:cs="Times New Roman"/>
                      <w:color w:val="auto"/>
                      <w:kern w:val="2"/>
                      <w:sz w:val="21"/>
                      <w:szCs w:val="24"/>
                      <w:highlight w:val="none"/>
                      <w:lang w:val="en-US" w:eastAsia="zh-CN" w:bidi="ar-SA"/>
                    </w:rPr>
                    <w:t>为酚醛胶粘剂，不在《胶粘剂挥发性有机化合物限量》（</w:t>
                  </w:r>
                  <w:r>
                    <w:rPr>
                      <w:rFonts w:hint="default" w:ascii="Times New Roman" w:hAnsi="Times New Roman" w:eastAsia="宋体" w:cs="Times New Roman"/>
                      <w:color w:val="auto"/>
                      <w:kern w:val="2"/>
                      <w:sz w:val="21"/>
                      <w:szCs w:val="24"/>
                      <w:highlight w:val="none"/>
                      <w:lang w:val="en-US" w:eastAsia="zh-CN" w:bidi="ar-SA"/>
                    </w:rPr>
                    <w:t>GB33372-2020</w:t>
                  </w:r>
                  <w:r>
                    <w:rPr>
                      <w:rFonts w:hint="eastAsia" w:ascii="Times New Roman" w:hAnsi="Times New Roman" w:eastAsia="宋体" w:cs="Times New Roman"/>
                      <w:color w:val="auto"/>
                      <w:kern w:val="2"/>
                      <w:sz w:val="21"/>
                      <w:szCs w:val="24"/>
                      <w:highlight w:val="none"/>
                      <w:lang w:val="en-US" w:eastAsia="zh-CN" w:bidi="ar-SA"/>
                    </w:rPr>
                    <w:t>）</w:t>
                  </w:r>
                </w:p>
                <w:p w14:paraId="7D47EEAD">
                  <w:pPr>
                    <w:pStyle w:val="54"/>
                    <w:bidi w:val="0"/>
                    <w:ind w:firstLine="0" w:firstLineChars="0"/>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要求范围内，项目使用的涂料为粉末涂料（塑料），属于低挥发性涂料，符合</w:t>
                  </w:r>
                  <w:r>
                    <w:rPr>
                      <w:rFonts w:hint="default" w:ascii="Times New Roman" w:hAnsi="Times New Roman" w:cs="Times New Roman"/>
                      <w:color w:val="auto"/>
                      <w:highlight w:val="none"/>
                      <w:lang w:val="en-US" w:eastAsia="zh-CN"/>
                    </w:rPr>
                    <w:t>国家标准</w:t>
                  </w:r>
                </w:p>
              </w:tc>
              <w:tc>
                <w:tcPr>
                  <w:tcW w:w="595" w:type="pct"/>
                  <w:tcBorders>
                    <w:tl2br w:val="nil"/>
                    <w:tr2bl w:val="nil"/>
                  </w:tcBorders>
                  <w:noWrap w:val="0"/>
                  <w:vAlign w:val="center"/>
                </w:tcPr>
                <w:p w14:paraId="1E132789">
                  <w:pPr>
                    <w:pStyle w:val="54"/>
                    <w:bidi w:val="0"/>
                    <w:ind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15C58C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1" w:type="pct"/>
                  <w:vMerge w:val="continue"/>
                  <w:tcBorders>
                    <w:tl2br w:val="nil"/>
                    <w:tr2bl w:val="nil"/>
                  </w:tcBorders>
                  <w:noWrap w:val="0"/>
                  <w:vAlign w:val="center"/>
                </w:tcPr>
                <w:p w14:paraId="5E5134E7">
                  <w:pPr>
                    <w:pStyle w:val="54"/>
                    <w:bidi w:val="0"/>
                    <w:rPr>
                      <w:rFonts w:hint="default" w:ascii="Times New Roman" w:hAnsi="Times New Roman" w:cs="Times New Roman"/>
                      <w:color w:val="auto"/>
                      <w:highlight w:val="none"/>
                    </w:rPr>
                  </w:pPr>
                </w:p>
              </w:tc>
              <w:tc>
                <w:tcPr>
                  <w:tcW w:w="456" w:type="pct"/>
                  <w:vMerge w:val="continue"/>
                  <w:tcBorders>
                    <w:tl2br w:val="nil"/>
                    <w:tr2bl w:val="nil"/>
                  </w:tcBorders>
                  <w:noWrap w:val="0"/>
                  <w:vAlign w:val="center"/>
                </w:tcPr>
                <w:p w14:paraId="554BE684">
                  <w:pPr>
                    <w:pStyle w:val="54"/>
                    <w:bidi w:val="0"/>
                    <w:rPr>
                      <w:rFonts w:hint="default" w:ascii="Times New Roman" w:hAnsi="Times New Roman" w:cs="Times New Roman"/>
                      <w:color w:val="auto"/>
                      <w:highlight w:val="none"/>
                      <w:lang w:val="en-US" w:eastAsia="zh-CN"/>
                    </w:rPr>
                  </w:pPr>
                </w:p>
              </w:tc>
              <w:tc>
                <w:tcPr>
                  <w:tcW w:w="2159" w:type="pct"/>
                  <w:tcBorders>
                    <w:tl2br w:val="nil"/>
                    <w:tr2bl w:val="nil"/>
                  </w:tcBorders>
                  <w:noWrap w:val="0"/>
                  <w:vAlign w:val="center"/>
                </w:tcPr>
                <w:p w14:paraId="635BFACC">
                  <w:pPr>
                    <w:pStyle w:val="5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15禁止建设生产和使用VOCS含量限值不符合国家标准的涂料、油墨、胶粘剂、清洗剂等项目</w:t>
                  </w:r>
                </w:p>
              </w:tc>
              <w:tc>
                <w:tcPr>
                  <w:tcW w:w="1267" w:type="pct"/>
                  <w:vMerge w:val="continue"/>
                  <w:tcBorders>
                    <w:tl2br w:val="nil"/>
                    <w:tr2bl w:val="nil"/>
                  </w:tcBorders>
                  <w:noWrap w:val="0"/>
                  <w:vAlign w:val="center"/>
                </w:tcPr>
                <w:p w14:paraId="3FECBBA3">
                  <w:pPr>
                    <w:pStyle w:val="54"/>
                    <w:bidi w:val="0"/>
                    <w:ind w:firstLine="0" w:firstLineChars="0"/>
                    <w:rPr>
                      <w:rFonts w:hint="default" w:ascii="Times New Roman" w:hAnsi="Times New Roman" w:cs="Times New Roman"/>
                      <w:color w:val="auto"/>
                      <w:highlight w:val="none"/>
                      <w:lang w:val="en-US" w:eastAsia="zh-CN"/>
                    </w:rPr>
                  </w:pPr>
                </w:p>
              </w:tc>
              <w:tc>
                <w:tcPr>
                  <w:tcW w:w="595" w:type="pct"/>
                  <w:tcBorders>
                    <w:tl2br w:val="nil"/>
                    <w:tr2bl w:val="nil"/>
                  </w:tcBorders>
                  <w:noWrap w:val="0"/>
                  <w:vAlign w:val="center"/>
                </w:tcPr>
                <w:p w14:paraId="21AF92EA">
                  <w:pPr>
                    <w:pStyle w:val="5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3D670D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1" w:type="pct"/>
                  <w:vMerge w:val="continue"/>
                  <w:tcBorders>
                    <w:tl2br w:val="nil"/>
                    <w:tr2bl w:val="nil"/>
                  </w:tcBorders>
                  <w:noWrap w:val="0"/>
                  <w:vAlign w:val="center"/>
                </w:tcPr>
                <w:p w14:paraId="261D17A3">
                  <w:pPr>
                    <w:pStyle w:val="54"/>
                    <w:bidi w:val="0"/>
                    <w:rPr>
                      <w:rFonts w:hint="default" w:ascii="Times New Roman" w:hAnsi="Times New Roman" w:cs="Times New Roman"/>
                      <w:color w:val="auto"/>
                      <w:highlight w:val="none"/>
                    </w:rPr>
                  </w:pPr>
                </w:p>
              </w:tc>
              <w:tc>
                <w:tcPr>
                  <w:tcW w:w="456" w:type="pct"/>
                  <w:vMerge w:val="restart"/>
                  <w:tcBorders>
                    <w:tl2br w:val="nil"/>
                    <w:tr2bl w:val="nil"/>
                  </w:tcBorders>
                  <w:noWrap w:val="0"/>
                  <w:vAlign w:val="center"/>
                </w:tcPr>
                <w:p w14:paraId="4AEA54B1">
                  <w:pPr>
                    <w:pStyle w:val="5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污染物排放管控</w:t>
                  </w:r>
                </w:p>
              </w:tc>
              <w:tc>
                <w:tcPr>
                  <w:tcW w:w="2159" w:type="pct"/>
                  <w:tcBorders>
                    <w:tl2br w:val="nil"/>
                    <w:tr2bl w:val="nil"/>
                  </w:tcBorders>
                  <w:noWrap w:val="0"/>
                  <w:vAlign w:val="center"/>
                </w:tcPr>
                <w:p w14:paraId="26C45265">
                  <w:pPr>
                    <w:pStyle w:val="5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49新建、改建、扩建排放重点大气污染物的项目不符合总量控制要求的，不得通过环境影响评价。</w:t>
                  </w:r>
                </w:p>
              </w:tc>
              <w:tc>
                <w:tcPr>
                  <w:tcW w:w="1267" w:type="pct"/>
                  <w:tcBorders>
                    <w:tl2br w:val="nil"/>
                    <w:tr2bl w:val="nil"/>
                  </w:tcBorders>
                  <w:noWrap w:val="0"/>
                  <w:vAlign w:val="center"/>
                </w:tcPr>
                <w:p w14:paraId="100B3283">
                  <w:pPr>
                    <w:pStyle w:val="5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本项目目前</w:t>
                  </w:r>
                  <w:r>
                    <w:rPr>
                      <w:rFonts w:hint="eastAsia" w:ascii="Times New Roman" w:hAnsi="Times New Roman" w:cs="Times New Roman"/>
                      <w:color w:val="auto"/>
                      <w:highlight w:val="none"/>
                      <w:lang w:val="en-US" w:eastAsia="zh-CN"/>
                    </w:rPr>
                    <w:t>正在</w:t>
                  </w:r>
                  <w:r>
                    <w:rPr>
                      <w:rFonts w:hint="default" w:ascii="Times New Roman" w:hAnsi="Times New Roman" w:cs="Times New Roman"/>
                      <w:color w:val="auto"/>
                      <w:highlight w:val="none"/>
                      <w:lang w:val="en-US" w:eastAsia="zh-CN"/>
                    </w:rPr>
                    <w:t>履行环评手续</w:t>
                  </w:r>
                </w:p>
              </w:tc>
              <w:tc>
                <w:tcPr>
                  <w:tcW w:w="595" w:type="pct"/>
                  <w:tcBorders>
                    <w:tl2br w:val="nil"/>
                    <w:tr2bl w:val="nil"/>
                  </w:tcBorders>
                  <w:noWrap w:val="0"/>
                  <w:vAlign w:val="center"/>
                </w:tcPr>
                <w:p w14:paraId="23300B1A">
                  <w:pPr>
                    <w:pStyle w:val="5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06406C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1" w:type="pct"/>
                  <w:vMerge w:val="continue"/>
                  <w:tcBorders>
                    <w:tl2br w:val="nil"/>
                    <w:tr2bl w:val="nil"/>
                  </w:tcBorders>
                  <w:noWrap w:val="0"/>
                  <w:vAlign w:val="center"/>
                </w:tcPr>
                <w:p w14:paraId="6436A9C8">
                  <w:pPr>
                    <w:pStyle w:val="54"/>
                    <w:bidi w:val="0"/>
                    <w:rPr>
                      <w:rFonts w:hint="default" w:ascii="Times New Roman" w:hAnsi="Times New Roman" w:cs="Times New Roman"/>
                      <w:color w:val="auto"/>
                      <w:highlight w:val="none"/>
                    </w:rPr>
                  </w:pPr>
                </w:p>
              </w:tc>
              <w:tc>
                <w:tcPr>
                  <w:tcW w:w="456" w:type="pct"/>
                  <w:vMerge w:val="continue"/>
                  <w:tcBorders>
                    <w:tl2br w:val="nil"/>
                    <w:tr2bl w:val="nil"/>
                  </w:tcBorders>
                  <w:noWrap w:val="0"/>
                  <w:vAlign w:val="center"/>
                </w:tcPr>
                <w:p w14:paraId="781D3325">
                  <w:pPr>
                    <w:pStyle w:val="54"/>
                    <w:bidi w:val="0"/>
                    <w:rPr>
                      <w:rFonts w:hint="default" w:ascii="Times New Roman" w:hAnsi="Times New Roman" w:cs="Times New Roman"/>
                      <w:color w:val="auto"/>
                      <w:highlight w:val="none"/>
                    </w:rPr>
                  </w:pPr>
                </w:p>
              </w:tc>
              <w:tc>
                <w:tcPr>
                  <w:tcW w:w="2159" w:type="pct"/>
                  <w:tcBorders>
                    <w:tl2br w:val="nil"/>
                    <w:tr2bl w:val="nil"/>
                  </w:tcBorders>
                  <w:noWrap w:val="0"/>
                  <w:vAlign w:val="center"/>
                </w:tcPr>
                <w:p w14:paraId="4A6DFB51">
                  <w:pPr>
                    <w:pStyle w:val="5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54全面推动挥发性有机物纳入排污许可管理。禁止建设生产和使用高挥发性有机物含量涂料、油墨、胶粘剂、清洗剂等项目。加快推进石化、化工性有机物含量涂料油墨、胶粘剂、清洗剂等项目</w:t>
                  </w:r>
                </w:p>
              </w:tc>
              <w:tc>
                <w:tcPr>
                  <w:tcW w:w="1267" w:type="pct"/>
                  <w:vMerge w:val="restart"/>
                  <w:tcBorders>
                    <w:tl2br w:val="nil"/>
                    <w:tr2bl w:val="nil"/>
                  </w:tcBorders>
                  <w:noWrap w:val="0"/>
                  <w:vAlign w:val="center"/>
                </w:tcPr>
                <w:p w14:paraId="0CAB23CE">
                  <w:pPr>
                    <w:pStyle w:val="5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按要求落实</w:t>
                  </w:r>
                </w:p>
              </w:tc>
              <w:tc>
                <w:tcPr>
                  <w:tcW w:w="595" w:type="pct"/>
                  <w:vMerge w:val="restart"/>
                  <w:tcBorders>
                    <w:tl2br w:val="nil"/>
                    <w:tr2bl w:val="nil"/>
                  </w:tcBorders>
                  <w:noWrap w:val="0"/>
                  <w:vAlign w:val="center"/>
                </w:tcPr>
                <w:p w14:paraId="45CAF883">
                  <w:pPr>
                    <w:pStyle w:val="5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0012C9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1" w:type="pct"/>
                  <w:vMerge w:val="continue"/>
                  <w:tcBorders>
                    <w:tl2br w:val="nil"/>
                    <w:tr2bl w:val="nil"/>
                  </w:tcBorders>
                  <w:noWrap w:val="0"/>
                  <w:vAlign w:val="center"/>
                </w:tcPr>
                <w:p w14:paraId="182D13CC">
                  <w:pPr>
                    <w:pStyle w:val="54"/>
                    <w:bidi w:val="0"/>
                    <w:rPr>
                      <w:rFonts w:hint="default" w:ascii="Times New Roman" w:hAnsi="Times New Roman" w:cs="Times New Roman"/>
                      <w:color w:val="auto"/>
                      <w:highlight w:val="none"/>
                    </w:rPr>
                  </w:pPr>
                </w:p>
              </w:tc>
              <w:tc>
                <w:tcPr>
                  <w:tcW w:w="456" w:type="pct"/>
                  <w:vMerge w:val="continue"/>
                  <w:tcBorders>
                    <w:tl2br w:val="nil"/>
                    <w:tr2bl w:val="nil"/>
                  </w:tcBorders>
                  <w:noWrap w:val="0"/>
                  <w:vAlign w:val="center"/>
                </w:tcPr>
                <w:p w14:paraId="0634256A">
                  <w:pPr>
                    <w:pStyle w:val="54"/>
                    <w:bidi w:val="0"/>
                    <w:rPr>
                      <w:rFonts w:hint="default" w:ascii="Times New Roman" w:hAnsi="Times New Roman" w:cs="Times New Roman"/>
                      <w:color w:val="auto"/>
                      <w:highlight w:val="none"/>
                    </w:rPr>
                  </w:pPr>
                </w:p>
              </w:tc>
              <w:tc>
                <w:tcPr>
                  <w:tcW w:w="2159" w:type="pct"/>
                  <w:tcBorders>
                    <w:tl2br w:val="nil"/>
                    <w:tr2bl w:val="nil"/>
                  </w:tcBorders>
                  <w:noWrap w:val="0"/>
                  <w:vAlign w:val="center"/>
                </w:tcPr>
                <w:p w14:paraId="6A1C2798">
                  <w:pPr>
                    <w:pStyle w:val="54"/>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55实行重点排放源排放浓度与去除效率双重控制。车间或生产设施收集排放的废气，VOCs初始排放速率大于等于2千克/小时的，应加大控制力度除确保排放浓度稳定达标外，还应实行去除效率控制，去除效率不低于80%；采用的原辅材料符合国家有关低VOCs含量产品规定的除外，有行业排放标准的按其相关规定执行。</w:t>
                  </w:r>
                </w:p>
              </w:tc>
              <w:tc>
                <w:tcPr>
                  <w:tcW w:w="1267" w:type="pct"/>
                  <w:vMerge w:val="continue"/>
                  <w:tcBorders>
                    <w:tl2br w:val="nil"/>
                    <w:tr2bl w:val="nil"/>
                  </w:tcBorders>
                  <w:noWrap w:val="0"/>
                  <w:vAlign w:val="center"/>
                </w:tcPr>
                <w:p w14:paraId="2690233A">
                  <w:pPr>
                    <w:pStyle w:val="54"/>
                    <w:bidi w:val="0"/>
                    <w:rPr>
                      <w:rFonts w:hint="default" w:ascii="Times New Roman" w:hAnsi="Times New Roman" w:cs="Times New Roman"/>
                      <w:color w:val="auto"/>
                      <w:highlight w:val="none"/>
                      <w:lang w:val="en-US" w:eastAsia="zh-CN"/>
                    </w:rPr>
                  </w:pPr>
                </w:p>
              </w:tc>
              <w:tc>
                <w:tcPr>
                  <w:tcW w:w="595" w:type="pct"/>
                  <w:vMerge w:val="continue"/>
                  <w:tcBorders>
                    <w:tl2br w:val="nil"/>
                    <w:tr2bl w:val="nil"/>
                  </w:tcBorders>
                  <w:noWrap w:val="0"/>
                  <w:vAlign w:val="center"/>
                </w:tcPr>
                <w:p w14:paraId="02A747D0">
                  <w:pPr>
                    <w:pStyle w:val="54"/>
                    <w:bidi w:val="0"/>
                    <w:rPr>
                      <w:rFonts w:hint="default" w:ascii="Times New Roman" w:hAnsi="Times New Roman" w:cs="Times New Roman"/>
                      <w:color w:val="auto"/>
                      <w:highlight w:val="none"/>
                      <w:lang w:val="en-US" w:eastAsia="zh-CN"/>
                    </w:rPr>
                  </w:pPr>
                </w:p>
              </w:tc>
            </w:tr>
            <w:tr w14:paraId="5D6413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1" w:type="pct"/>
                  <w:vMerge w:val="continue"/>
                  <w:tcBorders>
                    <w:tl2br w:val="nil"/>
                    <w:tr2bl w:val="nil"/>
                  </w:tcBorders>
                  <w:noWrap w:val="0"/>
                  <w:vAlign w:val="center"/>
                </w:tcPr>
                <w:p w14:paraId="5EC455D0">
                  <w:pPr>
                    <w:pStyle w:val="54"/>
                    <w:bidi w:val="0"/>
                    <w:rPr>
                      <w:rFonts w:hint="default" w:ascii="Times New Roman" w:hAnsi="Times New Roman" w:cs="Times New Roman"/>
                      <w:color w:val="auto"/>
                      <w:highlight w:val="none"/>
                    </w:rPr>
                  </w:pPr>
                </w:p>
              </w:tc>
              <w:tc>
                <w:tcPr>
                  <w:tcW w:w="456" w:type="pct"/>
                  <w:vMerge w:val="continue"/>
                  <w:tcBorders>
                    <w:tl2br w:val="nil"/>
                    <w:tr2bl w:val="nil"/>
                  </w:tcBorders>
                  <w:noWrap w:val="0"/>
                  <w:vAlign w:val="center"/>
                </w:tcPr>
                <w:p w14:paraId="37C3AE44">
                  <w:pPr>
                    <w:pStyle w:val="54"/>
                    <w:bidi w:val="0"/>
                    <w:rPr>
                      <w:rFonts w:hint="default" w:ascii="Times New Roman" w:hAnsi="Times New Roman" w:cs="Times New Roman"/>
                      <w:color w:val="auto"/>
                      <w:highlight w:val="none"/>
                    </w:rPr>
                  </w:pPr>
                </w:p>
              </w:tc>
              <w:tc>
                <w:tcPr>
                  <w:tcW w:w="2159" w:type="pct"/>
                  <w:tcBorders>
                    <w:tl2br w:val="nil"/>
                    <w:tr2bl w:val="nil"/>
                  </w:tcBorders>
                  <w:noWrap w:val="0"/>
                  <w:vAlign w:val="center"/>
                </w:tcPr>
                <w:p w14:paraId="2C94AE18">
                  <w:pPr>
                    <w:pStyle w:val="5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59按《挥发性有机物无组织排放控制标准》（GB37822-2019）要求，做好VOCs物料储存、物料转移和输送、工艺过程、设备与管线组件、敞开液面VOCs排放，以及VOCs无组织排放废气收集处理系统要求</w:t>
                  </w:r>
                </w:p>
              </w:tc>
              <w:tc>
                <w:tcPr>
                  <w:tcW w:w="1267" w:type="pct"/>
                  <w:tcBorders>
                    <w:tl2br w:val="nil"/>
                    <w:tr2bl w:val="nil"/>
                  </w:tcBorders>
                  <w:noWrap w:val="0"/>
                  <w:vAlign w:val="center"/>
                </w:tcPr>
                <w:p w14:paraId="3A4ED30E">
                  <w:pPr>
                    <w:pStyle w:val="5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按要求落实</w:t>
                  </w:r>
                </w:p>
              </w:tc>
              <w:tc>
                <w:tcPr>
                  <w:tcW w:w="595" w:type="pct"/>
                  <w:tcBorders>
                    <w:tl2br w:val="nil"/>
                    <w:tr2bl w:val="nil"/>
                  </w:tcBorders>
                  <w:noWrap w:val="0"/>
                  <w:vAlign w:val="center"/>
                </w:tcPr>
                <w:p w14:paraId="0D312D43">
                  <w:pPr>
                    <w:pStyle w:val="5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bl>
          <w:p w14:paraId="12F474F1">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firstLine="482" w:firstLineChars="200"/>
              <w:textAlignment w:val="auto"/>
              <w:outlineLvl w:val="9"/>
              <w:rPr>
                <w:rFonts w:hint="default" w:ascii="Times New Roman" w:hAnsi="Times New Roman" w:eastAsia="宋体" w:cs="Times New Roman"/>
                <w:b/>
                <w:color w:val="auto"/>
                <w:sz w:val="24"/>
                <w:highlight w:val="none"/>
              </w:rPr>
            </w:pPr>
            <w:r>
              <w:rPr>
                <w:rFonts w:hint="default" w:ascii="Times New Roman" w:hAnsi="Times New Roman" w:cs="Times New Roman"/>
                <w:b/>
                <w:bCs/>
                <w:color w:val="auto"/>
                <w:sz w:val="24"/>
                <w:highlight w:val="none"/>
                <w:lang w:val="en-US" w:eastAsia="zh-CN"/>
              </w:rPr>
              <w:t>4、</w:t>
            </w:r>
            <w:r>
              <w:rPr>
                <w:rFonts w:hint="default" w:ascii="Times New Roman" w:hAnsi="Times New Roman" w:eastAsia="宋体" w:cs="Times New Roman"/>
                <w:b/>
                <w:color w:val="auto"/>
                <w:sz w:val="24"/>
                <w:highlight w:val="none"/>
              </w:rPr>
              <w:t>与挥发性有机物治理相关要求符合性分析</w:t>
            </w:r>
          </w:p>
          <w:p w14:paraId="62598577">
            <w:pPr>
              <w:pStyle w:val="52"/>
              <w:bidi w:val="0"/>
              <w:rPr>
                <w:rFonts w:hint="default" w:ascii="Times New Roman" w:hAnsi="Times New Roman" w:eastAsia="宋体" w:cs="Times New Roman"/>
                <w:b/>
                <w:color w:val="auto"/>
                <w:spacing w:val="0"/>
                <w:kern w:val="2"/>
                <w:sz w:val="21"/>
                <w:szCs w:val="21"/>
                <w:highlight w:val="none"/>
                <w:lang w:val="en-US" w:eastAsia="zh-CN" w:bidi="ar-SA"/>
              </w:rPr>
            </w:pPr>
            <w:r>
              <w:rPr>
                <w:rFonts w:hint="default" w:ascii="Times New Roman" w:hAnsi="Times New Roman" w:eastAsia="宋体" w:cs="Times New Roman"/>
                <w:b/>
                <w:color w:val="auto"/>
                <w:spacing w:val="0"/>
                <w:kern w:val="2"/>
                <w:sz w:val="21"/>
                <w:szCs w:val="21"/>
                <w:highlight w:val="none"/>
                <w:lang w:val="en-US" w:eastAsia="zh-CN" w:bidi="ar-SA"/>
              </w:rPr>
              <w:t xml:space="preserve">表1-4 </w:t>
            </w:r>
            <w:r>
              <w:rPr>
                <w:rFonts w:hint="eastAsia" w:ascii="Times New Roman" w:hAnsi="Times New Roman" w:eastAsia="宋体" w:cs="Times New Roman"/>
                <w:b/>
                <w:color w:val="auto"/>
                <w:spacing w:val="0"/>
                <w:kern w:val="2"/>
                <w:sz w:val="21"/>
                <w:szCs w:val="21"/>
                <w:highlight w:val="none"/>
                <w:lang w:val="en-US" w:eastAsia="zh-CN" w:bidi="ar-SA"/>
              </w:rPr>
              <w:t>项目</w:t>
            </w:r>
            <w:r>
              <w:rPr>
                <w:rFonts w:hint="default" w:ascii="Times New Roman" w:hAnsi="Times New Roman" w:eastAsia="宋体" w:cs="Times New Roman"/>
                <w:b/>
                <w:color w:val="auto"/>
                <w:spacing w:val="0"/>
                <w:kern w:val="2"/>
                <w:sz w:val="21"/>
                <w:szCs w:val="21"/>
                <w:highlight w:val="none"/>
                <w:lang w:val="en-US" w:eastAsia="zh-CN" w:bidi="ar-SA"/>
              </w:rPr>
              <w:t>与挥发性有机物治理相关政策要求符合性分析</w:t>
            </w:r>
          </w:p>
          <w:tbl>
            <w:tblPr>
              <w:tblStyle w:val="25"/>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3"/>
              <w:gridCol w:w="3377"/>
              <w:gridCol w:w="1631"/>
              <w:gridCol w:w="426"/>
            </w:tblGrid>
            <w:tr w14:paraId="22160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8" w:type="pct"/>
                  <w:noWrap w:val="0"/>
                  <w:vAlign w:val="center"/>
                </w:tcPr>
                <w:p w14:paraId="06B3789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政策</w:t>
                  </w:r>
                </w:p>
              </w:tc>
              <w:tc>
                <w:tcPr>
                  <w:tcW w:w="2480" w:type="pct"/>
                  <w:noWrap w:val="0"/>
                  <w:vAlign w:val="center"/>
                </w:tcPr>
                <w:p w14:paraId="120838F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rPr>
                    <w:t>要求</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lang w:val="en-US" w:eastAsia="zh-CN"/>
                    </w:rPr>
                    <w:t>节选</w:t>
                  </w:r>
                  <w:r>
                    <w:rPr>
                      <w:rFonts w:hint="default" w:ascii="Times New Roman" w:hAnsi="Times New Roman" w:cs="Times New Roman"/>
                      <w:b/>
                      <w:bCs/>
                      <w:color w:val="auto"/>
                      <w:sz w:val="21"/>
                      <w:szCs w:val="21"/>
                      <w:highlight w:val="none"/>
                      <w:lang w:eastAsia="zh-CN"/>
                    </w:rPr>
                    <w:t>）</w:t>
                  </w:r>
                </w:p>
              </w:tc>
              <w:tc>
                <w:tcPr>
                  <w:tcW w:w="1198" w:type="pct"/>
                  <w:noWrap w:val="0"/>
                  <w:vAlign w:val="center"/>
                </w:tcPr>
                <w:p w14:paraId="5B656CE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本</w:t>
                  </w:r>
                  <w:r>
                    <w:rPr>
                      <w:rFonts w:hint="default" w:ascii="Times New Roman" w:hAnsi="Times New Roman" w:eastAsia="宋体" w:cs="Times New Roman"/>
                      <w:b/>
                      <w:bCs/>
                      <w:color w:val="auto"/>
                      <w:sz w:val="21"/>
                      <w:szCs w:val="21"/>
                      <w:highlight w:val="none"/>
                    </w:rPr>
                    <w:t>项目情况</w:t>
                  </w:r>
                </w:p>
              </w:tc>
              <w:tc>
                <w:tcPr>
                  <w:tcW w:w="312" w:type="pct"/>
                  <w:noWrap w:val="0"/>
                  <w:vAlign w:val="center"/>
                </w:tcPr>
                <w:p w14:paraId="4DBFA8C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符合性</w:t>
                  </w:r>
                </w:p>
              </w:tc>
            </w:tr>
            <w:tr w14:paraId="6972D8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8" w:type="pct"/>
                  <w:noWrap w:val="0"/>
                  <w:vAlign w:val="center"/>
                </w:tcPr>
                <w:p w14:paraId="0350031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《关于印发</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安徽省低挥发性有机物含量原辅材料替代工作方案</w:t>
                  </w:r>
                  <w:r>
                    <w:rPr>
                      <w:rFonts w:hint="eastAsia" w:cs="Times New Roman"/>
                      <w:color w:val="auto"/>
                      <w:sz w:val="21"/>
                      <w:szCs w:val="21"/>
                      <w:highlight w:val="none"/>
                      <w:lang w:eastAsia="zh-CN"/>
                    </w:rPr>
                    <w:t>〉的通知》</w:t>
                  </w:r>
                  <w:r>
                    <w:rPr>
                      <w:rFonts w:hint="default" w:ascii="Times New Roman" w:hAnsi="Times New Roman" w:eastAsia="宋体" w:cs="Times New Roman"/>
                      <w:color w:val="auto"/>
                      <w:sz w:val="21"/>
                      <w:szCs w:val="21"/>
                      <w:highlight w:val="none"/>
                    </w:rPr>
                    <w:t>（皖环发</w:t>
                  </w:r>
                  <w:r>
                    <w:rPr>
                      <w:rFonts w:hint="eastAsia" w:ascii="Times New Roman" w:hAnsi="Times New Roman" w:eastAsia="宋体" w:cs="Times New Roman"/>
                      <w:color w:val="auto"/>
                      <w:sz w:val="21"/>
                      <w:szCs w:val="21"/>
                      <w:highlight w:val="none"/>
                      <w:lang w:eastAsia="zh-CN"/>
                    </w:rPr>
                    <w:t>〔2024〕1号</w:t>
                  </w:r>
                  <w:r>
                    <w:rPr>
                      <w:rFonts w:hint="default" w:ascii="Times New Roman" w:hAnsi="Times New Roman" w:eastAsia="宋体" w:cs="Times New Roman"/>
                      <w:color w:val="auto"/>
                      <w:sz w:val="21"/>
                      <w:szCs w:val="21"/>
                      <w:highlight w:val="none"/>
                    </w:rPr>
                    <w:t>）</w:t>
                  </w:r>
                </w:p>
              </w:tc>
              <w:tc>
                <w:tcPr>
                  <w:tcW w:w="2480" w:type="pct"/>
                  <w:noWrap w:val="0"/>
                  <w:vAlign w:val="center"/>
                </w:tcPr>
                <w:p w14:paraId="5C351F42">
                  <w:pPr>
                    <w:pStyle w:val="10"/>
                    <w:keepNext w:val="0"/>
                    <w:keepLines w:val="0"/>
                    <w:pageBreakBefore w:val="0"/>
                    <w:widowControl w:val="0"/>
                    <w:numPr>
                      <w:ilvl w:val="0"/>
                      <w:numId w:val="0"/>
                    </w:numPr>
                    <w:kinsoku/>
                    <w:wordWrap/>
                    <w:overflowPunct/>
                    <w:autoSpaceDN/>
                    <w:bidi w:val="0"/>
                    <w:adjustRightInd w:val="0"/>
                    <w:snapToGrid w:val="0"/>
                    <w:spacing w:after="0" w:afterLines="0" w:line="240" w:lineRule="auto"/>
                    <w:ind w:left="0" w:left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到2025年底前，推进汽车整车制造、木质家具、汽车零部件、工程机械、钢结构、船舶制造等领域3100余家重点企业（附件1）实施低VOCs含量涂料，源头替代及工艺改造，原则上实现“应替尽替”。</w:t>
                  </w:r>
                </w:p>
                <w:p w14:paraId="7B4763A4">
                  <w:pPr>
                    <w:pStyle w:val="10"/>
                    <w:keepNext w:val="0"/>
                    <w:keepLines w:val="0"/>
                    <w:pageBreakBefore w:val="0"/>
                    <w:widowControl w:val="0"/>
                    <w:numPr>
                      <w:ilvl w:val="0"/>
                      <w:numId w:val="0"/>
                    </w:numPr>
                    <w:kinsoku/>
                    <w:wordWrap/>
                    <w:overflowPunct/>
                    <w:autoSpaceDN/>
                    <w:bidi w:val="0"/>
                    <w:adjustRightInd w:val="0"/>
                    <w:snapToGrid w:val="0"/>
                    <w:spacing w:after="0" w:afterLines="0" w:line="240" w:lineRule="auto"/>
                    <w:ind w:left="0" w:left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全面排查使用溶剂型涂料、油墨、胶粘剂、清洗剂以及涉及有机化工生产的产业集群，2025年底前基本实现溶剂型工业涂料、油墨、胶粘剂“能替则替”。在房屋建筑和市政工程领域，全面推广使用低VOCS含量涂料和胶粘剂，除特殊功能要求外的室内地坪施工、室外构筑物防护和城市道路交通标志基本使用低VOCS含量涂料。</w:t>
                  </w:r>
                </w:p>
              </w:tc>
              <w:tc>
                <w:tcPr>
                  <w:tcW w:w="1198" w:type="pct"/>
                  <w:vMerge w:val="restart"/>
                  <w:noWrap w:val="0"/>
                  <w:vAlign w:val="center"/>
                </w:tcPr>
                <w:p w14:paraId="5DD0C827">
                  <w:pPr>
                    <w:keepNext w:val="0"/>
                    <w:keepLines w:val="0"/>
                    <w:widowControl/>
                    <w:suppressLineNumbers w:val="0"/>
                    <w:jc w:val="left"/>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lang w:val="en-US" w:eastAsia="zh-CN"/>
                    </w:rPr>
                    <w:t>属于C3670汽车零部件及配件制造，属于汽车零部件。</w:t>
                  </w:r>
                  <w:r>
                    <w:rPr>
                      <w:rFonts w:hint="default" w:ascii="Times New Roman" w:hAnsi="Times New Roman" w:eastAsia="宋体" w:cs="Times New Roman"/>
                      <w:color w:val="auto"/>
                      <w:kern w:val="2"/>
                      <w:sz w:val="21"/>
                      <w:szCs w:val="24"/>
                      <w:highlight w:val="none"/>
                      <w:lang w:val="en-US" w:eastAsia="zh-CN" w:bidi="ar-SA"/>
                    </w:rPr>
                    <w:t>本项目</w:t>
                  </w:r>
                  <w:r>
                    <w:rPr>
                      <w:rFonts w:hint="eastAsia" w:ascii="Times New Roman" w:hAnsi="Times New Roman" w:eastAsia="宋体" w:cs="Times New Roman"/>
                      <w:color w:val="auto"/>
                      <w:kern w:val="2"/>
                      <w:sz w:val="21"/>
                      <w:szCs w:val="24"/>
                      <w:highlight w:val="none"/>
                      <w:lang w:val="en-US" w:eastAsia="zh-CN" w:bidi="ar-SA"/>
                    </w:rPr>
                    <w:t>不涉及生产使用</w:t>
                  </w:r>
                  <w:r>
                    <w:rPr>
                      <w:rFonts w:hint="default" w:ascii="Times New Roman" w:hAnsi="Times New Roman" w:eastAsia="宋体" w:cs="Times New Roman"/>
                      <w:color w:val="auto"/>
                      <w:kern w:val="2"/>
                      <w:sz w:val="21"/>
                      <w:szCs w:val="24"/>
                      <w:highlight w:val="none"/>
                      <w:lang w:val="en-US" w:eastAsia="zh-CN" w:bidi="ar-SA"/>
                    </w:rPr>
                    <w:t>高挥发性有机物含量油墨、清洗剂</w:t>
                  </w:r>
                  <w:r>
                    <w:rPr>
                      <w:rFonts w:hint="eastAsia" w:ascii="Times New Roman" w:hAnsi="Times New Roman" w:eastAsia="宋体" w:cs="Times New Roman"/>
                      <w:color w:val="auto"/>
                      <w:kern w:val="2"/>
                      <w:sz w:val="21"/>
                      <w:szCs w:val="24"/>
                      <w:highlight w:val="none"/>
                      <w:lang w:val="en-US" w:eastAsia="zh-CN" w:bidi="ar-SA"/>
                    </w:rPr>
                    <w:t>，项目</w:t>
                  </w:r>
                  <w:r>
                    <w:rPr>
                      <w:rFonts w:hint="default" w:ascii="Times New Roman" w:hAnsi="Times New Roman" w:eastAsia="宋体" w:cs="Times New Roman"/>
                      <w:color w:val="auto"/>
                      <w:kern w:val="2"/>
                      <w:sz w:val="21"/>
                      <w:szCs w:val="24"/>
                      <w:highlight w:val="none"/>
                      <w:lang w:val="en-US" w:eastAsia="zh-CN" w:bidi="ar-SA"/>
                    </w:rPr>
                    <w:t>胶粘剂</w:t>
                  </w:r>
                  <w:r>
                    <w:rPr>
                      <w:rFonts w:hint="eastAsia" w:ascii="Times New Roman" w:hAnsi="Times New Roman" w:eastAsia="宋体" w:cs="Times New Roman"/>
                      <w:color w:val="auto"/>
                      <w:kern w:val="2"/>
                      <w:sz w:val="21"/>
                      <w:szCs w:val="24"/>
                      <w:highlight w:val="none"/>
                      <w:lang w:val="en-US" w:eastAsia="zh-CN" w:bidi="ar-SA"/>
                    </w:rPr>
                    <w:t>为酚醛胶粘剂，不在《胶粘剂挥发性有机化合物限量》（</w:t>
                  </w:r>
                  <w:r>
                    <w:rPr>
                      <w:rFonts w:hint="default" w:ascii="Times New Roman" w:hAnsi="Times New Roman" w:eastAsia="宋体" w:cs="Times New Roman"/>
                      <w:color w:val="auto"/>
                      <w:kern w:val="2"/>
                      <w:sz w:val="21"/>
                      <w:szCs w:val="24"/>
                      <w:highlight w:val="none"/>
                      <w:lang w:val="en-US" w:eastAsia="zh-CN" w:bidi="ar-SA"/>
                    </w:rPr>
                    <w:t>GB33372-2020</w:t>
                  </w:r>
                  <w:r>
                    <w:rPr>
                      <w:rFonts w:hint="eastAsia" w:ascii="Times New Roman" w:hAnsi="Times New Roman" w:eastAsia="宋体" w:cs="Times New Roman"/>
                      <w:color w:val="auto"/>
                      <w:kern w:val="2"/>
                      <w:sz w:val="21"/>
                      <w:szCs w:val="24"/>
                      <w:highlight w:val="none"/>
                      <w:lang w:val="en-US" w:eastAsia="zh-CN" w:bidi="ar-SA"/>
                    </w:rPr>
                    <w:t>）要求范围内，项目使用的涂料为粉末涂料（塑料），属于低挥发性涂料，符合</w:t>
                  </w:r>
                  <w:r>
                    <w:rPr>
                      <w:rFonts w:hint="default" w:ascii="Times New Roman" w:hAnsi="Times New Roman" w:cs="Times New Roman"/>
                      <w:color w:val="auto"/>
                      <w:highlight w:val="none"/>
                      <w:lang w:val="en-US" w:eastAsia="zh-CN"/>
                    </w:rPr>
                    <w:t>国家标准</w:t>
                  </w:r>
                </w:p>
              </w:tc>
              <w:tc>
                <w:tcPr>
                  <w:tcW w:w="312" w:type="pct"/>
                  <w:noWrap w:val="0"/>
                  <w:vAlign w:val="center"/>
                </w:tcPr>
                <w:p w14:paraId="21E5998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091514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008" w:type="pct"/>
                  <w:noWrap w:val="0"/>
                  <w:vAlign w:val="center"/>
                </w:tcPr>
                <w:p w14:paraId="0DE0706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b w:val="0"/>
                      <w:bCs w:val="0"/>
                      <w:color w:val="auto"/>
                      <w:highlight w:val="none"/>
                    </w:rPr>
                    <w:t>淮南市大气办关于《淮南市2021年应对气候变化和大气污染防治重点工作任务》的通知（淮大气办〔2021〕3号）</w:t>
                  </w:r>
                </w:p>
              </w:tc>
              <w:tc>
                <w:tcPr>
                  <w:tcW w:w="2480" w:type="pct"/>
                  <w:noWrap w:val="0"/>
                  <w:vAlign w:val="center"/>
                </w:tcPr>
                <w:p w14:paraId="24274FB9">
                  <w:pPr>
                    <w:pStyle w:val="51"/>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30" w:right="-63" w:rightChars="-30"/>
                    <w:jc w:val="left"/>
                    <w:textAlignment w:val="auto"/>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sz w:val="21"/>
                      <w:highlight w:val="none"/>
                    </w:rPr>
                    <w:t>加快推动VOCs精细化治理。实施VOCs产品源头替代工程，严格落实《油墨中可挥发性有机化合物含量的限值》等国家产品VOCs含量限值标准，推进家具制造、汽车制造、印刷和记录媒介、橡胶和塑料制品等行业低VOCs含量原辅材料替代。</w:t>
                  </w:r>
                </w:p>
              </w:tc>
              <w:tc>
                <w:tcPr>
                  <w:tcW w:w="1198" w:type="pct"/>
                  <w:vMerge w:val="continue"/>
                  <w:noWrap w:val="0"/>
                  <w:vAlign w:val="center"/>
                </w:tcPr>
                <w:p w14:paraId="1D01C06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0000FF"/>
                      <w:highlight w:val="none"/>
                      <w:lang w:val="en-US" w:eastAsia="zh-CN"/>
                    </w:rPr>
                  </w:pPr>
                </w:p>
              </w:tc>
              <w:tc>
                <w:tcPr>
                  <w:tcW w:w="312" w:type="pct"/>
                  <w:noWrap w:val="0"/>
                  <w:vAlign w:val="center"/>
                </w:tcPr>
                <w:p w14:paraId="5C0E798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59B7D9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008" w:type="pct"/>
                  <w:vMerge w:val="restart"/>
                  <w:noWrap w:val="0"/>
                  <w:vAlign w:val="center"/>
                </w:tcPr>
                <w:p w14:paraId="51514FA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淮南市“十四五”大气污染防治规划（2021-2025年）淮环通</w:t>
                  </w:r>
                  <w:r>
                    <w:rPr>
                      <w:rFonts w:hint="eastAsia" w:ascii="Times New Roman" w:hAnsi="Times New Roman" w:cs="Times New Roman"/>
                      <w:b w:val="0"/>
                      <w:bCs w:val="0"/>
                      <w:color w:val="auto"/>
                      <w:highlight w:val="none"/>
                      <w:lang w:val="en-US" w:eastAsia="zh-CN"/>
                    </w:rPr>
                    <w:t>〔2022〕46号</w:t>
                  </w:r>
                </w:p>
              </w:tc>
              <w:tc>
                <w:tcPr>
                  <w:tcW w:w="2480" w:type="pct"/>
                  <w:noWrap w:val="0"/>
                  <w:vAlign w:val="center"/>
                </w:tcPr>
                <w:p w14:paraId="64ED7B96">
                  <w:pPr>
                    <w:pStyle w:val="51"/>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63" w:leftChars="-30" w:right="-63" w:rightChars="-30"/>
                    <w:jc w:val="left"/>
                    <w:textAlignment w:val="auto"/>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sz w:val="21"/>
                      <w:szCs w:val="21"/>
                      <w:highlight w:val="none"/>
                    </w:rPr>
                    <w:t>加严涉VOCs项目建设。严格控制新建、扩建印染、化纤、合成革、工业涂装、包装印刷、塑料和橡胶等重污染项目。禁止建设生产和使用高VOCs含量的溶剂型涂料、油墨、胶黏剂项目。其他新、改、扩建排放VOCs的项目，应从源头加强控制，配套安装高效收集、治理设施。新建涉VOCs排放的工业企业要入园区。实行区域内VOCs排放等量、倍量削减替代，将替代方案落实到企业排污许可证中，纳入环境执法管理。</w:t>
                  </w:r>
                </w:p>
              </w:tc>
              <w:tc>
                <w:tcPr>
                  <w:tcW w:w="1198" w:type="pct"/>
                  <w:vMerge w:val="restart"/>
                  <w:noWrap w:val="0"/>
                  <w:vAlign w:val="center"/>
                </w:tcPr>
                <w:p w14:paraId="163735A9">
                  <w:pPr>
                    <w:keepNext w:val="0"/>
                    <w:keepLines w:val="0"/>
                    <w:widowControl/>
                    <w:suppressLineNumbers w:val="0"/>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本项目为</w:t>
                  </w:r>
                  <w:r>
                    <w:rPr>
                      <w:rFonts w:hint="default" w:ascii="Times New Roman" w:hAnsi="Times New Roman" w:eastAsia="宋体" w:cs="Times New Roman"/>
                      <w:color w:val="auto"/>
                      <w:sz w:val="21"/>
                      <w:szCs w:val="21"/>
                      <w:highlight w:val="none"/>
                      <w:lang w:val="en-US" w:eastAsia="zh-CN"/>
                    </w:rPr>
                    <w:t>C3670汽车零部件及配件制造，属于汽车零部件。</w:t>
                  </w:r>
                  <w:r>
                    <w:rPr>
                      <w:rFonts w:hint="default" w:ascii="Times New Roman" w:hAnsi="Times New Roman" w:eastAsia="宋体" w:cs="Times New Roman"/>
                      <w:color w:val="auto"/>
                      <w:kern w:val="2"/>
                      <w:sz w:val="21"/>
                      <w:szCs w:val="24"/>
                      <w:highlight w:val="none"/>
                      <w:lang w:val="en-US" w:eastAsia="zh-CN" w:bidi="ar-SA"/>
                    </w:rPr>
                    <w:t>本项目</w:t>
                  </w:r>
                  <w:r>
                    <w:rPr>
                      <w:rFonts w:hint="eastAsia" w:ascii="Times New Roman" w:hAnsi="Times New Roman" w:eastAsia="宋体" w:cs="Times New Roman"/>
                      <w:color w:val="auto"/>
                      <w:kern w:val="2"/>
                      <w:sz w:val="21"/>
                      <w:szCs w:val="24"/>
                      <w:highlight w:val="none"/>
                      <w:lang w:val="en-US" w:eastAsia="zh-CN" w:bidi="ar-SA"/>
                    </w:rPr>
                    <w:t>不涉及生产使用</w:t>
                  </w:r>
                  <w:r>
                    <w:rPr>
                      <w:rFonts w:hint="default" w:ascii="Times New Roman" w:hAnsi="Times New Roman" w:eastAsia="宋体" w:cs="Times New Roman"/>
                      <w:color w:val="auto"/>
                      <w:kern w:val="2"/>
                      <w:sz w:val="21"/>
                      <w:szCs w:val="24"/>
                      <w:highlight w:val="none"/>
                      <w:lang w:val="en-US" w:eastAsia="zh-CN" w:bidi="ar-SA"/>
                    </w:rPr>
                    <w:t>高挥发性有机物含量油墨、清洗剂</w:t>
                  </w:r>
                  <w:r>
                    <w:rPr>
                      <w:rFonts w:hint="eastAsia" w:ascii="Times New Roman" w:hAnsi="Times New Roman" w:eastAsia="宋体" w:cs="Times New Roman"/>
                      <w:color w:val="auto"/>
                      <w:kern w:val="2"/>
                      <w:sz w:val="21"/>
                      <w:szCs w:val="24"/>
                      <w:highlight w:val="none"/>
                      <w:lang w:val="en-US" w:eastAsia="zh-CN" w:bidi="ar-SA"/>
                    </w:rPr>
                    <w:t>，项目</w:t>
                  </w:r>
                  <w:r>
                    <w:rPr>
                      <w:rFonts w:hint="default" w:ascii="Times New Roman" w:hAnsi="Times New Roman" w:eastAsia="宋体" w:cs="Times New Roman"/>
                      <w:color w:val="auto"/>
                      <w:kern w:val="2"/>
                      <w:sz w:val="21"/>
                      <w:szCs w:val="24"/>
                      <w:highlight w:val="none"/>
                      <w:lang w:val="en-US" w:eastAsia="zh-CN" w:bidi="ar-SA"/>
                    </w:rPr>
                    <w:t>胶粘剂</w:t>
                  </w:r>
                  <w:r>
                    <w:rPr>
                      <w:rFonts w:hint="eastAsia" w:ascii="Times New Roman" w:hAnsi="Times New Roman" w:eastAsia="宋体" w:cs="Times New Roman"/>
                      <w:color w:val="auto"/>
                      <w:kern w:val="2"/>
                      <w:sz w:val="21"/>
                      <w:szCs w:val="24"/>
                      <w:highlight w:val="none"/>
                      <w:lang w:val="en-US" w:eastAsia="zh-CN" w:bidi="ar-SA"/>
                    </w:rPr>
                    <w:t>为酚醛胶粘剂，不在《胶粘剂挥发性有机化合物限量》（</w:t>
                  </w:r>
                  <w:r>
                    <w:rPr>
                      <w:rFonts w:hint="default" w:ascii="Times New Roman" w:hAnsi="Times New Roman" w:eastAsia="宋体" w:cs="Times New Roman"/>
                      <w:color w:val="auto"/>
                      <w:kern w:val="2"/>
                      <w:sz w:val="21"/>
                      <w:szCs w:val="24"/>
                      <w:highlight w:val="none"/>
                      <w:lang w:val="en-US" w:eastAsia="zh-CN" w:bidi="ar-SA"/>
                    </w:rPr>
                    <w:t>GB33372-2020</w:t>
                  </w:r>
                  <w:r>
                    <w:rPr>
                      <w:rFonts w:hint="eastAsia" w:ascii="Times New Roman" w:hAnsi="Times New Roman" w:eastAsia="宋体" w:cs="Times New Roman"/>
                      <w:color w:val="auto"/>
                      <w:kern w:val="2"/>
                      <w:sz w:val="21"/>
                      <w:szCs w:val="24"/>
                      <w:highlight w:val="none"/>
                      <w:lang w:val="en-US" w:eastAsia="zh-CN" w:bidi="ar-SA"/>
                    </w:rPr>
                    <w:t>）要求范围内，项目使用的涂料为粉末涂料（塑料），属于低挥发性涂料，符合</w:t>
                  </w:r>
                  <w:r>
                    <w:rPr>
                      <w:rFonts w:hint="default" w:ascii="Times New Roman" w:hAnsi="Times New Roman" w:cs="Times New Roman"/>
                      <w:color w:val="auto"/>
                      <w:highlight w:val="none"/>
                      <w:lang w:val="en-US" w:eastAsia="zh-CN"/>
                    </w:rPr>
                    <w:t>国家标准</w:t>
                  </w:r>
                  <w:r>
                    <w:rPr>
                      <w:rFonts w:hint="default" w:ascii="Times New Roman" w:hAnsi="Times New Roman" w:eastAsia="宋体" w:cs="Times New Roman"/>
                      <w:color w:val="auto"/>
                      <w:sz w:val="21"/>
                      <w:szCs w:val="21"/>
                      <w:highlight w:val="none"/>
                      <w:lang w:val="en-US" w:eastAsia="zh-CN"/>
                    </w:rPr>
                    <w:t>。企业</w:t>
                  </w:r>
                  <w:r>
                    <w:rPr>
                      <w:rFonts w:hint="default" w:ascii="Times New Roman" w:hAnsi="Times New Roman" w:eastAsia="宋体" w:cs="Times New Roman"/>
                      <w:color w:val="auto"/>
                      <w:sz w:val="21"/>
                      <w:szCs w:val="21"/>
                      <w:highlight w:val="none"/>
                    </w:rPr>
                    <w:t>VOCs排放</w:t>
                  </w:r>
                  <w:r>
                    <w:rPr>
                      <w:rFonts w:hint="default" w:ascii="Times New Roman" w:hAnsi="Times New Roman" w:eastAsia="宋体" w:cs="Times New Roman"/>
                      <w:color w:val="auto"/>
                      <w:sz w:val="21"/>
                      <w:szCs w:val="21"/>
                      <w:highlight w:val="none"/>
                      <w:lang w:val="en-US" w:eastAsia="zh-CN"/>
                    </w:rPr>
                    <w:t>执行</w:t>
                  </w:r>
                  <w:r>
                    <w:rPr>
                      <w:rFonts w:hint="default" w:ascii="Times New Roman" w:hAnsi="Times New Roman" w:eastAsia="宋体" w:cs="Times New Roman"/>
                      <w:color w:val="auto"/>
                      <w:sz w:val="21"/>
                      <w:szCs w:val="21"/>
                      <w:highlight w:val="none"/>
                    </w:rPr>
                    <w:t>等量、倍量削减替代</w:t>
                  </w:r>
                </w:p>
              </w:tc>
              <w:tc>
                <w:tcPr>
                  <w:tcW w:w="312" w:type="pct"/>
                  <w:vMerge w:val="restart"/>
                  <w:noWrap w:val="0"/>
                  <w:vAlign w:val="center"/>
                </w:tcPr>
                <w:p w14:paraId="0A70A66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53AF24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008" w:type="pct"/>
                  <w:vMerge w:val="continue"/>
                  <w:noWrap w:val="0"/>
                  <w:vAlign w:val="center"/>
                </w:tcPr>
                <w:p w14:paraId="545DE00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highlight w:val="none"/>
                    </w:rPr>
                  </w:pPr>
                </w:p>
              </w:tc>
              <w:tc>
                <w:tcPr>
                  <w:tcW w:w="2480" w:type="pct"/>
                  <w:noWrap w:val="0"/>
                  <w:vAlign w:val="center"/>
                </w:tcPr>
                <w:p w14:paraId="4D186F0B">
                  <w:pPr>
                    <w:pStyle w:val="51"/>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63" w:leftChars="-30" w:right="-63" w:rightChars="-30"/>
                    <w:jc w:val="left"/>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大力推进源头替代。严格落实国家和地方产品VOCs含量限值标准，推进家具制造、汽车制造、印刷和记录媒介、橡胶和塑料制品等行业低VOCs含量原辅材料替代</w:t>
                  </w:r>
                </w:p>
              </w:tc>
              <w:tc>
                <w:tcPr>
                  <w:tcW w:w="1198" w:type="pct"/>
                  <w:vMerge w:val="continue"/>
                  <w:noWrap w:val="0"/>
                  <w:vAlign w:val="center"/>
                </w:tcPr>
                <w:p w14:paraId="4383CD7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0000FF"/>
                      <w:highlight w:val="none"/>
                      <w:lang w:val="en-US" w:eastAsia="zh-CN"/>
                    </w:rPr>
                  </w:pPr>
                </w:p>
              </w:tc>
              <w:tc>
                <w:tcPr>
                  <w:tcW w:w="312" w:type="pct"/>
                  <w:vMerge w:val="continue"/>
                  <w:noWrap w:val="0"/>
                  <w:vAlign w:val="center"/>
                </w:tcPr>
                <w:p w14:paraId="0EB4F07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0000FF"/>
                      <w:sz w:val="21"/>
                      <w:szCs w:val="21"/>
                      <w:highlight w:val="none"/>
                      <w:lang w:val="en-US" w:eastAsia="zh-CN"/>
                    </w:rPr>
                  </w:pPr>
                </w:p>
              </w:tc>
            </w:tr>
            <w:tr w14:paraId="4E72B9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008" w:type="pct"/>
                  <w:vMerge w:val="continue"/>
                  <w:noWrap w:val="0"/>
                  <w:vAlign w:val="center"/>
                </w:tcPr>
                <w:p w14:paraId="53FFB3A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highlight w:val="none"/>
                    </w:rPr>
                  </w:pPr>
                </w:p>
              </w:tc>
              <w:tc>
                <w:tcPr>
                  <w:tcW w:w="2480" w:type="pct"/>
                  <w:noWrap w:val="0"/>
                  <w:vAlign w:val="center"/>
                </w:tcPr>
                <w:p w14:paraId="78AB5B1E">
                  <w:pPr>
                    <w:pStyle w:val="51"/>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63" w:leftChars="-30" w:right="-63" w:rightChars="-30"/>
                    <w:jc w:val="left"/>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加强无组织排放管控。全面对标《挥发性有机物无组织排放控制标准》，落实无组织排放控制要求。在保证安全的前提下，加强含VOCs物料全方位、全链条、全环节密闭管理，加强VOCs物料储存、转移和输送、工艺过程、设备与管线组件、敞开液面、收集处理等过程无组织管控，确保达标排放；推进使用先进生产工艺，通过采用全密闭、连续化、自动化等生产技术，以及高效工艺与设备等，减少工艺过程无组织排放；提高废气收集率，遵循“应收尽收、分质收集”的原则，在符合安全生产的前提下，科学设计废气收集系统，将无组织排放转变为有组织排放进行控制；加强设备与管线组件泄漏控制，企业中载有气态、液态VOCs物料的设备与管线组件，密封点数量大于等于2000个的，应按要求开展LDAR工作</w:t>
                  </w:r>
                  <w:r>
                    <w:rPr>
                      <w:rFonts w:hint="default" w:ascii="Times New Roman" w:hAnsi="Times New Roman" w:eastAsia="宋体" w:cs="Times New Roman"/>
                      <w:color w:val="auto"/>
                      <w:sz w:val="21"/>
                      <w:szCs w:val="21"/>
                      <w:highlight w:val="none"/>
                      <w:lang w:eastAsia="zh-CN"/>
                    </w:rPr>
                    <w:t>。</w:t>
                  </w:r>
                </w:p>
              </w:tc>
              <w:tc>
                <w:tcPr>
                  <w:tcW w:w="1198" w:type="pct"/>
                  <w:vMerge w:val="continue"/>
                  <w:noWrap w:val="0"/>
                  <w:vAlign w:val="center"/>
                </w:tcPr>
                <w:p w14:paraId="0D4647E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0000FF"/>
                      <w:highlight w:val="none"/>
                      <w:lang w:val="en-US" w:eastAsia="zh-CN"/>
                    </w:rPr>
                  </w:pPr>
                </w:p>
              </w:tc>
              <w:tc>
                <w:tcPr>
                  <w:tcW w:w="312" w:type="pct"/>
                  <w:vMerge w:val="continue"/>
                  <w:noWrap w:val="0"/>
                  <w:vAlign w:val="center"/>
                </w:tcPr>
                <w:p w14:paraId="313DDD7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0000FF"/>
                      <w:sz w:val="21"/>
                      <w:szCs w:val="21"/>
                      <w:highlight w:val="none"/>
                      <w:lang w:val="en-US" w:eastAsia="zh-CN"/>
                    </w:rPr>
                  </w:pPr>
                </w:p>
              </w:tc>
            </w:tr>
          </w:tbl>
          <w:p w14:paraId="176EC8CE">
            <w:pPr>
              <w:keepNext w:val="0"/>
              <w:keepLines w:val="0"/>
              <w:pageBreakBefore w:val="0"/>
              <w:widowControl w:val="0"/>
              <w:tabs>
                <w:tab w:val="left" w:pos="138"/>
                <w:tab w:val="left" w:pos="862"/>
              </w:tabs>
              <w:kinsoku/>
              <w:wordWrap/>
              <w:overflowPunct/>
              <w:topLinePunct/>
              <w:autoSpaceDE w:val="0"/>
              <w:autoSpaceDN/>
              <w:bidi w:val="0"/>
              <w:adjustRightInd w:val="0"/>
              <w:snapToGrid w:val="0"/>
              <w:spacing w:line="360" w:lineRule="auto"/>
              <w:ind w:firstLine="482" w:firstLineChars="200"/>
              <w:textAlignment w:val="auto"/>
              <w:outlineLvl w:val="9"/>
              <w:rPr>
                <w:rFonts w:hint="default" w:ascii="Times New Roman" w:hAnsi="Times New Roman" w:eastAsia="宋体" w:cs="Times New Roman"/>
                <w:b/>
                <w:color w:val="auto"/>
                <w:sz w:val="24"/>
                <w:highlight w:val="none"/>
              </w:rPr>
            </w:pPr>
            <w:r>
              <w:rPr>
                <w:rFonts w:hint="default" w:ascii="Times New Roman" w:hAnsi="Times New Roman" w:cs="Times New Roman"/>
                <w:b/>
                <w:bCs/>
                <w:color w:val="auto"/>
                <w:sz w:val="24"/>
                <w:highlight w:val="none"/>
                <w:lang w:val="en-US" w:eastAsia="zh-CN"/>
              </w:rPr>
              <w:t>5、</w:t>
            </w:r>
            <w:r>
              <w:rPr>
                <w:rFonts w:hint="default" w:ascii="Times New Roman" w:hAnsi="Times New Roman" w:eastAsia="宋体" w:cs="Times New Roman"/>
                <w:b/>
                <w:color w:val="auto"/>
                <w:sz w:val="24"/>
                <w:highlight w:val="none"/>
              </w:rPr>
              <w:t>与</w:t>
            </w:r>
            <w:r>
              <w:rPr>
                <w:rFonts w:hint="default" w:ascii="Times New Roman" w:hAnsi="Times New Roman" w:eastAsia="宋体" w:cs="Times New Roman"/>
                <w:b/>
                <w:color w:val="auto"/>
                <w:sz w:val="24"/>
                <w:highlight w:val="none"/>
                <w:lang w:val="en-US" w:eastAsia="zh-CN"/>
              </w:rPr>
              <w:t>淮南市涉气建设项目环评审批负面清单</w:t>
            </w:r>
            <w:r>
              <w:rPr>
                <w:rFonts w:hint="default" w:ascii="Times New Roman" w:hAnsi="Times New Roman" w:eastAsia="宋体" w:cs="Times New Roman"/>
                <w:b/>
                <w:color w:val="auto"/>
                <w:sz w:val="24"/>
                <w:highlight w:val="none"/>
              </w:rPr>
              <w:t>相关要求符合性分析</w:t>
            </w:r>
          </w:p>
          <w:p w14:paraId="091AC2F9">
            <w:pPr>
              <w:pStyle w:val="52"/>
              <w:bidi w:val="0"/>
              <w:rPr>
                <w:rFonts w:hint="default" w:ascii="Times New Roman" w:hAnsi="Times New Roman" w:eastAsia="宋体" w:cs="Times New Roman"/>
                <w:b/>
                <w:color w:val="auto"/>
                <w:spacing w:val="0"/>
                <w:kern w:val="2"/>
                <w:sz w:val="21"/>
                <w:szCs w:val="21"/>
                <w:highlight w:val="none"/>
                <w:lang w:val="en-US" w:eastAsia="zh-CN" w:bidi="ar-SA"/>
              </w:rPr>
            </w:pPr>
            <w:r>
              <w:rPr>
                <w:rFonts w:hint="default" w:ascii="Times New Roman" w:hAnsi="Times New Roman" w:eastAsia="宋体" w:cs="Times New Roman"/>
                <w:b/>
                <w:color w:val="auto"/>
                <w:spacing w:val="0"/>
                <w:kern w:val="2"/>
                <w:sz w:val="21"/>
                <w:szCs w:val="21"/>
                <w:highlight w:val="none"/>
                <w:lang w:val="en-US" w:eastAsia="zh-CN" w:bidi="ar-SA"/>
              </w:rPr>
              <w:t xml:space="preserve">表1-5 </w:t>
            </w:r>
            <w:r>
              <w:rPr>
                <w:rFonts w:hint="eastAsia" w:ascii="Times New Roman" w:hAnsi="Times New Roman" w:eastAsia="宋体" w:cs="Times New Roman"/>
                <w:b/>
                <w:color w:val="auto"/>
                <w:spacing w:val="0"/>
                <w:kern w:val="2"/>
                <w:sz w:val="21"/>
                <w:szCs w:val="21"/>
                <w:highlight w:val="none"/>
                <w:lang w:val="en-US" w:eastAsia="zh-CN" w:bidi="ar-SA"/>
              </w:rPr>
              <w:t>项目</w:t>
            </w:r>
            <w:r>
              <w:rPr>
                <w:rFonts w:hint="default" w:ascii="Times New Roman" w:hAnsi="Times New Roman" w:eastAsia="宋体" w:cs="Times New Roman"/>
                <w:b/>
                <w:color w:val="auto"/>
                <w:spacing w:val="0"/>
                <w:kern w:val="2"/>
                <w:sz w:val="21"/>
                <w:szCs w:val="21"/>
                <w:highlight w:val="none"/>
                <w:lang w:val="en-US" w:eastAsia="zh-CN" w:bidi="ar-SA"/>
              </w:rPr>
              <w:t>与淮南市涉气建设项目环评审批负面清单相关要求符合性分析</w:t>
            </w:r>
          </w:p>
          <w:tbl>
            <w:tblPr>
              <w:tblStyle w:val="2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0"/>
              <w:gridCol w:w="4145"/>
              <w:gridCol w:w="1497"/>
              <w:gridCol w:w="426"/>
            </w:tblGrid>
            <w:tr w14:paraId="6A68E2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3" w:type="pct"/>
                  <w:noWrap w:val="0"/>
                  <w:vAlign w:val="center"/>
                </w:tcPr>
                <w:p w14:paraId="468029A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val="en-US" w:eastAsia="zh-CN"/>
                    </w:rPr>
                    <w:t>序号</w:t>
                  </w:r>
                </w:p>
              </w:tc>
              <w:tc>
                <w:tcPr>
                  <w:tcW w:w="3044" w:type="pct"/>
                  <w:noWrap w:val="0"/>
                  <w:vAlign w:val="center"/>
                </w:tcPr>
                <w:p w14:paraId="645E96F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rPr>
                    <w:t>要求</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lang w:val="en-US" w:eastAsia="zh-CN"/>
                    </w:rPr>
                    <w:t>节选</w:t>
                  </w:r>
                  <w:r>
                    <w:rPr>
                      <w:rFonts w:hint="default" w:ascii="Times New Roman" w:hAnsi="Times New Roman" w:cs="Times New Roman"/>
                      <w:b/>
                      <w:bCs/>
                      <w:color w:val="auto"/>
                      <w:sz w:val="21"/>
                      <w:szCs w:val="21"/>
                      <w:highlight w:val="none"/>
                      <w:lang w:eastAsia="zh-CN"/>
                    </w:rPr>
                    <w:t>）</w:t>
                  </w:r>
                </w:p>
              </w:tc>
              <w:tc>
                <w:tcPr>
                  <w:tcW w:w="1099" w:type="pct"/>
                  <w:noWrap w:val="0"/>
                  <w:vAlign w:val="center"/>
                </w:tcPr>
                <w:p w14:paraId="5EFD3DD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本</w:t>
                  </w:r>
                  <w:r>
                    <w:rPr>
                      <w:rFonts w:hint="default" w:ascii="Times New Roman" w:hAnsi="Times New Roman" w:eastAsia="宋体" w:cs="Times New Roman"/>
                      <w:b/>
                      <w:bCs/>
                      <w:color w:val="auto"/>
                      <w:sz w:val="21"/>
                      <w:szCs w:val="21"/>
                      <w:highlight w:val="none"/>
                    </w:rPr>
                    <w:t>项目情况</w:t>
                  </w:r>
                </w:p>
              </w:tc>
              <w:tc>
                <w:tcPr>
                  <w:tcW w:w="312" w:type="pct"/>
                  <w:noWrap w:val="0"/>
                  <w:vAlign w:val="center"/>
                </w:tcPr>
                <w:p w14:paraId="522CEC9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符合性</w:t>
                  </w:r>
                </w:p>
              </w:tc>
            </w:tr>
            <w:tr w14:paraId="65AAE0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3" w:type="pct"/>
                  <w:vMerge w:val="restart"/>
                  <w:noWrap w:val="0"/>
                  <w:vAlign w:val="center"/>
                </w:tcPr>
                <w:p w14:paraId="6F090FD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（一）坚决遏制高耗能、高排放、低水平项目盲目上马）</w:t>
                  </w:r>
                </w:p>
              </w:tc>
              <w:tc>
                <w:tcPr>
                  <w:tcW w:w="3044" w:type="pct"/>
                  <w:noWrap w:val="0"/>
                  <w:vAlign w:val="center"/>
                </w:tcPr>
                <w:p w14:paraId="686C5326">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新改扩建项目严格落实国家产业政策要求，严把“两高”项目审批。</w:t>
                  </w:r>
                </w:p>
                <w:p w14:paraId="54F47790">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6FFBAB66">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新改扩建项目严格落实国家产业规划、产业政策、生态环境分区管控方案、规划环评、项目环评、节能审查、产能置换、重点污染物总量控制、污染物排放区域削减、碳排放达峰目标等相关要求，原则上采用清洁运输方式。实施“高污染、高耗能”项目部门联审，严格论证项目建设必要性、可行性，推动行业集约发展和绿色转型。</w:t>
                  </w:r>
                </w:p>
                <w:p w14:paraId="12A638EC">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722267ED">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新改扩建项目严格落实国家产业规划、产业政策、生态环境分区管控方案、规划环评、项目环评、节能审查、产能置换、重点污染物总量控制、污染物排放区域削减、碳排放达峰目标等相关要求；</w:t>
                  </w:r>
                </w:p>
                <w:p w14:paraId="70839490">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“两高”项目</w:t>
                  </w:r>
                  <w:r>
                    <w:rPr>
                      <w:rFonts w:hint="default" w:ascii="Times New Roman" w:hAnsi="Times New Roman" w:eastAsia="宋体" w:cs="Times New Roman"/>
                      <w:color w:val="auto"/>
                      <w:sz w:val="21"/>
                      <w:szCs w:val="21"/>
                      <w:highlight w:val="none"/>
                      <w:lang w:val="en-US" w:eastAsia="zh-CN"/>
                    </w:rPr>
                    <w:t>应实施部门联审。</w:t>
                  </w:r>
                </w:p>
              </w:tc>
              <w:tc>
                <w:tcPr>
                  <w:tcW w:w="1099" w:type="pct"/>
                  <w:noWrap w:val="0"/>
                  <w:vAlign w:val="center"/>
                </w:tcPr>
                <w:p w14:paraId="14F2CE95">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本项目不属于</w:t>
                  </w:r>
                  <w:r>
                    <w:rPr>
                      <w:rFonts w:hint="eastAsia" w:ascii="Times New Roman" w:hAnsi="Times New Roman" w:eastAsia="宋体" w:cs="Times New Roman"/>
                      <w:color w:val="auto"/>
                      <w:sz w:val="21"/>
                      <w:szCs w:val="21"/>
                      <w:highlight w:val="none"/>
                      <w:lang w:val="en-US" w:eastAsia="zh-CN"/>
                    </w:rPr>
                    <w:t>“两高”项目</w:t>
                  </w:r>
                  <w:r>
                    <w:rPr>
                      <w:rFonts w:hint="default" w:ascii="Times New Roman" w:hAnsi="Times New Roman" w:eastAsia="宋体" w:cs="Times New Roman"/>
                      <w:color w:val="auto"/>
                      <w:sz w:val="21"/>
                      <w:szCs w:val="21"/>
                      <w:highlight w:val="none"/>
                      <w:lang w:val="en-US" w:eastAsia="zh-CN"/>
                    </w:rPr>
                    <w:t>。</w:t>
                  </w:r>
                </w:p>
              </w:tc>
              <w:tc>
                <w:tcPr>
                  <w:tcW w:w="312" w:type="pct"/>
                  <w:noWrap w:val="0"/>
                  <w:vAlign w:val="center"/>
                </w:tcPr>
                <w:p w14:paraId="3EE7566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2019CA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3" w:type="pct"/>
                  <w:vMerge w:val="continue"/>
                  <w:noWrap w:val="0"/>
                  <w:vAlign w:val="center"/>
                </w:tcPr>
                <w:p w14:paraId="0EF502C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p>
              </w:tc>
              <w:tc>
                <w:tcPr>
                  <w:tcW w:w="3044" w:type="pct"/>
                  <w:noWrap w:val="0"/>
                  <w:vAlign w:val="center"/>
                </w:tcPr>
                <w:p w14:paraId="2323CA9A">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严格落实产能置换要求。</w:t>
                  </w:r>
                </w:p>
                <w:p w14:paraId="6258360D">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7BC052D0">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推动产能过剩行业减量发展、优化布局。不以任何名义、任何方式核准、备案产能严重过剩行业新增产能项目。</w:t>
                  </w:r>
                </w:p>
                <w:p w14:paraId="6CBFB0CE">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被置换产能及其配套设施关停后，新建项目方可投产。</w:t>
                  </w:r>
                </w:p>
                <w:p w14:paraId="17E2A9E8">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3E9C7F82">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严重过剩行业新增产能项目环评不予审批。</w:t>
                  </w:r>
                </w:p>
                <w:p w14:paraId="4C2D20D4">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涉及产能置换项目环评阶段应取得置换产能。</w:t>
                  </w:r>
                </w:p>
              </w:tc>
              <w:tc>
                <w:tcPr>
                  <w:tcW w:w="1099" w:type="pct"/>
                  <w:noWrap w:val="0"/>
                  <w:vAlign w:val="center"/>
                </w:tcPr>
                <w:p w14:paraId="6B24BBDA">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本项目不涉及过剩行业新增产能项目</w:t>
                  </w:r>
                </w:p>
              </w:tc>
              <w:tc>
                <w:tcPr>
                  <w:tcW w:w="312" w:type="pct"/>
                  <w:noWrap w:val="0"/>
                  <w:vAlign w:val="center"/>
                </w:tcPr>
                <w:p w14:paraId="5BEC619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0E93E8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3" w:type="pct"/>
                  <w:vMerge w:val="restart"/>
                  <w:noWrap w:val="0"/>
                  <w:vAlign w:val="center"/>
                </w:tcPr>
                <w:p w14:paraId="1303E54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（二）有序推动落后产能淘汰</w:t>
                  </w:r>
                </w:p>
              </w:tc>
              <w:tc>
                <w:tcPr>
                  <w:tcW w:w="3044" w:type="pct"/>
                  <w:noWrap w:val="0"/>
                  <w:vAlign w:val="center"/>
                </w:tcPr>
                <w:p w14:paraId="2C2D402A">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有序推动生产设施老旧、工艺水平落后、环境管理水平低下等企业退出市场。</w:t>
                  </w:r>
                </w:p>
                <w:p w14:paraId="40291496">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4B3AECEE">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逐步淘汰步进式烧结机和球团竖炉以及半封闭式硅锰合金、镍铁、高碳铬铁、高碳锰铁电炉。</w:t>
                  </w:r>
                </w:p>
                <w:p w14:paraId="73076BFD">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有序推动落后煤炭洗选企业退出市场。</w:t>
                  </w:r>
                </w:p>
                <w:p w14:paraId="565855BD">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禁止铝加工（深井铸造）企业新改扩建项目采用固定式保温炉组、钢丝绳铸造机。</w:t>
                  </w:r>
                </w:p>
                <w:p w14:paraId="4BF6CC20">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03A199C7">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采用</w:t>
                  </w:r>
                  <w:r>
                    <w:rPr>
                      <w:rFonts w:hint="default" w:ascii="Times New Roman" w:hAnsi="Times New Roman" w:eastAsia="宋体" w:cs="Times New Roman"/>
                      <w:color w:val="auto"/>
                      <w:sz w:val="21"/>
                      <w:szCs w:val="21"/>
                      <w:highlight w:val="none"/>
                      <w:lang w:eastAsia="zh-CN"/>
                    </w:rPr>
                    <w:t>步进式烧结机和球团竖炉以及半封闭式硅锰合金、镍铁、高碳铬铁、高碳锰铁电炉</w:t>
                  </w:r>
                  <w:r>
                    <w:rPr>
                      <w:rFonts w:hint="default" w:ascii="Times New Roman" w:hAnsi="Times New Roman" w:eastAsia="宋体" w:cs="Times New Roman"/>
                      <w:color w:val="auto"/>
                      <w:sz w:val="21"/>
                      <w:szCs w:val="21"/>
                      <w:highlight w:val="none"/>
                      <w:lang w:val="en-US" w:eastAsia="zh-CN"/>
                    </w:rPr>
                    <w:t>新建项目环评不予审批</w:t>
                  </w:r>
                  <w:r>
                    <w:rPr>
                      <w:rFonts w:hint="default" w:ascii="Times New Roman" w:hAnsi="Times New Roman" w:eastAsia="宋体" w:cs="Times New Roman"/>
                      <w:color w:val="auto"/>
                      <w:sz w:val="21"/>
                      <w:szCs w:val="21"/>
                      <w:highlight w:val="none"/>
                      <w:lang w:eastAsia="zh-CN"/>
                    </w:rPr>
                    <w:t>。</w:t>
                  </w:r>
                </w:p>
                <w:p w14:paraId="67A15C4A">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落后煤炭洗选项目不予审批。</w:t>
                  </w:r>
                </w:p>
                <w:p w14:paraId="49661F97">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采用固定式保温炉组、钢丝绳铸造机</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lang w:eastAsia="zh-CN"/>
                    </w:rPr>
                    <w:t>新改扩建铝加工（深井铸造）项目</w:t>
                  </w:r>
                  <w:r>
                    <w:rPr>
                      <w:rFonts w:hint="default" w:ascii="Times New Roman" w:hAnsi="Times New Roman" w:eastAsia="宋体" w:cs="Times New Roman"/>
                      <w:color w:val="auto"/>
                      <w:sz w:val="21"/>
                      <w:szCs w:val="21"/>
                      <w:highlight w:val="none"/>
                      <w:lang w:val="en-US" w:eastAsia="zh-CN"/>
                    </w:rPr>
                    <w:t>环评不予审批</w:t>
                  </w:r>
                  <w:r>
                    <w:rPr>
                      <w:rFonts w:hint="default" w:ascii="Times New Roman" w:hAnsi="Times New Roman" w:eastAsia="宋体" w:cs="Times New Roman"/>
                      <w:color w:val="auto"/>
                      <w:sz w:val="21"/>
                      <w:szCs w:val="21"/>
                      <w:highlight w:val="none"/>
                      <w:lang w:eastAsia="zh-CN"/>
                    </w:rPr>
                    <w:t>。</w:t>
                  </w:r>
                </w:p>
              </w:tc>
              <w:tc>
                <w:tcPr>
                  <w:tcW w:w="1099" w:type="pct"/>
                  <w:vMerge w:val="restart"/>
                  <w:noWrap w:val="0"/>
                  <w:vAlign w:val="center"/>
                </w:tcPr>
                <w:p w14:paraId="2404118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lang w:val="en-US" w:eastAsia="zh-CN"/>
                    </w:rPr>
                    <w:t>行业类别为C3670汽车零部件及配件制造，不涉及负面清单行业内容</w:t>
                  </w:r>
                </w:p>
              </w:tc>
              <w:tc>
                <w:tcPr>
                  <w:tcW w:w="312" w:type="pct"/>
                  <w:noWrap w:val="0"/>
                  <w:vAlign w:val="center"/>
                </w:tcPr>
                <w:p w14:paraId="492694E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0FCFA6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3" w:type="pct"/>
                  <w:vMerge w:val="continue"/>
                  <w:noWrap w:val="0"/>
                  <w:vAlign w:val="center"/>
                </w:tcPr>
                <w:p w14:paraId="16D77B2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p>
              </w:tc>
              <w:tc>
                <w:tcPr>
                  <w:tcW w:w="3044" w:type="pct"/>
                  <w:noWrap w:val="0"/>
                  <w:vAlign w:val="center"/>
                </w:tcPr>
                <w:p w14:paraId="105F66E1">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严禁违规新增产能。</w:t>
                  </w:r>
                </w:p>
                <w:p w14:paraId="34D50189">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28997F9F">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严禁违规新增钢铁、水泥（熟料）、焦化、电解铝、平板玻璃（不含光伏压延玻璃）产能。</w:t>
                  </w:r>
                </w:p>
                <w:p w14:paraId="54E83106">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71561EB3">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违规新增钢铁、水泥（熟料）、焦化、电解铝、平板玻璃（不含光伏压延玻璃）产能</w:t>
                  </w:r>
                  <w:r>
                    <w:rPr>
                      <w:rFonts w:hint="default" w:ascii="Times New Roman" w:hAnsi="Times New Roman" w:eastAsia="宋体" w:cs="Times New Roman"/>
                      <w:color w:val="auto"/>
                      <w:sz w:val="21"/>
                      <w:szCs w:val="21"/>
                      <w:highlight w:val="none"/>
                      <w:lang w:val="en-US" w:eastAsia="zh-CN"/>
                    </w:rPr>
                    <w:t>项目环评不予审批。</w:t>
                  </w:r>
                </w:p>
              </w:tc>
              <w:tc>
                <w:tcPr>
                  <w:tcW w:w="1099" w:type="pct"/>
                  <w:vMerge w:val="continue"/>
                  <w:noWrap w:val="0"/>
                  <w:vAlign w:val="center"/>
                </w:tcPr>
                <w:p w14:paraId="40EBF37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p>
              </w:tc>
              <w:tc>
                <w:tcPr>
                  <w:tcW w:w="312" w:type="pct"/>
                  <w:noWrap w:val="0"/>
                  <w:vAlign w:val="center"/>
                </w:tcPr>
                <w:p w14:paraId="29A6667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72FD81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3" w:type="pct"/>
                  <w:noWrap w:val="0"/>
                  <w:vAlign w:val="center"/>
                </w:tcPr>
                <w:p w14:paraId="0F0F8F4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（六）推动煤炭消费减量替代</w:t>
                  </w:r>
                </w:p>
              </w:tc>
              <w:tc>
                <w:tcPr>
                  <w:tcW w:w="3044" w:type="pct"/>
                  <w:noWrap w:val="0"/>
                  <w:vAlign w:val="center"/>
                </w:tcPr>
                <w:p w14:paraId="22D7C1D1">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推动煤炭等量或减量替代。</w:t>
                  </w:r>
                </w:p>
                <w:p w14:paraId="38CB17E4">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1F7954BC">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重点区域新改扩建用煤项目，依法实行煤炭等量或减量替代，替代方案不完善的能评、环评等不予审批；不得使用石油焦、焦炭、兰炭等高污染燃料作为煤炭减量替代措施。</w:t>
                  </w:r>
                </w:p>
                <w:p w14:paraId="5B1701D2">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6A9E508D">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重点区域新改扩建用煤项目，依法实行煤炭等量或减量替代，替代方案不完善的环评不予审批；不得使用石油焦、焦炭、兰炭等高污染燃料作为煤炭减量替代措施。</w:t>
                  </w:r>
                </w:p>
              </w:tc>
              <w:tc>
                <w:tcPr>
                  <w:tcW w:w="1099" w:type="pct"/>
                  <w:vMerge w:val="continue"/>
                  <w:noWrap w:val="0"/>
                  <w:vAlign w:val="center"/>
                </w:tcPr>
                <w:p w14:paraId="46727AFA">
                  <w:pPr>
                    <w:autoSpaceDE w:val="0"/>
                    <w:autoSpaceDN w:val="0"/>
                    <w:adjustRightInd w:val="0"/>
                    <w:snapToGrid w:val="0"/>
                    <w:rPr>
                      <w:rFonts w:hint="default" w:ascii="Times New Roman" w:hAnsi="Times New Roman" w:eastAsia="宋体" w:cs="Times New Roman"/>
                      <w:color w:val="auto"/>
                      <w:sz w:val="21"/>
                      <w:szCs w:val="21"/>
                      <w:highlight w:val="none"/>
                    </w:rPr>
                  </w:pPr>
                </w:p>
              </w:tc>
              <w:tc>
                <w:tcPr>
                  <w:tcW w:w="312" w:type="pct"/>
                  <w:noWrap w:val="0"/>
                  <w:vAlign w:val="center"/>
                </w:tcPr>
                <w:p w14:paraId="62E193E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24F0B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3" w:type="pct"/>
                  <w:vMerge w:val="restart"/>
                  <w:noWrap w:val="0"/>
                  <w:vAlign w:val="center"/>
                </w:tcPr>
                <w:p w14:paraId="69D3C9D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（七）加快推动燃煤锅炉机组升级改造</w:t>
                  </w:r>
                </w:p>
              </w:tc>
              <w:tc>
                <w:tcPr>
                  <w:tcW w:w="3044" w:type="pct"/>
                  <w:noWrap w:val="0"/>
                  <w:vAlign w:val="center"/>
                </w:tcPr>
                <w:p w14:paraId="69E785E4">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严控热源性燃煤设施建设。</w:t>
                  </w:r>
                </w:p>
                <w:p w14:paraId="787F57CB">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4E55D6F7">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重点区域原则上不再新建除集中供暖外的燃煤锅炉。</w:t>
                  </w:r>
                </w:p>
                <w:p w14:paraId="30FBEB9B">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73AD740F">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1、原则上不得审批除集中供暖外的燃煤锅炉。</w:t>
                  </w:r>
                </w:p>
              </w:tc>
              <w:tc>
                <w:tcPr>
                  <w:tcW w:w="1099" w:type="pct"/>
                  <w:vMerge w:val="continue"/>
                  <w:noWrap w:val="0"/>
                  <w:vAlign w:val="center"/>
                </w:tcPr>
                <w:p w14:paraId="2B0C0CD9">
                  <w:pPr>
                    <w:autoSpaceDE w:val="0"/>
                    <w:autoSpaceDN w:val="0"/>
                    <w:adjustRightInd w:val="0"/>
                    <w:snapToGrid w:val="0"/>
                    <w:rPr>
                      <w:rFonts w:hint="default" w:ascii="Times New Roman" w:hAnsi="Times New Roman" w:eastAsia="宋体" w:cs="Times New Roman"/>
                      <w:color w:val="auto"/>
                      <w:sz w:val="21"/>
                      <w:szCs w:val="21"/>
                      <w:highlight w:val="none"/>
                    </w:rPr>
                  </w:pPr>
                </w:p>
              </w:tc>
              <w:tc>
                <w:tcPr>
                  <w:tcW w:w="312" w:type="pct"/>
                  <w:noWrap w:val="0"/>
                  <w:vAlign w:val="center"/>
                </w:tcPr>
                <w:p w14:paraId="39ED8BA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2F28B5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3" w:type="pct"/>
                  <w:vMerge w:val="continue"/>
                  <w:noWrap w:val="0"/>
                  <w:vAlign w:val="center"/>
                </w:tcPr>
                <w:p w14:paraId="6B25B57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p>
              </w:tc>
              <w:tc>
                <w:tcPr>
                  <w:tcW w:w="3044" w:type="pct"/>
                  <w:noWrap w:val="0"/>
                  <w:vAlign w:val="center"/>
                </w:tcPr>
                <w:p w14:paraId="3FF1999C">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推动现有燃煤机组升级改造。</w:t>
                  </w:r>
                </w:p>
                <w:p w14:paraId="10F4007D">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0BB5B6E5">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禁止新建自备燃煤机组，鼓励自备燃煤机组积极开展清洁能源替代。大力推动现有煤电机组开展节能降碳改造、灵活性改造、供热改造“三改联动”。</w:t>
                  </w:r>
                </w:p>
                <w:p w14:paraId="58150DC8">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55F8CC81">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1、新建自备燃煤机组环评项目不予审批。</w:t>
                  </w:r>
                </w:p>
              </w:tc>
              <w:tc>
                <w:tcPr>
                  <w:tcW w:w="1099" w:type="pct"/>
                  <w:vMerge w:val="continue"/>
                  <w:noWrap w:val="0"/>
                  <w:vAlign w:val="center"/>
                </w:tcPr>
                <w:p w14:paraId="6367C06E">
                  <w:pPr>
                    <w:autoSpaceDE w:val="0"/>
                    <w:autoSpaceDN w:val="0"/>
                    <w:adjustRightInd w:val="0"/>
                    <w:snapToGrid w:val="0"/>
                    <w:rPr>
                      <w:rFonts w:hint="default" w:ascii="Times New Roman" w:hAnsi="Times New Roman" w:eastAsia="宋体" w:cs="Times New Roman"/>
                      <w:color w:val="auto"/>
                      <w:sz w:val="21"/>
                      <w:szCs w:val="21"/>
                      <w:highlight w:val="none"/>
                    </w:rPr>
                  </w:pPr>
                </w:p>
              </w:tc>
              <w:tc>
                <w:tcPr>
                  <w:tcW w:w="312" w:type="pct"/>
                  <w:noWrap w:val="0"/>
                  <w:vAlign w:val="center"/>
                </w:tcPr>
                <w:p w14:paraId="20B5B8E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712CEC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3" w:type="pct"/>
                  <w:noWrap w:val="0"/>
                  <w:vAlign w:val="center"/>
                </w:tcPr>
                <w:p w14:paraId="5C19B7A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（八）推动工业炉窑清洁能源替代</w:t>
                  </w:r>
                </w:p>
              </w:tc>
              <w:tc>
                <w:tcPr>
                  <w:tcW w:w="3044" w:type="pct"/>
                  <w:noWrap w:val="0"/>
                  <w:vAlign w:val="center"/>
                </w:tcPr>
                <w:p w14:paraId="3A4B5362">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推动煤气发生炉清洁能源替代。</w:t>
                  </w:r>
                </w:p>
                <w:p w14:paraId="22190298">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35303596">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重点区域不再新增燃料类煤气发生炉。</w:t>
                  </w:r>
                </w:p>
                <w:p w14:paraId="54AE448E">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697A8E1C">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1、新增燃煤类煤气发生炉项目不予审批。</w:t>
                  </w:r>
                </w:p>
              </w:tc>
              <w:tc>
                <w:tcPr>
                  <w:tcW w:w="1099" w:type="pct"/>
                  <w:vMerge w:val="continue"/>
                  <w:noWrap w:val="0"/>
                  <w:vAlign w:val="center"/>
                </w:tcPr>
                <w:p w14:paraId="61B3EDE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p>
              </w:tc>
              <w:tc>
                <w:tcPr>
                  <w:tcW w:w="312" w:type="pct"/>
                  <w:noWrap w:val="0"/>
                  <w:vAlign w:val="center"/>
                </w:tcPr>
                <w:p w14:paraId="0564705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55A440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43" w:type="pct"/>
                  <w:noWrap w:val="0"/>
                  <w:vAlign w:val="center"/>
                </w:tcPr>
                <w:p w14:paraId="4098926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（九）推动货物运输清洁化</w:t>
                  </w:r>
                </w:p>
              </w:tc>
              <w:tc>
                <w:tcPr>
                  <w:tcW w:w="3044" w:type="pct"/>
                  <w:noWrap w:val="0"/>
                  <w:vAlign w:val="center"/>
                </w:tcPr>
                <w:p w14:paraId="541CC1D3">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提高重点行业清洁运输比例。</w:t>
                  </w:r>
                </w:p>
                <w:p w14:paraId="4A261E0A">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7B675C01">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将清洁运输作为煤矿、钢铁、火电、水泥、有色、焦化、煤化工等行业新改扩建项目审核和监管重点。</w:t>
                  </w:r>
                </w:p>
                <w:p w14:paraId="330A035A">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5B2CEB0B">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1、煤矿、钢铁、火电、水泥、有色、焦化、煤化工等行业新改扩建项目环评审核中重点关注清洁运输。</w:t>
                  </w:r>
                </w:p>
              </w:tc>
              <w:tc>
                <w:tcPr>
                  <w:tcW w:w="1099" w:type="pct"/>
                  <w:vMerge w:val="continue"/>
                  <w:noWrap w:val="0"/>
                  <w:vAlign w:val="center"/>
                </w:tcPr>
                <w:p w14:paraId="4523F03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p>
              </w:tc>
              <w:tc>
                <w:tcPr>
                  <w:tcW w:w="312" w:type="pct"/>
                  <w:noWrap w:val="0"/>
                  <w:vAlign w:val="center"/>
                </w:tcPr>
                <w:p w14:paraId="25EC741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0B2F49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43" w:type="pct"/>
                  <w:vMerge w:val="restart"/>
                  <w:noWrap w:val="0"/>
                  <w:vAlign w:val="center"/>
                </w:tcPr>
                <w:p w14:paraId="75409C0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（十七）加快低（无）VOCs原辅材料替代</w:t>
                  </w:r>
                </w:p>
              </w:tc>
              <w:tc>
                <w:tcPr>
                  <w:tcW w:w="3044" w:type="pct"/>
                  <w:noWrap w:val="0"/>
                  <w:vAlign w:val="center"/>
                </w:tcPr>
                <w:p w14:paraId="3E58D6D0">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严格控制生产和使用高VOCs含量建设项目。</w:t>
                  </w:r>
                </w:p>
                <w:p w14:paraId="3EEF90C8">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2B9C5469">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实施安徽省低挥发性有机物原辅材料源头替代工作方案，严格控制生产和使用高VOCs含量涂料、油墨、胶粘剂、清洗剂等建设项目。</w:t>
                  </w:r>
                </w:p>
                <w:p w14:paraId="431FB491">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637495C3">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1、严格控制审批</w:t>
                  </w:r>
                  <w:r>
                    <w:rPr>
                      <w:rFonts w:hint="default" w:ascii="Times New Roman" w:hAnsi="Times New Roman" w:eastAsia="宋体" w:cs="Times New Roman"/>
                      <w:color w:val="auto"/>
                      <w:sz w:val="21"/>
                      <w:szCs w:val="21"/>
                      <w:highlight w:val="none"/>
                      <w:lang w:eastAsia="zh-CN"/>
                    </w:rPr>
                    <w:t>生产和使用高VOCs含量涂料、油墨、胶粘剂、清洗剂等建设项目</w:t>
                  </w:r>
                  <w:r>
                    <w:rPr>
                      <w:rFonts w:hint="default" w:ascii="Times New Roman" w:hAnsi="Times New Roman" w:eastAsia="宋体" w:cs="Times New Roman"/>
                      <w:color w:val="auto"/>
                      <w:sz w:val="21"/>
                      <w:szCs w:val="21"/>
                      <w:highlight w:val="none"/>
                      <w:lang w:val="en-US" w:eastAsia="zh-CN"/>
                    </w:rPr>
                    <w:t>环评。</w:t>
                  </w:r>
                </w:p>
              </w:tc>
              <w:tc>
                <w:tcPr>
                  <w:tcW w:w="1099" w:type="pct"/>
                  <w:vMerge w:val="restart"/>
                  <w:noWrap w:val="0"/>
                  <w:vAlign w:val="center"/>
                </w:tcPr>
                <w:p w14:paraId="37828864">
                  <w:pPr>
                    <w:keepNext w:val="0"/>
                    <w:keepLines w:val="0"/>
                    <w:widowControl/>
                    <w:suppressLineNumbers w:val="0"/>
                    <w:jc w:val="left"/>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cs="Times New Roman"/>
                      <w:color w:val="auto"/>
                      <w:highlight w:val="none"/>
                      <w:lang w:val="en-US" w:eastAsia="zh-CN"/>
                    </w:rPr>
                    <w:t>本项目为</w:t>
                  </w:r>
                  <w:r>
                    <w:rPr>
                      <w:rFonts w:hint="default" w:ascii="Times New Roman" w:hAnsi="Times New Roman" w:eastAsia="宋体" w:cs="Times New Roman"/>
                      <w:color w:val="auto"/>
                      <w:sz w:val="21"/>
                      <w:szCs w:val="21"/>
                      <w:highlight w:val="none"/>
                      <w:lang w:val="en-US" w:eastAsia="zh-CN"/>
                    </w:rPr>
                    <w:t>C3670汽车零部件及配件制造，属于汽车零部件。</w:t>
                  </w:r>
                  <w:r>
                    <w:rPr>
                      <w:rFonts w:hint="default" w:ascii="Times New Roman" w:hAnsi="Times New Roman" w:eastAsia="宋体" w:cs="Times New Roman"/>
                      <w:color w:val="auto"/>
                      <w:kern w:val="2"/>
                      <w:sz w:val="21"/>
                      <w:szCs w:val="24"/>
                      <w:highlight w:val="none"/>
                      <w:lang w:val="en-US" w:eastAsia="zh-CN" w:bidi="ar-SA"/>
                    </w:rPr>
                    <w:t>本项目</w:t>
                  </w:r>
                  <w:r>
                    <w:rPr>
                      <w:rFonts w:hint="eastAsia" w:ascii="Times New Roman" w:hAnsi="Times New Roman" w:eastAsia="宋体" w:cs="Times New Roman"/>
                      <w:color w:val="auto"/>
                      <w:kern w:val="2"/>
                      <w:sz w:val="21"/>
                      <w:szCs w:val="24"/>
                      <w:highlight w:val="none"/>
                      <w:lang w:val="en-US" w:eastAsia="zh-CN" w:bidi="ar-SA"/>
                    </w:rPr>
                    <w:t>不涉及生产使用</w:t>
                  </w:r>
                  <w:r>
                    <w:rPr>
                      <w:rFonts w:hint="default" w:ascii="Times New Roman" w:hAnsi="Times New Roman" w:eastAsia="宋体" w:cs="Times New Roman"/>
                      <w:color w:val="auto"/>
                      <w:kern w:val="2"/>
                      <w:sz w:val="21"/>
                      <w:szCs w:val="24"/>
                      <w:highlight w:val="none"/>
                      <w:lang w:val="en-US" w:eastAsia="zh-CN" w:bidi="ar-SA"/>
                    </w:rPr>
                    <w:t>高挥发性有机物含量油墨、清洗剂</w:t>
                  </w:r>
                  <w:r>
                    <w:rPr>
                      <w:rFonts w:hint="eastAsia" w:ascii="Times New Roman" w:hAnsi="Times New Roman" w:eastAsia="宋体" w:cs="Times New Roman"/>
                      <w:color w:val="auto"/>
                      <w:kern w:val="2"/>
                      <w:sz w:val="21"/>
                      <w:szCs w:val="24"/>
                      <w:highlight w:val="none"/>
                      <w:lang w:val="en-US" w:eastAsia="zh-CN" w:bidi="ar-SA"/>
                    </w:rPr>
                    <w:t>，项目</w:t>
                  </w:r>
                  <w:r>
                    <w:rPr>
                      <w:rFonts w:hint="default" w:ascii="Times New Roman" w:hAnsi="Times New Roman" w:eastAsia="宋体" w:cs="Times New Roman"/>
                      <w:color w:val="auto"/>
                      <w:kern w:val="2"/>
                      <w:sz w:val="21"/>
                      <w:szCs w:val="24"/>
                      <w:highlight w:val="none"/>
                      <w:lang w:val="en-US" w:eastAsia="zh-CN" w:bidi="ar-SA"/>
                    </w:rPr>
                    <w:t>胶粘剂</w:t>
                  </w:r>
                  <w:r>
                    <w:rPr>
                      <w:rFonts w:hint="eastAsia" w:ascii="Times New Roman" w:hAnsi="Times New Roman" w:eastAsia="宋体" w:cs="Times New Roman"/>
                      <w:color w:val="auto"/>
                      <w:kern w:val="2"/>
                      <w:sz w:val="21"/>
                      <w:szCs w:val="24"/>
                      <w:highlight w:val="none"/>
                      <w:lang w:val="en-US" w:eastAsia="zh-CN" w:bidi="ar-SA"/>
                    </w:rPr>
                    <w:t>为酚醛胶粘剂，不在《胶粘剂挥发性有机化合物限量》（</w:t>
                  </w:r>
                  <w:r>
                    <w:rPr>
                      <w:rFonts w:hint="default" w:ascii="Times New Roman" w:hAnsi="Times New Roman" w:eastAsia="宋体" w:cs="Times New Roman"/>
                      <w:color w:val="auto"/>
                      <w:kern w:val="2"/>
                      <w:sz w:val="21"/>
                      <w:szCs w:val="24"/>
                      <w:highlight w:val="none"/>
                      <w:lang w:val="en-US" w:eastAsia="zh-CN" w:bidi="ar-SA"/>
                    </w:rPr>
                    <w:t>GB33372-2020</w:t>
                  </w:r>
                  <w:r>
                    <w:rPr>
                      <w:rFonts w:hint="eastAsia" w:ascii="Times New Roman" w:hAnsi="Times New Roman" w:eastAsia="宋体" w:cs="Times New Roman"/>
                      <w:color w:val="auto"/>
                      <w:kern w:val="2"/>
                      <w:sz w:val="21"/>
                      <w:szCs w:val="24"/>
                      <w:highlight w:val="none"/>
                      <w:lang w:val="en-US" w:eastAsia="zh-CN" w:bidi="ar-SA"/>
                    </w:rPr>
                    <w:t>）要求范围内，项目使用的涂料为粉末涂料（塑料），属于低挥发性涂料，符合</w:t>
                  </w:r>
                  <w:r>
                    <w:rPr>
                      <w:rFonts w:hint="default" w:ascii="Times New Roman" w:hAnsi="Times New Roman" w:cs="Times New Roman"/>
                      <w:color w:val="auto"/>
                      <w:highlight w:val="none"/>
                      <w:lang w:val="en-US" w:eastAsia="zh-CN"/>
                    </w:rPr>
                    <w:t>国家标准</w:t>
                  </w:r>
                  <w:r>
                    <w:rPr>
                      <w:rFonts w:hint="default" w:ascii="Times New Roman" w:hAnsi="Times New Roman" w:eastAsia="宋体" w:cs="Times New Roman"/>
                      <w:color w:val="auto"/>
                      <w:sz w:val="21"/>
                      <w:szCs w:val="21"/>
                      <w:highlight w:val="none"/>
                      <w:lang w:val="en-US" w:eastAsia="zh-CN"/>
                    </w:rPr>
                    <w:t>。</w:t>
                  </w:r>
                </w:p>
              </w:tc>
              <w:tc>
                <w:tcPr>
                  <w:tcW w:w="312" w:type="pct"/>
                  <w:vMerge w:val="restart"/>
                  <w:noWrap w:val="0"/>
                  <w:vAlign w:val="center"/>
                </w:tcPr>
                <w:p w14:paraId="5363E45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符合</w:t>
                  </w:r>
                </w:p>
              </w:tc>
            </w:tr>
            <w:tr w14:paraId="329BA9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3" w:type="pct"/>
                  <w:vMerge w:val="continue"/>
                  <w:noWrap w:val="0"/>
                  <w:vAlign w:val="center"/>
                </w:tcPr>
                <w:p w14:paraId="79367EF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rPr>
                  </w:pPr>
                </w:p>
              </w:tc>
              <w:tc>
                <w:tcPr>
                  <w:tcW w:w="3044" w:type="pct"/>
                  <w:noWrap w:val="0"/>
                  <w:vAlign w:val="center"/>
                </w:tcPr>
                <w:p w14:paraId="63543127">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重点工作任务：</w:t>
                  </w:r>
                  <w:r>
                    <w:rPr>
                      <w:rFonts w:hint="default" w:ascii="Times New Roman" w:hAnsi="Times New Roman" w:eastAsia="宋体" w:cs="Times New Roman"/>
                      <w:color w:val="auto"/>
                      <w:sz w:val="21"/>
                      <w:szCs w:val="21"/>
                      <w:highlight w:val="none"/>
                      <w:lang w:eastAsia="zh-CN"/>
                    </w:rPr>
                    <w:t>推动低（无）VOCs原辅材料源头替代。</w:t>
                  </w:r>
                </w:p>
                <w:p w14:paraId="68F56E49">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推进举措：</w:t>
                  </w:r>
                </w:p>
                <w:p w14:paraId="37F00082">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加大汽车整车制造、汽车修理、木质家具制造、汽车零部件、工程机械、钢结构、船舶制造等工业涂装行业、包装印刷行业及电子行业低（无）VOCs含量原辅材料的替代力度。</w:t>
                  </w:r>
                </w:p>
                <w:p w14:paraId="216F31A4">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环评审批的负面清单：</w:t>
                  </w:r>
                </w:p>
                <w:p w14:paraId="117404DB">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汽车整车制造、汽车修理、木质家具制造、汽车零部件、工程机械、钢结构、船舶制造等工业涂装行业、包装印刷行业及电子行业</w:t>
                  </w:r>
                  <w:r>
                    <w:rPr>
                      <w:rFonts w:hint="default" w:ascii="Times New Roman" w:hAnsi="Times New Roman" w:eastAsia="宋体" w:cs="Times New Roman"/>
                      <w:color w:val="auto"/>
                      <w:sz w:val="21"/>
                      <w:szCs w:val="21"/>
                      <w:highlight w:val="none"/>
                      <w:lang w:val="en-US" w:eastAsia="zh-CN"/>
                    </w:rPr>
                    <w:t>环评审批中要求加大</w:t>
                  </w:r>
                  <w:r>
                    <w:rPr>
                      <w:rFonts w:hint="default" w:ascii="Times New Roman" w:hAnsi="Times New Roman" w:eastAsia="宋体" w:cs="Times New Roman"/>
                      <w:color w:val="auto"/>
                      <w:sz w:val="21"/>
                      <w:szCs w:val="21"/>
                      <w:highlight w:val="none"/>
                      <w:lang w:eastAsia="zh-CN"/>
                    </w:rPr>
                    <w:t>低（无）VOCs含量原辅材料的替代力度。</w:t>
                  </w:r>
                </w:p>
              </w:tc>
              <w:tc>
                <w:tcPr>
                  <w:tcW w:w="1099" w:type="pct"/>
                  <w:vMerge w:val="continue"/>
                  <w:noWrap w:val="0"/>
                  <w:vAlign w:val="center"/>
                </w:tcPr>
                <w:p w14:paraId="75004F3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0000FF"/>
                      <w:sz w:val="21"/>
                      <w:szCs w:val="21"/>
                      <w:highlight w:val="none"/>
                      <w:lang w:val="en-US" w:eastAsia="zh-CN"/>
                    </w:rPr>
                  </w:pPr>
                </w:p>
              </w:tc>
              <w:tc>
                <w:tcPr>
                  <w:tcW w:w="312" w:type="pct"/>
                  <w:vMerge w:val="continue"/>
                  <w:noWrap w:val="0"/>
                  <w:vAlign w:val="center"/>
                </w:tcPr>
                <w:p w14:paraId="74CDE9F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0000FF"/>
                      <w:sz w:val="21"/>
                      <w:szCs w:val="21"/>
                      <w:highlight w:val="none"/>
                      <w:lang w:val="en-US" w:eastAsia="zh-CN"/>
                    </w:rPr>
                  </w:pPr>
                </w:p>
              </w:tc>
            </w:tr>
          </w:tbl>
          <w:p w14:paraId="301591A1">
            <w:pPr>
              <w:keepNext w:val="0"/>
              <w:keepLines w:val="0"/>
              <w:pageBreakBefore w:val="0"/>
              <w:widowControl w:val="0"/>
              <w:kinsoku/>
              <w:wordWrap/>
              <w:overflowPunct/>
              <w:topLinePunct/>
              <w:autoSpaceDE w:val="0"/>
              <w:autoSpaceDN/>
              <w:bidi w:val="0"/>
              <w:adjustRightInd w:val="0"/>
              <w:snapToGrid w:val="0"/>
              <w:ind w:left="0" w:leftChars="0"/>
              <w:jc w:val="left"/>
              <w:rPr>
                <w:rFonts w:hint="default" w:ascii="Times New Roman" w:hAnsi="Times New Roman" w:eastAsia="宋体" w:cs="Times New Roman"/>
                <w:color w:val="auto"/>
                <w:kern w:val="0"/>
                <w:sz w:val="24"/>
                <w:highlight w:val="none"/>
                <w:lang w:val="en-US" w:eastAsia="zh-CN"/>
              </w:rPr>
            </w:pPr>
          </w:p>
        </w:tc>
      </w:tr>
    </w:tbl>
    <w:p w14:paraId="77472ADD">
      <w:pPr>
        <w:keepNext w:val="0"/>
        <w:keepLines w:val="0"/>
        <w:pageBreakBefore w:val="0"/>
        <w:widowControl w:val="0"/>
        <w:kinsoku/>
        <w:wordWrap/>
        <w:overflowPunct/>
        <w:topLinePunct/>
        <w:autoSpaceDE w:val="0"/>
        <w:autoSpaceDN/>
        <w:bidi w:val="0"/>
        <w:adjustRightInd w:val="0"/>
        <w:snapToGrid w:val="0"/>
        <w:spacing w:line="360" w:lineRule="auto"/>
        <w:ind w:left="0" w:leftChars="0"/>
        <w:outlineLvl w:val="9"/>
        <w:rPr>
          <w:rFonts w:hint="default" w:ascii="Times New Roman" w:hAnsi="Times New Roman" w:eastAsia="黑体" w:cs="Times New Roman"/>
          <w:color w:val="auto"/>
          <w:sz w:val="30"/>
          <w:highlight w:val="none"/>
        </w:rPr>
        <w:sectPr>
          <w:footerReference r:id="rId6" w:type="default"/>
          <w:pgSz w:w="11905" w:h="16838"/>
          <w:pgMar w:top="1440" w:right="1803" w:bottom="1440" w:left="1803" w:header="851" w:footer="1077" w:gutter="0"/>
          <w:pgBorders>
            <w:top w:val="none" w:sz="0" w:space="0"/>
            <w:left w:val="none" w:sz="0" w:space="0"/>
            <w:bottom w:val="none" w:sz="0" w:space="0"/>
            <w:right w:val="none" w:sz="0" w:space="0"/>
          </w:pgBorders>
          <w:pgNumType w:fmt="decimal" w:start="1"/>
          <w:cols w:space="720" w:num="1"/>
          <w:rtlGutter w:val="0"/>
          <w:docGrid w:linePitch="312" w:charSpace="0"/>
        </w:sectPr>
      </w:pPr>
    </w:p>
    <w:p w14:paraId="45917CE6">
      <w:pPr>
        <w:keepNext w:val="0"/>
        <w:keepLines w:val="0"/>
        <w:pageBreakBefore w:val="0"/>
        <w:widowControl w:val="0"/>
        <w:kinsoku/>
        <w:wordWrap/>
        <w:overflowPunct/>
        <w:topLinePunct/>
        <w:autoSpaceDE w:val="0"/>
        <w:autoSpaceDN/>
        <w:bidi w:val="0"/>
        <w:adjustRightInd w:val="0"/>
        <w:snapToGrid w:val="0"/>
        <w:ind w:left="0" w:leftChars="0"/>
        <w:jc w:val="center"/>
        <w:outlineLvl w:val="0"/>
        <w:rPr>
          <w:rFonts w:hint="default" w:ascii="Times New Roman" w:hAnsi="Times New Roman" w:eastAsia="黑体" w:cs="Times New Roman"/>
          <w:b/>
          <w:bCs/>
          <w:snapToGrid w:val="0"/>
          <w:color w:val="auto"/>
          <w:sz w:val="30"/>
          <w:szCs w:val="30"/>
          <w:highlight w:val="none"/>
        </w:rPr>
      </w:pPr>
      <w:bookmarkStart w:id="3" w:name="_Toc18701"/>
      <w:r>
        <w:rPr>
          <w:rFonts w:hint="default" w:ascii="Times New Roman" w:hAnsi="Times New Roman" w:eastAsia="黑体" w:cs="Times New Roman"/>
          <w:b/>
          <w:bCs/>
          <w:snapToGrid w:val="0"/>
          <w:color w:val="auto"/>
          <w:sz w:val="30"/>
          <w:szCs w:val="30"/>
          <w:highlight w:val="none"/>
        </w:rPr>
        <w:t>二、建设项目工程分析</w:t>
      </w:r>
      <w:bookmarkEnd w:id="3"/>
    </w:p>
    <w:tbl>
      <w:tblPr>
        <w:tblStyle w:val="2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795"/>
      </w:tblGrid>
      <w:tr w14:paraId="17C8E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24" w:hRule="atLeast"/>
          <w:jc w:val="center"/>
        </w:trPr>
        <w:tc>
          <w:tcPr>
            <w:tcW w:w="423" w:type="pct"/>
            <w:noWrap w:val="0"/>
            <w:vAlign w:val="center"/>
          </w:tcPr>
          <w:p w14:paraId="7B9D583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建设</w:t>
            </w:r>
          </w:p>
          <w:p w14:paraId="499B05B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 w:val="24"/>
                <w:szCs w:val="24"/>
                <w:highlight w:val="none"/>
              </w:rPr>
              <w:t>内容</w:t>
            </w:r>
          </w:p>
        </w:tc>
        <w:tc>
          <w:tcPr>
            <w:tcW w:w="4576" w:type="pct"/>
            <w:noWrap w:val="0"/>
            <w:vAlign w:val="top"/>
          </w:tcPr>
          <w:p w14:paraId="263CEF2A">
            <w:pPr>
              <w:keepNext w:val="0"/>
              <w:keepLines w:val="0"/>
              <w:pageBreakBefore w:val="0"/>
              <w:widowControl w:val="0"/>
              <w:kinsoku/>
              <w:wordWrap/>
              <w:overflowPunct/>
              <w:topLinePunct/>
              <w:autoSpaceDE w:val="0"/>
              <w:autoSpaceDN/>
              <w:bidi w:val="0"/>
              <w:adjustRightInd w:val="0"/>
              <w:snapToGrid w:val="0"/>
              <w:spacing w:line="336" w:lineRule="auto"/>
              <w:ind w:left="0" w:leftChars="0"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1、项目由来</w:t>
            </w:r>
          </w:p>
          <w:p w14:paraId="3CA4AC9A">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安徽博越汽车安全系统有限公司</w:t>
            </w:r>
            <w:r>
              <w:rPr>
                <w:rFonts w:hint="default" w:ascii="Times New Roman" w:hAnsi="Times New Roman" w:cs="Times New Roman"/>
                <w:color w:val="auto"/>
                <w:sz w:val="24"/>
                <w:highlight w:val="none"/>
                <w:lang w:val="en-US" w:eastAsia="zh-CN"/>
              </w:rPr>
              <w:t>租赁</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建筑面积为</w:t>
            </w:r>
            <w:r>
              <w:rPr>
                <w:rFonts w:hint="default" w:ascii="Times New Roman" w:hAnsi="Times New Roman" w:cs="Times New Roman"/>
                <w:color w:val="auto"/>
                <w:sz w:val="24"/>
                <w:highlight w:val="none"/>
                <w:lang w:eastAsia="zh-CN"/>
              </w:rPr>
              <w:t>10000平方米）</w:t>
            </w:r>
            <w:r>
              <w:rPr>
                <w:rFonts w:hint="default" w:ascii="Times New Roman" w:hAnsi="Times New Roman" w:cs="Times New Roman"/>
                <w:color w:val="auto"/>
                <w:sz w:val="24"/>
                <w:highlight w:val="none"/>
                <w:lang w:val="en-US" w:eastAsia="zh-CN"/>
              </w:rPr>
              <w:t>投</w:t>
            </w:r>
            <w:r>
              <w:rPr>
                <w:rFonts w:hint="default" w:ascii="Times New Roman" w:hAnsi="Times New Roman" w:cs="Times New Roman"/>
                <w:color w:val="auto"/>
                <w:sz w:val="24"/>
                <w:highlight w:val="none"/>
                <w:lang w:eastAsia="zh-CN"/>
              </w:rPr>
              <w:t>资</w:t>
            </w:r>
            <w:r>
              <w:rPr>
                <w:rFonts w:hint="default" w:ascii="Times New Roman" w:hAnsi="Times New Roman" w:cs="Times New Roman"/>
                <w:color w:val="auto"/>
                <w:sz w:val="24"/>
                <w:highlight w:val="none"/>
                <w:lang w:val="en-US" w:eastAsia="zh-CN"/>
              </w:rPr>
              <w:t>10000万元</w:t>
            </w:r>
            <w:r>
              <w:rPr>
                <w:rFonts w:hint="default" w:ascii="Times New Roman" w:hAnsi="Times New Roman" w:cs="Times New Roman"/>
                <w:color w:val="auto"/>
                <w:sz w:val="24"/>
                <w:highlight w:val="none"/>
                <w:lang w:eastAsia="zh-CN"/>
              </w:rPr>
              <w:t>建设“</w:t>
            </w:r>
            <w:r>
              <w:rPr>
                <w:rFonts w:hint="eastAsia" w:ascii="Times New Roman" w:hAnsi="Times New Roman" w:cs="Times New Roman"/>
                <w:color w:val="auto"/>
                <w:sz w:val="24"/>
                <w:highlight w:val="none"/>
                <w:lang w:val="en-US" w:eastAsia="zh-CN"/>
              </w:rPr>
              <w:t>汽车刹车片生产基地项目</w:t>
            </w:r>
            <w:r>
              <w:rPr>
                <w:rFonts w:hint="default" w:ascii="Times New Roman" w:hAnsi="Times New Roman" w:cs="Times New Roman"/>
                <w:color w:val="auto"/>
                <w:sz w:val="24"/>
                <w:highlight w:val="none"/>
                <w:lang w:eastAsia="zh-CN"/>
              </w:rPr>
              <w:t>”，该项目已于</w:t>
            </w:r>
            <w:r>
              <w:rPr>
                <w:rFonts w:hint="eastAsia" w:ascii="Times New Roman" w:hAnsi="Times New Roman" w:cs="Times New Roman"/>
                <w:color w:val="auto"/>
                <w:sz w:val="24"/>
                <w:highlight w:val="none"/>
                <w:lang w:eastAsia="zh-CN"/>
              </w:rPr>
              <w:t>2025年4月21日</w:t>
            </w:r>
            <w:r>
              <w:rPr>
                <w:rFonts w:hint="default" w:ascii="Times New Roman" w:hAnsi="Times New Roman" w:cs="Times New Roman"/>
                <w:color w:val="auto"/>
                <w:sz w:val="24"/>
                <w:highlight w:val="none"/>
                <w:lang w:eastAsia="zh-CN"/>
              </w:rPr>
              <w:t>获得淮南高新技术产业开发区管理委员会经济发展局备案文件（项目代码：</w:t>
            </w:r>
            <w:r>
              <w:rPr>
                <w:rFonts w:hint="eastAsia" w:ascii="Times New Roman" w:hAnsi="Times New Roman" w:cs="Times New Roman"/>
                <w:color w:val="auto"/>
                <w:sz w:val="24"/>
                <w:highlight w:val="none"/>
                <w:lang w:eastAsia="zh-CN"/>
              </w:rPr>
              <w:t>2504-340463-04-01-197929</w:t>
            </w:r>
            <w:r>
              <w:rPr>
                <w:rFonts w:hint="default" w:ascii="Times New Roman" w:hAnsi="Times New Roman" w:cs="Times New Roman"/>
                <w:color w:val="auto"/>
                <w:sz w:val="24"/>
                <w:highlight w:val="none"/>
                <w:lang w:eastAsia="zh-CN"/>
              </w:rPr>
              <w:t>）。项目购置热压机、磨床等设备，构建喷粉生产线。项目建成后可形成年产汽车刹车片200万套的生产能力。</w:t>
            </w:r>
          </w:p>
          <w:p w14:paraId="6201A8E2">
            <w:pPr>
              <w:keepNext w:val="0"/>
              <w:keepLines w:val="0"/>
              <w:pageBreakBefore w:val="0"/>
              <w:widowControl w:val="0"/>
              <w:kinsoku/>
              <w:wordWrap/>
              <w:overflowPunct/>
              <w:topLinePunct/>
              <w:autoSpaceDE w:val="0"/>
              <w:autoSpaceDN/>
              <w:bidi w:val="0"/>
              <w:adjustRightInd w:val="0"/>
              <w:snapToGrid w:val="0"/>
              <w:spacing w:line="334" w:lineRule="auto"/>
              <w:ind w:left="0" w:leftChars="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根据《中华人民共和国环境保护法》、《中华人民共和国环境影响评价法》、《建设项目环境保护管理条例》（中华人民共和国国务院令第682号）的有关规定以及相关部门的要求</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建设对环境有影响的项目</w:t>
            </w:r>
            <w:r>
              <w:rPr>
                <w:rFonts w:hint="default" w:ascii="Times New Roman" w:hAnsi="Times New Roman" w:eastAsia="宋体" w:cs="Times New Roman"/>
                <w:color w:val="auto"/>
                <w:kern w:val="0"/>
                <w:sz w:val="24"/>
                <w:szCs w:val="24"/>
                <w:highlight w:val="none"/>
              </w:rPr>
              <w:t>应进行环境影响评价。</w:t>
            </w:r>
          </w:p>
          <w:p w14:paraId="47671D7C">
            <w:pPr>
              <w:keepNext w:val="0"/>
              <w:keepLines w:val="0"/>
              <w:pageBreakBefore w:val="0"/>
              <w:widowControl w:val="0"/>
              <w:kinsoku/>
              <w:wordWrap/>
              <w:overflowPunct/>
              <w:topLinePunct/>
              <w:autoSpaceDE w:val="0"/>
              <w:autoSpaceDN/>
              <w:bidi w:val="0"/>
              <w:adjustRightInd w:val="0"/>
              <w:snapToGrid w:val="0"/>
              <w:spacing w:line="334" w:lineRule="auto"/>
              <w:ind w:left="0" w:leftChars="0" w:firstLine="480" w:firstLineChars="200"/>
              <w:rPr>
                <w:rFonts w:hint="default" w:ascii="Times New Roman" w:hAnsi="Times New Roman"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eastAsia="zh-CN"/>
              </w:rPr>
              <w:t>根据《建设项目环境影响评价分类管理名录》（2021年版），</w:t>
            </w:r>
            <w:r>
              <w:rPr>
                <w:rFonts w:hint="eastAsia" w:ascii="Times New Roman" w:hAnsi="Times New Roman" w:cs="Times New Roman"/>
                <w:color w:val="auto"/>
                <w:kern w:val="0"/>
                <w:sz w:val="24"/>
                <w:szCs w:val="24"/>
                <w:highlight w:val="none"/>
                <w:lang w:val="en-US" w:eastAsia="zh-CN"/>
              </w:rPr>
              <w:t>项目</w:t>
            </w:r>
            <w:r>
              <w:rPr>
                <w:rFonts w:hint="default" w:ascii="Times New Roman" w:hAnsi="Times New Roman" w:cs="Times New Roman"/>
                <w:color w:val="auto"/>
                <w:kern w:val="0"/>
                <w:sz w:val="24"/>
                <w:szCs w:val="24"/>
                <w:highlight w:val="none"/>
                <w:lang w:val="en-US" w:eastAsia="zh-CN"/>
              </w:rPr>
              <w:t>属于</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三十三</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汽车制造业36</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71汽车零部件及配件制造367中</w:t>
            </w:r>
            <w:r>
              <w:rPr>
                <w:rFonts w:hint="default" w:ascii="Times New Roman" w:hAnsi="Times New Roman" w:cs="Times New Roman"/>
                <w:color w:val="auto"/>
                <w:kern w:val="0"/>
                <w:sz w:val="24"/>
                <w:szCs w:val="24"/>
                <w:highlight w:val="none"/>
              </w:rPr>
              <w:t>“其他（年用非溶剂型低VOCs含量涂料10吨以下的除外）”，环评类别为</w:t>
            </w:r>
            <w:r>
              <w:rPr>
                <w:rFonts w:hint="default" w:ascii="Times New Roman" w:hAnsi="Times New Roman" w:cs="Times New Roman"/>
                <w:color w:val="auto"/>
                <w:kern w:val="0"/>
                <w:sz w:val="24"/>
                <w:szCs w:val="24"/>
                <w:highlight w:val="none"/>
                <w:lang w:val="en-US" w:eastAsia="zh-CN"/>
              </w:rPr>
              <w:t>环境影响</w:t>
            </w:r>
            <w:r>
              <w:rPr>
                <w:rFonts w:hint="default" w:ascii="Times New Roman" w:hAnsi="Times New Roman" w:cs="Times New Roman"/>
                <w:color w:val="auto"/>
                <w:kern w:val="0"/>
                <w:sz w:val="24"/>
                <w:szCs w:val="24"/>
                <w:highlight w:val="none"/>
              </w:rPr>
              <w:t>报告表。</w:t>
            </w:r>
          </w:p>
          <w:p w14:paraId="36345C7D">
            <w:pPr>
              <w:keepNext w:val="0"/>
              <w:keepLines w:val="0"/>
              <w:pageBreakBefore w:val="0"/>
              <w:widowControl w:val="0"/>
              <w:kinsoku/>
              <w:wordWrap/>
              <w:overflowPunct/>
              <w:topLinePunct/>
              <w:autoSpaceDE w:val="0"/>
              <w:autoSpaceDN/>
              <w:bidi w:val="0"/>
              <w:adjustRightInd w:val="0"/>
              <w:snapToGrid w:val="0"/>
              <w:spacing w:line="334" w:lineRule="auto"/>
              <w:ind w:left="0" w:leftChars="0" w:firstLine="480" w:firstLineChars="200"/>
              <w:rPr>
                <w:rFonts w:hint="default" w:ascii="Times New Roman" w:hAnsi="Times New Roman" w:eastAsia="宋体" w:cs="Times New Roman"/>
                <w:b/>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根据《固定污染源排污许可分类管理名录》（2019年版），</w:t>
            </w:r>
            <w:r>
              <w:rPr>
                <w:rFonts w:hint="default" w:ascii="Times New Roman" w:hAnsi="Times New Roman" w:cs="Times New Roman"/>
                <w:color w:val="auto"/>
                <w:kern w:val="0"/>
                <w:sz w:val="24"/>
                <w:szCs w:val="24"/>
                <w:highlight w:val="none"/>
              </w:rPr>
              <w:t>项目涉及</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lang w:val="en-US" w:eastAsia="zh-CN"/>
              </w:rPr>
              <w:t>三十一</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汽车制造业36</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lang w:val="en-US" w:eastAsia="zh-CN"/>
              </w:rPr>
              <w:t>项下的</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lang w:val="en-US" w:eastAsia="zh-CN"/>
              </w:rPr>
              <w:t>85 汽车零部件及配件制造367</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中</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其他</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排污许可类别</w:t>
            </w:r>
            <w:r>
              <w:rPr>
                <w:rFonts w:hint="default" w:ascii="Times New Roman" w:hAnsi="Times New Roman" w:cs="Times New Roman"/>
                <w:color w:val="auto"/>
                <w:kern w:val="0"/>
                <w:sz w:val="24"/>
                <w:szCs w:val="24"/>
                <w:highlight w:val="none"/>
              </w:rPr>
              <w:t>属于登记管理</w:t>
            </w:r>
            <w:r>
              <w:rPr>
                <w:rFonts w:hint="default" w:ascii="Times New Roman" w:hAnsi="Times New Roman" w:cs="Times New Roman"/>
                <w:color w:val="auto"/>
                <w:kern w:val="0"/>
                <w:sz w:val="24"/>
                <w:szCs w:val="24"/>
                <w:highlight w:val="none"/>
                <w:lang w:eastAsia="zh-CN"/>
              </w:rPr>
              <w:t>。</w:t>
            </w:r>
          </w:p>
          <w:p w14:paraId="40293FF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eastAsia="zh-CN"/>
              </w:rPr>
              <w:t>表</w:t>
            </w:r>
            <w:r>
              <w:rPr>
                <w:rFonts w:hint="default" w:ascii="Times New Roman" w:hAnsi="Times New Roman" w:eastAsia="宋体" w:cs="Times New Roman"/>
                <w:b/>
                <w:bCs/>
                <w:color w:val="auto"/>
                <w:kern w:val="0"/>
                <w:sz w:val="21"/>
                <w:szCs w:val="21"/>
                <w:highlight w:val="none"/>
                <w:lang w:val="en-US" w:eastAsia="zh-CN"/>
              </w:rPr>
              <w:t>2-1 环评类别判定表</w:t>
            </w:r>
          </w:p>
          <w:tbl>
            <w:tblPr>
              <w:tblStyle w:val="25"/>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11"/>
              <w:gridCol w:w="968"/>
              <w:gridCol w:w="3293"/>
              <w:gridCol w:w="1801"/>
              <w:gridCol w:w="1100"/>
            </w:tblGrid>
            <w:tr w14:paraId="48F419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283" w:hRule="atLeast"/>
                <w:jc w:val="center"/>
              </w:trPr>
              <w:tc>
                <w:tcPr>
                  <w:tcW w:w="911" w:type="pct"/>
                  <w:gridSpan w:val="2"/>
                  <w:tcBorders>
                    <w:tl2br w:val="single" w:color="000000" w:sz="4" w:space="0"/>
                  </w:tcBorders>
                  <w:shd w:val="clear" w:color="auto" w:fill="auto"/>
                  <w:noWrap w:val="0"/>
                  <w:vAlign w:val="center"/>
                </w:tcPr>
                <w:p w14:paraId="3B8E8579">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环评类别</w:t>
                  </w:r>
                </w:p>
                <w:p w14:paraId="7BA3BAB7">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项目类别</w:t>
                  </w:r>
                </w:p>
              </w:tc>
              <w:tc>
                <w:tcPr>
                  <w:tcW w:w="2174" w:type="pct"/>
                  <w:tcBorders>
                    <w:tl2br w:val="nil"/>
                    <w:tr2bl w:val="nil"/>
                  </w:tcBorders>
                  <w:shd w:val="clear" w:color="auto" w:fill="auto"/>
                  <w:noWrap w:val="0"/>
                  <w:vAlign w:val="center"/>
                </w:tcPr>
                <w:p w14:paraId="305F88A5">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报告书</w:t>
                  </w:r>
                </w:p>
              </w:tc>
              <w:tc>
                <w:tcPr>
                  <w:tcW w:w="1189" w:type="pct"/>
                  <w:tcBorders>
                    <w:tl2br w:val="nil"/>
                    <w:tr2bl w:val="nil"/>
                  </w:tcBorders>
                  <w:shd w:val="clear" w:color="auto" w:fill="D7D7D7"/>
                  <w:noWrap w:val="0"/>
                  <w:vAlign w:val="center"/>
                </w:tcPr>
                <w:p w14:paraId="2082E875">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报告表</w:t>
                  </w:r>
                </w:p>
              </w:tc>
              <w:tc>
                <w:tcPr>
                  <w:tcW w:w="724" w:type="pct"/>
                  <w:tcBorders>
                    <w:tl2br w:val="nil"/>
                    <w:tr2bl w:val="nil"/>
                  </w:tcBorders>
                  <w:noWrap w:val="0"/>
                  <w:vAlign w:val="center"/>
                </w:tcPr>
                <w:p w14:paraId="119426A7">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登记表</w:t>
                  </w:r>
                </w:p>
              </w:tc>
            </w:tr>
            <w:tr w14:paraId="6BA716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5000" w:type="pct"/>
                  <w:gridSpan w:val="5"/>
                  <w:tcBorders>
                    <w:tl2br w:val="nil"/>
                    <w:tr2bl w:val="nil"/>
                  </w:tcBorders>
                  <w:shd w:val="clear" w:color="auto" w:fill="D7D7D7"/>
                  <w:noWrap w:val="0"/>
                  <w:vAlign w:val="center"/>
                </w:tcPr>
                <w:p w14:paraId="67EB1938">
                  <w:pPr>
                    <w:keepNext w:val="0"/>
                    <w:keepLines w:val="0"/>
                    <w:pageBreakBefore w:val="0"/>
                    <w:widowControl/>
                    <w:suppressLineNumbers w:val="0"/>
                    <w:kinsoku/>
                    <w:wordWrap/>
                    <w:overflowPunct/>
                    <w:autoSpaceDN/>
                    <w:bidi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三十三、汽车制造业 36</w:t>
                  </w:r>
                </w:p>
              </w:tc>
            </w:tr>
            <w:tr w14:paraId="24A611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272" w:type="pct"/>
                  <w:tcBorders>
                    <w:tl2br w:val="nil"/>
                    <w:tr2bl w:val="nil"/>
                  </w:tcBorders>
                  <w:shd w:val="clear" w:color="auto" w:fill="auto"/>
                  <w:noWrap w:val="0"/>
                  <w:vAlign w:val="center"/>
                </w:tcPr>
                <w:p w14:paraId="0BA0184E">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71</w:t>
                  </w:r>
                </w:p>
              </w:tc>
              <w:tc>
                <w:tcPr>
                  <w:tcW w:w="638" w:type="pct"/>
                  <w:tcBorders>
                    <w:tl2br w:val="nil"/>
                    <w:tr2bl w:val="nil"/>
                  </w:tcBorders>
                  <w:shd w:val="clear" w:color="auto" w:fill="auto"/>
                  <w:noWrap w:val="0"/>
                  <w:vAlign w:val="center"/>
                </w:tcPr>
                <w:p w14:paraId="4A98FA9F">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汽车零部件及配件制造 367</w:t>
                  </w:r>
                </w:p>
              </w:tc>
              <w:tc>
                <w:tcPr>
                  <w:tcW w:w="2174" w:type="pct"/>
                  <w:tcBorders>
                    <w:tl2br w:val="nil"/>
                    <w:tr2bl w:val="nil"/>
                  </w:tcBorders>
                  <w:shd w:val="clear" w:color="auto" w:fill="auto"/>
                  <w:noWrap w:val="0"/>
                  <w:vAlign w:val="center"/>
                </w:tcPr>
                <w:p w14:paraId="18E358A1">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汽车整车制造（仅组装的除外）；汽车用发动机制造（仅组装的除外）；有电镀工艺的；年用溶剂型涂料（含稀释剂）10吨及以上的</w:t>
                  </w:r>
                </w:p>
              </w:tc>
              <w:tc>
                <w:tcPr>
                  <w:tcW w:w="1189" w:type="pct"/>
                  <w:tcBorders>
                    <w:tl2br w:val="nil"/>
                    <w:tr2bl w:val="nil"/>
                  </w:tcBorders>
                  <w:shd w:val="clear" w:color="auto" w:fill="D7D7D7"/>
                  <w:noWrap w:val="0"/>
                  <w:vAlign w:val="center"/>
                </w:tcPr>
                <w:p w14:paraId="102E1537">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其他（年用非溶剂型低VOCs含量涂料10吨以下的除外）</w:t>
                  </w:r>
                </w:p>
              </w:tc>
              <w:tc>
                <w:tcPr>
                  <w:tcW w:w="724" w:type="pct"/>
                  <w:tcBorders>
                    <w:tl2br w:val="nil"/>
                    <w:tr2bl w:val="nil"/>
                  </w:tcBorders>
                  <w:noWrap w:val="0"/>
                  <w:vAlign w:val="center"/>
                </w:tcPr>
                <w:p w14:paraId="2D050E71">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w:t>
                  </w:r>
                </w:p>
              </w:tc>
            </w:tr>
          </w:tbl>
          <w:p w14:paraId="626EDFB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eastAsia="zh-CN"/>
              </w:rPr>
              <w:t>表</w:t>
            </w:r>
            <w:r>
              <w:rPr>
                <w:rFonts w:hint="default" w:ascii="Times New Roman" w:hAnsi="Times New Roman" w:eastAsia="宋体" w:cs="Times New Roman"/>
                <w:b/>
                <w:bCs/>
                <w:color w:val="auto"/>
                <w:kern w:val="0"/>
                <w:sz w:val="21"/>
                <w:szCs w:val="21"/>
                <w:highlight w:val="none"/>
                <w:lang w:val="en-US" w:eastAsia="zh-CN"/>
              </w:rPr>
              <w:t>2-2 排污许可类别判定表</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7"/>
              <w:gridCol w:w="1858"/>
              <w:gridCol w:w="939"/>
              <w:gridCol w:w="3203"/>
              <w:gridCol w:w="959"/>
            </w:tblGrid>
            <w:tr w14:paraId="1EE1FB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407" w:type="pct"/>
                  <w:tcBorders>
                    <w:tl2br w:val="nil"/>
                    <w:tr2bl w:val="nil"/>
                  </w:tcBorders>
                  <w:noWrap w:val="0"/>
                  <w:vAlign w:val="center"/>
                </w:tcPr>
                <w:p w14:paraId="543EF142">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4"/>
                      <w:highlight w:val="none"/>
                      <w:vertAlign w:val="baseline"/>
                      <w:lang w:val="en-US" w:eastAsia="zh-CN"/>
                    </w:rPr>
                  </w:pPr>
                  <w:r>
                    <w:rPr>
                      <w:rFonts w:hint="default" w:ascii="Times New Roman" w:hAnsi="Times New Roman" w:eastAsia="宋体" w:cs="Times New Roman"/>
                      <w:b/>
                      <w:bCs/>
                      <w:color w:val="auto"/>
                      <w:kern w:val="0"/>
                      <w:sz w:val="21"/>
                      <w:szCs w:val="24"/>
                      <w:highlight w:val="none"/>
                      <w:vertAlign w:val="baseline"/>
                      <w:lang w:val="en-US" w:eastAsia="zh-CN"/>
                    </w:rPr>
                    <w:t>序号</w:t>
                  </w:r>
                </w:p>
              </w:tc>
              <w:tc>
                <w:tcPr>
                  <w:tcW w:w="1226" w:type="pct"/>
                  <w:tcBorders>
                    <w:tl2br w:val="nil"/>
                    <w:tr2bl w:val="nil"/>
                  </w:tcBorders>
                  <w:noWrap w:val="0"/>
                  <w:vAlign w:val="center"/>
                </w:tcPr>
                <w:p w14:paraId="6E4298CA">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4"/>
                      <w:highlight w:val="none"/>
                      <w:vertAlign w:val="baseline"/>
                      <w:lang w:val="en-US" w:eastAsia="zh-CN"/>
                    </w:rPr>
                  </w:pPr>
                  <w:r>
                    <w:rPr>
                      <w:rFonts w:hint="default" w:ascii="Times New Roman" w:hAnsi="Times New Roman" w:eastAsia="宋体" w:cs="Times New Roman"/>
                      <w:b/>
                      <w:bCs/>
                      <w:color w:val="auto"/>
                      <w:kern w:val="0"/>
                      <w:sz w:val="21"/>
                      <w:szCs w:val="24"/>
                      <w:highlight w:val="none"/>
                      <w:vertAlign w:val="baseline"/>
                      <w:lang w:val="en-US" w:eastAsia="zh-CN"/>
                    </w:rPr>
                    <w:t>行业类别</w:t>
                  </w:r>
                </w:p>
              </w:tc>
              <w:tc>
                <w:tcPr>
                  <w:tcW w:w="620" w:type="pct"/>
                  <w:tcBorders>
                    <w:tl2br w:val="nil"/>
                    <w:tr2bl w:val="nil"/>
                  </w:tcBorders>
                  <w:noWrap w:val="0"/>
                  <w:vAlign w:val="center"/>
                </w:tcPr>
                <w:p w14:paraId="6B8C2B7B">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4"/>
                      <w:highlight w:val="none"/>
                      <w:vertAlign w:val="baseline"/>
                      <w:lang w:val="en-US" w:eastAsia="zh-CN"/>
                    </w:rPr>
                  </w:pPr>
                  <w:r>
                    <w:rPr>
                      <w:rFonts w:hint="default" w:ascii="Times New Roman" w:hAnsi="Times New Roman" w:eastAsia="宋体" w:cs="Times New Roman"/>
                      <w:b/>
                      <w:bCs/>
                      <w:color w:val="auto"/>
                      <w:kern w:val="0"/>
                      <w:sz w:val="21"/>
                      <w:szCs w:val="24"/>
                      <w:highlight w:val="none"/>
                      <w:vertAlign w:val="baseline"/>
                      <w:lang w:val="en-US" w:eastAsia="zh-CN"/>
                    </w:rPr>
                    <w:t>重点管理</w:t>
                  </w:r>
                </w:p>
              </w:tc>
              <w:tc>
                <w:tcPr>
                  <w:tcW w:w="2114" w:type="pct"/>
                  <w:tcBorders>
                    <w:tl2br w:val="nil"/>
                    <w:tr2bl w:val="nil"/>
                  </w:tcBorders>
                  <w:noWrap w:val="0"/>
                  <w:vAlign w:val="center"/>
                </w:tcPr>
                <w:p w14:paraId="57BE65CB">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4"/>
                      <w:highlight w:val="none"/>
                      <w:vertAlign w:val="baseline"/>
                      <w:lang w:val="en-US" w:eastAsia="zh-CN"/>
                    </w:rPr>
                  </w:pPr>
                  <w:r>
                    <w:rPr>
                      <w:rFonts w:hint="default" w:ascii="Times New Roman" w:hAnsi="Times New Roman" w:eastAsia="宋体" w:cs="Times New Roman"/>
                      <w:b/>
                      <w:bCs/>
                      <w:color w:val="auto"/>
                      <w:kern w:val="0"/>
                      <w:sz w:val="21"/>
                      <w:szCs w:val="24"/>
                      <w:highlight w:val="none"/>
                      <w:vertAlign w:val="baseline"/>
                      <w:lang w:val="en-US" w:eastAsia="zh-CN"/>
                    </w:rPr>
                    <w:t>简化管理</w:t>
                  </w:r>
                </w:p>
              </w:tc>
              <w:tc>
                <w:tcPr>
                  <w:tcW w:w="630" w:type="pct"/>
                  <w:tcBorders>
                    <w:tl2br w:val="nil"/>
                    <w:tr2bl w:val="nil"/>
                  </w:tcBorders>
                  <w:noWrap w:val="0"/>
                  <w:vAlign w:val="center"/>
                </w:tcPr>
                <w:p w14:paraId="3A11333C">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4"/>
                      <w:highlight w:val="none"/>
                      <w:vertAlign w:val="baseline"/>
                      <w:lang w:val="en-US" w:eastAsia="zh-CN"/>
                    </w:rPr>
                  </w:pPr>
                  <w:r>
                    <w:rPr>
                      <w:rFonts w:hint="default" w:ascii="Times New Roman" w:hAnsi="Times New Roman" w:eastAsia="宋体" w:cs="Times New Roman"/>
                      <w:b/>
                      <w:bCs/>
                      <w:color w:val="auto"/>
                      <w:kern w:val="0"/>
                      <w:sz w:val="21"/>
                      <w:szCs w:val="24"/>
                      <w:highlight w:val="none"/>
                      <w:vertAlign w:val="baseline"/>
                      <w:lang w:val="en-US" w:eastAsia="zh-CN"/>
                    </w:rPr>
                    <w:t>登记管理</w:t>
                  </w:r>
                </w:p>
              </w:tc>
            </w:tr>
            <w:tr w14:paraId="22CDEB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l2br w:val="nil"/>
                    <w:tr2bl w:val="nil"/>
                  </w:tcBorders>
                  <w:noWrap w:val="0"/>
                  <w:vAlign w:val="center"/>
                </w:tcPr>
                <w:p w14:paraId="3A7A83DA">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4"/>
                      <w:highlight w:val="none"/>
                      <w:vertAlign w:val="baseline"/>
                      <w:lang w:val="en-US" w:eastAsia="zh-CN"/>
                    </w:rPr>
                  </w:pPr>
                  <w:r>
                    <w:rPr>
                      <w:rFonts w:hint="default" w:ascii="Times New Roman" w:hAnsi="Times New Roman" w:eastAsia="宋体" w:cs="Times New Roman"/>
                      <w:b w:val="0"/>
                      <w:bCs w:val="0"/>
                      <w:color w:val="auto"/>
                      <w:sz w:val="21"/>
                      <w:szCs w:val="20"/>
                      <w:highlight w:val="none"/>
                      <w:lang w:val="en-US" w:eastAsia="zh-CN"/>
                    </w:rPr>
                    <w:t>三十一</w:t>
                  </w:r>
                  <w:r>
                    <w:rPr>
                      <w:rFonts w:hint="default" w:ascii="Times New Roman" w:hAnsi="Times New Roman" w:eastAsia="宋体" w:cs="Times New Roman"/>
                      <w:b w:val="0"/>
                      <w:bCs w:val="0"/>
                      <w:color w:val="auto"/>
                      <w:sz w:val="21"/>
                      <w:szCs w:val="20"/>
                      <w:highlight w:val="none"/>
                    </w:rPr>
                    <w:t>、</w:t>
                  </w:r>
                  <w:r>
                    <w:rPr>
                      <w:rFonts w:hint="default" w:ascii="Times New Roman" w:hAnsi="Times New Roman" w:eastAsia="宋体" w:cs="Times New Roman"/>
                      <w:b w:val="0"/>
                      <w:bCs w:val="0"/>
                      <w:color w:val="auto"/>
                      <w:sz w:val="21"/>
                      <w:szCs w:val="20"/>
                      <w:highlight w:val="none"/>
                      <w:lang w:val="en-US" w:eastAsia="zh-CN"/>
                    </w:rPr>
                    <w:t>汽车制造业36</w:t>
                  </w:r>
                </w:p>
              </w:tc>
            </w:tr>
            <w:tr w14:paraId="5559DD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07" w:type="pct"/>
                  <w:tcBorders>
                    <w:tl2br w:val="nil"/>
                    <w:tr2bl w:val="nil"/>
                  </w:tcBorders>
                  <w:noWrap w:val="0"/>
                  <w:vAlign w:val="center"/>
                </w:tcPr>
                <w:p w14:paraId="7164D937">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4"/>
                      <w:highlight w:val="none"/>
                      <w:vertAlign w:val="baseline"/>
                      <w:lang w:val="en-US" w:eastAsia="zh-CN"/>
                    </w:rPr>
                  </w:pPr>
                  <w:r>
                    <w:rPr>
                      <w:rFonts w:hint="default" w:ascii="Times New Roman" w:hAnsi="Times New Roman" w:eastAsia="宋体" w:cs="Times New Roman"/>
                      <w:color w:val="auto"/>
                      <w:kern w:val="0"/>
                      <w:sz w:val="21"/>
                      <w:szCs w:val="24"/>
                      <w:highlight w:val="none"/>
                      <w:vertAlign w:val="baseline"/>
                      <w:lang w:val="en-US" w:eastAsia="zh-CN"/>
                    </w:rPr>
                    <w:t>85</w:t>
                  </w:r>
                </w:p>
              </w:tc>
              <w:tc>
                <w:tcPr>
                  <w:tcW w:w="1226" w:type="pct"/>
                  <w:tcBorders>
                    <w:tl2br w:val="nil"/>
                    <w:tr2bl w:val="nil"/>
                  </w:tcBorders>
                  <w:noWrap w:val="0"/>
                  <w:vAlign w:val="center"/>
                </w:tcPr>
                <w:p w14:paraId="03707AF9">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4"/>
                      <w:highlight w:val="none"/>
                      <w:vertAlign w:val="baseline"/>
                      <w:lang w:eastAsia="zh-CN"/>
                    </w:rPr>
                  </w:pPr>
                  <w:r>
                    <w:rPr>
                      <w:rFonts w:hint="default" w:ascii="Times New Roman" w:hAnsi="Times New Roman" w:eastAsia="宋体" w:cs="Times New Roman"/>
                      <w:color w:val="auto"/>
                      <w:kern w:val="0"/>
                      <w:sz w:val="21"/>
                      <w:szCs w:val="24"/>
                      <w:highlight w:val="none"/>
                      <w:vertAlign w:val="baseline"/>
                      <w:lang w:eastAsia="zh-CN"/>
                    </w:rPr>
                    <w:t>汽车整车制造361，汽车用发动机制造362，改装汽车制造363，低速汽车制造364，电车制造365，汽车车身、挂车制造366，汽车零部件及配件制造367</w:t>
                  </w:r>
                </w:p>
              </w:tc>
              <w:tc>
                <w:tcPr>
                  <w:tcW w:w="620" w:type="pct"/>
                  <w:tcBorders>
                    <w:tl2br w:val="nil"/>
                    <w:tr2bl w:val="nil"/>
                  </w:tcBorders>
                  <w:noWrap w:val="0"/>
                  <w:vAlign w:val="center"/>
                </w:tcPr>
                <w:p w14:paraId="6084CC8C">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4"/>
                      <w:highlight w:val="none"/>
                      <w:vertAlign w:val="baseline"/>
                      <w:lang w:eastAsia="zh-CN"/>
                    </w:rPr>
                  </w:pPr>
                  <w:r>
                    <w:rPr>
                      <w:rFonts w:hint="default" w:ascii="Times New Roman" w:hAnsi="Times New Roman" w:eastAsia="宋体" w:cs="Times New Roman"/>
                      <w:b w:val="0"/>
                      <w:bCs w:val="0"/>
                      <w:color w:val="auto"/>
                      <w:sz w:val="21"/>
                      <w:szCs w:val="20"/>
                      <w:highlight w:val="none"/>
                    </w:rPr>
                    <w:t>纳入重点排污单位名录的</w:t>
                  </w:r>
                </w:p>
              </w:tc>
              <w:tc>
                <w:tcPr>
                  <w:tcW w:w="2114" w:type="pct"/>
                  <w:tcBorders>
                    <w:tl2br w:val="nil"/>
                    <w:tr2bl w:val="nil"/>
                  </w:tcBorders>
                  <w:noWrap w:val="0"/>
                  <w:vAlign w:val="center"/>
                </w:tcPr>
                <w:p w14:paraId="0FB9C352">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4"/>
                      <w:highlight w:val="none"/>
                      <w:vertAlign w:val="baseline"/>
                      <w:lang w:eastAsia="zh-CN"/>
                    </w:rPr>
                  </w:pPr>
                  <w:r>
                    <w:rPr>
                      <w:rFonts w:hint="default" w:ascii="Times New Roman" w:hAnsi="Times New Roman" w:eastAsia="宋体" w:cs="Times New Roman"/>
                      <w:color w:val="auto"/>
                      <w:kern w:val="0"/>
                      <w:sz w:val="21"/>
                      <w:szCs w:val="24"/>
                      <w:highlight w:val="none"/>
                      <w:vertAlign w:val="baseline"/>
                      <w:lang w:eastAsia="zh-CN"/>
                    </w:rPr>
                    <w:t>除重点管理以外的汽车整车制造361，除重点管理以外的年使用10吨及以上溶剂型涂料或者胶粘剂（含稀释剂、固化剂、清洗溶剂）的汽车用发动机制造362、改装汽车制造363、低速汽车制造364、电车制造365、汽车车身、挂车制造366、汽车零部件及配件制造367</w:t>
                  </w:r>
                </w:p>
              </w:tc>
              <w:tc>
                <w:tcPr>
                  <w:tcW w:w="630" w:type="pct"/>
                  <w:tcBorders>
                    <w:tl2br w:val="nil"/>
                    <w:tr2bl w:val="nil"/>
                  </w:tcBorders>
                  <w:noWrap w:val="0"/>
                  <w:vAlign w:val="center"/>
                </w:tcPr>
                <w:p w14:paraId="51602B9A">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4"/>
                      <w:highlight w:val="none"/>
                      <w:vertAlign w:val="baseline"/>
                      <w:lang w:val="en-US" w:eastAsia="zh-CN"/>
                    </w:rPr>
                  </w:pPr>
                  <w:r>
                    <w:rPr>
                      <w:rFonts w:hint="default" w:ascii="Times New Roman" w:hAnsi="Times New Roman" w:eastAsia="宋体" w:cs="Times New Roman"/>
                      <w:b/>
                      <w:bCs/>
                      <w:color w:val="auto"/>
                      <w:kern w:val="0"/>
                      <w:sz w:val="21"/>
                      <w:szCs w:val="24"/>
                      <w:highlight w:val="none"/>
                      <w:vertAlign w:val="baseline"/>
                      <w:lang w:val="en-US" w:eastAsia="zh-CN"/>
                    </w:rPr>
                    <w:t>其他</w:t>
                  </w:r>
                </w:p>
              </w:tc>
            </w:tr>
          </w:tbl>
          <w:p w14:paraId="51C3FB38">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b/>
                <w:bCs/>
                <w:color w:val="auto"/>
                <w:sz w:val="24"/>
                <w:highlight w:val="none"/>
                <w:lang w:val="en-US" w:eastAsia="zh-CN"/>
              </w:rPr>
            </w:pPr>
            <w:r>
              <w:rPr>
                <w:rFonts w:hint="default" w:ascii="Times New Roman" w:hAnsi="Times New Roman" w:eastAsia="宋体" w:cs="Times New Roman"/>
                <w:color w:val="auto"/>
                <w:kern w:val="0"/>
                <w:sz w:val="24"/>
                <w:szCs w:val="24"/>
                <w:highlight w:val="none"/>
                <w:lang w:eastAsia="zh-CN"/>
              </w:rPr>
              <w:t>据此，</w:t>
            </w:r>
            <w:r>
              <w:rPr>
                <w:rFonts w:hint="eastAsia" w:ascii="Times New Roman" w:hAnsi="Times New Roman" w:cs="Times New Roman"/>
                <w:color w:val="auto"/>
                <w:sz w:val="24"/>
                <w:highlight w:val="none"/>
                <w:lang w:val="en-US" w:eastAsia="zh-CN"/>
              </w:rPr>
              <w:t>安徽博越汽车安全系统有限公司</w:t>
            </w:r>
            <w:r>
              <w:rPr>
                <w:rFonts w:hint="default" w:ascii="Times New Roman" w:hAnsi="Times New Roman" w:eastAsia="宋体" w:cs="Times New Roman"/>
                <w:color w:val="auto"/>
                <w:kern w:val="0"/>
                <w:sz w:val="24"/>
                <w:szCs w:val="24"/>
                <w:highlight w:val="none"/>
              </w:rPr>
              <w:t>委托</w:t>
            </w:r>
            <w:r>
              <w:rPr>
                <w:rFonts w:hint="default" w:ascii="Times New Roman" w:hAnsi="Times New Roman" w:eastAsia="宋体" w:cs="Times New Roman"/>
                <w:color w:val="auto"/>
                <w:kern w:val="0"/>
                <w:sz w:val="24"/>
                <w:szCs w:val="24"/>
                <w:highlight w:val="none"/>
                <w:lang w:eastAsia="zh-CN"/>
              </w:rPr>
              <w:t>我</w:t>
            </w:r>
            <w:r>
              <w:rPr>
                <w:rFonts w:hint="default" w:ascii="Times New Roman" w:hAnsi="Times New Roman" w:eastAsia="宋体" w:cs="Times New Roman"/>
                <w:color w:val="auto"/>
                <w:kern w:val="0"/>
                <w:sz w:val="24"/>
                <w:szCs w:val="24"/>
                <w:highlight w:val="none"/>
              </w:rPr>
              <w:t>公司开展该项目的环境影响评价工作，我公司受托后，派</w:t>
            </w:r>
            <w:r>
              <w:rPr>
                <w:rFonts w:hint="default" w:ascii="Times New Roman" w:hAnsi="Times New Roman" w:cs="Times New Roman"/>
                <w:color w:val="auto"/>
                <w:kern w:val="0"/>
                <w:sz w:val="24"/>
                <w:szCs w:val="24"/>
                <w:highlight w:val="none"/>
                <w:lang w:val="en-US" w:eastAsia="zh-CN"/>
              </w:rPr>
              <w:t>人</w:t>
            </w:r>
            <w:r>
              <w:rPr>
                <w:rFonts w:hint="default" w:ascii="Times New Roman" w:hAnsi="Times New Roman" w:eastAsia="宋体" w:cs="Times New Roman"/>
                <w:color w:val="auto"/>
                <w:kern w:val="0"/>
                <w:sz w:val="24"/>
                <w:szCs w:val="24"/>
                <w:highlight w:val="none"/>
              </w:rPr>
              <w:t>员实地踏勘和调研，收集、核实了有关文献资料，认真研究了</w:t>
            </w:r>
            <w:r>
              <w:rPr>
                <w:rFonts w:hint="eastAsia" w:ascii="Times New Roman" w:hAnsi="Times New Roman" w:cs="Times New Roman"/>
                <w:color w:val="auto"/>
                <w:kern w:val="0"/>
                <w:sz w:val="24"/>
                <w:szCs w:val="24"/>
                <w:highlight w:val="none"/>
                <w:lang w:eastAsia="zh-CN"/>
              </w:rPr>
              <w:t>项目</w:t>
            </w:r>
            <w:r>
              <w:rPr>
                <w:rFonts w:hint="default" w:ascii="Times New Roman" w:hAnsi="Times New Roman" w:eastAsia="宋体" w:cs="Times New Roman"/>
                <w:color w:val="auto"/>
                <w:kern w:val="0"/>
                <w:sz w:val="24"/>
                <w:szCs w:val="24"/>
                <w:highlight w:val="none"/>
              </w:rPr>
              <w:t>的特点，依据相关环境政策法规和环境影响评价技术规范，编制</w:t>
            </w:r>
            <w:r>
              <w:rPr>
                <w:rFonts w:hint="default" w:ascii="Times New Roman" w:hAnsi="Times New Roman" w:eastAsia="宋体" w:cs="Times New Roman"/>
                <w:color w:val="auto"/>
                <w:kern w:val="0"/>
                <w:sz w:val="24"/>
                <w:szCs w:val="24"/>
                <w:highlight w:val="none"/>
                <w:lang w:eastAsia="zh-CN"/>
              </w:rPr>
              <w:t>完成</w:t>
            </w:r>
            <w:r>
              <w:rPr>
                <w:rFonts w:hint="default" w:ascii="Times New Roman" w:hAnsi="Times New Roman" w:eastAsia="宋体" w:cs="Times New Roman"/>
                <w:color w:val="auto"/>
                <w:kern w:val="0"/>
                <w:sz w:val="24"/>
                <w:szCs w:val="24"/>
                <w:highlight w:val="none"/>
              </w:rPr>
              <w:t>《</w:t>
            </w:r>
            <w:r>
              <w:rPr>
                <w:rFonts w:hint="eastAsia" w:ascii="Times New Roman" w:hAnsi="Times New Roman" w:cs="Times New Roman"/>
                <w:color w:val="auto"/>
                <w:kern w:val="0"/>
                <w:sz w:val="24"/>
                <w:szCs w:val="24"/>
                <w:highlight w:val="none"/>
                <w:lang w:eastAsia="zh-CN"/>
              </w:rPr>
              <w:t>安徽博越汽车安全系统有限公司汽车刹车片生产基地项目</w:t>
            </w:r>
            <w:r>
              <w:rPr>
                <w:rFonts w:hint="default" w:ascii="Times New Roman" w:hAnsi="Times New Roman" w:eastAsia="宋体" w:cs="Times New Roman"/>
                <w:color w:val="auto"/>
                <w:kern w:val="0"/>
                <w:sz w:val="24"/>
                <w:szCs w:val="24"/>
                <w:highlight w:val="none"/>
              </w:rPr>
              <w:t>环境影响报告表》，呈报</w:t>
            </w:r>
            <w:r>
              <w:rPr>
                <w:rFonts w:hint="default" w:ascii="Times New Roman" w:hAnsi="Times New Roman" w:cs="Times New Roman"/>
                <w:color w:val="auto"/>
                <w:kern w:val="0"/>
                <w:sz w:val="24"/>
                <w:szCs w:val="24"/>
                <w:highlight w:val="none"/>
                <w:lang w:val="en-US" w:eastAsia="zh-CN"/>
              </w:rPr>
              <w:t>淮南市高新区</w:t>
            </w:r>
            <w:r>
              <w:rPr>
                <w:rFonts w:hint="default" w:ascii="Times New Roman" w:hAnsi="Times New Roman" w:eastAsia="宋体" w:cs="Times New Roman"/>
                <w:color w:val="auto"/>
                <w:kern w:val="0"/>
                <w:sz w:val="24"/>
                <w:szCs w:val="24"/>
                <w:highlight w:val="none"/>
                <w:lang w:eastAsia="zh-CN"/>
              </w:rPr>
              <w:t>生态环境</w:t>
            </w:r>
            <w:r>
              <w:rPr>
                <w:rFonts w:hint="default" w:ascii="Times New Roman" w:hAnsi="Times New Roman" w:cs="Times New Roman"/>
                <w:color w:val="auto"/>
                <w:kern w:val="0"/>
                <w:sz w:val="24"/>
                <w:szCs w:val="24"/>
                <w:highlight w:val="none"/>
                <w:lang w:val="en-US" w:eastAsia="zh-CN"/>
              </w:rPr>
              <w:t>主管部门</w:t>
            </w:r>
            <w:r>
              <w:rPr>
                <w:rFonts w:hint="default" w:ascii="Times New Roman" w:hAnsi="Times New Roman" w:eastAsia="宋体" w:cs="Times New Roman"/>
                <w:color w:val="auto"/>
                <w:kern w:val="0"/>
                <w:sz w:val="24"/>
                <w:szCs w:val="24"/>
                <w:highlight w:val="none"/>
              </w:rPr>
              <w:t>审批</w:t>
            </w:r>
            <w:r>
              <w:rPr>
                <w:rFonts w:hint="default" w:ascii="Times New Roman" w:hAnsi="Times New Roman" w:eastAsia="宋体" w:cs="Times New Roman"/>
                <w:color w:val="auto"/>
                <w:kern w:val="0"/>
                <w:sz w:val="24"/>
                <w:szCs w:val="24"/>
                <w:highlight w:val="none"/>
                <w:lang w:eastAsia="zh-CN"/>
              </w:rPr>
              <w:t>。</w:t>
            </w:r>
          </w:p>
          <w:p w14:paraId="55C2739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w:t>
            </w:r>
            <w:r>
              <w:rPr>
                <w:rFonts w:hint="default" w:ascii="Times New Roman" w:hAnsi="Times New Roman" w:cs="Times New Roman"/>
                <w:b/>
                <w:bCs/>
                <w:color w:val="auto"/>
                <w:sz w:val="24"/>
                <w:highlight w:val="none"/>
                <w:lang w:val="en-US" w:eastAsia="zh-CN"/>
              </w:rPr>
              <w:t>项目建设内容</w:t>
            </w:r>
          </w:p>
          <w:p w14:paraId="5899740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lang w:eastAsia="zh-CN"/>
              </w:rPr>
              <w:t>表2-</w:t>
            </w:r>
            <w:r>
              <w:rPr>
                <w:rFonts w:hint="default" w:ascii="Times New Roman" w:hAnsi="Times New Roman" w:eastAsia="宋体"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lang w:eastAsia="zh-CN"/>
              </w:rPr>
              <w:t xml:space="preserve"> </w:t>
            </w:r>
            <w:r>
              <w:rPr>
                <w:rFonts w:hint="eastAsia" w:ascii="Times New Roman" w:hAnsi="Times New Roman" w:eastAsia="宋体" w:cs="Times New Roman"/>
                <w:b/>
                <w:bCs/>
                <w:color w:val="auto"/>
                <w:kern w:val="0"/>
                <w:sz w:val="21"/>
                <w:szCs w:val="21"/>
                <w:highlight w:val="none"/>
                <w:lang w:eastAsia="zh-CN"/>
              </w:rPr>
              <w:t>项目</w:t>
            </w:r>
            <w:r>
              <w:rPr>
                <w:rFonts w:hint="default" w:ascii="Times New Roman" w:hAnsi="Times New Roman" w:eastAsia="宋体" w:cs="Times New Roman"/>
                <w:b/>
                <w:bCs/>
                <w:color w:val="auto"/>
                <w:kern w:val="0"/>
                <w:sz w:val="21"/>
                <w:szCs w:val="21"/>
                <w:highlight w:val="none"/>
                <w:lang w:eastAsia="zh-CN"/>
              </w:rPr>
              <w:t>建设内容一览表</w:t>
            </w:r>
          </w:p>
          <w:tbl>
            <w:tblPr>
              <w:tblStyle w:val="25"/>
              <w:tblW w:w="49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181"/>
              <w:gridCol w:w="4487"/>
              <w:gridCol w:w="1222"/>
            </w:tblGrid>
            <w:tr w14:paraId="15F312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noWrap w:val="0"/>
                  <w:vAlign w:val="center"/>
                </w:tcPr>
                <w:p w14:paraId="089E65E7">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类别</w:t>
                  </w:r>
                </w:p>
              </w:tc>
              <w:tc>
                <w:tcPr>
                  <w:tcW w:w="780" w:type="pct"/>
                  <w:noWrap w:val="0"/>
                  <w:vAlign w:val="center"/>
                </w:tcPr>
                <w:p w14:paraId="60BE51F4">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单项工程</w:t>
                  </w:r>
                </w:p>
              </w:tc>
              <w:tc>
                <w:tcPr>
                  <w:tcW w:w="2965" w:type="pct"/>
                  <w:noWrap w:val="0"/>
                  <w:vAlign w:val="center"/>
                </w:tcPr>
                <w:p w14:paraId="56B032B3">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工程内容及规模</w:t>
                  </w:r>
                </w:p>
              </w:tc>
              <w:tc>
                <w:tcPr>
                  <w:tcW w:w="807" w:type="pct"/>
                  <w:noWrap w:val="0"/>
                  <w:vAlign w:val="center"/>
                </w:tcPr>
                <w:p w14:paraId="48E32D85">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备注</w:t>
                  </w:r>
                </w:p>
              </w:tc>
            </w:tr>
            <w:tr w14:paraId="7AEE7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447" w:type="pct"/>
                  <w:vMerge w:val="restart"/>
                  <w:noWrap w:val="0"/>
                  <w:vAlign w:val="center"/>
                </w:tcPr>
                <w:p w14:paraId="27237E7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主体</w:t>
                  </w:r>
                </w:p>
                <w:p w14:paraId="260EB51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工程</w:t>
                  </w:r>
                </w:p>
              </w:tc>
              <w:tc>
                <w:tcPr>
                  <w:tcW w:w="780" w:type="pct"/>
                  <w:vMerge w:val="restart"/>
                  <w:noWrap w:val="0"/>
                  <w:vAlign w:val="center"/>
                </w:tcPr>
                <w:p w14:paraId="60672DFA">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9号</w:t>
                  </w:r>
                  <w:r>
                    <w:rPr>
                      <w:rFonts w:hint="default" w:ascii="Times New Roman" w:hAnsi="Times New Roman" w:cs="Times New Roman"/>
                      <w:color w:val="auto"/>
                      <w:sz w:val="21"/>
                      <w:szCs w:val="21"/>
                      <w:highlight w:val="none"/>
                      <w:lang w:val="en-US" w:eastAsia="zh-CN"/>
                    </w:rPr>
                    <w:t>厂房</w:t>
                  </w:r>
                </w:p>
              </w:tc>
              <w:tc>
                <w:tcPr>
                  <w:tcW w:w="2965" w:type="pct"/>
                  <w:noWrap w:val="0"/>
                  <w:vAlign w:val="center"/>
                </w:tcPr>
                <w:p w14:paraId="60DE5663">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1F</w:t>
                  </w:r>
                  <w:r>
                    <w:rPr>
                      <w:rFonts w:hint="default" w:ascii="Times New Roman" w:hAnsi="Times New Roman" w:cs="Times New Roman"/>
                      <w:color w:val="auto"/>
                      <w:sz w:val="21"/>
                      <w:szCs w:val="21"/>
                      <w:highlight w:val="none"/>
                    </w:rPr>
                    <w:t>，建筑面积约</w:t>
                  </w:r>
                  <w:r>
                    <w:rPr>
                      <w:rFonts w:hint="default" w:ascii="Times New Roman" w:hAnsi="Times New Roman" w:cs="Times New Roman"/>
                      <w:color w:val="auto"/>
                      <w:sz w:val="21"/>
                      <w:szCs w:val="21"/>
                      <w:highlight w:val="none"/>
                      <w:lang w:val="en-US" w:eastAsia="zh-CN"/>
                    </w:rPr>
                    <w:t>5000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vertAlign w:val="baseline"/>
                      <w:lang w:eastAsia="zh-CN"/>
                    </w:rPr>
                    <w:t>，</w:t>
                  </w:r>
                  <w:r>
                    <w:rPr>
                      <w:rFonts w:hint="default" w:ascii="Times New Roman" w:hAnsi="Times New Roman" w:cs="Times New Roman"/>
                      <w:color w:val="auto"/>
                      <w:sz w:val="21"/>
                      <w:szCs w:val="21"/>
                      <w:highlight w:val="none"/>
                      <w:vertAlign w:val="baseline"/>
                      <w:lang w:val="en-US" w:eastAsia="zh-CN"/>
                    </w:rPr>
                    <w:t>高度8.7m</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项目购置热压机、磨床等设备，构建喷粉生产线。项目建成后可形成年产汽车刹车片200万套</w:t>
                  </w:r>
                </w:p>
              </w:tc>
              <w:tc>
                <w:tcPr>
                  <w:tcW w:w="807" w:type="pct"/>
                  <w:vMerge w:val="restart"/>
                  <w:noWrap w:val="0"/>
                  <w:vAlign w:val="center"/>
                </w:tcPr>
                <w:p w14:paraId="75D4CB08">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依托现有厂房</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新建生产线</w:t>
                  </w:r>
                </w:p>
              </w:tc>
            </w:tr>
            <w:tr w14:paraId="4815A2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7" w:type="pct"/>
                  <w:vMerge w:val="continue"/>
                  <w:noWrap w:val="0"/>
                  <w:vAlign w:val="center"/>
                </w:tcPr>
                <w:p w14:paraId="4C5F8A27">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rPr>
                  </w:pPr>
                </w:p>
              </w:tc>
              <w:tc>
                <w:tcPr>
                  <w:tcW w:w="780" w:type="pct"/>
                  <w:vMerge w:val="continue"/>
                  <w:noWrap w:val="0"/>
                  <w:vAlign w:val="center"/>
                </w:tcPr>
                <w:p w14:paraId="15BDE785">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sz w:val="21"/>
                    </w:rPr>
                  </w:pPr>
                </w:p>
              </w:tc>
              <w:tc>
                <w:tcPr>
                  <w:tcW w:w="2965" w:type="pct"/>
                  <w:noWrap w:val="0"/>
                  <w:vAlign w:val="center"/>
                </w:tcPr>
                <w:p w14:paraId="09267726">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2F</w:t>
                  </w:r>
                  <w:r>
                    <w:rPr>
                      <w:rFonts w:hint="default" w:ascii="Times New Roman" w:hAnsi="Times New Roman" w:eastAsia="宋体" w:cs="Times New Roman"/>
                      <w:color w:val="auto"/>
                      <w:sz w:val="21"/>
                      <w:szCs w:val="21"/>
                      <w:highlight w:val="none"/>
                    </w:rPr>
                    <w:t>，建筑面积约</w:t>
                  </w:r>
                  <w:r>
                    <w:rPr>
                      <w:rFonts w:hint="default" w:ascii="Times New Roman" w:hAnsi="Times New Roman" w:cs="Times New Roman"/>
                      <w:color w:val="auto"/>
                      <w:sz w:val="21"/>
                      <w:szCs w:val="21"/>
                      <w:highlight w:val="none"/>
                      <w:lang w:val="en-US" w:eastAsia="zh-CN"/>
                    </w:rPr>
                    <w:t>5000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lang w:val="en-US" w:eastAsia="zh-CN"/>
                    </w:rPr>
                    <w:t>高度</w:t>
                  </w:r>
                  <w:r>
                    <w:rPr>
                      <w:rFonts w:hint="default" w:ascii="Times New Roman" w:hAnsi="Times New Roman" w:cs="Times New Roman"/>
                      <w:color w:val="auto"/>
                      <w:sz w:val="21"/>
                      <w:szCs w:val="21"/>
                      <w:highlight w:val="none"/>
                      <w:vertAlign w:val="baseline"/>
                      <w:lang w:val="en-US" w:eastAsia="zh-CN"/>
                    </w:rPr>
                    <w:t>8.7m</w:t>
                  </w:r>
                  <w:r>
                    <w:rPr>
                      <w:rFonts w:hint="default" w:ascii="Times New Roman" w:hAnsi="Times New Roman" w:eastAsia="宋体" w:cs="Times New Roman"/>
                      <w:color w:val="auto"/>
                      <w:sz w:val="21"/>
                      <w:szCs w:val="21"/>
                      <w:highlight w:val="none"/>
                    </w:rPr>
                    <w:t>。</w:t>
                  </w:r>
                </w:p>
                <w:p w14:paraId="1DF8E8B5">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预留闲置区域</w:t>
                  </w:r>
                </w:p>
              </w:tc>
              <w:tc>
                <w:tcPr>
                  <w:tcW w:w="807" w:type="pct"/>
                  <w:vMerge w:val="continue"/>
                  <w:noWrap w:val="0"/>
                  <w:vAlign w:val="center"/>
                </w:tcPr>
                <w:p w14:paraId="7D63D473">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p>
              </w:tc>
            </w:tr>
            <w:tr w14:paraId="0A89F4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noWrap w:val="0"/>
                  <w:vAlign w:val="center"/>
                </w:tcPr>
                <w:p w14:paraId="27230BE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辅助</w:t>
                  </w:r>
                </w:p>
                <w:p w14:paraId="4BD6EC9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工程</w:t>
                  </w:r>
                </w:p>
              </w:tc>
              <w:tc>
                <w:tcPr>
                  <w:tcW w:w="780" w:type="pct"/>
                  <w:noWrap w:val="0"/>
                  <w:vAlign w:val="center"/>
                </w:tcPr>
                <w:p w14:paraId="0884AEEE">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办公室</w:t>
                  </w:r>
                </w:p>
              </w:tc>
              <w:tc>
                <w:tcPr>
                  <w:tcW w:w="2965" w:type="pct"/>
                  <w:noWrap w:val="0"/>
                  <w:vAlign w:val="center"/>
                </w:tcPr>
                <w:p w14:paraId="47A4FFCA">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位于生产厂房</w:t>
                  </w:r>
                  <w:r>
                    <w:rPr>
                      <w:rFonts w:hint="default" w:ascii="Times New Roman" w:hAnsi="Times New Roman" w:cs="Times New Roman"/>
                      <w:color w:val="auto"/>
                      <w:sz w:val="21"/>
                      <w:szCs w:val="21"/>
                      <w:highlight w:val="none"/>
                      <w:lang w:val="en-US" w:eastAsia="zh-CN"/>
                    </w:rPr>
                    <w:t>南侧，建筑面积约200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lang w:val="en-US" w:eastAsia="zh-CN"/>
                    </w:rPr>
                    <w:t>，用于人员办公</w:t>
                  </w:r>
                </w:p>
              </w:tc>
              <w:tc>
                <w:tcPr>
                  <w:tcW w:w="807" w:type="pct"/>
                  <w:noWrap w:val="0"/>
                  <w:vAlign w:val="center"/>
                </w:tcPr>
                <w:p w14:paraId="46D56DB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依托现有厂房</w:t>
                  </w:r>
                </w:p>
              </w:tc>
            </w:tr>
            <w:tr w14:paraId="33C3D7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restart"/>
                  <w:noWrap w:val="0"/>
                  <w:vAlign w:val="center"/>
                </w:tcPr>
                <w:p w14:paraId="7FC97CD0">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储运</w:t>
                  </w:r>
                  <w:r>
                    <w:rPr>
                      <w:rFonts w:hint="default" w:ascii="Times New Roman" w:hAnsi="Times New Roman" w:cs="Times New Roman"/>
                      <w:color w:val="auto"/>
                      <w:sz w:val="21"/>
                      <w:szCs w:val="21"/>
                      <w:highlight w:val="none"/>
                    </w:rPr>
                    <w:t>工程</w:t>
                  </w:r>
                </w:p>
              </w:tc>
              <w:tc>
                <w:tcPr>
                  <w:tcW w:w="780" w:type="pct"/>
                  <w:noWrap w:val="0"/>
                  <w:vAlign w:val="center"/>
                </w:tcPr>
                <w:p w14:paraId="7126A8B6">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原料区</w:t>
                  </w:r>
                </w:p>
              </w:tc>
              <w:tc>
                <w:tcPr>
                  <w:tcW w:w="2965" w:type="pct"/>
                  <w:noWrap w:val="0"/>
                  <w:vAlign w:val="center"/>
                </w:tcPr>
                <w:p w14:paraId="4BDE0AE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1"/>
                      <w:szCs w:val="21"/>
                      <w:highlight w:val="none"/>
                      <w:lang w:val="en-US" w:eastAsia="zh-CN"/>
                    </w:rPr>
                    <w:t>位于</w:t>
                  </w:r>
                  <w:r>
                    <w:rPr>
                      <w:rFonts w:hint="default" w:ascii="Times New Roman" w:hAnsi="Times New Roman" w:cs="Times New Roman"/>
                      <w:color w:val="auto"/>
                      <w:sz w:val="21"/>
                      <w:szCs w:val="21"/>
                      <w:highlight w:val="none"/>
                    </w:rPr>
                    <w:t>生产</w:t>
                  </w:r>
                  <w:r>
                    <w:rPr>
                      <w:rFonts w:hint="default" w:ascii="Times New Roman" w:hAnsi="Times New Roman" w:cs="Times New Roman"/>
                      <w:color w:val="auto"/>
                      <w:sz w:val="21"/>
                      <w:szCs w:val="21"/>
                      <w:highlight w:val="none"/>
                      <w:lang w:val="en-US" w:eastAsia="zh-CN"/>
                    </w:rPr>
                    <w:t>厂房内</w:t>
                  </w:r>
                  <w:r>
                    <w:rPr>
                      <w:rFonts w:hint="eastAsia" w:ascii="Times New Roman" w:hAnsi="Times New Roman" w:cs="Times New Roman"/>
                      <w:color w:val="auto"/>
                      <w:sz w:val="21"/>
                      <w:szCs w:val="21"/>
                      <w:highlight w:val="none"/>
                      <w:lang w:val="en-US" w:eastAsia="zh-CN"/>
                    </w:rPr>
                    <w:t>中部</w:t>
                  </w:r>
                  <w:r>
                    <w:rPr>
                      <w:rFonts w:hint="default" w:ascii="Times New Roman" w:hAnsi="Times New Roman" w:cs="Times New Roman"/>
                      <w:color w:val="auto"/>
                      <w:sz w:val="21"/>
                      <w:szCs w:val="21"/>
                      <w:highlight w:val="none"/>
                      <w:lang w:val="en-US" w:eastAsia="zh-CN"/>
                    </w:rPr>
                    <w:t>，约350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eastAsia="zh-CN"/>
                    </w:rPr>
                    <w:t>用于</w:t>
                  </w:r>
                  <w:r>
                    <w:rPr>
                      <w:rFonts w:hint="default" w:ascii="Times New Roman" w:hAnsi="Times New Roman" w:cs="Times New Roman"/>
                      <w:color w:val="auto"/>
                      <w:sz w:val="21"/>
                      <w:szCs w:val="21"/>
                      <w:highlight w:val="none"/>
                      <w:lang w:val="en-US" w:eastAsia="zh-CN"/>
                    </w:rPr>
                    <w:t>储存</w:t>
                  </w:r>
                  <w:r>
                    <w:rPr>
                      <w:rFonts w:hint="eastAsia" w:ascii="Times New Roman" w:hAnsi="Times New Roman" w:cs="Times New Roman"/>
                      <w:color w:val="auto"/>
                      <w:sz w:val="21"/>
                      <w:szCs w:val="21"/>
                      <w:highlight w:val="none"/>
                      <w:lang w:val="en-US" w:eastAsia="zh-CN"/>
                    </w:rPr>
                    <w:t>钢背、</w:t>
                  </w:r>
                  <w:r>
                    <w:rPr>
                      <w:rFonts w:hint="default" w:ascii="Times New Roman" w:hAnsi="Times New Roman" w:eastAsia="宋体" w:cs="Times New Roman"/>
                      <w:color w:val="auto"/>
                      <w:sz w:val="21"/>
                      <w:szCs w:val="21"/>
                      <w:highlight w:val="none"/>
                      <w:lang w:val="en-US" w:eastAsia="zh-CN"/>
                    </w:rPr>
                    <w:t>钢纤维等</w:t>
                  </w:r>
                </w:p>
              </w:tc>
              <w:tc>
                <w:tcPr>
                  <w:tcW w:w="807" w:type="pct"/>
                  <w:vMerge w:val="restart"/>
                  <w:noWrap w:val="0"/>
                  <w:vAlign w:val="center"/>
                </w:tcPr>
                <w:p w14:paraId="38DF6E7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依托现有厂房</w:t>
                  </w:r>
                </w:p>
              </w:tc>
            </w:tr>
            <w:tr w14:paraId="5EBEE5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continue"/>
                  <w:noWrap w:val="0"/>
                  <w:vAlign w:val="center"/>
                </w:tcPr>
                <w:p w14:paraId="564891D0">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noWrap w:val="0"/>
                  <w:vAlign w:val="center"/>
                </w:tcPr>
                <w:p w14:paraId="5E7C1784">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辅料暂存区</w:t>
                  </w:r>
                </w:p>
              </w:tc>
              <w:tc>
                <w:tcPr>
                  <w:tcW w:w="2965" w:type="pct"/>
                  <w:noWrap w:val="0"/>
                  <w:vAlign w:val="center"/>
                </w:tcPr>
                <w:p w14:paraId="0722C2F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位于</w:t>
                  </w:r>
                  <w:r>
                    <w:rPr>
                      <w:rFonts w:hint="default" w:ascii="Times New Roman" w:hAnsi="Times New Roman" w:cs="Times New Roman"/>
                      <w:color w:val="auto"/>
                      <w:sz w:val="21"/>
                      <w:szCs w:val="21"/>
                      <w:highlight w:val="none"/>
                    </w:rPr>
                    <w:t>生产</w:t>
                  </w:r>
                  <w:r>
                    <w:rPr>
                      <w:rFonts w:hint="default" w:ascii="Times New Roman" w:hAnsi="Times New Roman" w:cs="Times New Roman"/>
                      <w:color w:val="auto"/>
                      <w:sz w:val="21"/>
                      <w:szCs w:val="21"/>
                      <w:highlight w:val="none"/>
                      <w:lang w:val="en-US" w:eastAsia="zh-CN"/>
                    </w:rPr>
                    <w:t>厂房内</w:t>
                  </w:r>
                  <w:r>
                    <w:rPr>
                      <w:rFonts w:hint="eastAsia" w:ascii="Times New Roman" w:hAnsi="Times New Roman" w:cs="Times New Roman"/>
                      <w:color w:val="auto"/>
                      <w:sz w:val="21"/>
                      <w:szCs w:val="21"/>
                      <w:highlight w:val="none"/>
                      <w:lang w:val="en-US" w:eastAsia="zh-CN"/>
                    </w:rPr>
                    <w:t>中部</w:t>
                  </w:r>
                  <w:r>
                    <w:rPr>
                      <w:rFonts w:hint="default" w:ascii="Times New Roman" w:hAnsi="Times New Roman" w:cs="Times New Roman"/>
                      <w:color w:val="auto"/>
                      <w:sz w:val="21"/>
                      <w:szCs w:val="21"/>
                      <w:highlight w:val="none"/>
                      <w:lang w:val="en-US" w:eastAsia="zh-CN"/>
                    </w:rPr>
                    <w:t>，约10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eastAsia="zh-CN"/>
                    </w:rPr>
                    <w:t>用于</w:t>
                  </w:r>
                  <w:r>
                    <w:rPr>
                      <w:rFonts w:hint="default" w:ascii="Times New Roman" w:hAnsi="Times New Roman" w:cs="Times New Roman"/>
                      <w:color w:val="auto"/>
                      <w:sz w:val="21"/>
                      <w:szCs w:val="21"/>
                      <w:highlight w:val="none"/>
                      <w:lang w:val="en-US" w:eastAsia="zh-CN"/>
                    </w:rPr>
                    <w:t>储存</w:t>
                  </w:r>
                  <w:r>
                    <w:rPr>
                      <w:rFonts w:hint="eastAsia" w:ascii="Times New Roman" w:hAnsi="Times New Roman" w:cs="Times New Roman"/>
                      <w:color w:val="auto"/>
                      <w:sz w:val="21"/>
                      <w:szCs w:val="21"/>
                      <w:highlight w:val="none"/>
                      <w:lang w:val="en-US" w:eastAsia="zh-CN"/>
                    </w:rPr>
                    <w:t>塑粉、胶水</w:t>
                  </w:r>
                  <w:r>
                    <w:rPr>
                      <w:rFonts w:hint="default" w:ascii="Times New Roman" w:hAnsi="Times New Roman" w:cs="Times New Roman"/>
                      <w:color w:val="auto"/>
                      <w:sz w:val="21"/>
                      <w:szCs w:val="21"/>
                      <w:highlight w:val="none"/>
                      <w:lang w:val="en-US" w:eastAsia="zh-CN"/>
                    </w:rPr>
                    <w:t>等</w:t>
                  </w:r>
                </w:p>
              </w:tc>
              <w:tc>
                <w:tcPr>
                  <w:tcW w:w="807" w:type="pct"/>
                  <w:vMerge w:val="continue"/>
                  <w:noWrap w:val="0"/>
                  <w:vAlign w:val="center"/>
                </w:tcPr>
                <w:p w14:paraId="4EE70AF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r>
            <w:tr w14:paraId="5EB18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447" w:type="pct"/>
                  <w:vMerge w:val="continue"/>
                  <w:noWrap w:val="0"/>
                  <w:vAlign w:val="center"/>
                </w:tcPr>
                <w:p w14:paraId="7188613C">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noWrap w:val="0"/>
                  <w:vAlign w:val="center"/>
                </w:tcPr>
                <w:p w14:paraId="75D30347">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成品区</w:t>
                  </w:r>
                </w:p>
              </w:tc>
              <w:tc>
                <w:tcPr>
                  <w:tcW w:w="2965" w:type="pct"/>
                  <w:noWrap w:val="0"/>
                  <w:vAlign w:val="center"/>
                </w:tcPr>
                <w:p w14:paraId="12B1DD5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位于</w:t>
                  </w:r>
                  <w:r>
                    <w:rPr>
                      <w:rFonts w:hint="default" w:ascii="Times New Roman" w:hAnsi="Times New Roman" w:cs="Times New Roman"/>
                      <w:color w:val="auto"/>
                      <w:sz w:val="21"/>
                      <w:szCs w:val="21"/>
                      <w:highlight w:val="none"/>
                    </w:rPr>
                    <w:t>生产</w:t>
                  </w:r>
                  <w:r>
                    <w:rPr>
                      <w:rFonts w:hint="default" w:ascii="Times New Roman" w:hAnsi="Times New Roman" w:cs="Times New Roman"/>
                      <w:color w:val="auto"/>
                      <w:sz w:val="21"/>
                      <w:szCs w:val="21"/>
                      <w:highlight w:val="none"/>
                      <w:lang w:val="en-US" w:eastAsia="zh-CN"/>
                    </w:rPr>
                    <w:t>厂房内北侧，约300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eastAsia="zh-CN"/>
                    </w:rPr>
                    <w:t>用于</w:t>
                  </w:r>
                  <w:r>
                    <w:rPr>
                      <w:rFonts w:hint="default" w:ascii="Times New Roman" w:hAnsi="Times New Roman" w:cs="Times New Roman"/>
                      <w:color w:val="auto"/>
                      <w:sz w:val="21"/>
                      <w:szCs w:val="21"/>
                      <w:highlight w:val="none"/>
                      <w:lang w:val="en-US" w:eastAsia="zh-CN"/>
                    </w:rPr>
                    <w:t>储存</w:t>
                  </w:r>
                  <w:r>
                    <w:rPr>
                      <w:rFonts w:hint="eastAsia" w:ascii="Times New Roman" w:hAnsi="Times New Roman" w:cs="Times New Roman"/>
                      <w:color w:val="auto"/>
                      <w:sz w:val="21"/>
                      <w:szCs w:val="21"/>
                      <w:highlight w:val="none"/>
                      <w:lang w:val="en-US" w:eastAsia="zh-CN"/>
                    </w:rPr>
                    <w:t>汽车刹车片</w:t>
                  </w:r>
                  <w:r>
                    <w:rPr>
                      <w:rFonts w:hint="default" w:ascii="Times New Roman" w:hAnsi="Times New Roman" w:cs="Times New Roman"/>
                      <w:color w:val="auto"/>
                      <w:sz w:val="21"/>
                      <w:szCs w:val="21"/>
                      <w:highlight w:val="none"/>
                      <w:lang w:val="en-US" w:eastAsia="zh-CN"/>
                    </w:rPr>
                    <w:t>成品</w:t>
                  </w:r>
                </w:p>
              </w:tc>
              <w:tc>
                <w:tcPr>
                  <w:tcW w:w="807" w:type="pct"/>
                  <w:vMerge w:val="continue"/>
                  <w:noWrap w:val="0"/>
                  <w:vAlign w:val="center"/>
                </w:tcPr>
                <w:p w14:paraId="0AD982A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p>
              </w:tc>
            </w:tr>
            <w:tr w14:paraId="1E367F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restart"/>
                  <w:noWrap w:val="0"/>
                  <w:vAlign w:val="center"/>
                </w:tcPr>
                <w:p w14:paraId="732444AD">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公用工程</w:t>
                  </w:r>
                </w:p>
              </w:tc>
              <w:tc>
                <w:tcPr>
                  <w:tcW w:w="780" w:type="pct"/>
                  <w:noWrap w:val="0"/>
                  <w:vAlign w:val="center"/>
                </w:tcPr>
                <w:p w14:paraId="06EDFB36">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给水</w:t>
                  </w:r>
                </w:p>
              </w:tc>
              <w:tc>
                <w:tcPr>
                  <w:tcW w:w="2965" w:type="pct"/>
                  <w:noWrap w:val="0"/>
                  <w:vAlign w:val="center"/>
                </w:tcPr>
                <w:p w14:paraId="30D48C7C">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自来水用量</w:t>
                  </w:r>
                  <w:r>
                    <w:rPr>
                      <w:rFonts w:hint="eastAsia" w:cs="Times New Roman"/>
                      <w:color w:val="auto"/>
                      <w:sz w:val="21"/>
                      <w:szCs w:val="21"/>
                      <w:highlight w:val="none"/>
                      <w:lang w:val="en-US" w:eastAsia="zh-CN"/>
                    </w:rPr>
                    <w:t>880.8</w:t>
                  </w:r>
                  <w:r>
                    <w:rPr>
                      <w:rFonts w:hint="default" w:ascii="Times New Roman" w:hAnsi="Times New Roman" w:cs="Times New Roman"/>
                      <w:color w:val="auto"/>
                      <w:sz w:val="21"/>
                      <w:szCs w:val="21"/>
                      <w:highlight w:val="none"/>
                    </w:rPr>
                    <w:t>t/a</w:t>
                  </w:r>
                </w:p>
              </w:tc>
              <w:tc>
                <w:tcPr>
                  <w:tcW w:w="807" w:type="pct"/>
                  <w:noWrap w:val="0"/>
                  <w:vAlign w:val="center"/>
                </w:tcPr>
                <w:p w14:paraId="56D27984">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依托现有供水管网</w:t>
                  </w:r>
                </w:p>
              </w:tc>
            </w:tr>
            <w:tr w14:paraId="3D3CE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7" w:type="pct"/>
                  <w:vMerge w:val="continue"/>
                  <w:noWrap w:val="0"/>
                  <w:vAlign w:val="center"/>
                </w:tcPr>
                <w:p w14:paraId="61304465">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noWrap w:val="0"/>
                  <w:vAlign w:val="center"/>
                </w:tcPr>
                <w:p w14:paraId="24BC6A33">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排水</w:t>
                  </w:r>
                </w:p>
              </w:tc>
              <w:tc>
                <w:tcPr>
                  <w:tcW w:w="2965" w:type="pct"/>
                  <w:noWrap w:val="0"/>
                  <w:vAlign w:val="center"/>
                </w:tcPr>
                <w:p w14:paraId="7CA822B1">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采用“雨污分流”系统，雨水排入市政雨水管网，</w:t>
                  </w:r>
                  <w:r>
                    <w:rPr>
                      <w:rFonts w:hint="default" w:ascii="Times New Roman" w:hAnsi="Times New Roman" w:cs="Times New Roman"/>
                      <w:color w:val="auto"/>
                      <w:sz w:val="21"/>
                      <w:szCs w:val="21"/>
                      <w:highlight w:val="none"/>
                      <w:lang w:val="en-US" w:eastAsia="zh-CN"/>
                    </w:rPr>
                    <w:t>车间保洁排水与</w:t>
                  </w:r>
                  <w:r>
                    <w:rPr>
                      <w:rFonts w:hint="default" w:ascii="Times New Roman" w:hAnsi="Times New Roman" w:cs="Times New Roman"/>
                      <w:color w:val="auto"/>
                      <w:sz w:val="21"/>
                      <w:szCs w:val="21"/>
                      <w:highlight w:val="none"/>
                    </w:rPr>
                    <w:t>员工生活污水依托产业园生活污水排水系统排入</w:t>
                  </w:r>
                  <w:r>
                    <w:rPr>
                      <w:rFonts w:hint="default" w:ascii="Times New Roman" w:hAnsi="Times New Roman" w:cs="Times New Roman"/>
                      <w:color w:val="auto"/>
                      <w:sz w:val="21"/>
                      <w:szCs w:val="21"/>
                      <w:highlight w:val="none"/>
                      <w:lang w:eastAsia="zh-CN"/>
                    </w:rPr>
                    <w:t>山南新区污水处理厂</w:t>
                  </w:r>
                  <w:r>
                    <w:rPr>
                      <w:rFonts w:hint="default" w:ascii="Times New Roman" w:hAnsi="Times New Roman" w:cs="Times New Roman"/>
                      <w:color w:val="auto"/>
                      <w:sz w:val="21"/>
                      <w:szCs w:val="21"/>
                      <w:highlight w:val="none"/>
                    </w:rPr>
                    <w:t>集中处理</w:t>
                  </w:r>
                </w:p>
              </w:tc>
              <w:tc>
                <w:tcPr>
                  <w:tcW w:w="807" w:type="pct"/>
                  <w:noWrap w:val="0"/>
                  <w:vAlign w:val="center"/>
                </w:tcPr>
                <w:p w14:paraId="3774F55B">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依托现有雨污水管网</w:t>
                  </w:r>
                </w:p>
              </w:tc>
            </w:tr>
            <w:tr w14:paraId="56029A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7" w:type="pct"/>
                  <w:vMerge w:val="continue"/>
                  <w:noWrap w:val="0"/>
                  <w:vAlign w:val="center"/>
                </w:tcPr>
                <w:p w14:paraId="47E95B16">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noWrap w:val="0"/>
                  <w:vAlign w:val="center"/>
                </w:tcPr>
                <w:p w14:paraId="27481605">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供电</w:t>
                  </w:r>
                </w:p>
              </w:tc>
              <w:tc>
                <w:tcPr>
                  <w:tcW w:w="2965" w:type="pct"/>
                  <w:noWrap w:val="0"/>
                  <w:vAlign w:val="center"/>
                </w:tcPr>
                <w:p w14:paraId="3A038FEE">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依托园区供电，</w:t>
                  </w:r>
                  <w:r>
                    <w:rPr>
                      <w:rFonts w:hint="default" w:ascii="Times New Roman" w:hAnsi="Times New Roman" w:cs="Times New Roman"/>
                      <w:color w:val="auto"/>
                      <w:sz w:val="21"/>
                      <w:szCs w:val="21"/>
                      <w:highlight w:val="none"/>
                      <w:lang w:val="en-US" w:eastAsia="zh-CN"/>
                    </w:rPr>
                    <w:t>20</w:t>
                  </w:r>
                  <w:r>
                    <w:rPr>
                      <w:rFonts w:hint="default" w:ascii="Times New Roman" w:hAnsi="Times New Roman" w:cs="Times New Roman"/>
                      <w:color w:val="auto"/>
                      <w:sz w:val="21"/>
                      <w:szCs w:val="21"/>
                      <w:highlight w:val="none"/>
                    </w:rPr>
                    <w:t>万度/年</w:t>
                  </w:r>
                </w:p>
              </w:tc>
              <w:tc>
                <w:tcPr>
                  <w:tcW w:w="807" w:type="pct"/>
                  <w:noWrap w:val="0"/>
                  <w:vAlign w:val="center"/>
                </w:tcPr>
                <w:p w14:paraId="0D1FA85A">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市政供电</w:t>
                  </w:r>
                </w:p>
              </w:tc>
            </w:tr>
            <w:tr w14:paraId="0F3DB2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restart"/>
                  <w:noWrap w:val="0"/>
                  <w:vAlign w:val="center"/>
                </w:tcPr>
                <w:p w14:paraId="5FDD3A7C">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环保工程</w:t>
                  </w:r>
                </w:p>
              </w:tc>
              <w:tc>
                <w:tcPr>
                  <w:tcW w:w="780" w:type="pct"/>
                  <w:vMerge w:val="restart"/>
                  <w:noWrap w:val="0"/>
                  <w:vAlign w:val="center"/>
                </w:tcPr>
                <w:p w14:paraId="666273F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废气</w:t>
                  </w:r>
                </w:p>
              </w:tc>
              <w:tc>
                <w:tcPr>
                  <w:tcW w:w="2965" w:type="pct"/>
                  <w:noWrap w:val="0"/>
                  <w:vAlign w:val="center"/>
                </w:tcPr>
                <w:p w14:paraId="0372E7D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抛光、混料、磨加工废气</w:t>
                  </w:r>
                  <w:r>
                    <w:rPr>
                      <w:rFonts w:hint="default" w:ascii="Times New Roman" w:hAnsi="Times New Roman" w:cs="Times New Roman"/>
                      <w:bCs/>
                      <w:color w:val="auto"/>
                      <w:kern w:val="2"/>
                      <w:sz w:val="21"/>
                      <w:szCs w:val="21"/>
                      <w:highlight w:val="none"/>
                      <w:lang w:val="en-US" w:eastAsia="zh-CN" w:bidi="ar-SA"/>
                    </w:rPr>
                    <w:t>：</w:t>
                  </w:r>
                  <w:r>
                    <w:rPr>
                      <w:rFonts w:hint="eastAsia" w:ascii="Times New Roman" w:hAnsi="Times New Roman" w:cs="Times New Roman"/>
                      <w:bCs/>
                      <w:color w:val="auto"/>
                      <w:sz w:val="21"/>
                      <w:szCs w:val="21"/>
                      <w:highlight w:val="none"/>
                      <w:lang w:val="en-US" w:eastAsia="zh-CN"/>
                    </w:rPr>
                    <w:t>收集后通过</w:t>
                  </w:r>
                  <w:r>
                    <w:rPr>
                      <w:rFonts w:hint="default" w:ascii="Times New Roman" w:hAnsi="Times New Roman" w:cs="Times New Roman"/>
                      <w:b w:val="0"/>
                      <w:bCs w:val="0"/>
                      <w:color w:val="auto"/>
                      <w:sz w:val="21"/>
                      <w:szCs w:val="21"/>
                      <w:highlight w:val="none"/>
                      <w:vertAlign w:val="baseline"/>
                      <w:lang w:val="en-US" w:eastAsia="zh-CN"/>
                    </w:rPr>
                    <w:t>布袋除尘器（TA001）</w:t>
                  </w:r>
                  <w:r>
                    <w:rPr>
                      <w:rFonts w:hint="default" w:ascii="Times New Roman" w:hAnsi="Times New Roman" w:cs="Times New Roman"/>
                      <w:color w:val="auto"/>
                      <w:sz w:val="21"/>
                      <w:szCs w:val="21"/>
                      <w:highlight w:val="none"/>
                      <w:lang w:val="en-US" w:eastAsia="zh-CN"/>
                    </w:rPr>
                    <w:t>处理后通过一根20m高排气筒</w:t>
                  </w:r>
                  <w:r>
                    <w:rPr>
                      <w:rFonts w:hint="default" w:ascii="Times New Roman" w:hAnsi="Times New Roman" w:cs="Times New Roman"/>
                      <w:b w:val="0"/>
                      <w:bCs w:val="0"/>
                      <w:color w:val="auto"/>
                      <w:sz w:val="21"/>
                      <w:szCs w:val="21"/>
                      <w:highlight w:val="none"/>
                      <w:vertAlign w:val="baseline"/>
                      <w:lang w:val="en-US" w:eastAsia="zh-CN"/>
                    </w:rPr>
                    <w:t>（DA001）</w:t>
                  </w:r>
                  <w:r>
                    <w:rPr>
                      <w:rFonts w:hint="default" w:ascii="Times New Roman" w:hAnsi="Times New Roman" w:cs="Times New Roman"/>
                      <w:color w:val="auto"/>
                      <w:sz w:val="21"/>
                      <w:szCs w:val="21"/>
                      <w:highlight w:val="none"/>
                      <w:lang w:val="en-US" w:eastAsia="zh-CN"/>
                    </w:rPr>
                    <w:t>排放</w:t>
                  </w:r>
                </w:p>
              </w:tc>
              <w:tc>
                <w:tcPr>
                  <w:tcW w:w="807" w:type="pct"/>
                  <w:tcBorders>
                    <w:bottom w:val="single" w:color="auto" w:sz="4" w:space="0"/>
                  </w:tcBorders>
                  <w:noWrap w:val="0"/>
                  <w:vAlign w:val="center"/>
                </w:tcPr>
                <w:p w14:paraId="4D52293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新建</w:t>
                  </w:r>
                </w:p>
              </w:tc>
            </w:tr>
            <w:tr w14:paraId="30748B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continue"/>
                  <w:noWrap w:val="0"/>
                  <w:vAlign w:val="center"/>
                </w:tcPr>
                <w:p w14:paraId="0DE8BD4D">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p>
              </w:tc>
              <w:tc>
                <w:tcPr>
                  <w:tcW w:w="780" w:type="pct"/>
                  <w:vMerge w:val="continue"/>
                  <w:noWrap w:val="0"/>
                  <w:vAlign w:val="center"/>
                </w:tcPr>
                <w:p w14:paraId="597643B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p>
              </w:tc>
              <w:tc>
                <w:tcPr>
                  <w:tcW w:w="4487" w:type="dxa"/>
                  <w:noWrap w:val="0"/>
                  <w:vAlign w:val="center"/>
                </w:tcPr>
                <w:p w14:paraId="2D3EC031">
                  <w:pPr>
                    <w:keepNext w:val="0"/>
                    <w:keepLines w:val="0"/>
                    <w:pageBreakBefore w:val="0"/>
                    <w:widowControl w:val="0"/>
                    <w:kinsoku/>
                    <w:wordWrap/>
                    <w:overflowPunct/>
                    <w:topLinePunct/>
                    <w:autoSpaceDE w:val="0"/>
                    <w:autoSpaceDN/>
                    <w:bidi w:val="0"/>
                    <w:adjustRightInd w:val="0"/>
                    <w:snapToGrid w:val="0"/>
                    <w:ind w:left="0" w:leftChars="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涂胶、热压、烘干废气</w:t>
                  </w:r>
                  <w:r>
                    <w:rPr>
                      <w:rFonts w:hint="default" w:ascii="Times New Roman" w:hAnsi="Times New Roman" w:cs="Times New Roman"/>
                      <w:bCs/>
                      <w:color w:val="auto"/>
                      <w:sz w:val="21"/>
                      <w:szCs w:val="21"/>
                      <w:highlight w:val="none"/>
                      <w:lang w:val="en-US" w:eastAsia="zh-CN"/>
                    </w:rPr>
                    <w:t>：</w:t>
                  </w:r>
                  <w:r>
                    <w:rPr>
                      <w:rFonts w:hint="default" w:ascii="Times New Roman" w:hAnsi="Times New Roman" w:cs="Times New Roman"/>
                      <w:b w:val="0"/>
                      <w:bCs w:val="0"/>
                      <w:color w:val="auto"/>
                      <w:sz w:val="21"/>
                      <w:szCs w:val="21"/>
                      <w:highlight w:val="none"/>
                      <w:vertAlign w:val="baseline"/>
                      <w:lang w:val="en-US" w:eastAsia="zh-CN"/>
                    </w:rPr>
                    <w:t>密闭收集废气经</w:t>
                  </w:r>
                  <w:r>
                    <w:rPr>
                      <w:rFonts w:hint="eastAsia" w:ascii="Times New Roman" w:hAnsi="Times New Roman" w:cs="Times New Roman"/>
                      <w:b w:val="0"/>
                      <w:bCs w:val="0"/>
                      <w:color w:val="auto"/>
                      <w:sz w:val="21"/>
                      <w:szCs w:val="21"/>
                      <w:highlight w:val="none"/>
                      <w:vertAlign w:val="baseline"/>
                      <w:lang w:val="en-US" w:eastAsia="zh-CN"/>
                    </w:rPr>
                    <w:t>风冷+二级活性炭装置</w:t>
                  </w:r>
                  <w:r>
                    <w:rPr>
                      <w:rFonts w:hint="default" w:ascii="Times New Roman" w:hAnsi="Times New Roman" w:cs="Times New Roman"/>
                      <w:b w:val="0"/>
                      <w:bCs w:val="0"/>
                      <w:color w:val="auto"/>
                      <w:sz w:val="21"/>
                      <w:szCs w:val="21"/>
                      <w:highlight w:val="none"/>
                      <w:vertAlign w:val="baseline"/>
                      <w:lang w:val="en-US" w:eastAsia="zh-CN"/>
                    </w:rPr>
                    <w:t>（TA00</w:t>
                  </w:r>
                  <w:r>
                    <w:rPr>
                      <w:rFonts w:hint="eastAsia" w:ascii="Times New Roman" w:hAnsi="Times New Roman" w:cs="Times New Roman"/>
                      <w:b w:val="0"/>
                      <w:bCs w:val="0"/>
                      <w:color w:val="auto"/>
                      <w:sz w:val="21"/>
                      <w:szCs w:val="21"/>
                      <w:highlight w:val="none"/>
                      <w:vertAlign w:val="baseline"/>
                      <w:lang w:val="en-US" w:eastAsia="zh-CN"/>
                    </w:rPr>
                    <w:t>2</w:t>
                  </w:r>
                  <w:r>
                    <w:rPr>
                      <w:rFonts w:hint="default" w:ascii="Times New Roman" w:hAnsi="Times New Roman" w:cs="Times New Roman"/>
                      <w:b w:val="0"/>
                      <w:bCs w:val="0"/>
                      <w:color w:val="auto"/>
                      <w:sz w:val="21"/>
                      <w:szCs w:val="21"/>
                      <w:highlight w:val="none"/>
                      <w:vertAlign w:val="baseline"/>
                      <w:lang w:val="en-US" w:eastAsia="zh-CN"/>
                    </w:rPr>
                    <w:t>）</w:t>
                  </w:r>
                  <w:r>
                    <w:rPr>
                      <w:rFonts w:hint="default" w:ascii="Times New Roman" w:hAnsi="Times New Roman" w:cs="Times New Roman"/>
                      <w:color w:val="auto"/>
                      <w:sz w:val="21"/>
                      <w:szCs w:val="21"/>
                      <w:highlight w:val="none"/>
                      <w:lang w:val="en-US" w:eastAsia="zh-CN"/>
                    </w:rPr>
                    <w:t>处理后通过一根20m高排气筒</w:t>
                  </w:r>
                  <w:r>
                    <w:rPr>
                      <w:rFonts w:hint="default" w:ascii="Times New Roman" w:hAnsi="Times New Roman" w:cs="Times New Roman"/>
                      <w:b w:val="0"/>
                      <w:bCs w:val="0"/>
                      <w:color w:val="auto"/>
                      <w:sz w:val="21"/>
                      <w:szCs w:val="21"/>
                      <w:highlight w:val="none"/>
                      <w:vertAlign w:val="baseline"/>
                      <w:lang w:val="en-US" w:eastAsia="zh-CN"/>
                    </w:rPr>
                    <w:t>（DA00</w:t>
                  </w:r>
                  <w:r>
                    <w:rPr>
                      <w:rFonts w:hint="eastAsia" w:ascii="Times New Roman" w:hAnsi="Times New Roman" w:cs="Times New Roman"/>
                      <w:b w:val="0"/>
                      <w:bCs w:val="0"/>
                      <w:color w:val="auto"/>
                      <w:sz w:val="21"/>
                      <w:szCs w:val="21"/>
                      <w:highlight w:val="none"/>
                      <w:vertAlign w:val="baseline"/>
                      <w:lang w:val="en-US" w:eastAsia="zh-CN"/>
                    </w:rPr>
                    <w:t>2</w:t>
                  </w:r>
                  <w:r>
                    <w:rPr>
                      <w:rFonts w:hint="default" w:ascii="Times New Roman" w:hAnsi="Times New Roman" w:cs="Times New Roman"/>
                      <w:b w:val="0"/>
                      <w:bCs w:val="0"/>
                      <w:color w:val="auto"/>
                      <w:sz w:val="21"/>
                      <w:szCs w:val="21"/>
                      <w:highlight w:val="none"/>
                      <w:vertAlign w:val="baseline"/>
                      <w:lang w:val="en-US" w:eastAsia="zh-CN"/>
                    </w:rPr>
                    <w:t>）</w:t>
                  </w:r>
                  <w:r>
                    <w:rPr>
                      <w:rFonts w:hint="default" w:ascii="Times New Roman" w:hAnsi="Times New Roman" w:cs="Times New Roman"/>
                      <w:color w:val="auto"/>
                      <w:sz w:val="21"/>
                      <w:szCs w:val="21"/>
                      <w:highlight w:val="none"/>
                      <w:lang w:val="en-US" w:eastAsia="zh-CN"/>
                    </w:rPr>
                    <w:t>排放</w:t>
                  </w:r>
                </w:p>
              </w:tc>
              <w:tc>
                <w:tcPr>
                  <w:tcW w:w="1222" w:type="dxa"/>
                  <w:tcBorders>
                    <w:bottom w:val="single" w:color="auto" w:sz="4" w:space="0"/>
                  </w:tcBorders>
                  <w:noWrap w:val="0"/>
                  <w:vAlign w:val="center"/>
                </w:tcPr>
                <w:p w14:paraId="6769232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新建</w:t>
                  </w:r>
                </w:p>
              </w:tc>
            </w:tr>
            <w:tr w14:paraId="02EFF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continue"/>
                  <w:noWrap w:val="0"/>
                  <w:vAlign w:val="center"/>
                </w:tcPr>
                <w:p w14:paraId="2C39CDDA">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vMerge w:val="continue"/>
                  <w:noWrap w:val="0"/>
                  <w:vAlign w:val="center"/>
                </w:tcPr>
                <w:p w14:paraId="11EB06C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Cs/>
                      <w:color w:val="auto"/>
                      <w:kern w:val="2"/>
                      <w:sz w:val="21"/>
                      <w:szCs w:val="21"/>
                      <w:highlight w:val="none"/>
                      <w:lang w:val="en-US" w:eastAsia="zh-CN" w:bidi="ar-SA"/>
                    </w:rPr>
                  </w:pPr>
                </w:p>
              </w:tc>
              <w:tc>
                <w:tcPr>
                  <w:tcW w:w="2965" w:type="pct"/>
                  <w:tcBorders>
                    <w:bottom w:val="single" w:color="auto" w:sz="4" w:space="0"/>
                  </w:tcBorders>
                  <w:noWrap w:val="0"/>
                  <w:vAlign w:val="center"/>
                </w:tcPr>
                <w:p w14:paraId="05DEC8E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喷塑废气</w:t>
                  </w:r>
                  <w:r>
                    <w:rPr>
                      <w:rFonts w:hint="default" w:ascii="Times New Roman" w:hAnsi="Times New Roman" w:cs="Times New Roman"/>
                      <w:bCs/>
                      <w:color w:val="auto"/>
                      <w:kern w:val="2"/>
                      <w:sz w:val="21"/>
                      <w:szCs w:val="21"/>
                      <w:highlight w:val="none"/>
                      <w:lang w:val="en-US" w:eastAsia="zh-CN" w:bidi="ar-SA"/>
                    </w:rPr>
                    <w:t>：</w:t>
                  </w:r>
                  <w:r>
                    <w:rPr>
                      <w:rFonts w:hint="eastAsia" w:ascii="Times New Roman" w:hAnsi="Times New Roman" w:cs="Times New Roman"/>
                      <w:bCs/>
                      <w:color w:val="auto"/>
                      <w:sz w:val="21"/>
                      <w:szCs w:val="21"/>
                      <w:highlight w:val="none"/>
                      <w:lang w:val="en-US" w:eastAsia="zh-CN"/>
                    </w:rPr>
                    <w:t>收集后通过</w:t>
                  </w:r>
                  <w:r>
                    <w:rPr>
                      <w:rFonts w:hint="default" w:ascii="Times New Roman" w:hAnsi="Times New Roman" w:cs="Times New Roman"/>
                      <w:b w:val="0"/>
                      <w:bCs w:val="0"/>
                      <w:color w:val="auto"/>
                      <w:sz w:val="21"/>
                      <w:szCs w:val="21"/>
                      <w:highlight w:val="none"/>
                      <w:vertAlign w:val="baseline"/>
                      <w:lang w:val="en-US" w:eastAsia="zh-CN"/>
                    </w:rPr>
                    <w:t>布袋除尘器（TA00</w:t>
                  </w:r>
                  <w:r>
                    <w:rPr>
                      <w:rFonts w:hint="eastAsia" w:ascii="Times New Roman" w:hAnsi="Times New Roman" w:cs="Times New Roman"/>
                      <w:b w:val="0"/>
                      <w:bCs w:val="0"/>
                      <w:color w:val="auto"/>
                      <w:sz w:val="21"/>
                      <w:szCs w:val="21"/>
                      <w:highlight w:val="none"/>
                      <w:vertAlign w:val="baseline"/>
                      <w:lang w:val="en-US" w:eastAsia="zh-CN"/>
                    </w:rPr>
                    <w:t>3</w:t>
                  </w:r>
                  <w:r>
                    <w:rPr>
                      <w:rFonts w:hint="default" w:ascii="Times New Roman" w:hAnsi="Times New Roman" w:cs="Times New Roman"/>
                      <w:b w:val="0"/>
                      <w:bCs w:val="0"/>
                      <w:color w:val="auto"/>
                      <w:sz w:val="21"/>
                      <w:szCs w:val="21"/>
                      <w:highlight w:val="none"/>
                      <w:vertAlign w:val="baseline"/>
                      <w:lang w:val="en-US" w:eastAsia="zh-CN"/>
                    </w:rPr>
                    <w:t>）</w:t>
                  </w:r>
                  <w:r>
                    <w:rPr>
                      <w:rFonts w:hint="default" w:ascii="Times New Roman" w:hAnsi="Times New Roman" w:cs="Times New Roman"/>
                      <w:color w:val="auto"/>
                      <w:sz w:val="21"/>
                      <w:szCs w:val="21"/>
                      <w:highlight w:val="none"/>
                      <w:lang w:val="en-US" w:eastAsia="zh-CN"/>
                    </w:rPr>
                    <w:t>处理后通过一根20m高排气筒</w:t>
                  </w:r>
                  <w:r>
                    <w:rPr>
                      <w:rFonts w:hint="default" w:ascii="Times New Roman" w:hAnsi="Times New Roman" w:cs="Times New Roman"/>
                      <w:b w:val="0"/>
                      <w:bCs w:val="0"/>
                      <w:color w:val="auto"/>
                      <w:sz w:val="21"/>
                      <w:szCs w:val="21"/>
                      <w:highlight w:val="none"/>
                      <w:vertAlign w:val="baseline"/>
                      <w:lang w:val="en-US" w:eastAsia="zh-CN"/>
                    </w:rPr>
                    <w:t>（DA00</w:t>
                  </w:r>
                  <w:r>
                    <w:rPr>
                      <w:rFonts w:hint="eastAsia" w:ascii="Times New Roman" w:hAnsi="Times New Roman" w:cs="Times New Roman"/>
                      <w:b w:val="0"/>
                      <w:bCs w:val="0"/>
                      <w:color w:val="auto"/>
                      <w:sz w:val="21"/>
                      <w:szCs w:val="21"/>
                      <w:highlight w:val="none"/>
                      <w:vertAlign w:val="baseline"/>
                      <w:lang w:val="en-US" w:eastAsia="zh-CN"/>
                    </w:rPr>
                    <w:t>3</w:t>
                  </w:r>
                  <w:r>
                    <w:rPr>
                      <w:rFonts w:hint="default" w:ascii="Times New Roman" w:hAnsi="Times New Roman" w:cs="Times New Roman"/>
                      <w:b w:val="0"/>
                      <w:bCs w:val="0"/>
                      <w:color w:val="auto"/>
                      <w:sz w:val="21"/>
                      <w:szCs w:val="21"/>
                      <w:highlight w:val="none"/>
                      <w:vertAlign w:val="baseline"/>
                      <w:lang w:val="en-US" w:eastAsia="zh-CN"/>
                    </w:rPr>
                    <w:t>）</w:t>
                  </w:r>
                  <w:r>
                    <w:rPr>
                      <w:rFonts w:hint="default" w:ascii="Times New Roman" w:hAnsi="Times New Roman" w:cs="Times New Roman"/>
                      <w:color w:val="auto"/>
                      <w:sz w:val="21"/>
                      <w:szCs w:val="21"/>
                      <w:highlight w:val="none"/>
                      <w:lang w:val="en-US" w:eastAsia="zh-CN"/>
                    </w:rPr>
                    <w:t>排放</w:t>
                  </w:r>
                </w:p>
              </w:tc>
              <w:tc>
                <w:tcPr>
                  <w:tcW w:w="807" w:type="pct"/>
                  <w:tcBorders>
                    <w:bottom w:val="single" w:color="auto" w:sz="4" w:space="0"/>
                  </w:tcBorders>
                  <w:noWrap w:val="0"/>
                  <w:vAlign w:val="center"/>
                </w:tcPr>
                <w:p w14:paraId="4E4C363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新建</w:t>
                  </w:r>
                </w:p>
              </w:tc>
            </w:tr>
            <w:tr w14:paraId="27E0D6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continue"/>
                  <w:noWrap w:val="0"/>
                  <w:vAlign w:val="center"/>
                </w:tcPr>
                <w:p w14:paraId="72376E72">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vMerge w:val="continue"/>
                  <w:noWrap w:val="0"/>
                  <w:vAlign w:val="center"/>
                </w:tcPr>
                <w:p w14:paraId="0B2CE717">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Cs/>
                      <w:color w:val="auto"/>
                      <w:kern w:val="2"/>
                      <w:sz w:val="21"/>
                      <w:szCs w:val="21"/>
                      <w:highlight w:val="none"/>
                      <w:lang w:val="en-US" w:eastAsia="zh-CN" w:bidi="ar-SA"/>
                    </w:rPr>
                  </w:pPr>
                </w:p>
              </w:tc>
              <w:tc>
                <w:tcPr>
                  <w:tcW w:w="4487" w:type="dxa"/>
                  <w:tcBorders>
                    <w:bottom w:val="single" w:color="auto" w:sz="4" w:space="0"/>
                  </w:tcBorders>
                  <w:noWrap w:val="0"/>
                  <w:vAlign w:val="center"/>
                </w:tcPr>
                <w:p w14:paraId="7D51EF04">
                  <w:pPr>
                    <w:keepNext w:val="0"/>
                    <w:keepLines w:val="0"/>
                    <w:pageBreakBefore w:val="0"/>
                    <w:widowControl w:val="0"/>
                    <w:kinsoku/>
                    <w:wordWrap/>
                    <w:overflowPunct/>
                    <w:topLinePunct/>
                    <w:autoSpaceDE w:val="0"/>
                    <w:autoSpaceDN/>
                    <w:bidi w:val="0"/>
                    <w:adjustRightInd w:val="0"/>
                    <w:snapToGrid w:val="0"/>
                    <w:ind w:left="0" w:leftChars="0"/>
                    <w:jc w:val="center"/>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固化废气</w:t>
                  </w:r>
                  <w:r>
                    <w:rPr>
                      <w:rFonts w:hint="default" w:ascii="Times New Roman" w:hAnsi="Times New Roman" w:cs="Times New Roman"/>
                      <w:bCs/>
                      <w:color w:val="auto"/>
                      <w:sz w:val="21"/>
                      <w:szCs w:val="21"/>
                      <w:highlight w:val="none"/>
                      <w:lang w:val="en-US" w:eastAsia="zh-CN"/>
                    </w:rPr>
                    <w:t>：</w:t>
                  </w:r>
                  <w:r>
                    <w:rPr>
                      <w:rFonts w:hint="default" w:ascii="Times New Roman" w:hAnsi="Times New Roman" w:cs="Times New Roman"/>
                      <w:b w:val="0"/>
                      <w:bCs w:val="0"/>
                      <w:color w:val="auto"/>
                      <w:sz w:val="21"/>
                      <w:szCs w:val="21"/>
                      <w:highlight w:val="none"/>
                      <w:vertAlign w:val="baseline"/>
                      <w:lang w:val="en-US" w:eastAsia="zh-CN"/>
                    </w:rPr>
                    <w:t>密闭收集废气经</w:t>
                  </w:r>
                  <w:r>
                    <w:rPr>
                      <w:rFonts w:hint="eastAsia" w:ascii="Times New Roman" w:hAnsi="Times New Roman" w:cs="Times New Roman"/>
                      <w:b w:val="0"/>
                      <w:bCs w:val="0"/>
                      <w:color w:val="auto"/>
                      <w:sz w:val="21"/>
                      <w:szCs w:val="21"/>
                      <w:highlight w:val="none"/>
                      <w:vertAlign w:val="baseline"/>
                      <w:lang w:val="en-US" w:eastAsia="zh-CN"/>
                    </w:rPr>
                    <w:t>风冷+二级活性炭装置</w:t>
                  </w:r>
                  <w:r>
                    <w:rPr>
                      <w:rFonts w:hint="default" w:ascii="Times New Roman" w:hAnsi="Times New Roman" w:cs="Times New Roman"/>
                      <w:b w:val="0"/>
                      <w:bCs w:val="0"/>
                      <w:color w:val="auto"/>
                      <w:sz w:val="21"/>
                      <w:szCs w:val="21"/>
                      <w:highlight w:val="none"/>
                      <w:vertAlign w:val="baseline"/>
                      <w:lang w:val="en-US" w:eastAsia="zh-CN"/>
                    </w:rPr>
                    <w:t>（TA00</w:t>
                  </w:r>
                  <w:r>
                    <w:rPr>
                      <w:rFonts w:hint="eastAsia" w:ascii="Times New Roman" w:hAnsi="Times New Roman" w:cs="Times New Roman"/>
                      <w:b w:val="0"/>
                      <w:bCs w:val="0"/>
                      <w:color w:val="auto"/>
                      <w:sz w:val="21"/>
                      <w:szCs w:val="21"/>
                      <w:highlight w:val="none"/>
                      <w:vertAlign w:val="baseline"/>
                      <w:lang w:val="en-US" w:eastAsia="zh-CN"/>
                    </w:rPr>
                    <w:t>4</w:t>
                  </w:r>
                  <w:r>
                    <w:rPr>
                      <w:rFonts w:hint="default" w:ascii="Times New Roman" w:hAnsi="Times New Roman" w:cs="Times New Roman"/>
                      <w:b w:val="0"/>
                      <w:bCs w:val="0"/>
                      <w:color w:val="auto"/>
                      <w:sz w:val="21"/>
                      <w:szCs w:val="21"/>
                      <w:highlight w:val="none"/>
                      <w:vertAlign w:val="baseline"/>
                      <w:lang w:val="en-US" w:eastAsia="zh-CN"/>
                    </w:rPr>
                    <w:t>）</w:t>
                  </w:r>
                  <w:r>
                    <w:rPr>
                      <w:rFonts w:hint="default" w:ascii="Times New Roman" w:hAnsi="Times New Roman" w:cs="Times New Roman"/>
                      <w:color w:val="auto"/>
                      <w:sz w:val="21"/>
                      <w:szCs w:val="21"/>
                      <w:highlight w:val="none"/>
                      <w:lang w:val="en-US" w:eastAsia="zh-CN"/>
                    </w:rPr>
                    <w:t>处理后通过一根20m高排气筒</w:t>
                  </w:r>
                  <w:r>
                    <w:rPr>
                      <w:rFonts w:hint="default" w:ascii="Times New Roman" w:hAnsi="Times New Roman" w:cs="Times New Roman"/>
                      <w:b w:val="0"/>
                      <w:bCs w:val="0"/>
                      <w:color w:val="auto"/>
                      <w:sz w:val="21"/>
                      <w:szCs w:val="21"/>
                      <w:highlight w:val="none"/>
                      <w:vertAlign w:val="baseline"/>
                      <w:lang w:val="en-US" w:eastAsia="zh-CN"/>
                    </w:rPr>
                    <w:t>（DA00</w:t>
                  </w:r>
                  <w:r>
                    <w:rPr>
                      <w:rFonts w:hint="eastAsia" w:ascii="Times New Roman" w:hAnsi="Times New Roman" w:cs="Times New Roman"/>
                      <w:b w:val="0"/>
                      <w:bCs w:val="0"/>
                      <w:color w:val="auto"/>
                      <w:sz w:val="21"/>
                      <w:szCs w:val="21"/>
                      <w:highlight w:val="none"/>
                      <w:vertAlign w:val="baseline"/>
                      <w:lang w:val="en-US" w:eastAsia="zh-CN"/>
                    </w:rPr>
                    <w:t>4</w:t>
                  </w:r>
                  <w:r>
                    <w:rPr>
                      <w:rFonts w:hint="default" w:ascii="Times New Roman" w:hAnsi="Times New Roman" w:cs="Times New Roman"/>
                      <w:b w:val="0"/>
                      <w:bCs w:val="0"/>
                      <w:color w:val="auto"/>
                      <w:sz w:val="21"/>
                      <w:szCs w:val="21"/>
                      <w:highlight w:val="none"/>
                      <w:vertAlign w:val="baseline"/>
                      <w:lang w:val="en-US" w:eastAsia="zh-CN"/>
                    </w:rPr>
                    <w:t>）</w:t>
                  </w:r>
                  <w:r>
                    <w:rPr>
                      <w:rFonts w:hint="default" w:ascii="Times New Roman" w:hAnsi="Times New Roman" w:cs="Times New Roman"/>
                      <w:color w:val="auto"/>
                      <w:sz w:val="21"/>
                      <w:szCs w:val="21"/>
                      <w:highlight w:val="none"/>
                      <w:lang w:val="en-US" w:eastAsia="zh-CN"/>
                    </w:rPr>
                    <w:t>排放</w:t>
                  </w:r>
                </w:p>
              </w:tc>
              <w:tc>
                <w:tcPr>
                  <w:tcW w:w="1222" w:type="dxa"/>
                  <w:tcBorders>
                    <w:bottom w:val="single" w:color="auto" w:sz="4" w:space="0"/>
                  </w:tcBorders>
                  <w:noWrap w:val="0"/>
                  <w:vAlign w:val="center"/>
                </w:tcPr>
                <w:p w14:paraId="0F9CCA4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新建</w:t>
                  </w:r>
                </w:p>
              </w:tc>
            </w:tr>
            <w:tr w14:paraId="019543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47" w:type="pct"/>
                  <w:vMerge w:val="continue"/>
                  <w:noWrap w:val="0"/>
                  <w:vAlign w:val="center"/>
                </w:tcPr>
                <w:p w14:paraId="78C9D173">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noWrap w:val="0"/>
                  <w:vAlign w:val="center"/>
                </w:tcPr>
                <w:p w14:paraId="58419415">
                  <w:pPr>
                    <w:keepNext w:val="0"/>
                    <w:keepLines w:val="0"/>
                    <w:pageBreakBefore w:val="0"/>
                    <w:widowControl w:val="0"/>
                    <w:tabs>
                      <w:tab w:val="left" w:pos="0"/>
                    </w:tabs>
                    <w:kinsoku/>
                    <w:wordWrap/>
                    <w:overflowPunct/>
                    <w:topLinePunct/>
                    <w:autoSpaceDE w:val="0"/>
                    <w:autoSpaceDN/>
                    <w:bidi w:val="0"/>
                    <w:adjustRightInd w:val="0"/>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2965" w:type="pct"/>
                  <w:tcBorders>
                    <w:bottom w:val="single" w:color="auto" w:sz="4" w:space="0"/>
                  </w:tcBorders>
                  <w:noWrap w:val="0"/>
                  <w:vAlign w:val="center"/>
                </w:tcPr>
                <w:p w14:paraId="0F06E509">
                  <w:pPr>
                    <w:keepNext w:val="0"/>
                    <w:keepLines w:val="0"/>
                    <w:pageBreakBefore w:val="0"/>
                    <w:widowControl w:val="0"/>
                    <w:tabs>
                      <w:tab w:val="left" w:pos="0"/>
                    </w:tabs>
                    <w:kinsoku/>
                    <w:wordWrap/>
                    <w:overflowPunct/>
                    <w:topLinePunct/>
                    <w:autoSpaceDE w:val="0"/>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车间保洁排水与</w:t>
                  </w:r>
                  <w:r>
                    <w:rPr>
                      <w:rFonts w:hint="default" w:ascii="Times New Roman" w:hAnsi="Times New Roman" w:cs="Times New Roman"/>
                      <w:color w:val="auto"/>
                      <w:sz w:val="21"/>
                      <w:szCs w:val="21"/>
                      <w:highlight w:val="none"/>
                    </w:rPr>
                    <w:t>员工生活污水依托产业园</w:t>
                  </w:r>
                  <w:r>
                    <w:rPr>
                      <w:rFonts w:hint="default" w:ascii="Times New Roman" w:hAnsi="Times New Roman" w:cs="Times New Roman"/>
                      <w:color w:val="auto"/>
                      <w:sz w:val="21"/>
                      <w:szCs w:val="21"/>
                      <w:highlight w:val="none"/>
                      <w:lang w:val="en-US" w:eastAsia="zh-CN"/>
                    </w:rPr>
                    <w:t>化粪池（园区配置2套50m</w:t>
                  </w:r>
                  <w:r>
                    <w:rPr>
                      <w:rFonts w:hint="default" w:ascii="Times New Roman" w:hAnsi="Times New Roman"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lang w:val="en-US" w:eastAsia="zh-CN"/>
                    </w:rPr>
                    <w:t>化粪池）</w:t>
                  </w:r>
                  <w:r>
                    <w:rPr>
                      <w:rFonts w:hint="default" w:ascii="Times New Roman" w:hAnsi="Times New Roman" w:cs="Times New Roman"/>
                      <w:color w:val="auto"/>
                      <w:sz w:val="21"/>
                      <w:szCs w:val="21"/>
                      <w:highlight w:val="none"/>
                    </w:rPr>
                    <w:t>排入</w:t>
                  </w:r>
                  <w:r>
                    <w:rPr>
                      <w:rFonts w:hint="default" w:ascii="Times New Roman" w:hAnsi="Times New Roman" w:cs="Times New Roman"/>
                      <w:color w:val="auto"/>
                      <w:sz w:val="21"/>
                      <w:szCs w:val="21"/>
                      <w:highlight w:val="none"/>
                      <w:lang w:eastAsia="zh-CN"/>
                    </w:rPr>
                    <w:t>山南新区污水处理厂</w:t>
                  </w:r>
                  <w:r>
                    <w:rPr>
                      <w:rFonts w:hint="default" w:ascii="Times New Roman" w:hAnsi="Times New Roman" w:cs="Times New Roman"/>
                      <w:color w:val="auto"/>
                      <w:sz w:val="21"/>
                      <w:szCs w:val="21"/>
                      <w:highlight w:val="none"/>
                    </w:rPr>
                    <w:t>集中处理</w:t>
                  </w:r>
                </w:p>
              </w:tc>
              <w:tc>
                <w:tcPr>
                  <w:tcW w:w="807" w:type="pct"/>
                  <w:tcBorders>
                    <w:bottom w:val="single" w:color="auto" w:sz="4" w:space="0"/>
                  </w:tcBorders>
                  <w:noWrap w:val="0"/>
                  <w:vAlign w:val="center"/>
                </w:tcPr>
                <w:p w14:paraId="20F5D0A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依托现有</w:t>
                  </w:r>
                </w:p>
              </w:tc>
            </w:tr>
            <w:tr w14:paraId="565161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continue"/>
                  <w:noWrap w:val="0"/>
                  <w:vAlign w:val="center"/>
                </w:tcPr>
                <w:p w14:paraId="51D7E9E1">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vMerge w:val="restart"/>
                  <w:noWrap w:val="0"/>
                  <w:vAlign w:val="center"/>
                </w:tcPr>
                <w:p w14:paraId="5859562A">
                  <w:pPr>
                    <w:keepNext w:val="0"/>
                    <w:keepLines w:val="0"/>
                    <w:pageBreakBefore w:val="0"/>
                    <w:widowControl w:val="0"/>
                    <w:tabs>
                      <w:tab w:val="left" w:pos="0"/>
                    </w:tabs>
                    <w:kinsoku/>
                    <w:wordWrap/>
                    <w:overflowPunct/>
                    <w:topLinePunct/>
                    <w:autoSpaceDE w:val="0"/>
                    <w:autoSpaceDN/>
                    <w:bidi w:val="0"/>
                    <w:adjustRightInd w:val="0"/>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固废</w:t>
                  </w:r>
                </w:p>
              </w:tc>
              <w:tc>
                <w:tcPr>
                  <w:tcW w:w="2965" w:type="pct"/>
                  <w:noWrap w:val="0"/>
                  <w:vAlign w:val="center"/>
                </w:tcPr>
                <w:p w14:paraId="0870D831">
                  <w:pPr>
                    <w:keepNext w:val="0"/>
                    <w:keepLines w:val="0"/>
                    <w:pageBreakBefore w:val="0"/>
                    <w:widowControl w:val="0"/>
                    <w:tabs>
                      <w:tab w:val="left" w:pos="0"/>
                    </w:tabs>
                    <w:kinsoku/>
                    <w:wordWrap/>
                    <w:overflowPunct/>
                    <w:topLinePunct/>
                    <w:autoSpaceDE w:val="0"/>
                    <w:autoSpaceDN/>
                    <w:bidi w:val="0"/>
                    <w:adjustRightInd w:val="0"/>
                    <w:snapToGrid w:val="0"/>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一般工业固废：</w:t>
                  </w:r>
                  <w:r>
                    <w:rPr>
                      <w:rFonts w:hint="default" w:ascii="Times New Roman" w:hAnsi="Times New Roman" w:cs="Times New Roman"/>
                      <w:color w:val="auto"/>
                      <w:sz w:val="21"/>
                      <w:szCs w:val="21"/>
                      <w:highlight w:val="none"/>
                    </w:rPr>
                    <w:t>1座</w:t>
                  </w:r>
                  <w:r>
                    <w:rPr>
                      <w:rFonts w:hint="default" w:ascii="Times New Roman" w:hAnsi="Times New Roman" w:cs="Times New Roman"/>
                      <w:color w:val="auto"/>
                      <w:sz w:val="21"/>
                      <w:szCs w:val="21"/>
                      <w:highlight w:val="none"/>
                      <w:lang w:val="en-US" w:eastAsia="zh-CN"/>
                    </w:rPr>
                    <w:t>20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一般固废</w:t>
                  </w:r>
                  <w:r>
                    <w:rPr>
                      <w:rFonts w:hint="default" w:ascii="Times New Roman" w:hAnsi="Times New Roman" w:cs="Times New Roman"/>
                      <w:color w:val="auto"/>
                      <w:sz w:val="21"/>
                      <w:szCs w:val="21"/>
                      <w:highlight w:val="none"/>
                      <w:lang w:eastAsia="zh-CN"/>
                    </w:rPr>
                    <w:t>暂存间，</w:t>
                  </w:r>
                  <w:r>
                    <w:rPr>
                      <w:rFonts w:hint="default" w:ascii="Times New Roman" w:hAnsi="Times New Roman" w:cs="Times New Roman"/>
                      <w:color w:val="auto"/>
                      <w:sz w:val="21"/>
                      <w:szCs w:val="21"/>
                      <w:highlight w:val="none"/>
                      <w:lang w:val="en-US" w:eastAsia="zh-CN"/>
                    </w:rPr>
                    <w:t>位于</w:t>
                  </w:r>
                  <w:r>
                    <w:rPr>
                      <w:rFonts w:hint="default" w:ascii="Times New Roman" w:hAnsi="Times New Roman" w:cs="Times New Roman"/>
                      <w:color w:val="auto"/>
                      <w:sz w:val="21"/>
                      <w:szCs w:val="21"/>
                      <w:highlight w:val="none"/>
                    </w:rPr>
                    <w:t>生产</w:t>
                  </w:r>
                  <w:r>
                    <w:rPr>
                      <w:rFonts w:hint="default" w:ascii="Times New Roman" w:hAnsi="Times New Roman" w:cs="Times New Roman"/>
                      <w:color w:val="auto"/>
                      <w:sz w:val="21"/>
                      <w:szCs w:val="21"/>
                      <w:highlight w:val="none"/>
                      <w:lang w:val="en-US" w:eastAsia="zh-CN"/>
                    </w:rPr>
                    <w:t>厂房内西</w:t>
                  </w:r>
                  <w:r>
                    <w:rPr>
                      <w:rFonts w:hint="eastAsia" w:ascii="Times New Roman" w:hAnsi="Times New Roman" w:cs="Times New Roman"/>
                      <w:color w:val="auto"/>
                      <w:sz w:val="21"/>
                      <w:szCs w:val="21"/>
                      <w:highlight w:val="none"/>
                      <w:lang w:val="en-US" w:eastAsia="zh-CN"/>
                    </w:rPr>
                    <w:t>北角</w:t>
                  </w:r>
                </w:p>
              </w:tc>
              <w:tc>
                <w:tcPr>
                  <w:tcW w:w="807" w:type="pct"/>
                  <w:noWrap w:val="0"/>
                  <w:vAlign w:val="center"/>
                </w:tcPr>
                <w:p w14:paraId="7AAB982D">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新建</w:t>
                  </w:r>
                </w:p>
              </w:tc>
            </w:tr>
            <w:tr w14:paraId="228FA3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continue"/>
                  <w:noWrap w:val="0"/>
                  <w:vAlign w:val="center"/>
                </w:tcPr>
                <w:p w14:paraId="5340ED4E">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vMerge w:val="continue"/>
                  <w:noWrap w:val="0"/>
                  <w:vAlign w:val="center"/>
                </w:tcPr>
                <w:p w14:paraId="33E3E25E">
                  <w:pPr>
                    <w:keepNext w:val="0"/>
                    <w:keepLines w:val="0"/>
                    <w:pageBreakBefore w:val="0"/>
                    <w:widowControl w:val="0"/>
                    <w:tabs>
                      <w:tab w:val="left" w:pos="0"/>
                    </w:tabs>
                    <w:kinsoku/>
                    <w:wordWrap/>
                    <w:overflowPunct/>
                    <w:topLinePunct/>
                    <w:autoSpaceDE w:val="0"/>
                    <w:autoSpaceDN/>
                    <w:bidi w:val="0"/>
                    <w:adjustRightInd w:val="0"/>
                    <w:snapToGrid w:val="0"/>
                    <w:jc w:val="center"/>
                    <w:textAlignment w:val="auto"/>
                    <w:rPr>
                      <w:rFonts w:hint="default" w:ascii="Times New Roman" w:hAnsi="Times New Roman" w:cs="Times New Roman"/>
                      <w:color w:val="auto"/>
                      <w:sz w:val="21"/>
                      <w:szCs w:val="21"/>
                      <w:highlight w:val="none"/>
                    </w:rPr>
                  </w:pPr>
                </w:p>
              </w:tc>
              <w:tc>
                <w:tcPr>
                  <w:tcW w:w="2965" w:type="pct"/>
                  <w:noWrap w:val="0"/>
                  <w:vAlign w:val="center"/>
                </w:tcPr>
                <w:p w14:paraId="6826F45F">
                  <w:pPr>
                    <w:keepNext w:val="0"/>
                    <w:keepLines w:val="0"/>
                    <w:pageBreakBefore w:val="0"/>
                    <w:widowControl w:val="0"/>
                    <w:tabs>
                      <w:tab w:val="left" w:pos="0"/>
                    </w:tabs>
                    <w:kinsoku/>
                    <w:wordWrap/>
                    <w:overflowPunct/>
                    <w:topLinePunct/>
                    <w:autoSpaceDE w:val="0"/>
                    <w:autoSpaceDN/>
                    <w:bidi w:val="0"/>
                    <w:adjustRightInd w:val="0"/>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危险废物：</w:t>
                  </w:r>
                  <w:r>
                    <w:rPr>
                      <w:rFonts w:hint="default" w:ascii="Times New Roman" w:hAnsi="Times New Roman" w:cs="Times New Roman"/>
                      <w:color w:val="auto"/>
                      <w:sz w:val="21"/>
                      <w:szCs w:val="21"/>
                      <w:highlight w:val="none"/>
                    </w:rPr>
                    <w:t>1座</w:t>
                  </w:r>
                  <w:r>
                    <w:rPr>
                      <w:rFonts w:hint="default" w:ascii="Times New Roman" w:hAnsi="Times New Roman" w:cs="Times New Roman"/>
                      <w:color w:val="auto"/>
                      <w:sz w:val="21"/>
                      <w:szCs w:val="21"/>
                      <w:highlight w:val="none"/>
                      <w:lang w:val="en-US" w:eastAsia="zh-CN"/>
                    </w:rPr>
                    <w:t>10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危废</w:t>
                  </w:r>
                  <w:r>
                    <w:rPr>
                      <w:rFonts w:hint="default" w:ascii="Times New Roman" w:hAnsi="Times New Roman" w:cs="Times New Roman"/>
                      <w:color w:val="auto"/>
                      <w:sz w:val="21"/>
                      <w:szCs w:val="21"/>
                      <w:highlight w:val="none"/>
                      <w:lang w:eastAsia="zh-CN"/>
                    </w:rPr>
                    <w:t>暂存间，</w:t>
                  </w:r>
                  <w:r>
                    <w:rPr>
                      <w:rFonts w:hint="default" w:ascii="Times New Roman" w:hAnsi="Times New Roman" w:cs="Times New Roman"/>
                      <w:color w:val="auto"/>
                      <w:sz w:val="21"/>
                      <w:szCs w:val="21"/>
                      <w:highlight w:val="none"/>
                      <w:lang w:val="en-US" w:eastAsia="zh-CN"/>
                    </w:rPr>
                    <w:t>位于</w:t>
                  </w:r>
                  <w:r>
                    <w:rPr>
                      <w:rFonts w:hint="default" w:ascii="Times New Roman" w:hAnsi="Times New Roman" w:cs="Times New Roman"/>
                      <w:color w:val="auto"/>
                      <w:sz w:val="21"/>
                      <w:szCs w:val="21"/>
                      <w:highlight w:val="none"/>
                    </w:rPr>
                    <w:t>生产</w:t>
                  </w:r>
                  <w:r>
                    <w:rPr>
                      <w:rFonts w:hint="default" w:ascii="Times New Roman" w:hAnsi="Times New Roman" w:cs="Times New Roman"/>
                      <w:color w:val="auto"/>
                      <w:sz w:val="21"/>
                      <w:szCs w:val="21"/>
                      <w:highlight w:val="none"/>
                      <w:lang w:val="en-US" w:eastAsia="zh-CN"/>
                    </w:rPr>
                    <w:t>厂房内西</w:t>
                  </w:r>
                  <w:r>
                    <w:rPr>
                      <w:rFonts w:hint="eastAsia" w:ascii="Times New Roman" w:hAnsi="Times New Roman" w:cs="Times New Roman"/>
                      <w:color w:val="auto"/>
                      <w:sz w:val="21"/>
                      <w:szCs w:val="21"/>
                      <w:highlight w:val="none"/>
                      <w:lang w:val="en-US" w:eastAsia="zh-CN"/>
                    </w:rPr>
                    <w:t>北角</w:t>
                  </w:r>
                </w:p>
              </w:tc>
              <w:tc>
                <w:tcPr>
                  <w:tcW w:w="807" w:type="pct"/>
                  <w:noWrap w:val="0"/>
                  <w:vAlign w:val="center"/>
                </w:tcPr>
                <w:p w14:paraId="1826AE7F">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新建</w:t>
                  </w:r>
                </w:p>
              </w:tc>
            </w:tr>
            <w:tr w14:paraId="708793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continue"/>
                  <w:noWrap w:val="0"/>
                  <w:vAlign w:val="center"/>
                </w:tcPr>
                <w:p w14:paraId="652AE5FB">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noWrap w:val="0"/>
                  <w:vAlign w:val="center"/>
                </w:tcPr>
                <w:p w14:paraId="399B46A9">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2965" w:type="pct"/>
                  <w:noWrap w:val="0"/>
                  <w:vAlign w:val="center"/>
                </w:tcPr>
                <w:p w14:paraId="444E9A89">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隔声、</w:t>
                  </w:r>
                  <w:r>
                    <w:rPr>
                      <w:rFonts w:hint="default" w:ascii="Times New Roman" w:hAnsi="Times New Roman" w:cs="Times New Roman"/>
                      <w:color w:val="auto"/>
                      <w:sz w:val="21"/>
                      <w:szCs w:val="21"/>
                      <w:highlight w:val="none"/>
                      <w:lang w:val="en-US" w:eastAsia="zh-CN"/>
                    </w:rPr>
                    <w:t>减振等</w:t>
                  </w:r>
                </w:p>
              </w:tc>
              <w:tc>
                <w:tcPr>
                  <w:tcW w:w="807" w:type="pct"/>
                  <w:noWrap w:val="0"/>
                  <w:vAlign w:val="center"/>
                </w:tcPr>
                <w:p w14:paraId="5D813C4A">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新建</w:t>
                  </w:r>
                </w:p>
              </w:tc>
            </w:tr>
            <w:tr w14:paraId="40646D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continue"/>
                  <w:noWrap w:val="0"/>
                  <w:vAlign w:val="center"/>
                </w:tcPr>
                <w:p w14:paraId="7E8736E4">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noWrap w:val="0"/>
                  <w:vAlign w:val="center"/>
                </w:tcPr>
                <w:p w14:paraId="555EEC1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土壤、</w:t>
                  </w:r>
                  <w:r>
                    <w:rPr>
                      <w:rFonts w:hint="default" w:ascii="Times New Roman" w:hAnsi="Times New Roman" w:cs="Times New Roman"/>
                      <w:color w:val="auto"/>
                      <w:sz w:val="21"/>
                      <w:szCs w:val="21"/>
                      <w:highlight w:val="none"/>
                    </w:rPr>
                    <w:t>地下水</w:t>
                  </w:r>
                </w:p>
              </w:tc>
              <w:tc>
                <w:tcPr>
                  <w:tcW w:w="2965" w:type="pct"/>
                  <w:noWrap w:val="0"/>
                  <w:vAlign w:val="center"/>
                </w:tcPr>
                <w:p w14:paraId="6BA6BFFC">
                  <w:pP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重点防渗区：</w:t>
                  </w:r>
                  <w:r>
                    <w:rPr>
                      <w:rFonts w:hint="default" w:ascii="Times New Roman" w:hAnsi="Times New Roman" w:cs="Times New Roman"/>
                      <w:color w:val="auto"/>
                      <w:sz w:val="21"/>
                      <w:szCs w:val="21"/>
                      <w:highlight w:val="none"/>
                      <w:lang w:eastAsia="zh-CN"/>
                    </w:rPr>
                    <w:t>危废暂存间、</w:t>
                  </w:r>
                  <w:r>
                    <w:rPr>
                      <w:rFonts w:hint="eastAsia" w:ascii="Times New Roman" w:hAnsi="Times New Roman" w:cs="Times New Roman"/>
                      <w:color w:val="auto"/>
                      <w:sz w:val="21"/>
                      <w:szCs w:val="21"/>
                      <w:highlight w:val="none"/>
                      <w:lang w:val="en-US" w:eastAsia="zh-CN"/>
                    </w:rPr>
                    <w:t>辅料暂存区</w:t>
                  </w:r>
                  <w:r>
                    <w:rPr>
                      <w:rFonts w:hint="default" w:ascii="Times New Roman" w:hAnsi="Times New Roman" w:cs="Times New Roman"/>
                      <w:bCs/>
                      <w:color w:val="auto"/>
                      <w:kern w:val="0"/>
                      <w:sz w:val="21"/>
                      <w:szCs w:val="21"/>
                      <w:highlight w:val="none"/>
                      <w:lang w:val="en-US" w:eastAsia="zh-CN"/>
                    </w:rPr>
                    <w:t>等区域</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混凝土</w:t>
                  </w:r>
                  <w:r>
                    <w:rPr>
                      <w:rFonts w:hint="default" w:ascii="Times New Roman" w:hAnsi="Times New Roman" w:cs="Times New Roman"/>
                      <w:color w:val="auto"/>
                      <w:sz w:val="21"/>
                      <w:szCs w:val="21"/>
                      <w:highlight w:val="none"/>
                    </w:rPr>
                    <w:t>基础上铺设</w:t>
                  </w:r>
                  <w:r>
                    <w:rPr>
                      <w:rFonts w:hint="default" w:ascii="Times New Roman" w:hAnsi="Times New Roman" w:cs="Times New Roman"/>
                      <w:color w:val="auto"/>
                      <w:sz w:val="21"/>
                      <w:szCs w:val="21"/>
                      <w:highlight w:val="none"/>
                      <w:lang w:val="en-US" w:eastAsia="zh-CN"/>
                    </w:rPr>
                    <w:t>人工防渗材料（等效黏土防渗层Mb≥6.0m，K≤1×10</w:t>
                  </w:r>
                  <w:r>
                    <w:rPr>
                      <w:rFonts w:hint="default" w:ascii="Times New Roman" w:hAnsi="Times New Roman" w:cs="Times New Roman"/>
                      <w:color w:val="auto"/>
                      <w:sz w:val="21"/>
                      <w:szCs w:val="21"/>
                      <w:highlight w:val="none"/>
                      <w:vertAlign w:val="superscript"/>
                      <w:lang w:val="en-US" w:eastAsia="zh-CN"/>
                    </w:rPr>
                    <w:t>-7</w:t>
                  </w:r>
                  <w:r>
                    <w:rPr>
                      <w:rFonts w:hint="default" w:ascii="Times New Roman" w:hAnsi="Times New Roman" w:cs="Times New Roman"/>
                      <w:color w:val="auto"/>
                      <w:sz w:val="21"/>
                      <w:szCs w:val="21"/>
                      <w:highlight w:val="none"/>
                      <w:lang w:val="en-US" w:eastAsia="zh-CN"/>
                    </w:rPr>
                    <w:t>cm/s；或参照GB18598执行）</w:t>
                  </w:r>
                  <w:r>
                    <w:rPr>
                      <w:rFonts w:hint="default" w:ascii="Times New Roman" w:hAnsi="Times New Roman" w:cs="Times New Roman"/>
                      <w:color w:val="auto"/>
                      <w:sz w:val="21"/>
                      <w:szCs w:val="21"/>
                      <w:highlight w:val="none"/>
                    </w:rPr>
                    <w:t>。</w:t>
                  </w:r>
                </w:p>
                <w:p w14:paraId="0612909C">
                  <w:pPr>
                    <w:adjustRightInd w:val="0"/>
                    <w:snapToGrid w:val="0"/>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一般防渗区：</w:t>
                  </w:r>
                  <w:r>
                    <w:rPr>
                      <w:rFonts w:hint="default" w:ascii="Times New Roman" w:hAnsi="Times New Roman" w:cs="Times New Roman"/>
                      <w:color w:val="auto"/>
                      <w:sz w:val="21"/>
                      <w:szCs w:val="21"/>
                      <w:highlight w:val="none"/>
                      <w:lang w:val="en-US" w:eastAsia="zh-CN"/>
                    </w:rPr>
                    <w:t>生产车间其他</w:t>
                  </w:r>
                  <w:r>
                    <w:rPr>
                      <w:rFonts w:hint="eastAsia" w:ascii="Times New Roman" w:hAnsi="Times New Roman" w:cs="Times New Roman"/>
                      <w:color w:val="auto"/>
                      <w:sz w:val="21"/>
                      <w:szCs w:val="21"/>
                      <w:highlight w:val="none"/>
                      <w:lang w:val="en-US" w:eastAsia="zh-CN"/>
                    </w:rPr>
                    <w:t>区域</w:t>
                  </w:r>
                  <w:r>
                    <w:rPr>
                      <w:rFonts w:hint="default" w:ascii="Times New Roman" w:hAnsi="Times New Roman" w:cs="Times New Roman"/>
                      <w:color w:val="auto"/>
                      <w:sz w:val="21"/>
                      <w:szCs w:val="21"/>
                      <w:highlight w:val="none"/>
                    </w:rPr>
                    <w:t>。防渗技术要求：混凝土基础上铺设人工防渗材料（等效黏土防渗层Mb≥1.5m，K≤1×10</w:t>
                  </w:r>
                  <w:r>
                    <w:rPr>
                      <w:rFonts w:hint="default" w:ascii="Times New Roman" w:hAnsi="Times New Roman" w:cs="Times New Roman"/>
                      <w:color w:val="auto"/>
                      <w:sz w:val="21"/>
                      <w:szCs w:val="21"/>
                      <w:highlight w:val="none"/>
                      <w:vertAlign w:val="superscript"/>
                    </w:rPr>
                    <w:t>-7</w:t>
                  </w:r>
                  <w:r>
                    <w:rPr>
                      <w:rFonts w:hint="default" w:ascii="Times New Roman" w:hAnsi="Times New Roman" w:cs="Times New Roman"/>
                      <w:color w:val="auto"/>
                      <w:sz w:val="21"/>
                      <w:szCs w:val="21"/>
                      <w:highlight w:val="none"/>
                    </w:rPr>
                    <w:t>cm/s；或参照GB16889执行）。</w:t>
                  </w:r>
                </w:p>
              </w:tc>
              <w:tc>
                <w:tcPr>
                  <w:tcW w:w="807" w:type="pct"/>
                  <w:noWrap w:val="0"/>
                  <w:vAlign w:val="center"/>
                </w:tcPr>
                <w:p w14:paraId="744B5277">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新建</w:t>
                  </w:r>
                </w:p>
              </w:tc>
            </w:tr>
            <w:tr w14:paraId="349BA7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pct"/>
                  <w:vMerge w:val="continue"/>
                  <w:noWrap w:val="0"/>
                  <w:vAlign w:val="center"/>
                </w:tcPr>
                <w:p w14:paraId="2E070F43">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780" w:type="pct"/>
                  <w:noWrap w:val="0"/>
                  <w:vAlign w:val="center"/>
                </w:tcPr>
                <w:p w14:paraId="1180F84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风险</w:t>
                  </w:r>
                </w:p>
              </w:tc>
              <w:tc>
                <w:tcPr>
                  <w:tcW w:w="2965" w:type="pct"/>
                  <w:noWrap w:val="0"/>
                  <w:vAlign w:val="center"/>
                </w:tcPr>
                <w:p w14:paraId="68F6C6E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配备感温感烟火灾报警器、消防器材、灭火器、防水沙袋等措施；按要求编制突发环境事件应急预案</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润滑油储存区设储漏托盘；危废库内截流沟、集液井。</w:t>
                  </w:r>
                </w:p>
              </w:tc>
              <w:tc>
                <w:tcPr>
                  <w:tcW w:w="807" w:type="pct"/>
                  <w:noWrap w:val="0"/>
                  <w:vAlign w:val="center"/>
                </w:tcPr>
                <w:p w14:paraId="00F4D7C5">
                  <w:pPr>
                    <w:keepNext w:val="0"/>
                    <w:keepLines w:val="0"/>
                    <w:pageBreakBefore w:val="0"/>
                    <w:widowControl w:val="0"/>
                    <w:tabs>
                      <w:tab w:val="left" w:pos="0"/>
                    </w:tabs>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新建</w:t>
                  </w:r>
                </w:p>
              </w:tc>
            </w:tr>
          </w:tbl>
          <w:p w14:paraId="002663C3">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jc w:val="left"/>
              <w:textAlignment w:val="auto"/>
              <w:rPr>
                <w:rFonts w:hint="default" w:ascii="Times New Roman" w:hAnsi="Times New Roman" w:cs="Times New Roman"/>
                <w:b w:val="0"/>
                <w:bCs w:val="0"/>
                <w:color w:val="auto"/>
                <w:sz w:val="24"/>
                <w:highlight w:val="none"/>
                <w:lang w:val="en-US" w:eastAsia="zh-CN"/>
              </w:rPr>
            </w:pPr>
            <w:r>
              <w:rPr>
                <w:rFonts w:hint="default" w:ascii="Times New Roman" w:hAnsi="Times New Roman" w:cs="Times New Roman"/>
                <w:b w:val="0"/>
                <w:bCs w:val="0"/>
                <w:color w:val="auto"/>
                <w:sz w:val="24"/>
                <w:highlight w:val="none"/>
                <w:lang w:val="en-US" w:eastAsia="zh-CN"/>
              </w:rPr>
              <w:t>与</w:t>
            </w:r>
            <w:r>
              <w:rPr>
                <w:rFonts w:hint="default" w:ascii="Times New Roman" w:hAnsi="Times New Roman" w:cs="Times New Roman"/>
                <w:color w:val="auto"/>
                <w:sz w:val="24"/>
                <w:highlight w:val="none"/>
                <w:lang w:eastAsia="zh-CN"/>
              </w:rPr>
              <w:t>淮南市高新区合创产业园</w:t>
            </w:r>
            <w:r>
              <w:rPr>
                <w:rFonts w:hint="default" w:ascii="Times New Roman" w:hAnsi="Times New Roman" w:cs="Times New Roman"/>
                <w:b w:val="0"/>
                <w:bCs w:val="0"/>
                <w:color w:val="auto"/>
                <w:sz w:val="24"/>
                <w:highlight w:val="none"/>
                <w:lang w:val="en-US" w:eastAsia="zh-CN"/>
              </w:rPr>
              <w:t>依托关系说明：</w:t>
            </w:r>
          </w:p>
          <w:p w14:paraId="4B81C653">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jc w:val="left"/>
              <w:textAlignment w:val="auto"/>
              <w:rPr>
                <w:rFonts w:hint="default"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项目</w:t>
            </w:r>
            <w:r>
              <w:rPr>
                <w:rFonts w:hint="default" w:ascii="Times New Roman" w:hAnsi="Times New Roman" w:cs="Times New Roman"/>
                <w:b w:val="0"/>
                <w:bCs w:val="0"/>
                <w:color w:val="auto"/>
                <w:sz w:val="24"/>
                <w:highlight w:val="none"/>
                <w:lang w:val="en-US" w:eastAsia="zh-CN"/>
              </w:rPr>
              <w:t>租赁</w:t>
            </w:r>
            <w:r>
              <w:rPr>
                <w:rFonts w:hint="eastAsia" w:ascii="Times New Roman" w:hAnsi="Times New Roman" w:cs="Times New Roman"/>
                <w:color w:val="auto"/>
                <w:sz w:val="24"/>
                <w:highlight w:val="none"/>
                <w:lang w:eastAsia="zh-CN"/>
              </w:rPr>
              <w:t>淮南市高新区合创产业园9号</w:t>
            </w:r>
            <w:r>
              <w:rPr>
                <w:rFonts w:hint="default" w:ascii="Times New Roman" w:hAnsi="Times New Roman" w:cs="Times New Roman"/>
                <w:color w:val="auto"/>
                <w:sz w:val="24"/>
                <w:highlight w:val="none"/>
                <w:lang w:val="en-US" w:eastAsia="zh-CN"/>
              </w:rPr>
              <w:t>已建厂房</w:t>
            </w:r>
            <w:r>
              <w:rPr>
                <w:rFonts w:hint="default" w:ascii="Times New Roman" w:hAnsi="Times New Roman" w:cs="Times New Roman"/>
                <w:b w:val="0"/>
                <w:bCs w:val="0"/>
                <w:color w:val="auto"/>
                <w:sz w:val="24"/>
                <w:highlight w:val="none"/>
                <w:lang w:val="en-US" w:eastAsia="zh-CN"/>
              </w:rPr>
              <w:t>进行生产，产业园已为整个园区配套建设完善的污水管网、雨水管网、化粪池。本次项目污水管网、雨水管网、化粪池均依托现有，无独立的生活污水排口，生产废水在车间设置排口，达标后依托产业园污水管网排入市政污水管网。由于本次租赁厂房无独立的雨水管网，风险事故下伴生/次生污染物废水通过园区雨水管网截流、收集等措施依托出租方，措施的落实由出租方负责。</w:t>
            </w:r>
          </w:p>
          <w:p w14:paraId="18C3344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3</w:t>
            </w:r>
            <w:r>
              <w:rPr>
                <w:rFonts w:hint="default" w:ascii="Times New Roman" w:hAnsi="Times New Roman" w:cs="Times New Roman"/>
                <w:b/>
                <w:bCs/>
                <w:color w:val="auto"/>
                <w:sz w:val="24"/>
                <w:highlight w:val="none"/>
              </w:rPr>
              <w:t>、主要产品及产能情况</w:t>
            </w:r>
          </w:p>
          <w:p w14:paraId="65AEC74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4"/>
                <w:szCs w:val="24"/>
                <w:highlight w:val="none"/>
                <w:lang w:eastAsia="zh-CN"/>
              </w:rPr>
            </w:pPr>
            <w:r>
              <w:rPr>
                <w:rFonts w:hint="default" w:ascii="Times New Roman" w:hAnsi="Times New Roman" w:eastAsia="宋体" w:cs="Times New Roman"/>
                <w:b/>
                <w:bCs/>
                <w:color w:val="auto"/>
                <w:kern w:val="0"/>
                <w:sz w:val="21"/>
                <w:szCs w:val="21"/>
                <w:highlight w:val="none"/>
                <w:lang w:eastAsia="zh-CN"/>
              </w:rPr>
              <w:t>表2-</w:t>
            </w:r>
            <w:r>
              <w:rPr>
                <w:rFonts w:hint="default" w:ascii="Times New Roman" w:hAnsi="Times New Roman" w:eastAsia="宋体" w:cs="Times New Roman"/>
                <w:b/>
                <w:bCs/>
                <w:color w:val="auto"/>
                <w:kern w:val="0"/>
                <w:sz w:val="21"/>
                <w:szCs w:val="21"/>
                <w:highlight w:val="none"/>
                <w:lang w:val="en-US" w:eastAsia="zh-CN"/>
              </w:rPr>
              <w:t>4</w:t>
            </w:r>
            <w:r>
              <w:rPr>
                <w:rFonts w:hint="eastAsia" w:ascii="Times New Roman" w:hAnsi="Times New Roman" w:eastAsia="宋体" w:cs="Times New Roman"/>
                <w:b/>
                <w:bCs/>
                <w:color w:val="auto"/>
                <w:kern w:val="0"/>
                <w:sz w:val="21"/>
                <w:szCs w:val="21"/>
                <w:highlight w:val="none"/>
                <w:lang w:eastAsia="zh-CN"/>
              </w:rPr>
              <w:t>项目</w:t>
            </w:r>
            <w:r>
              <w:rPr>
                <w:rFonts w:hint="default" w:ascii="Times New Roman" w:hAnsi="Times New Roman" w:eastAsia="宋体" w:cs="Times New Roman"/>
                <w:b/>
                <w:bCs/>
                <w:color w:val="auto"/>
                <w:kern w:val="0"/>
                <w:sz w:val="21"/>
                <w:szCs w:val="21"/>
                <w:highlight w:val="none"/>
                <w:lang w:eastAsia="zh-CN"/>
              </w:rPr>
              <w:t>主要产品及产能情况一览表</w:t>
            </w:r>
          </w:p>
          <w:tbl>
            <w:tblPr>
              <w:tblStyle w:val="25"/>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71"/>
              <w:gridCol w:w="1280"/>
              <w:gridCol w:w="1425"/>
              <w:gridCol w:w="1125"/>
              <w:gridCol w:w="2475"/>
            </w:tblGrid>
            <w:tr w14:paraId="6B5368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838" w:type="pct"/>
                  <w:noWrap w:val="0"/>
                  <w:vAlign w:val="center"/>
                </w:tcPr>
                <w:p w14:paraId="35E4DCF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产品名称</w:t>
                  </w:r>
                </w:p>
              </w:tc>
              <w:tc>
                <w:tcPr>
                  <w:tcW w:w="844" w:type="pct"/>
                  <w:noWrap w:val="0"/>
                  <w:vAlign w:val="center"/>
                </w:tcPr>
                <w:p w14:paraId="39A4448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单位</w:t>
                  </w:r>
                </w:p>
              </w:tc>
              <w:tc>
                <w:tcPr>
                  <w:tcW w:w="940" w:type="pct"/>
                  <w:noWrap w:val="0"/>
                  <w:vAlign w:val="center"/>
                </w:tcPr>
                <w:p w14:paraId="2861DDF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规格</w:t>
                  </w:r>
                </w:p>
              </w:tc>
              <w:tc>
                <w:tcPr>
                  <w:tcW w:w="742" w:type="pct"/>
                  <w:noWrap w:val="0"/>
                  <w:vAlign w:val="center"/>
                </w:tcPr>
                <w:p w14:paraId="5AA662B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b/>
                      <w:bCs/>
                      <w:color w:val="auto"/>
                      <w:sz w:val="21"/>
                      <w:szCs w:val="21"/>
                      <w:highlight w:val="none"/>
                    </w:rPr>
                    <w:t>生产能力</w:t>
                  </w:r>
                </w:p>
              </w:tc>
              <w:tc>
                <w:tcPr>
                  <w:tcW w:w="1633" w:type="pct"/>
                  <w:noWrap w:val="0"/>
                  <w:vAlign w:val="center"/>
                </w:tcPr>
                <w:p w14:paraId="661F90C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lang w:val="en-US" w:eastAsia="zh-CN"/>
                    </w:rPr>
                    <w:t>年运行时数</w:t>
                  </w:r>
                </w:p>
              </w:tc>
            </w:tr>
            <w:tr w14:paraId="62C22A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838" w:type="pct"/>
                  <w:noWrap w:val="0"/>
                  <w:vAlign w:val="center"/>
                </w:tcPr>
                <w:p w14:paraId="5019E6D1">
                  <w:pPr>
                    <w:jc w:val="center"/>
                    <w:rPr>
                      <w:rFonts w:hint="default" w:ascii="Times New Roman" w:hAnsi="Times New Roman" w:cs="Times New Roman"/>
                      <w:color w:val="auto"/>
                      <w:sz w:val="21"/>
                      <w:szCs w:val="21"/>
                      <w:highlight w:val="none"/>
                      <w:lang w:val="en-US"/>
                    </w:rPr>
                  </w:pPr>
                  <w:r>
                    <w:rPr>
                      <w:rFonts w:hint="eastAsia" w:ascii="Times New Roman" w:hAnsi="Times New Roman" w:cs="Times New Roman"/>
                      <w:color w:val="auto"/>
                      <w:highlight w:val="none"/>
                      <w:vertAlign w:val="baseline"/>
                      <w:lang w:val="en-US" w:eastAsia="zh-CN"/>
                    </w:rPr>
                    <w:t>汽车刹车片</w:t>
                  </w:r>
                </w:p>
              </w:tc>
              <w:tc>
                <w:tcPr>
                  <w:tcW w:w="844" w:type="pct"/>
                  <w:noWrap w:val="0"/>
                  <w:vAlign w:val="center"/>
                </w:tcPr>
                <w:p w14:paraId="3C4FD5D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万套</w:t>
                  </w:r>
                  <w:r>
                    <w:rPr>
                      <w:rFonts w:hint="eastAsia" w:ascii="Times New Roman" w:hAnsi="Times New Roman" w:cs="Times New Roman"/>
                      <w:color w:val="auto"/>
                      <w:sz w:val="21"/>
                      <w:szCs w:val="21"/>
                      <w:highlight w:val="none"/>
                      <w:lang w:val="en-US" w:eastAsia="zh-CN"/>
                    </w:rPr>
                    <w:t>/年</w:t>
                  </w:r>
                </w:p>
              </w:tc>
              <w:tc>
                <w:tcPr>
                  <w:tcW w:w="940" w:type="pct"/>
                  <w:noWrap w:val="0"/>
                  <w:vAlign w:val="center"/>
                </w:tcPr>
                <w:p w14:paraId="2EF511AD">
                  <w:pPr>
                    <w:keepNext w:val="0"/>
                    <w:keepLines w:val="0"/>
                    <w:pageBreakBefore w:val="0"/>
                    <w:widowControl w:val="0"/>
                    <w:kinsoku/>
                    <w:wordWrap/>
                    <w:overflowPunct/>
                    <w:topLinePunct/>
                    <w:autoSpaceDE w:val="0"/>
                    <w:autoSpaceDN/>
                    <w:bidi w:val="0"/>
                    <w:adjustRightInd w:val="0"/>
                    <w:snapToGrid w:val="0"/>
                    <w:ind w:left="0" w:leftChars="0"/>
                    <w:jc w:val="center"/>
                    <w:rPr>
                      <w:rFonts w:hint="eastAsia" w:ascii="Times New Roman" w:hAnsi="Times New Roman" w:cs="Times New Roman"/>
                      <w:color w:val="auto"/>
                      <w:sz w:val="21"/>
                      <w:szCs w:val="21"/>
                      <w:highlight w:val="none"/>
                      <w:lang w:val="en-US" w:eastAsia="zh-CN"/>
                    </w:rPr>
                  </w:pPr>
                  <w:r>
                    <w:rPr>
                      <w:rFonts w:hint="eastAsia"/>
                      <w:color w:val="auto"/>
                      <w:highlight w:val="none"/>
                      <w:lang w:val="en-US" w:eastAsia="zh-CN"/>
                    </w:rPr>
                    <w:t>160</w:t>
                  </w:r>
                  <w:r>
                    <w:rPr>
                      <w:rFonts w:hint="eastAsia"/>
                      <w:color w:val="auto"/>
                      <w:highlight w:val="none"/>
                    </w:rPr>
                    <w:t>*</w:t>
                  </w:r>
                  <w:r>
                    <w:rPr>
                      <w:rFonts w:hint="eastAsia"/>
                      <w:color w:val="auto"/>
                      <w:highlight w:val="none"/>
                      <w:lang w:val="en-US" w:eastAsia="zh-CN"/>
                    </w:rPr>
                    <w:t>90</w:t>
                  </w:r>
                  <w:r>
                    <w:rPr>
                      <w:rFonts w:hint="eastAsia"/>
                      <w:color w:val="auto"/>
                      <w:highlight w:val="none"/>
                    </w:rPr>
                    <w:t>mm</w:t>
                  </w:r>
                </w:p>
              </w:tc>
              <w:tc>
                <w:tcPr>
                  <w:tcW w:w="742" w:type="pct"/>
                  <w:noWrap w:val="0"/>
                  <w:vAlign w:val="center"/>
                </w:tcPr>
                <w:p w14:paraId="7A0A189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w:t>
                  </w:r>
                  <w:r>
                    <w:rPr>
                      <w:rFonts w:hint="eastAsia" w:ascii="Times New Roman" w:hAnsi="Times New Roman" w:cs="Times New Roman"/>
                      <w:color w:val="auto"/>
                      <w:sz w:val="21"/>
                      <w:szCs w:val="21"/>
                      <w:highlight w:val="none"/>
                      <w:lang w:val="en-US" w:eastAsia="zh-CN"/>
                    </w:rPr>
                    <w:t>0</w:t>
                  </w:r>
                </w:p>
              </w:tc>
              <w:tc>
                <w:tcPr>
                  <w:tcW w:w="1633" w:type="pct"/>
                  <w:noWrap w:val="0"/>
                  <w:vAlign w:val="center"/>
                </w:tcPr>
                <w:p w14:paraId="52DE375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400</w:t>
                  </w:r>
                  <w:r>
                    <w:rPr>
                      <w:rFonts w:hint="default" w:ascii="Times New Roman" w:hAnsi="Times New Roman" w:cs="Times New Roman"/>
                      <w:color w:val="auto"/>
                      <w:sz w:val="21"/>
                      <w:szCs w:val="21"/>
                      <w:highlight w:val="none"/>
                      <w:lang w:val="en-US" w:eastAsia="zh-CN"/>
                    </w:rPr>
                    <w:t>h</w:t>
                  </w:r>
                </w:p>
              </w:tc>
            </w:tr>
          </w:tbl>
          <w:p w14:paraId="687A39A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lang w:eastAsia="zh-CN"/>
              </w:rPr>
              <w:t>表2-</w:t>
            </w:r>
            <w:r>
              <w:rPr>
                <w:rFonts w:hint="eastAsia" w:ascii="Times New Roman" w:hAnsi="Times New Roman" w:eastAsia="宋体"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lang w:eastAsia="zh-CN"/>
              </w:rPr>
              <w:t xml:space="preserve"> </w:t>
            </w:r>
            <w:r>
              <w:rPr>
                <w:rFonts w:hint="eastAsia" w:ascii="Times New Roman" w:hAnsi="Times New Roman" w:eastAsia="宋体" w:cs="Times New Roman"/>
                <w:b/>
                <w:bCs/>
                <w:color w:val="auto"/>
                <w:kern w:val="0"/>
                <w:sz w:val="21"/>
                <w:szCs w:val="21"/>
                <w:highlight w:val="none"/>
                <w:lang w:eastAsia="zh-CN"/>
              </w:rPr>
              <w:t>本项目产品</w:t>
            </w:r>
            <w:r>
              <w:rPr>
                <w:rFonts w:hint="eastAsia" w:ascii="Times New Roman" w:hAnsi="Times New Roman" w:eastAsia="宋体" w:cs="Times New Roman"/>
                <w:b/>
                <w:bCs/>
                <w:color w:val="auto"/>
                <w:kern w:val="0"/>
                <w:sz w:val="21"/>
                <w:szCs w:val="21"/>
                <w:highlight w:val="none"/>
                <w:lang w:val="en-US" w:eastAsia="zh-CN"/>
              </w:rPr>
              <w:t>质量标准</w:t>
            </w:r>
          </w:p>
          <w:tbl>
            <w:tblPr>
              <w:tblStyle w:val="25"/>
              <w:tblW w:w="4989"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639"/>
              <w:gridCol w:w="2061"/>
              <w:gridCol w:w="4856"/>
            </w:tblGrid>
            <w:tr w14:paraId="4EEFF78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bottom w:val="single" w:color="auto" w:sz="4" w:space="0"/>
                    <w:right w:val="single" w:color="auto" w:sz="4" w:space="0"/>
                    <w:tl2br w:val="nil"/>
                    <w:tr2bl w:val="nil"/>
                  </w:tcBorders>
                  <w:noWrap w:val="0"/>
                  <w:vAlign w:val="center"/>
                </w:tcPr>
                <w:p w14:paraId="358A1900">
                  <w:pPr>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EC75E7">
                  <w:pPr>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rPr>
                    <w:t>项目</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6CDA84E7">
                  <w:pPr>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rPr>
                    <w:t>要求</w:t>
                  </w:r>
                </w:p>
              </w:tc>
            </w:tr>
            <w:tr w14:paraId="52231F8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63DCA7D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56A4482">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国家强制性标准</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5BE8A2B1">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符合国标GB5763-2018国家强制性要求</w:t>
                  </w:r>
                </w:p>
              </w:tc>
            </w:tr>
            <w:tr w14:paraId="1DC18BB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11E69685">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rPr>
                    <w:t>2</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AE387C">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剪切强度(MPa)</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641683A5">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≥2.5MPa</w:t>
                  </w:r>
                </w:p>
              </w:tc>
            </w:tr>
            <w:tr w14:paraId="7D402E6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436E4AAC">
                  <w:pPr>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3</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722E4F7">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摩擦系数</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39889E41">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设定摩擦系数值的</w:t>
                  </w:r>
                  <w:r>
                    <w:rPr>
                      <w:rStyle w:val="41"/>
                      <w:rFonts w:hint="default" w:ascii="Times New Roman" w:hAnsi="Times New Roman" w:eastAsia="宋体" w:cs="Times New Roman"/>
                      <w:sz w:val="21"/>
                      <w:szCs w:val="21"/>
                      <w:lang w:val="en-US" w:eastAsia="zh-CN" w:bidi="ar"/>
                    </w:rPr>
                    <w:t>±</w:t>
                  </w:r>
                  <w:r>
                    <w:rPr>
                      <w:rStyle w:val="63"/>
                      <w:rFonts w:hint="default" w:ascii="Times New Roman" w:hAnsi="Times New Roman" w:cs="Times New Roman"/>
                      <w:sz w:val="21"/>
                      <w:szCs w:val="21"/>
                      <w:lang w:val="en-US" w:eastAsia="zh-CN" w:bidi="ar"/>
                    </w:rPr>
                    <w:t>15%的范围内：0.42±0.42*15%</w:t>
                  </w:r>
                </w:p>
              </w:tc>
            </w:tr>
            <w:tr w14:paraId="4DF9E2D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2B657861">
                  <w:pPr>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4</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437292A">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有害元素</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380EF78F">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不得含有镉、六价铬、铅、汞</w:t>
                  </w:r>
                </w:p>
              </w:tc>
            </w:tr>
            <w:tr w14:paraId="73FE29C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0B083560">
                  <w:pPr>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5</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3CF098B">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产品的基本长尺寸</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6FD7FDAA">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100±20 mm</w:t>
                  </w:r>
                </w:p>
              </w:tc>
            </w:tr>
            <w:tr w14:paraId="6664BF8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004FC3F8">
                  <w:pPr>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6</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13FFE71">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产品的基本宽尺寸</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32837CEB">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60±20 mm</w:t>
                  </w:r>
                </w:p>
              </w:tc>
            </w:tr>
            <w:tr w14:paraId="7191EF6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0F1F54A8">
                  <w:pPr>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7</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DC57D70">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产品的基本厚尺寸</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2CFF8D29">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15±20mm</w:t>
                  </w:r>
                </w:p>
              </w:tc>
            </w:tr>
            <w:tr w14:paraId="1D92A51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77FA9D7A">
                  <w:pPr>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8</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6C93695">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国家强制性标准</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011CE9E1">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符合国标GB5763-2018国家强制性要求</w:t>
                  </w:r>
                </w:p>
              </w:tc>
            </w:tr>
            <w:tr w14:paraId="71DC192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49E6C1C1">
                  <w:pPr>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9</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0BF0E84">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剪切强度(MPa)</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7DD9B604">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≥2.5MPa</w:t>
                  </w:r>
                </w:p>
              </w:tc>
            </w:tr>
            <w:tr w14:paraId="5D4E4F3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pct"/>
                  <w:tcBorders>
                    <w:top w:val="single" w:color="auto" w:sz="4" w:space="0"/>
                    <w:left w:val="nil"/>
                    <w:bottom w:val="single" w:color="auto" w:sz="4" w:space="0"/>
                    <w:right w:val="single" w:color="auto" w:sz="4" w:space="0"/>
                    <w:tl2br w:val="nil"/>
                    <w:tr2bl w:val="nil"/>
                  </w:tcBorders>
                  <w:noWrap w:val="0"/>
                  <w:vAlign w:val="center"/>
                </w:tcPr>
                <w:p w14:paraId="0768AC22">
                  <w:pPr>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10</w:t>
                  </w:r>
                </w:p>
              </w:tc>
              <w:tc>
                <w:tcPr>
                  <w:tcW w:w="13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4C6ABB3">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摩擦系数</w:t>
                  </w:r>
                </w:p>
              </w:tc>
              <w:tc>
                <w:tcPr>
                  <w:tcW w:w="3212" w:type="pct"/>
                  <w:tcBorders>
                    <w:top w:val="single" w:color="auto" w:sz="4" w:space="0"/>
                    <w:left w:val="single" w:color="auto" w:sz="4" w:space="0"/>
                    <w:bottom w:val="single" w:color="auto" w:sz="4" w:space="0"/>
                    <w:right w:val="nil"/>
                    <w:tl2br w:val="nil"/>
                    <w:tr2bl w:val="nil"/>
                  </w:tcBorders>
                  <w:noWrap w:val="0"/>
                  <w:vAlign w:val="center"/>
                </w:tcPr>
                <w:p w14:paraId="6AF53B87">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设定摩擦系数值的</w:t>
                  </w:r>
                  <w:r>
                    <w:rPr>
                      <w:rStyle w:val="41"/>
                      <w:rFonts w:hint="default" w:ascii="Times New Roman" w:hAnsi="Times New Roman" w:eastAsia="宋体" w:cs="Times New Roman"/>
                      <w:sz w:val="21"/>
                      <w:szCs w:val="21"/>
                      <w:lang w:val="en-US" w:eastAsia="zh-CN" w:bidi="ar"/>
                    </w:rPr>
                    <w:t>±</w:t>
                  </w:r>
                  <w:r>
                    <w:rPr>
                      <w:rStyle w:val="63"/>
                      <w:rFonts w:hint="default" w:ascii="Times New Roman" w:hAnsi="Times New Roman" w:cs="Times New Roman"/>
                      <w:sz w:val="21"/>
                      <w:szCs w:val="21"/>
                      <w:lang w:val="en-US" w:eastAsia="zh-CN" w:bidi="ar"/>
                    </w:rPr>
                    <w:t>15%的范围内：0.42±0.42*15%</w:t>
                  </w:r>
                </w:p>
              </w:tc>
            </w:tr>
          </w:tbl>
          <w:p w14:paraId="54E51798">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color w:val="auto"/>
                <w:sz w:val="24"/>
                <w:highlight w:val="none"/>
                <w:lang w:val="en-US" w:eastAsia="zh-CN"/>
              </w:rPr>
              <w:t>4</w:t>
            </w:r>
            <w:r>
              <w:rPr>
                <w:rFonts w:hint="default" w:ascii="Times New Roman" w:hAnsi="Times New Roman" w:cs="Times New Roman"/>
                <w:b/>
                <w:color w:val="auto"/>
                <w:sz w:val="24"/>
                <w:highlight w:val="none"/>
              </w:rPr>
              <w:t>、主要生产设施名称一览表</w:t>
            </w:r>
          </w:p>
          <w:p w14:paraId="1AEEFB4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1"/>
                <w:szCs w:val="21"/>
                <w:highlight w:val="none"/>
                <w:lang w:eastAsia="zh-CN"/>
              </w:rPr>
            </w:pPr>
          </w:p>
          <w:p w14:paraId="35E07AC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lang w:eastAsia="zh-CN"/>
              </w:rPr>
              <w:t>表2-</w:t>
            </w:r>
            <w:r>
              <w:rPr>
                <w:rFonts w:hint="eastAsia" w:ascii="Times New Roman" w:hAnsi="Times New Roman" w:eastAsia="宋体" w:cs="Times New Roman"/>
                <w:b/>
                <w:bCs/>
                <w:color w:val="auto"/>
                <w:kern w:val="0"/>
                <w:sz w:val="21"/>
                <w:szCs w:val="21"/>
                <w:highlight w:val="none"/>
                <w:lang w:val="en-US" w:eastAsia="zh-CN"/>
              </w:rPr>
              <w:t>6</w:t>
            </w:r>
            <w:r>
              <w:rPr>
                <w:rFonts w:hint="default" w:ascii="Times New Roman" w:hAnsi="Times New Roman" w:eastAsia="宋体" w:cs="Times New Roman"/>
                <w:b/>
                <w:bCs/>
                <w:color w:val="auto"/>
                <w:kern w:val="0"/>
                <w:sz w:val="21"/>
                <w:szCs w:val="21"/>
                <w:highlight w:val="none"/>
                <w:lang w:eastAsia="zh-CN"/>
              </w:rPr>
              <w:t xml:space="preserve"> </w:t>
            </w:r>
            <w:r>
              <w:rPr>
                <w:rFonts w:hint="eastAsia" w:ascii="Times New Roman" w:hAnsi="Times New Roman" w:eastAsia="宋体" w:cs="Times New Roman"/>
                <w:b/>
                <w:bCs/>
                <w:color w:val="auto"/>
                <w:kern w:val="0"/>
                <w:sz w:val="21"/>
                <w:szCs w:val="21"/>
                <w:highlight w:val="none"/>
                <w:lang w:eastAsia="zh-CN"/>
              </w:rPr>
              <w:t>项目</w:t>
            </w:r>
            <w:r>
              <w:rPr>
                <w:rFonts w:hint="default" w:ascii="Times New Roman" w:hAnsi="Times New Roman" w:eastAsia="宋体" w:cs="Times New Roman"/>
                <w:b/>
                <w:bCs/>
                <w:color w:val="auto"/>
                <w:kern w:val="0"/>
                <w:sz w:val="21"/>
                <w:szCs w:val="21"/>
                <w:highlight w:val="none"/>
                <w:lang w:eastAsia="zh-CN"/>
              </w:rPr>
              <w:t>主要生产设施名称一览表</w:t>
            </w:r>
          </w:p>
          <w:tbl>
            <w:tblPr>
              <w:tblStyle w:val="25"/>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812"/>
              <w:gridCol w:w="697"/>
              <w:gridCol w:w="1330"/>
              <w:gridCol w:w="1419"/>
              <w:gridCol w:w="1634"/>
            </w:tblGrid>
            <w:tr w14:paraId="1306E3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blHeader/>
                <w:jc w:val="center"/>
              </w:trPr>
              <w:tc>
                <w:tcPr>
                  <w:tcW w:w="451" w:type="pct"/>
                  <w:tcBorders>
                    <w:tl2br w:val="nil"/>
                    <w:tr2bl w:val="nil"/>
                  </w:tcBorders>
                  <w:noWrap w:val="0"/>
                  <w:vAlign w:val="center"/>
                </w:tcPr>
                <w:p w14:paraId="4F585B16">
                  <w:pPr>
                    <w:pStyle w:val="62"/>
                    <w:spacing w:beforeLines="0" w:afterLine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序号</w:t>
                  </w:r>
                </w:p>
              </w:tc>
              <w:tc>
                <w:tcPr>
                  <w:tcW w:w="1195" w:type="pct"/>
                  <w:tcBorders>
                    <w:tl2br w:val="nil"/>
                    <w:tr2bl w:val="nil"/>
                  </w:tcBorders>
                  <w:noWrap w:val="0"/>
                  <w:vAlign w:val="center"/>
                </w:tcPr>
                <w:p w14:paraId="4BC33541">
                  <w:pPr>
                    <w:pStyle w:val="62"/>
                    <w:spacing w:beforeLines="0" w:afterLine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名称</w:t>
                  </w:r>
                </w:p>
              </w:tc>
              <w:tc>
                <w:tcPr>
                  <w:tcW w:w="460" w:type="pct"/>
                  <w:tcBorders>
                    <w:tl2br w:val="nil"/>
                    <w:tr2bl w:val="nil"/>
                  </w:tcBorders>
                  <w:noWrap w:val="0"/>
                  <w:vAlign w:val="center"/>
                </w:tcPr>
                <w:p w14:paraId="1BFDD88A">
                  <w:pPr>
                    <w:pStyle w:val="62"/>
                    <w:spacing w:beforeLines="0" w:afterLine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单位</w:t>
                  </w:r>
                </w:p>
              </w:tc>
              <w:tc>
                <w:tcPr>
                  <w:tcW w:w="877" w:type="pct"/>
                  <w:tcBorders>
                    <w:tl2br w:val="nil"/>
                    <w:tr2bl w:val="nil"/>
                  </w:tcBorders>
                  <w:noWrap w:val="0"/>
                  <w:vAlign w:val="center"/>
                </w:tcPr>
                <w:p w14:paraId="288B3A07">
                  <w:pPr>
                    <w:pStyle w:val="62"/>
                    <w:spacing w:beforeLines="0" w:afterLine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数量</w:t>
                  </w:r>
                </w:p>
              </w:tc>
              <w:tc>
                <w:tcPr>
                  <w:tcW w:w="936" w:type="pct"/>
                  <w:tcBorders>
                    <w:tl2br w:val="nil"/>
                    <w:tr2bl w:val="nil"/>
                  </w:tcBorders>
                  <w:noWrap w:val="0"/>
                  <w:vAlign w:val="center"/>
                </w:tcPr>
                <w:p w14:paraId="60D64E94">
                  <w:pPr>
                    <w:pStyle w:val="62"/>
                    <w:spacing w:beforeLines="0" w:afterLine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型号、规格</w:t>
                  </w:r>
                </w:p>
              </w:tc>
              <w:tc>
                <w:tcPr>
                  <w:tcW w:w="1078" w:type="pct"/>
                  <w:tcBorders>
                    <w:tl2br w:val="nil"/>
                    <w:tr2bl w:val="nil"/>
                  </w:tcBorders>
                  <w:noWrap w:val="0"/>
                  <w:vAlign w:val="center"/>
                </w:tcPr>
                <w:p w14:paraId="7FD0E964">
                  <w:pPr>
                    <w:pStyle w:val="62"/>
                    <w:spacing w:beforeLines="0" w:afterLines="0"/>
                    <w:jc w:val="center"/>
                    <w:rPr>
                      <w:rFonts w:hint="eastAsia" w:ascii="Times New Roman" w:hAnsi="Times New Roman" w:eastAsia="宋体" w:cs="Times New Roman"/>
                      <w:b/>
                      <w:bCs/>
                      <w:color w:val="auto"/>
                      <w:sz w:val="21"/>
                      <w:szCs w:val="21"/>
                      <w:lang w:eastAsia="zh-CN"/>
                    </w:rPr>
                  </w:pPr>
                  <w:r>
                    <w:rPr>
                      <w:rFonts w:hint="eastAsia" w:ascii="Times New Roman" w:hAnsi="Times New Roman" w:eastAsia="宋体" w:cs="Times New Roman"/>
                      <w:b/>
                      <w:bCs/>
                      <w:color w:val="auto"/>
                      <w:sz w:val="21"/>
                      <w:szCs w:val="21"/>
                      <w:lang w:val="en-US" w:eastAsia="zh-CN"/>
                    </w:rPr>
                    <w:t>备注</w:t>
                  </w:r>
                </w:p>
              </w:tc>
            </w:tr>
            <w:tr w14:paraId="05499F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51" w:type="pct"/>
                  <w:tcBorders>
                    <w:tl2br w:val="nil"/>
                    <w:tr2bl w:val="nil"/>
                  </w:tcBorders>
                  <w:noWrap w:val="0"/>
                  <w:vAlign w:val="center"/>
                </w:tcPr>
                <w:p w14:paraId="42373AEA">
                  <w:pPr>
                    <w:pStyle w:val="62"/>
                    <w:spacing w:beforeLines="0" w:afterLines="0"/>
                    <w:jc w:val="center"/>
                    <w:rPr>
                      <w:rFonts w:hint="eastAsia"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1</w:t>
                  </w:r>
                </w:p>
              </w:tc>
              <w:tc>
                <w:tcPr>
                  <w:tcW w:w="1195" w:type="pct"/>
                  <w:tcBorders>
                    <w:tl2br w:val="nil"/>
                    <w:tr2bl w:val="nil"/>
                  </w:tcBorders>
                  <w:noWrap w:val="0"/>
                  <w:vAlign w:val="center"/>
                </w:tcPr>
                <w:p w14:paraId="04A8AE2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原料称料混料机</w:t>
                  </w:r>
                </w:p>
              </w:tc>
              <w:tc>
                <w:tcPr>
                  <w:tcW w:w="460" w:type="pct"/>
                  <w:tcBorders>
                    <w:tl2br w:val="nil"/>
                    <w:tr2bl w:val="nil"/>
                  </w:tcBorders>
                  <w:noWrap w:val="0"/>
                  <w:vAlign w:val="center"/>
                </w:tcPr>
                <w:p w14:paraId="425090A4">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1FAE13FE">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p>
              </w:tc>
              <w:tc>
                <w:tcPr>
                  <w:tcW w:w="936" w:type="pct"/>
                  <w:tcBorders>
                    <w:tl2br w:val="nil"/>
                    <w:tr2bl w:val="nil"/>
                  </w:tcBorders>
                  <w:noWrap w:val="0"/>
                  <w:vAlign w:val="center"/>
                </w:tcPr>
                <w:p w14:paraId="011F1462">
                  <w:pPr>
                    <w:jc w:val="center"/>
                    <w:rPr>
                      <w:rFonts w:hint="eastAsia" w:ascii="Times New Roman" w:hAnsi="Times New Roman" w:eastAsia="宋体" w:cs="Times New Roman"/>
                      <w:color w:val="auto"/>
                      <w:kern w:val="2"/>
                      <w:sz w:val="21"/>
                      <w:szCs w:val="21"/>
                      <w:lang w:val="en-US" w:eastAsia="zh-CN" w:bidi="ar-SA"/>
                    </w:rPr>
                  </w:pPr>
                </w:p>
              </w:tc>
              <w:tc>
                <w:tcPr>
                  <w:tcW w:w="1078" w:type="pct"/>
                  <w:tcBorders>
                    <w:tl2br w:val="nil"/>
                    <w:tr2bl w:val="nil"/>
                  </w:tcBorders>
                  <w:noWrap w:val="0"/>
                  <w:vAlign w:val="center"/>
                </w:tcPr>
                <w:p w14:paraId="31E1C37E">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称物料</w:t>
                  </w:r>
                </w:p>
              </w:tc>
            </w:tr>
            <w:tr w14:paraId="59F11A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51" w:type="pct"/>
                  <w:tcBorders>
                    <w:tl2br w:val="nil"/>
                    <w:tr2bl w:val="nil"/>
                  </w:tcBorders>
                  <w:noWrap w:val="0"/>
                  <w:vAlign w:val="center"/>
                </w:tcPr>
                <w:p w14:paraId="12E5BE37">
                  <w:pPr>
                    <w:pStyle w:val="62"/>
                    <w:spacing w:beforeLines="0" w:afterLines="0"/>
                    <w:ind w:firstLine="0" w:firstLineChars="0"/>
                    <w:jc w:val="center"/>
                    <w:rPr>
                      <w:rFonts w:hint="eastAsia" w:ascii="Times New Roman" w:hAnsi="Times New Roman" w:eastAsia="宋体" w:cs="Times New Roman"/>
                      <w:b w:val="0"/>
                      <w:bCs w:val="0"/>
                      <w:color w:val="auto"/>
                      <w:kern w:val="0"/>
                      <w:sz w:val="21"/>
                      <w:szCs w:val="21"/>
                      <w:lang w:val="en-US" w:eastAsia="zh-CN" w:bidi="ar-SA"/>
                    </w:rPr>
                  </w:pPr>
                  <w:r>
                    <w:rPr>
                      <w:rFonts w:hint="eastAsia" w:eastAsia="宋体" w:cs="Times New Roman"/>
                      <w:color w:val="auto"/>
                      <w:sz w:val="21"/>
                      <w:szCs w:val="21"/>
                      <w:lang w:val="en-US" w:eastAsia="zh-CN"/>
                    </w:rPr>
                    <w:t>2</w:t>
                  </w:r>
                </w:p>
              </w:tc>
              <w:tc>
                <w:tcPr>
                  <w:tcW w:w="1195" w:type="pct"/>
                  <w:tcBorders>
                    <w:tl2br w:val="nil"/>
                    <w:tr2bl w:val="nil"/>
                  </w:tcBorders>
                  <w:noWrap w:val="0"/>
                  <w:vAlign w:val="center"/>
                </w:tcPr>
                <w:p w14:paraId="03FBBD30">
                  <w:pPr>
                    <w:keepNext w:val="0"/>
                    <w:keepLines w:val="0"/>
                    <w:widowControl/>
                    <w:suppressLineNumbers w:val="0"/>
                    <w:jc w:val="center"/>
                    <w:textAlignment w:val="center"/>
                    <w:rPr>
                      <w:rFonts w:hint="eastAsia" w:ascii="Times New Roman" w:hAnsi="宋体" w:eastAsia="宋体" w:cs="Times New Roman"/>
                      <w:color w:val="auto"/>
                      <w:kern w:val="2"/>
                      <w:sz w:val="21"/>
                      <w:szCs w:val="21"/>
                      <w:lang w:val="en-US" w:eastAsia="zh-CN" w:bidi="ar-SA"/>
                    </w:rPr>
                  </w:pPr>
                  <w:r>
                    <w:rPr>
                      <w:rFonts w:hint="eastAsia"/>
                      <w:color w:val="auto"/>
                      <w:sz w:val="21"/>
                      <w:szCs w:val="21"/>
                      <w:lang w:val="en-US" w:eastAsia="zh-CN"/>
                    </w:rPr>
                    <w:t>抛砂机</w:t>
                  </w:r>
                </w:p>
              </w:tc>
              <w:tc>
                <w:tcPr>
                  <w:tcW w:w="460" w:type="pct"/>
                  <w:tcBorders>
                    <w:tl2br w:val="nil"/>
                    <w:tr2bl w:val="nil"/>
                  </w:tcBorders>
                  <w:noWrap w:val="0"/>
                  <w:vAlign w:val="center"/>
                </w:tcPr>
                <w:p w14:paraId="35D5BB8B">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66AA9750">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p>
              </w:tc>
              <w:tc>
                <w:tcPr>
                  <w:tcW w:w="936" w:type="pct"/>
                  <w:tcBorders>
                    <w:tl2br w:val="nil"/>
                    <w:tr2bl w:val="nil"/>
                  </w:tcBorders>
                  <w:noWrap w:val="0"/>
                  <w:vAlign w:val="center"/>
                </w:tcPr>
                <w:p w14:paraId="694C7FF8">
                  <w:pPr>
                    <w:jc w:val="center"/>
                    <w:rPr>
                      <w:rFonts w:hint="eastAsia" w:ascii="Times New Roman" w:hAnsi="Times New Roman" w:eastAsia="宋体" w:cs="Times New Roman"/>
                      <w:color w:val="auto"/>
                      <w:kern w:val="2"/>
                      <w:sz w:val="21"/>
                      <w:szCs w:val="21"/>
                      <w:lang w:val="en-US" w:eastAsia="zh-CN" w:bidi="ar-SA"/>
                    </w:rPr>
                  </w:pPr>
                </w:p>
              </w:tc>
              <w:tc>
                <w:tcPr>
                  <w:tcW w:w="1078" w:type="pct"/>
                  <w:tcBorders>
                    <w:tl2br w:val="nil"/>
                    <w:tr2bl w:val="nil"/>
                  </w:tcBorders>
                  <w:noWrap w:val="0"/>
                  <w:vAlign w:val="center"/>
                </w:tcPr>
                <w:p w14:paraId="178CF5A7">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表面抛光</w:t>
                  </w:r>
                </w:p>
              </w:tc>
            </w:tr>
            <w:tr w14:paraId="628ED3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51" w:type="pct"/>
                  <w:tcBorders>
                    <w:tl2br w:val="nil"/>
                    <w:tr2bl w:val="nil"/>
                  </w:tcBorders>
                  <w:noWrap w:val="0"/>
                  <w:vAlign w:val="center"/>
                </w:tcPr>
                <w:p w14:paraId="0AD82AD4">
                  <w:pPr>
                    <w:pStyle w:val="62"/>
                    <w:spacing w:beforeLines="0" w:afterLines="0"/>
                    <w:ind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eastAsia" w:eastAsia="宋体" w:cs="Times New Roman"/>
                      <w:color w:val="auto"/>
                      <w:sz w:val="21"/>
                      <w:szCs w:val="21"/>
                      <w:lang w:val="en-US" w:eastAsia="zh-CN"/>
                    </w:rPr>
                    <w:t>3</w:t>
                  </w:r>
                </w:p>
              </w:tc>
              <w:tc>
                <w:tcPr>
                  <w:tcW w:w="1195" w:type="pct"/>
                  <w:tcBorders>
                    <w:tl2br w:val="nil"/>
                    <w:tr2bl w:val="nil"/>
                  </w:tcBorders>
                  <w:noWrap w:val="0"/>
                  <w:vAlign w:val="center"/>
                </w:tcPr>
                <w:p w14:paraId="5079AA64">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eastAsia="宋体"/>
                      <w:color w:val="auto"/>
                      <w:sz w:val="21"/>
                      <w:szCs w:val="21"/>
                      <w:lang w:eastAsia="zh-CN"/>
                    </w:rPr>
                    <w:t>钢背涂胶机</w:t>
                  </w:r>
                </w:p>
              </w:tc>
              <w:tc>
                <w:tcPr>
                  <w:tcW w:w="460" w:type="pct"/>
                  <w:tcBorders>
                    <w:tl2br w:val="nil"/>
                    <w:tr2bl w:val="nil"/>
                  </w:tcBorders>
                  <w:noWrap w:val="0"/>
                  <w:vAlign w:val="center"/>
                </w:tcPr>
                <w:p w14:paraId="4644D641">
                  <w:pPr>
                    <w:spacing w:beforeLines="0" w:afterLine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条</w:t>
                  </w:r>
                </w:p>
              </w:tc>
              <w:tc>
                <w:tcPr>
                  <w:tcW w:w="877" w:type="pct"/>
                  <w:tcBorders>
                    <w:tl2br w:val="nil"/>
                    <w:tr2bl w:val="nil"/>
                  </w:tcBorders>
                  <w:noWrap w:val="0"/>
                  <w:vAlign w:val="center"/>
                </w:tcPr>
                <w:p w14:paraId="43AD1B7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w:t>
                  </w:r>
                </w:p>
              </w:tc>
              <w:tc>
                <w:tcPr>
                  <w:tcW w:w="936" w:type="pct"/>
                  <w:tcBorders>
                    <w:tl2br w:val="nil"/>
                    <w:tr2bl w:val="nil"/>
                  </w:tcBorders>
                  <w:noWrap w:val="0"/>
                  <w:vAlign w:val="center"/>
                </w:tcPr>
                <w:p w14:paraId="4924FB5E">
                  <w:pPr>
                    <w:pStyle w:val="62"/>
                    <w:spacing w:beforeLines="0" w:afterLines="0"/>
                    <w:ind w:firstLine="0" w:firstLineChars="0"/>
                    <w:jc w:val="center"/>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color w:val="auto"/>
                      <w:sz w:val="21"/>
                      <w:szCs w:val="21"/>
                      <w:lang w:eastAsia="zh-CN"/>
                    </w:rPr>
                    <w:t>NJ8034-2</w:t>
                  </w:r>
                </w:p>
              </w:tc>
              <w:tc>
                <w:tcPr>
                  <w:tcW w:w="1078" w:type="pct"/>
                  <w:tcBorders>
                    <w:tl2br w:val="nil"/>
                    <w:tr2bl w:val="nil"/>
                  </w:tcBorders>
                  <w:noWrap w:val="0"/>
                  <w:vAlign w:val="center"/>
                </w:tcPr>
                <w:p w14:paraId="39D66795">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表面涂胶</w:t>
                  </w:r>
                </w:p>
              </w:tc>
            </w:tr>
            <w:tr w14:paraId="046C88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51" w:type="pct"/>
                  <w:tcBorders>
                    <w:tl2br w:val="nil"/>
                    <w:tr2bl w:val="nil"/>
                  </w:tcBorders>
                  <w:noWrap w:val="0"/>
                  <w:vAlign w:val="center"/>
                </w:tcPr>
                <w:p w14:paraId="04DD8EA6">
                  <w:pPr>
                    <w:pStyle w:val="62"/>
                    <w:spacing w:beforeLines="0" w:afterLines="0"/>
                    <w:ind w:firstLine="0" w:firstLineChars="0"/>
                    <w:jc w:val="center"/>
                    <w:rPr>
                      <w:rFonts w:hint="eastAsia" w:ascii="Times New Roman" w:hAnsi="Times New Roman" w:eastAsia="宋体" w:cs="Times New Roman"/>
                      <w:b w:val="0"/>
                      <w:bCs w:val="0"/>
                      <w:color w:val="auto"/>
                      <w:kern w:val="0"/>
                      <w:sz w:val="21"/>
                      <w:szCs w:val="21"/>
                      <w:lang w:val="en-US" w:eastAsia="zh-CN" w:bidi="ar-SA"/>
                    </w:rPr>
                  </w:pPr>
                  <w:r>
                    <w:rPr>
                      <w:rFonts w:hint="eastAsia" w:eastAsia="宋体" w:cs="Times New Roman"/>
                      <w:color w:val="auto"/>
                      <w:sz w:val="21"/>
                      <w:szCs w:val="21"/>
                      <w:lang w:val="en-US" w:eastAsia="zh-CN"/>
                    </w:rPr>
                    <w:t>4</w:t>
                  </w:r>
                </w:p>
              </w:tc>
              <w:tc>
                <w:tcPr>
                  <w:tcW w:w="1195" w:type="pct"/>
                  <w:tcBorders>
                    <w:tl2br w:val="nil"/>
                    <w:tr2bl w:val="nil"/>
                  </w:tcBorders>
                  <w:noWrap w:val="0"/>
                  <w:vAlign w:val="center"/>
                </w:tcPr>
                <w:p w14:paraId="0EB3FFF6">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highlight w:val="none"/>
                    </w:rPr>
                    <w:t>热压成型机</w:t>
                  </w:r>
                </w:p>
              </w:tc>
              <w:tc>
                <w:tcPr>
                  <w:tcW w:w="460" w:type="pct"/>
                  <w:tcBorders>
                    <w:tl2br w:val="nil"/>
                    <w:tr2bl w:val="nil"/>
                  </w:tcBorders>
                  <w:noWrap w:val="0"/>
                  <w:vAlign w:val="center"/>
                </w:tcPr>
                <w:p w14:paraId="61705CF7">
                  <w:pPr>
                    <w:widowControl/>
                    <w:jc w:val="center"/>
                    <w:rPr>
                      <w:rFonts w:hint="eastAsia" w:ascii="Times New Roman" w:hAnsi="Times New Roman" w:eastAsia="宋体" w:cs="Times New Roman"/>
                      <w:color w:val="auto"/>
                      <w:kern w:val="2"/>
                      <w:sz w:val="21"/>
                      <w:szCs w:val="21"/>
                      <w:lang w:val="en-US" w:eastAsia="zh-CN" w:bidi="ar-SA"/>
                    </w:rPr>
                  </w:pPr>
                  <w:r>
                    <w:rPr>
                      <w:rFonts w:hint="eastAsia" w:eastAsia="宋体" w:cs="Times New Roman"/>
                      <w:color w:val="auto"/>
                      <w:sz w:val="21"/>
                      <w:szCs w:val="21"/>
                      <w:lang w:val="en-US" w:eastAsia="zh-CN"/>
                    </w:rPr>
                    <w:t>台</w:t>
                  </w:r>
                </w:p>
              </w:tc>
              <w:tc>
                <w:tcPr>
                  <w:tcW w:w="877" w:type="pct"/>
                  <w:tcBorders>
                    <w:tl2br w:val="nil"/>
                    <w:tr2bl w:val="nil"/>
                  </w:tcBorders>
                  <w:noWrap w:val="0"/>
                  <w:vAlign w:val="center"/>
                </w:tcPr>
                <w:p w14:paraId="782C8722">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6</w:t>
                  </w:r>
                </w:p>
              </w:tc>
              <w:tc>
                <w:tcPr>
                  <w:tcW w:w="936" w:type="pct"/>
                  <w:tcBorders>
                    <w:tl2br w:val="nil"/>
                    <w:tr2bl w:val="nil"/>
                  </w:tcBorders>
                  <w:noWrap w:val="0"/>
                  <w:vAlign w:val="center"/>
                </w:tcPr>
                <w:p w14:paraId="04967C94">
                  <w:pPr>
                    <w:widowControl/>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XLB200-D</w:t>
                  </w:r>
                </w:p>
              </w:tc>
              <w:tc>
                <w:tcPr>
                  <w:tcW w:w="1078" w:type="pct"/>
                  <w:tcBorders>
                    <w:tl2br w:val="nil"/>
                    <w:tr2bl w:val="nil"/>
                  </w:tcBorders>
                  <w:noWrap w:val="0"/>
                  <w:vAlign w:val="center"/>
                </w:tcPr>
                <w:p w14:paraId="5B0CE399">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热压</w:t>
                  </w:r>
                </w:p>
              </w:tc>
            </w:tr>
            <w:tr w14:paraId="0EC7D0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51" w:type="pct"/>
                  <w:tcBorders>
                    <w:tl2br w:val="nil"/>
                    <w:tr2bl w:val="nil"/>
                  </w:tcBorders>
                  <w:noWrap w:val="0"/>
                  <w:vAlign w:val="center"/>
                </w:tcPr>
                <w:p w14:paraId="64B7E6CB">
                  <w:pPr>
                    <w:pStyle w:val="62"/>
                    <w:spacing w:beforeLines="0" w:afterLines="0"/>
                    <w:ind w:firstLine="0" w:firstLineChars="0"/>
                    <w:jc w:val="center"/>
                    <w:rPr>
                      <w:rFonts w:hint="eastAsia" w:ascii="Times New Roman" w:hAnsi="Times New Roman" w:eastAsia="宋体" w:cs="Times New Roman"/>
                      <w:b w:val="0"/>
                      <w:bCs w:val="0"/>
                      <w:color w:val="auto"/>
                      <w:kern w:val="0"/>
                      <w:sz w:val="21"/>
                      <w:szCs w:val="21"/>
                      <w:lang w:val="en-US" w:eastAsia="zh-CN" w:bidi="ar-SA"/>
                    </w:rPr>
                  </w:pPr>
                  <w:r>
                    <w:rPr>
                      <w:rFonts w:hint="eastAsia" w:eastAsia="宋体" w:cs="Times New Roman"/>
                      <w:color w:val="auto"/>
                      <w:sz w:val="21"/>
                      <w:szCs w:val="21"/>
                      <w:lang w:val="en-US" w:eastAsia="zh-CN"/>
                    </w:rPr>
                    <w:t>5</w:t>
                  </w:r>
                </w:p>
              </w:tc>
              <w:tc>
                <w:tcPr>
                  <w:tcW w:w="1195" w:type="pct"/>
                  <w:tcBorders>
                    <w:tl2br w:val="nil"/>
                    <w:tr2bl w:val="nil"/>
                  </w:tcBorders>
                  <w:noWrap w:val="0"/>
                  <w:vAlign w:val="center"/>
                </w:tcPr>
                <w:p w14:paraId="7B67A970">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eastAsia"/>
                      <w:color w:val="auto"/>
                      <w:sz w:val="21"/>
                      <w:szCs w:val="21"/>
                    </w:rPr>
                    <w:t>磁盘磨床</w:t>
                  </w:r>
                </w:p>
              </w:tc>
              <w:tc>
                <w:tcPr>
                  <w:tcW w:w="460" w:type="pct"/>
                  <w:tcBorders>
                    <w:tl2br w:val="nil"/>
                    <w:tr2bl w:val="nil"/>
                  </w:tcBorders>
                  <w:noWrap w:val="0"/>
                  <w:vAlign w:val="center"/>
                </w:tcPr>
                <w:p w14:paraId="0FC1C075">
                  <w:pPr>
                    <w:widowControl/>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362C8801">
                  <w:pPr>
                    <w:keepNext w:val="0"/>
                    <w:keepLines w:val="0"/>
                    <w:widowControl/>
                    <w:suppressLineNumbers w:val="0"/>
                    <w:jc w:val="center"/>
                    <w:textAlignment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936" w:type="pct"/>
                  <w:tcBorders>
                    <w:tl2br w:val="nil"/>
                    <w:tr2bl w:val="nil"/>
                  </w:tcBorders>
                  <w:noWrap w:val="0"/>
                  <w:vAlign w:val="center"/>
                </w:tcPr>
                <w:p w14:paraId="2FDA4F78">
                  <w:pPr>
                    <w:widowControl/>
                    <w:jc w:val="center"/>
                    <w:rPr>
                      <w:rFonts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rPr>
                    <w:t>2411001</w:t>
                  </w:r>
                </w:p>
              </w:tc>
              <w:tc>
                <w:tcPr>
                  <w:tcW w:w="1078" w:type="pct"/>
                  <w:tcBorders>
                    <w:tl2br w:val="nil"/>
                    <w:tr2bl w:val="nil"/>
                  </w:tcBorders>
                  <w:noWrap w:val="0"/>
                  <w:vAlign w:val="center"/>
                </w:tcPr>
                <w:p w14:paraId="26F15EAB">
                  <w:pPr>
                    <w:keepNext w:val="0"/>
                    <w:keepLines w:val="0"/>
                    <w:widowControl/>
                    <w:suppressLineNumbers w:val="0"/>
                    <w:jc w:val="center"/>
                    <w:textAlignment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表面磨平</w:t>
                  </w:r>
                </w:p>
              </w:tc>
            </w:tr>
            <w:tr w14:paraId="035E88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51" w:type="pct"/>
                  <w:tcBorders>
                    <w:tl2br w:val="nil"/>
                    <w:tr2bl w:val="nil"/>
                  </w:tcBorders>
                  <w:noWrap w:val="0"/>
                  <w:vAlign w:val="center"/>
                </w:tcPr>
                <w:p w14:paraId="2BE9C1AE">
                  <w:pPr>
                    <w:pStyle w:val="62"/>
                    <w:spacing w:beforeLines="0" w:afterLines="0"/>
                    <w:ind w:firstLine="0" w:firstLineChars="0"/>
                    <w:jc w:val="center"/>
                    <w:rPr>
                      <w:rFonts w:hint="eastAsia" w:ascii="Times New Roman" w:hAnsi="Times New Roman" w:eastAsia="宋体" w:cs="Times New Roman"/>
                      <w:b w:val="0"/>
                      <w:bCs w:val="0"/>
                      <w:color w:val="auto"/>
                      <w:kern w:val="0"/>
                      <w:sz w:val="21"/>
                      <w:szCs w:val="21"/>
                      <w:lang w:val="en-US" w:eastAsia="zh-CN" w:bidi="ar-SA"/>
                    </w:rPr>
                  </w:pPr>
                  <w:r>
                    <w:rPr>
                      <w:rFonts w:hint="eastAsia" w:eastAsia="宋体" w:cs="Times New Roman"/>
                      <w:color w:val="auto"/>
                      <w:sz w:val="21"/>
                      <w:szCs w:val="21"/>
                      <w:lang w:val="en-US" w:eastAsia="zh-CN"/>
                    </w:rPr>
                    <w:t>6</w:t>
                  </w:r>
                </w:p>
              </w:tc>
              <w:tc>
                <w:tcPr>
                  <w:tcW w:w="1195" w:type="pct"/>
                  <w:tcBorders>
                    <w:tl2br w:val="nil"/>
                    <w:tr2bl w:val="nil"/>
                  </w:tcBorders>
                  <w:noWrap w:val="0"/>
                  <w:vAlign w:val="center"/>
                </w:tcPr>
                <w:p w14:paraId="54597D64">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开槽机</w:t>
                  </w:r>
                </w:p>
              </w:tc>
              <w:tc>
                <w:tcPr>
                  <w:tcW w:w="460" w:type="pct"/>
                  <w:tcBorders>
                    <w:tl2br w:val="nil"/>
                    <w:tr2bl w:val="nil"/>
                  </w:tcBorders>
                  <w:noWrap w:val="0"/>
                  <w:vAlign w:val="center"/>
                </w:tcPr>
                <w:p w14:paraId="23DE7950">
                  <w:pPr>
                    <w:widowControl/>
                    <w:jc w:val="center"/>
                    <w:rPr>
                      <w:rFonts w:hint="eastAsia" w:ascii="Times New Roman" w:hAnsi="Times New Roman" w:eastAsia="宋体" w:cs="Times New Roman"/>
                      <w:color w:val="auto"/>
                      <w:kern w:val="2"/>
                      <w:sz w:val="21"/>
                      <w:szCs w:val="21"/>
                      <w:lang w:val="en-US" w:eastAsia="zh-CN" w:bidi="ar-SA"/>
                    </w:rPr>
                  </w:pPr>
                  <w:r>
                    <w:rPr>
                      <w:rFonts w:hint="eastAsia" w:eastAsia="宋体" w:cs="Times New Roman"/>
                      <w:color w:val="auto"/>
                      <w:sz w:val="21"/>
                      <w:szCs w:val="21"/>
                      <w:lang w:val="en-US" w:eastAsia="zh-CN"/>
                    </w:rPr>
                    <w:t>台</w:t>
                  </w:r>
                </w:p>
              </w:tc>
              <w:tc>
                <w:tcPr>
                  <w:tcW w:w="877" w:type="pct"/>
                  <w:tcBorders>
                    <w:tl2br w:val="nil"/>
                    <w:tr2bl w:val="nil"/>
                  </w:tcBorders>
                  <w:noWrap w:val="0"/>
                  <w:vAlign w:val="center"/>
                </w:tcPr>
                <w:p w14:paraId="6FFDEB12">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w:t>
                  </w:r>
                </w:p>
              </w:tc>
              <w:tc>
                <w:tcPr>
                  <w:tcW w:w="936" w:type="pct"/>
                  <w:tcBorders>
                    <w:tl2br w:val="nil"/>
                    <w:tr2bl w:val="nil"/>
                  </w:tcBorders>
                  <w:noWrap w:val="0"/>
                  <w:vAlign w:val="center"/>
                </w:tcPr>
                <w:p w14:paraId="4002CB76">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078" w:type="pct"/>
                  <w:tcBorders>
                    <w:tl2br w:val="nil"/>
                    <w:tr2bl w:val="nil"/>
                  </w:tcBorders>
                  <w:noWrap w:val="0"/>
                  <w:vAlign w:val="center"/>
                </w:tcPr>
                <w:p w14:paraId="35CE78C8">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表面磨平</w:t>
                  </w:r>
                </w:p>
              </w:tc>
            </w:tr>
            <w:tr w14:paraId="78B9A9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51" w:type="pct"/>
                  <w:tcBorders>
                    <w:tl2br w:val="nil"/>
                    <w:tr2bl w:val="nil"/>
                  </w:tcBorders>
                  <w:noWrap w:val="0"/>
                  <w:vAlign w:val="center"/>
                </w:tcPr>
                <w:p w14:paraId="5BC05349">
                  <w:pPr>
                    <w:pStyle w:val="62"/>
                    <w:spacing w:beforeLines="0" w:afterLines="0"/>
                    <w:ind w:firstLine="0" w:firstLineChars="0"/>
                    <w:jc w:val="center"/>
                    <w:rPr>
                      <w:rFonts w:hint="eastAsia" w:ascii="Times New Roman" w:hAnsi="Times New Roman" w:eastAsia="宋体" w:cs="Times New Roman"/>
                      <w:b w:val="0"/>
                      <w:bCs w:val="0"/>
                      <w:color w:val="auto"/>
                      <w:kern w:val="0"/>
                      <w:sz w:val="21"/>
                      <w:szCs w:val="21"/>
                      <w:lang w:val="en-US" w:eastAsia="zh-CN" w:bidi="ar-SA"/>
                    </w:rPr>
                  </w:pPr>
                  <w:r>
                    <w:rPr>
                      <w:rFonts w:hint="eastAsia" w:eastAsia="宋体" w:cs="Times New Roman"/>
                      <w:color w:val="auto"/>
                      <w:sz w:val="21"/>
                      <w:szCs w:val="21"/>
                      <w:lang w:val="en-US" w:eastAsia="zh-CN"/>
                    </w:rPr>
                    <w:t>7</w:t>
                  </w:r>
                </w:p>
              </w:tc>
              <w:tc>
                <w:tcPr>
                  <w:tcW w:w="1195" w:type="pct"/>
                  <w:tcBorders>
                    <w:tl2br w:val="nil"/>
                    <w:tr2bl w:val="nil"/>
                  </w:tcBorders>
                  <w:noWrap w:val="0"/>
                  <w:vAlign w:val="center"/>
                </w:tcPr>
                <w:p w14:paraId="1EE6CBD0">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喷塑固化</w:t>
                  </w:r>
                  <w:r>
                    <w:rPr>
                      <w:rFonts w:hint="eastAsia"/>
                      <w:color w:val="auto"/>
                      <w:sz w:val="21"/>
                      <w:szCs w:val="21"/>
                    </w:rPr>
                    <w:t>流水线</w:t>
                  </w:r>
                </w:p>
              </w:tc>
              <w:tc>
                <w:tcPr>
                  <w:tcW w:w="460" w:type="pct"/>
                  <w:tcBorders>
                    <w:tl2br w:val="nil"/>
                    <w:tr2bl w:val="nil"/>
                  </w:tcBorders>
                  <w:noWrap w:val="0"/>
                  <w:vAlign w:val="center"/>
                </w:tcPr>
                <w:p w14:paraId="6D7A8529">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条</w:t>
                  </w:r>
                </w:p>
              </w:tc>
              <w:tc>
                <w:tcPr>
                  <w:tcW w:w="877" w:type="pct"/>
                  <w:tcBorders>
                    <w:tl2br w:val="nil"/>
                    <w:tr2bl w:val="nil"/>
                  </w:tcBorders>
                  <w:noWrap w:val="0"/>
                  <w:vAlign w:val="center"/>
                </w:tcPr>
                <w:p w14:paraId="5C218D59">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w:t>
                  </w:r>
                </w:p>
              </w:tc>
              <w:tc>
                <w:tcPr>
                  <w:tcW w:w="936" w:type="pct"/>
                  <w:tcBorders>
                    <w:tl2br w:val="nil"/>
                    <w:tr2bl w:val="nil"/>
                  </w:tcBorders>
                  <w:noWrap w:val="0"/>
                  <w:vAlign w:val="center"/>
                </w:tcPr>
                <w:p w14:paraId="62270339">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rPr>
                    <w:t>ZS18377</w:t>
                  </w:r>
                </w:p>
              </w:tc>
              <w:tc>
                <w:tcPr>
                  <w:tcW w:w="1078" w:type="pct"/>
                  <w:tcBorders>
                    <w:tl2br w:val="nil"/>
                    <w:tr2bl w:val="nil"/>
                  </w:tcBorders>
                  <w:noWrap w:val="0"/>
                  <w:vAlign w:val="center"/>
                </w:tcPr>
                <w:p w14:paraId="6AD659A9">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表面</w:t>
                  </w:r>
                  <w:r>
                    <w:rPr>
                      <w:rFonts w:hint="eastAsia"/>
                      <w:color w:val="auto"/>
                      <w:sz w:val="21"/>
                      <w:szCs w:val="21"/>
                      <w:lang w:val="en-US" w:eastAsia="zh-CN"/>
                    </w:rPr>
                    <w:t>喷塑</w:t>
                  </w:r>
                </w:p>
              </w:tc>
            </w:tr>
            <w:tr w14:paraId="507CED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51" w:type="pct"/>
                  <w:tcBorders>
                    <w:tl2br w:val="nil"/>
                    <w:tr2bl w:val="nil"/>
                  </w:tcBorders>
                  <w:noWrap w:val="0"/>
                  <w:vAlign w:val="center"/>
                </w:tcPr>
                <w:p w14:paraId="08388B74">
                  <w:pPr>
                    <w:pStyle w:val="62"/>
                    <w:spacing w:beforeLines="0" w:afterLines="0"/>
                    <w:ind w:firstLine="0" w:firstLineChars="0"/>
                    <w:jc w:val="center"/>
                    <w:rPr>
                      <w:rFonts w:hint="eastAsia" w:ascii="Times New Roman" w:hAnsi="Times New Roman" w:eastAsia="宋体" w:cs="Times New Roman"/>
                      <w:b w:val="0"/>
                      <w:bCs w:val="0"/>
                      <w:color w:val="auto"/>
                      <w:kern w:val="0"/>
                      <w:sz w:val="21"/>
                      <w:szCs w:val="21"/>
                      <w:lang w:val="en-US" w:eastAsia="zh-CN" w:bidi="ar-SA"/>
                    </w:rPr>
                  </w:pPr>
                  <w:r>
                    <w:rPr>
                      <w:rFonts w:hint="eastAsia" w:eastAsia="宋体" w:cs="Times New Roman"/>
                      <w:color w:val="auto"/>
                      <w:sz w:val="21"/>
                      <w:szCs w:val="21"/>
                      <w:lang w:val="en-US" w:eastAsia="zh-CN"/>
                    </w:rPr>
                    <w:t>8</w:t>
                  </w:r>
                </w:p>
              </w:tc>
              <w:tc>
                <w:tcPr>
                  <w:tcW w:w="1195" w:type="pct"/>
                  <w:tcBorders>
                    <w:tl2br w:val="nil"/>
                    <w:tr2bl w:val="nil"/>
                  </w:tcBorders>
                  <w:noWrap w:val="0"/>
                  <w:vAlign w:val="center"/>
                </w:tcPr>
                <w:p w14:paraId="4B26CA6B">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hAnsi="宋体"/>
                      <w:color w:val="auto"/>
                      <w:sz w:val="21"/>
                      <w:szCs w:val="21"/>
                      <w:lang w:eastAsia="zh-CN"/>
                    </w:rPr>
                    <w:t>铆卡</w:t>
                  </w:r>
                  <w:r>
                    <w:rPr>
                      <w:rFonts w:hAnsi="宋体"/>
                      <w:color w:val="auto"/>
                      <w:sz w:val="21"/>
                      <w:szCs w:val="21"/>
                    </w:rPr>
                    <w:t>机</w:t>
                  </w:r>
                </w:p>
              </w:tc>
              <w:tc>
                <w:tcPr>
                  <w:tcW w:w="460" w:type="pct"/>
                  <w:tcBorders>
                    <w:tl2br w:val="nil"/>
                    <w:tr2bl w:val="nil"/>
                  </w:tcBorders>
                  <w:noWrap w:val="0"/>
                  <w:vAlign w:val="center"/>
                </w:tcPr>
                <w:p w14:paraId="6AF93579">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423E3DB9">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2</w:t>
                  </w:r>
                </w:p>
              </w:tc>
              <w:tc>
                <w:tcPr>
                  <w:tcW w:w="936" w:type="pct"/>
                  <w:tcBorders>
                    <w:tl2br w:val="nil"/>
                    <w:tr2bl w:val="nil"/>
                  </w:tcBorders>
                  <w:noWrap w:val="0"/>
                  <w:vAlign w:val="center"/>
                </w:tcPr>
                <w:p w14:paraId="67B00C93">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078" w:type="pct"/>
                  <w:tcBorders>
                    <w:tl2br w:val="nil"/>
                    <w:tr2bl w:val="nil"/>
                  </w:tcBorders>
                  <w:noWrap w:val="0"/>
                  <w:vAlign w:val="center"/>
                </w:tcPr>
                <w:p w14:paraId="72EF61A9">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铆卡</w:t>
                  </w:r>
                </w:p>
              </w:tc>
            </w:tr>
            <w:tr w14:paraId="31260B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1" w:type="pct"/>
                  <w:tcBorders>
                    <w:tl2br w:val="nil"/>
                    <w:tr2bl w:val="nil"/>
                  </w:tcBorders>
                  <w:noWrap w:val="0"/>
                  <w:vAlign w:val="center"/>
                </w:tcPr>
                <w:p w14:paraId="1F694721">
                  <w:pPr>
                    <w:pStyle w:val="62"/>
                    <w:spacing w:beforeLines="0" w:afterLines="0"/>
                    <w:ind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eastAsia" w:eastAsia="宋体" w:cs="Times New Roman"/>
                      <w:color w:val="auto"/>
                      <w:sz w:val="21"/>
                      <w:szCs w:val="21"/>
                      <w:lang w:val="en-US" w:eastAsia="zh-CN"/>
                    </w:rPr>
                    <w:t>9</w:t>
                  </w:r>
                </w:p>
              </w:tc>
              <w:tc>
                <w:tcPr>
                  <w:tcW w:w="1195" w:type="pct"/>
                  <w:tcBorders>
                    <w:tl2br w:val="nil"/>
                    <w:tr2bl w:val="nil"/>
                  </w:tcBorders>
                  <w:noWrap w:val="0"/>
                  <w:vAlign w:val="center"/>
                </w:tcPr>
                <w:p w14:paraId="2169D16D">
                  <w:pPr>
                    <w:keepNext w:val="0"/>
                    <w:keepLines w:val="0"/>
                    <w:widowControl/>
                    <w:suppressLineNumbers w:val="0"/>
                    <w:jc w:val="center"/>
                    <w:textAlignment w:val="center"/>
                    <w:rPr>
                      <w:rFonts w:hint="default" w:ascii="Times New Roman" w:hAnsi="宋体" w:eastAsia="宋体" w:cs="Times New Roman"/>
                      <w:color w:val="auto"/>
                      <w:kern w:val="2"/>
                      <w:sz w:val="21"/>
                      <w:szCs w:val="21"/>
                      <w:lang w:val="en-US" w:eastAsia="zh-CN" w:bidi="ar-SA"/>
                    </w:rPr>
                  </w:pPr>
                  <w:r>
                    <w:rPr>
                      <w:rFonts w:hint="eastAsia"/>
                      <w:color w:val="auto"/>
                      <w:sz w:val="21"/>
                      <w:szCs w:val="21"/>
                      <w:lang w:val="en-US" w:eastAsia="zh-CN"/>
                    </w:rPr>
                    <w:t>空压机</w:t>
                  </w:r>
                </w:p>
              </w:tc>
              <w:tc>
                <w:tcPr>
                  <w:tcW w:w="460" w:type="pct"/>
                  <w:tcBorders>
                    <w:tl2br w:val="nil"/>
                    <w:tr2bl w:val="nil"/>
                  </w:tcBorders>
                  <w:noWrap w:val="0"/>
                  <w:vAlign w:val="center"/>
                </w:tcPr>
                <w:p w14:paraId="6BEC6149">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1FB16497">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p>
              </w:tc>
              <w:tc>
                <w:tcPr>
                  <w:tcW w:w="936" w:type="pct"/>
                  <w:tcBorders>
                    <w:tl2br w:val="nil"/>
                    <w:tr2bl w:val="nil"/>
                  </w:tcBorders>
                  <w:noWrap w:val="0"/>
                  <w:vAlign w:val="center"/>
                </w:tcPr>
                <w:p w14:paraId="41A402F8">
                  <w:pPr>
                    <w:jc w:val="center"/>
                    <w:rPr>
                      <w:rFonts w:hint="eastAsia" w:ascii="Times New Roman" w:hAnsi="Times New Roman" w:eastAsia="宋体" w:cs="Times New Roman"/>
                      <w:color w:val="auto"/>
                      <w:kern w:val="2"/>
                      <w:sz w:val="21"/>
                      <w:szCs w:val="21"/>
                      <w:lang w:val="en-US" w:eastAsia="zh-CN" w:bidi="ar-SA"/>
                    </w:rPr>
                  </w:pPr>
                </w:p>
              </w:tc>
              <w:tc>
                <w:tcPr>
                  <w:tcW w:w="1078" w:type="pct"/>
                  <w:tcBorders>
                    <w:tl2br w:val="nil"/>
                    <w:tr2bl w:val="nil"/>
                  </w:tcBorders>
                  <w:noWrap w:val="0"/>
                  <w:vAlign w:val="center"/>
                </w:tcPr>
                <w:p w14:paraId="14C69C5A">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送气</w:t>
                  </w:r>
                </w:p>
              </w:tc>
            </w:tr>
            <w:tr w14:paraId="65B65C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1" w:type="pct"/>
                  <w:tcBorders>
                    <w:tl2br w:val="nil"/>
                    <w:tr2bl w:val="nil"/>
                  </w:tcBorders>
                  <w:noWrap w:val="0"/>
                  <w:vAlign w:val="center"/>
                </w:tcPr>
                <w:p w14:paraId="695866E1">
                  <w:pPr>
                    <w:pStyle w:val="62"/>
                    <w:spacing w:beforeLines="0" w:afterLines="0"/>
                    <w:ind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eastAsia" w:cs="Times New Roman"/>
                      <w:color w:val="auto"/>
                      <w:sz w:val="21"/>
                      <w:szCs w:val="21"/>
                      <w:lang w:val="en-US" w:eastAsia="zh-CN"/>
                    </w:rPr>
                    <w:t>10</w:t>
                  </w:r>
                </w:p>
              </w:tc>
              <w:tc>
                <w:tcPr>
                  <w:tcW w:w="1195" w:type="pct"/>
                  <w:tcBorders>
                    <w:tl2br w:val="nil"/>
                    <w:tr2bl w:val="nil"/>
                  </w:tcBorders>
                  <w:noWrap w:val="0"/>
                  <w:vAlign w:val="center"/>
                </w:tcPr>
                <w:p w14:paraId="3BB010FB">
                  <w:pPr>
                    <w:keepNext w:val="0"/>
                    <w:keepLines w:val="0"/>
                    <w:widowControl/>
                    <w:suppressLineNumbers w:val="0"/>
                    <w:jc w:val="center"/>
                    <w:textAlignment w:val="center"/>
                    <w:rPr>
                      <w:rFonts w:hint="eastAsia" w:ascii="Times New Roman" w:hAnsi="宋体" w:eastAsia="宋体" w:cs="Times New Roman"/>
                      <w:color w:val="auto"/>
                      <w:kern w:val="2"/>
                      <w:sz w:val="21"/>
                      <w:szCs w:val="21"/>
                      <w:lang w:val="en-US" w:eastAsia="zh-CN" w:bidi="ar-SA"/>
                    </w:rPr>
                  </w:pPr>
                  <w:r>
                    <w:rPr>
                      <w:rFonts w:hint="eastAsia"/>
                      <w:color w:val="auto"/>
                      <w:sz w:val="21"/>
                      <w:szCs w:val="21"/>
                      <w:lang w:val="en-US" w:eastAsia="zh-CN"/>
                    </w:rPr>
                    <w:t>包装机</w:t>
                  </w:r>
                </w:p>
              </w:tc>
              <w:tc>
                <w:tcPr>
                  <w:tcW w:w="460" w:type="pct"/>
                  <w:tcBorders>
                    <w:tl2br w:val="nil"/>
                    <w:tr2bl w:val="nil"/>
                  </w:tcBorders>
                  <w:noWrap w:val="0"/>
                  <w:vAlign w:val="center"/>
                </w:tcPr>
                <w:p w14:paraId="16874516">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447910A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p>
              </w:tc>
              <w:tc>
                <w:tcPr>
                  <w:tcW w:w="936" w:type="pct"/>
                  <w:tcBorders>
                    <w:tl2br w:val="nil"/>
                    <w:tr2bl w:val="nil"/>
                  </w:tcBorders>
                  <w:noWrap w:val="0"/>
                  <w:vAlign w:val="center"/>
                </w:tcPr>
                <w:p w14:paraId="4835B54D">
                  <w:pPr>
                    <w:jc w:val="center"/>
                    <w:rPr>
                      <w:rFonts w:hint="eastAsia" w:ascii="Times New Roman" w:hAnsi="Times New Roman" w:eastAsia="宋体" w:cs="Times New Roman"/>
                      <w:color w:val="auto"/>
                      <w:kern w:val="2"/>
                      <w:sz w:val="21"/>
                      <w:szCs w:val="21"/>
                      <w:lang w:val="en-US" w:eastAsia="zh-CN" w:bidi="ar-SA"/>
                    </w:rPr>
                  </w:pPr>
                </w:p>
              </w:tc>
              <w:tc>
                <w:tcPr>
                  <w:tcW w:w="1078" w:type="pct"/>
                  <w:tcBorders>
                    <w:tl2br w:val="nil"/>
                    <w:tr2bl w:val="nil"/>
                  </w:tcBorders>
                  <w:noWrap w:val="0"/>
                  <w:vAlign w:val="center"/>
                </w:tcPr>
                <w:p w14:paraId="281A2692">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包装</w:t>
                  </w:r>
                </w:p>
              </w:tc>
            </w:tr>
            <w:tr w14:paraId="7FEDEC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1" w:type="pct"/>
                  <w:tcBorders>
                    <w:tl2br w:val="nil"/>
                    <w:tr2bl w:val="nil"/>
                  </w:tcBorders>
                  <w:noWrap w:val="0"/>
                  <w:vAlign w:val="center"/>
                </w:tcPr>
                <w:p w14:paraId="1426FF16">
                  <w:pPr>
                    <w:pStyle w:val="62"/>
                    <w:spacing w:beforeLines="0" w:afterLines="0"/>
                    <w:ind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eastAsia" w:cs="Times New Roman"/>
                      <w:color w:val="auto"/>
                      <w:sz w:val="21"/>
                      <w:szCs w:val="21"/>
                      <w:lang w:val="en-US" w:eastAsia="zh-CN"/>
                    </w:rPr>
                    <w:t>11</w:t>
                  </w:r>
                </w:p>
              </w:tc>
              <w:tc>
                <w:tcPr>
                  <w:tcW w:w="1195" w:type="pct"/>
                  <w:tcBorders>
                    <w:tl2br w:val="nil"/>
                    <w:tr2bl w:val="nil"/>
                  </w:tcBorders>
                  <w:noWrap w:val="0"/>
                  <w:vAlign w:val="center"/>
                </w:tcPr>
                <w:p w14:paraId="3E3EB9CD">
                  <w:pPr>
                    <w:keepNext w:val="0"/>
                    <w:keepLines w:val="0"/>
                    <w:widowControl/>
                    <w:suppressLineNumbers w:val="0"/>
                    <w:jc w:val="center"/>
                    <w:textAlignment w:val="center"/>
                    <w:rPr>
                      <w:rFonts w:hint="default" w:ascii="Times New Roman" w:hAnsi="宋体" w:eastAsia="宋体" w:cs="Times New Roman"/>
                      <w:color w:val="auto"/>
                      <w:kern w:val="2"/>
                      <w:sz w:val="21"/>
                      <w:szCs w:val="21"/>
                      <w:lang w:val="en-US" w:eastAsia="zh-CN" w:bidi="ar-SA"/>
                    </w:rPr>
                  </w:pPr>
                  <w:r>
                    <w:rPr>
                      <w:rFonts w:hint="eastAsia"/>
                      <w:color w:val="auto"/>
                      <w:sz w:val="21"/>
                      <w:szCs w:val="21"/>
                      <w:lang w:val="en-US" w:eastAsia="zh-CN"/>
                    </w:rPr>
                    <w:t>打包机</w:t>
                  </w:r>
                </w:p>
              </w:tc>
              <w:tc>
                <w:tcPr>
                  <w:tcW w:w="460" w:type="pct"/>
                  <w:tcBorders>
                    <w:tl2br w:val="nil"/>
                    <w:tr2bl w:val="nil"/>
                  </w:tcBorders>
                  <w:noWrap w:val="0"/>
                  <w:vAlign w:val="center"/>
                </w:tcPr>
                <w:p w14:paraId="58584796">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2333464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p>
              </w:tc>
              <w:tc>
                <w:tcPr>
                  <w:tcW w:w="936" w:type="pct"/>
                  <w:tcBorders>
                    <w:tl2br w:val="nil"/>
                    <w:tr2bl w:val="nil"/>
                  </w:tcBorders>
                  <w:noWrap w:val="0"/>
                  <w:vAlign w:val="center"/>
                </w:tcPr>
                <w:p w14:paraId="5F191475">
                  <w:pPr>
                    <w:jc w:val="center"/>
                    <w:rPr>
                      <w:rFonts w:hint="eastAsia" w:ascii="Times New Roman" w:hAnsi="Times New Roman" w:eastAsia="宋体" w:cs="Times New Roman"/>
                      <w:color w:val="auto"/>
                      <w:kern w:val="2"/>
                      <w:sz w:val="21"/>
                      <w:szCs w:val="21"/>
                      <w:lang w:val="en-US" w:eastAsia="zh-CN" w:bidi="ar-SA"/>
                    </w:rPr>
                  </w:pPr>
                </w:p>
              </w:tc>
              <w:tc>
                <w:tcPr>
                  <w:tcW w:w="1078" w:type="pct"/>
                  <w:tcBorders>
                    <w:tl2br w:val="nil"/>
                    <w:tr2bl w:val="nil"/>
                  </w:tcBorders>
                  <w:noWrap w:val="0"/>
                  <w:vAlign w:val="center"/>
                </w:tcPr>
                <w:p w14:paraId="07C23E8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打包</w:t>
                  </w:r>
                </w:p>
              </w:tc>
            </w:tr>
            <w:tr w14:paraId="74887F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1" w:type="pct"/>
                  <w:tcBorders>
                    <w:tl2br w:val="nil"/>
                    <w:tr2bl w:val="nil"/>
                  </w:tcBorders>
                  <w:noWrap w:val="0"/>
                  <w:vAlign w:val="center"/>
                </w:tcPr>
                <w:p w14:paraId="44CF797F">
                  <w:pPr>
                    <w:pStyle w:val="62"/>
                    <w:spacing w:beforeLines="0" w:afterLines="0"/>
                    <w:ind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eastAsia" w:cs="Times New Roman"/>
                      <w:color w:val="auto"/>
                      <w:sz w:val="21"/>
                      <w:szCs w:val="21"/>
                      <w:lang w:val="en-US" w:eastAsia="zh-CN"/>
                    </w:rPr>
                    <w:t>12</w:t>
                  </w:r>
                </w:p>
              </w:tc>
              <w:tc>
                <w:tcPr>
                  <w:tcW w:w="1195" w:type="pct"/>
                  <w:tcBorders>
                    <w:tl2br w:val="nil"/>
                    <w:tr2bl w:val="nil"/>
                  </w:tcBorders>
                  <w:noWrap w:val="0"/>
                  <w:vAlign w:val="center"/>
                </w:tcPr>
                <w:p w14:paraId="2B8F7FEE">
                  <w:pPr>
                    <w:keepNext w:val="0"/>
                    <w:keepLines w:val="0"/>
                    <w:widowControl/>
                    <w:suppressLineNumbers w:val="0"/>
                    <w:jc w:val="center"/>
                    <w:textAlignment w:val="center"/>
                    <w:rPr>
                      <w:rFonts w:hint="default" w:ascii="Times New Roman" w:hAnsi="宋体" w:eastAsia="宋体" w:cs="Times New Roman"/>
                      <w:color w:val="auto"/>
                      <w:kern w:val="2"/>
                      <w:sz w:val="21"/>
                      <w:szCs w:val="21"/>
                      <w:lang w:val="en-US" w:eastAsia="zh-CN" w:bidi="ar-SA"/>
                    </w:rPr>
                  </w:pPr>
                  <w:r>
                    <w:rPr>
                      <w:rFonts w:hint="eastAsia"/>
                      <w:color w:val="auto"/>
                      <w:sz w:val="21"/>
                      <w:szCs w:val="21"/>
                      <w:lang w:val="en-US" w:eastAsia="zh-CN"/>
                    </w:rPr>
                    <w:t>烘箱</w:t>
                  </w:r>
                </w:p>
              </w:tc>
              <w:tc>
                <w:tcPr>
                  <w:tcW w:w="460" w:type="pct"/>
                  <w:tcBorders>
                    <w:tl2br w:val="nil"/>
                    <w:tr2bl w:val="nil"/>
                  </w:tcBorders>
                  <w:noWrap w:val="0"/>
                  <w:vAlign w:val="center"/>
                </w:tcPr>
                <w:p w14:paraId="34C22FF4">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7B19BD8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p>
              </w:tc>
              <w:tc>
                <w:tcPr>
                  <w:tcW w:w="936" w:type="pct"/>
                  <w:tcBorders>
                    <w:tl2br w:val="nil"/>
                    <w:tr2bl w:val="nil"/>
                  </w:tcBorders>
                  <w:noWrap w:val="0"/>
                  <w:vAlign w:val="center"/>
                </w:tcPr>
                <w:p w14:paraId="0C81A73B">
                  <w:pPr>
                    <w:jc w:val="center"/>
                    <w:rPr>
                      <w:rFonts w:hint="eastAsia" w:ascii="Times New Roman" w:hAnsi="Times New Roman" w:eastAsia="宋体" w:cs="Times New Roman"/>
                      <w:color w:val="auto"/>
                      <w:kern w:val="2"/>
                      <w:sz w:val="21"/>
                      <w:szCs w:val="21"/>
                      <w:lang w:val="en-US" w:eastAsia="zh-CN" w:bidi="ar-SA"/>
                    </w:rPr>
                  </w:pPr>
                </w:p>
              </w:tc>
              <w:tc>
                <w:tcPr>
                  <w:tcW w:w="1078" w:type="pct"/>
                  <w:tcBorders>
                    <w:tl2br w:val="nil"/>
                    <w:tr2bl w:val="nil"/>
                  </w:tcBorders>
                  <w:noWrap w:val="0"/>
                  <w:vAlign w:val="center"/>
                </w:tcPr>
                <w:p w14:paraId="6C6DCC1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烘干</w:t>
                  </w:r>
                </w:p>
              </w:tc>
            </w:tr>
            <w:tr w14:paraId="58DD31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1" w:type="pct"/>
                  <w:tcBorders>
                    <w:tl2br w:val="nil"/>
                    <w:tr2bl w:val="nil"/>
                  </w:tcBorders>
                  <w:noWrap w:val="0"/>
                  <w:vAlign w:val="center"/>
                </w:tcPr>
                <w:p w14:paraId="2E113DA2">
                  <w:pPr>
                    <w:pStyle w:val="62"/>
                    <w:spacing w:beforeLines="0" w:afterLines="0"/>
                    <w:ind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eastAsia" w:cs="Times New Roman"/>
                      <w:color w:val="auto"/>
                      <w:sz w:val="21"/>
                      <w:szCs w:val="21"/>
                      <w:lang w:val="en-US" w:eastAsia="zh-CN"/>
                    </w:rPr>
                    <w:t>13</w:t>
                  </w:r>
                </w:p>
              </w:tc>
              <w:tc>
                <w:tcPr>
                  <w:tcW w:w="1195" w:type="pct"/>
                  <w:tcBorders>
                    <w:tl2br w:val="nil"/>
                    <w:tr2bl w:val="nil"/>
                  </w:tcBorders>
                  <w:noWrap w:val="0"/>
                  <w:vAlign w:val="center"/>
                </w:tcPr>
                <w:p w14:paraId="1C25466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叉车</w:t>
                  </w:r>
                </w:p>
              </w:tc>
              <w:tc>
                <w:tcPr>
                  <w:tcW w:w="460" w:type="pct"/>
                  <w:tcBorders>
                    <w:tl2br w:val="nil"/>
                    <w:tr2bl w:val="nil"/>
                  </w:tcBorders>
                  <w:noWrap w:val="0"/>
                  <w:vAlign w:val="center"/>
                </w:tcPr>
                <w:p w14:paraId="1D4455D4">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438C734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p>
              </w:tc>
              <w:tc>
                <w:tcPr>
                  <w:tcW w:w="936" w:type="pct"/>
                  <w:tcBorders>
                    <w:tl2br w:val="nil"/>
                    <w:tr2bl w:val="nil"/>
                  </w:tcBorders>
                  <w:noWrap w:val="0"/>
                  <w:vAlign w:val="center"/>
                </w:tcPr>
                <w:p w14:paraId="71091EDB">
                  <w:pPr>
                    <w:jc w:val="center"/>
                    <w:rPr>
                      <w:rFonts w:hint="eastAsia" w:ascii="Times New Roman" w:hAnsi="Times New Roman" w:eastAsia="宋体" w:cs="Times New Roman"/>
                      <w:color w:val="auto"/>
                      <w:kern w:val="2"/>
                      <w:sz w:val="21"/>
                      <w:szCs w:val="21"/>
                      <w:lang w:val="en-US" w:eastAsia="zh-CN" w:bidi="ar-SA"/>
                    </w:rPr>
                  </w:pPr>
                </w:p>
              </w:tc>
              <w:tc>
                <w:tcPr>
                  <w:tcW w:w="1078" w:type="pct"/>
                  <w:tcBorders>
                    <w:tl2br w:val="nil"/>
                    <w:tr2bl w:val="nil"/>
                  </w:tcBorders>
                  <w:noWrap w:val="0"/>
                  <w:vAlign w:val="center"/>
                </w:tcPr>
                <w:p w14:paraId="01D8118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周转运输</w:t>
                  </w:r>
                </w:p>
              </w:tc>
            </w:tr>
            <w:tr w14:paraId="18FCFE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1" w:type="pct"/>
                  <w:tcBorders>
                    <w:tl2br w:val="nil"/>
                    <w:tr2bl w:val="nil"/>
                  </w:tcBorders>
                  <w:noWrap w:val="0"/>
                  <w:vAlign w:val="center"/>
                </w:tcPr>
                <w:p w14:paraId="38AD0B57">
                  <w:pPr>
                    <w:pStyle w:val="62"/>
                    <w:spacing w:beforeLines="0" w:afterLines="0"/>
                    <w:ind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eastAsia" w:cs="Times New Roman"/>
                      <w:color w:val="auto"/>
                      <w:sz w:val="21"/>
                      <w:szCs w:val="21"/>
                      <w:lang w:val="en-US" w:eastAsia="zh-CN"/>
                    </w:rPr>
                    <w:t>14</w:t>
                  </w:r>
                </w:p>
              </w:tc>
              <w:tc>
                <w:tcPr>
                  <w:tcW w:w="1195" w:type="pct"/>
                  <w:tcBorders>
                    <w:tl2br w:val="nil"/>
                    <w:tr2bl w:val="nil"/>
                  </w:tcBorders>
                  <w:noWrap w:val="0"/>
                  <w:vAlign w:val="center"/>
                </w:tcPr>
                <w:p w14:paraId="6AAD18AC">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升降叉车</w:t>
                  </w:r>
                </w:p>
              </w:tc>
              <w:tc>
                <w:tcPr>
                  <w:tcW w:w="460" w:type="pct"/>
                  <w:tcBorders>
                    <w:tl2br w:val="nil"/>
                    <w:tr2bl w:val="nil"/>
                  </w:tcBorders>
                  <w:noWrap w:val="0"/>
                  <w:vAlign w:val="center"/>
                </w:tcPr>
                <w:p w14:paraId="46504B85">
                  <w:pPr>
                    <w:spacing w:beforeLines="0" w:afterLine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2618E16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w:t>
                  </w:r>
                </w:p>
              </w:tc>
              <w:tc>
                <w:tcPr>
                  <w:tcW w:w="936" w:type="pct"/>
                  <w:tcBorders>
                    <w:tl2br w:val="nil"/>
                    <w:tr2bl w:val="nil"/>
                  </w:tcBorders>
                  <w:noWrap w:val="0"/>
                  <w:vAlign w:val="center"/>
                </w:tcPr>
                <w:p w14:paraId="72974710">
                  <w:pPr>
                    <w:pStyle w:val="62"/>
                    <w:spacing w:beforeLines="0" w:afterLines="0"/>
                    <w:ind w:firstLine="0" w:firstLineChars="0"/>
                    <w:jc w:val="center"/>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078" w:type="pct"/>
                  <w:tcBorders>
                    <w:tl2br w:val="nil"/>
                    <w:tr2bl w:val="nil"/>
                  </w:tcBorders>
                  <w:noWrap w:val="0"/>
                  <w:vAlign w:val="center"/>
                </w:tcPr>
                <w:p w14:paraId="7FA1687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周转运输</w:t>
                  </w:r>
                </w:p>
              </w:tc>
            </w:tr>
            <w:tr w14:paraId="051040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1" w:type="pct"/>
                  <w:tcBorders>
                    <w:tl2br w:val="nil"/>
                    <w:tr2bl w:val="nil"/>
                  </w:tcBorders>
                  <w:noWrap w:val="0"/>
                  <w:vAlign w:val="center"/>
                </w:tcPr>
                <w:p w14:paraId="1FF65BAB">
                  <w:pPr>
                    <w:pStyle w:val="62"/>
                    <w:spacing w:beforeLines="0" w:afterLines="0"/>
                    <w:ind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eastAsia" w:cs="Times New Roman"/>
                      <w:color w:val="auto"/>
                      <w:sz w:val="21"/>
                      <w:szCs w:val="21"/>
                      <w:lang w:val="en-US" w:eastAsia="zh-CN"/>
                    </w:rPr>
                    <w:t>15</w:t>
                  </w:r>
                </w:p>
              </w:tc>
              <w:tc>
                <w:tcPr>
                  <w:tcW w:w="1195" w:type="pct"/>
                  <w:tcBorders>
                    <w:tl2br w:val="nil"/>
                    <w:tr2bl w:val="nil"/>
                  </w:tcBorders>
                  <w:noWrap w:val="0"/>
                  <w:vAlign w:val="center"/>
                </w:tcPr>
                <w:p w14:paraId="5E57E3C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快速液压机</w:t>
                  </w:r>
                </w:p>
              </w:tc>
              <w:tc>
                <w:tcPr>
                  <w:tcW w:w="460" w:type="pct"/>
                  <w:tcBorders>
                    <w:tl2br w:val="nil"/>
                    <w:tr2bl w:val="nil"/>
                  </w:tcBorders>
                  <w:noWrap w:val="0"/>
                  <w:vAlign w:val="center"/>
                </w:tcPr>
                <w:p w14:paraId="3BFE79D6">
                  <w:pPr>
                    <w:spacing w:beforeLines="0" w:afterLine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台</w:t>
                  </w:r>
                </w:p>
              </w:tc>
              <w:tc>
                <w:tcPr>
                  <w:tcW w:w="877" w:type="pct"/>
                  <w:tcBorders>
                    <w:tl2br w:val="nil"/>
                    <w:tr2bl w:val="nil"/>
                  </w:tcBorders>
                  <w:noWrap w:val="0"/>
                  <w:vAlign w:val="center"/>
                </w:tcPr>
                <w:p w14:paraId="0407C8C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2</w:t>
                  </w:r>
                </w:p>
              </w:tc>
              <w:tc>
                <w:tcPr>
                  <w:tcW w:w="936" w:type="pct"/>
                  <w:tcBorders>
                    <w:tl2br w:val="nil"/>
                    <w:tr2bl w:val="nil"/>
                  </w:tcBorders>
                  <w:noWrap w:val="0"/>
                  <w:vAlign w:val="center"/>
                </w:tcPr>
                <w:p w14:paraId="14D88B18">
                  <w:pPr>
                    <w:pStyle w:val="62"/>
                    <w:spacing w:beforeLines="0" w:afterLines="0"/>
                    <w:ind w:firstLine="0" w:firstLineChars="0"/>
                    <w:jc w:val="center"/>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078" w:type="pct"/>
                  <w:tcBorders>
                    <w:tl2br w:val="nil"/>
                    <w:tr2bl w:val="nil"/>
                  </w:tcBorders>
                  <w:noWrap w:val="0"/>
                  <w:vAlign w:val="center"/>
                </w:tcPr>
                <w:p w14:paraId="625F1C6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协助上下货</w:t>
                  </w:r>
                </w:p>
              </w:tc>
            </w:tr>
          </w:tbl>
          <w:p w14:paraId="470B5EA7">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6</w:t>
            </w:r>
            <w:r>
              <w:rPr>
                <w:rFonts w:hint="default" w:ascii="Times New Roman" w:hAnsi="Times New Roman" w:cs="Times New Roman"/>
                <w:b/>
                <w:color w:val="auto"/>
                <w:sz w:val="24"/>
                <w:highlight w:val="none"/>
              </w:rPr>
              <w:t>、项目原辅材料消耗、理化性质</w:t>
            </w:r>
          </w:p>
          <w:p w14:paraId="6ABA3FA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eastAsia="zh-CN"/>
              </w:rPr>
              <w:t>（</w:t>
            </w:r>
            <w:r>
              <w:rPr>
                <w:rFonts w:hint="eastAsia" w:ascii="Times New Roman" w:hAnsi="Times New Roman" w:cs="Times New Roman"/>
                <w:b/>
                <w:bCs/>
                <w:color w:val="auto"/>
                <w:sz w:val="24"/>
                <w:highlight w:val="none"/>
                <w:lang w:val="en-US" w:eastAsia="zh-CN"/>
              </w:rPr>
              <w:t>1</w:t>
            </w:r>
            <w:r>
              <w:rPr>
                <w:rFonts w:hint="eastAsia"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原辅材料消耗表</w:t>
            </w:r>
          </w:p>
          <w:p w14:paraId="5A74A31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lang w:eastAsia="zh-CN"/>
              </w:rPr>
              <w:t>表2-</w:t>
            </w:r>
            <w:r>
              <w:rPr>
                <w:rFonts w:hint="eastAsia" w:ascii="Times New Roman" w:hAnsi="Times New Roman" w:eastAsia="宋体" w:cs="Times New Roman"/>
                <w:b/>
                <w:bCs/>
                <w:color w:val="auto"/>
                <w:kern w:val="0"/>
                <w:sz w:val="21"/>
                <w:szCs w:val="21"/>
                <w:highlight w:val="none"/>
                <w:lang w:val="en-US" w:eastAsia="zh-CN"/>
              </w:rPr>
              <w:t>7</w:t>
            </w:r>
            <w:r>
              <w:rPr>
                <w:rFonts w:hint="default" w:ascii="Times New Roman" w:hAnsi="Times New Roman" w:eastAsia="宋体" w:cs="Times New Roman"/>
                <w:b/>
                <w:bCs/>
                <w:color w:val="auto"/>
                <w:kern w:val="0"/>
                <w:sz w:val="21"/>
                <w:szCs w:val="21"/>
                <w:highlight w:val="none"/>
                <w:lang w:eastAsia="zh-CN"/>
              </w:rPr>
              <w:t xml:space="preserve"> </w:t>
            </w:r>
            <w:r>
              <w:rPr>
                <w:rFonts w:hint="eastAsia" w:ascii="Times New Roman" w:hAnsi="Times New Roman" w:eastAsia="宋体" w:cs="Times New Roman"/>
                <w:b/>
                <w:bCs/>
                <w:color w:val="auto"/>
                <w:kern w:val="0"/>
                <w:sz w:val="21"/>
                <w:szCs w:val="21"/>
                <w:highlight w:val="none"/>
                <w:lang w:eastAsia="zh-CN"/>
              </w:rPr>
              <w:t>项目</w:t>
            </w:r>
            <w:r>
              <w:rPr>
                <w:rFonts w:hint="default" w:ascii="Times New Roman" w:hAnsi="Times New Roman" w:eastAsia="宋体" w:cs="Times New Roman"/>
                <w:b/>
                <w:bCs/>
                <w:color w:val="auto"/>
                <w:kern w:val="0"/>
                <w:sz w:val="21"/>
                <w:szCs w:val="21"/>
                <w:highlight w:val="none"/>
                <w:lang w:eastAsia="zh-CN"/>
              </w:rPr>
              <w:t>原辅材料消耗表</w:t>
            </w:r>
          </w:p>
          <w:tbl>
            <w:tblPr>
              <w:tblStyle w:val="26"/>
              <w:tblW w:w="4996"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6"/>
              <w:gridCol w:w="966"/>
              <w:gridCol w:w="1017"/>
              <w:gridCol w:w="917"/>
              <w:gridCol w:w="823"/>
              <w:gridCol w:w="923"/>
              <w:gridCol w:w="623"/>
              <w:gridCol w:w="804"/>
              <w:gridCol w:w="944"/>
            </w:tblGrid>
            <w:tr w14:paraId="42CB01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2" w:hRule="atLeast"/>
                <w:tblHeader/>
                <w:jc w:val="center"/>
              </w:trPr>
              <w:tc>
                <w:tcPr>
                  <w:tcW w:w="367" w:type="pct"/>
                  <w:tcBorders>
                    <w:tl2br w:val="nil"/>
                    <w:tr2bl w:val="nil"/>
                  </w:tcBorders>
                  <w:noWrap w:val="0"/>
                  <w:vAlign w:val="center"/>
                </w:tcPr>
                <w:p w14:paraId="142D51CB">
                  <w:pPr>
                    <w:pStyle w:val="62"/>
                    <w:spacing w:beforeLines="0" w:afterLines="0"/>
                    <w:rPr>
                      <w:rFonts w:ascii="Times New Roman" w:hAnsi="Times New Roman" w:eastAsia="宋体" w:cs="Times New Roman"/>
                      <w:b/>
                      <w:bCs/>
                      <w:color w:val="auto"/>
                    </w:rPr>
                  </w:pPr>
                  <w:r>
                    <w:rPr>
                      <w:rFonts w:hint="eastAsia" w:ascii="Times New Roman" w:hAnsi="Times New Roman" w:eastAsia="宋体" w:cs="Times New Roman"/>
                      <w:b/>
                      <w:bCs/>
                      <w:color w:val="auto"/>
                    </w:rPr>
                    <w:t>序号</w:t>
                  </w:r>
                </w:p>
              </w:tc>
              <w:tc>
                <w:tcPr>
                  <w:tcW w:w="637" w:type="pct"/>
                  <w:tcBorders>
                    <w:tl2br w:val="nil"/>
                    <w:tr2bl w:val="nil"/>
                  </w:tcBorders>
                  <w:noWrap w:val="0"/>
                  <w:vAlign w:val="center"/>
                </w:tcPr>
                <w:p w14:paraId="4FB5478A">
                  <w:pPr>
                    <w:pStyle w:val="62"/>
                    <w:spacing w:beforeLines="0" w:afterLines="0"/>
                    <w:rPr>
                      <w:rFonts w:ascii="Times New Roman" w:hAnsi="Times New Roman" w:eastAsia="宋体" w:cs="Times New Roman"/>
                      <w:b/>
                      <w:bCs/>
                      <w:color w:val="auto"/>
                    </w:rPr>
                  </w:pPr>
                  <w:r>
                    <w:rPr>
                      <w:rFonts w:hint="eastAsia" w:ascii="Times New Roman" w:hAnsi="Times New Roman" w:eastAsia="宋体" w:cs="Times New Roman"/>
                      <w:b/>
                      <w:bCs/>
                      <w:color w:val="auto"/>
                    </w:rPr>
                    <w:t>名称</w:t>
                  </w:r>
                </w:p>
              </w:tc>
              <w:tc>
                <w:tcPr>
                  <w:tcW w:w="671" w:type="pct"/>
                  <w:tcBorders>
                    <w:tl2br w:val="nil"/>
                    <w:tr2bl w:val="nil"/>
                  </w:tcBorders>
                  <w:noWrap w:val="0"/>
                  <w:vAlign w:val="center"/>
                </w:tcPr>
                <w:p w14:paraId="494FCF62">
                  <w:pPr>
                    <w:pStyle w:val="62"/>
                    <w:spacing w:beforeLines="0" w:afterLines="0"/>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rPr>
                    <w:t>年耗量</w:t>
                  </w:r>
                  <w:r>
                    <w:rPr>
                      <w:rFonts w:hint="eastAsia" w:cs="Times New Roman"/>
                      <w:b/>
                      <w:bCs/>
                      <w:color w:val="auto"/>
                      <w:lang w:val="en-US" w:eastAsia="zh-CN"/>
                    </w:rPr>
                    <w:t>t</w:t>
                  </w:r>
                </w:p>
              </w:tc>
              <w:tc>
                <w:tcPr>
                  <w:tcW w:w="605" w:type="pct"/>
                  <w:tcBorders>
                    <w:tl2br w:val="nil"/>
                    <w:tr2bl w:val="nil"/>
                  </w:tcBorders>
                  <w:noWrap w:val="0"/>
                  <w:vAlign w:val="center"/>
                </w:tcPr>
                <w:p w14:paraId="49BA7F8D">
                  <w:pPr>
                    <w:pStyle w:val="62"/>
                    <w:spacing w:beforeLines="0" w:afterLines="0"/>
                    <w:rPr>
                      <w:rFonts w:ascii="Times New Roman" w:hAnsi="Times New Roman" w:eastAsia="宋体" w:cs="Times New Roman"/>
                      <w:b/>
                      <w:bCs/>
                      <w:color w:val="auto"/>
                    </w:rPr>
                  </w:pPr>
                  <w:r>
                    <w:rPr>
                      <w:rFonts w:hint="eastAsia" w:ascii="Times New Roman" w:hAnsi="Times New Roman" w:eastAsia="宋体" w:cs="Times New Roman"/>
                      <w:b/>
                      <w:bCs/>
                      <w:color w:val="auto"/>
                    </w:rPr>
                    <w:t>最大储存量</w:t>
                  </w:r>
                  <w:r>
                    <w:rPr>
                      <w:rFonts w:hint="eastAsia" w:cs="Times New Roman"/>
                      <w:b/>
                      <w:bCs/>
                      <w:color w:val="auto"/>
                      <w:lang w:val="en-US" w:eastAsia="zh-CN"/>
                    </w:rPr>
                    <w:t>t</w:t>
                  </w:r>
                </w:p>
              </w:tc>
              <w:tc>
                <w:tcPr>
                  <w:tcW w:w="543" w:type="pct"/>
                  <w:tcBorders>
                    <w:tl2br w:val="nil"/>
                    <w:tr2bl w:val="nil"/>
                  </w:tcBorders>
                  <w:noWrap w:val="0"/>
                  <w:vAlign w:val="center"/>
                </w:tcPr>
                <w:p w14:paraId="75AE5CE3">
                  <w:pPr>
                    <w:pStyle w:val="62"/>
                    <w:spacing w:beforeLines="0" w:afterLines="0"/>
                    <w:rPr>
                      <w:rFonts w:hint="eastAsia" w:ascii="Times New Roman" w:hAnsi="Times New Roman" w:eastAsia="宋体" w:cs="Times New Roman"/>
                      <w:b/>
                      <w:bCs/>
                      <w:color w:val="auto"/>
                      <w:lang w:eastAsia="zh-CN"/>
                    </w:rPr>
                  </w:pPr>
                  <w:r>
                    <w:rPr>
                      <w:rFonts w:hint="eastAsia" w:ascii="Times New Roman" w:hAnsi="Times New Roman" w:eastAsia="宋体" w:cs="Times New Roman"/>
                      <w:b/>
                      <w:bCs/>
                      <w:color w:val="auto"/>
                      <w:lang w:eastAsia="zh-CN"/>
                    </w:rPr>
                    <w:t>储存周期</w:t>
                  </w:r>
                </w:p>
              </w:tc>
              <w:tc>
                <w:tcPr>
                  <w:tcW w:w="609" w:type="pct"/>
                  <w:tcBorders>
                    <w:tl2br w:val="nil"/>
                    <w:tr2bl w:val="nil"/>
                  </w:tcBorders>
                  <w:noWrap w:val="0"/>
                  <w:vAlign w:val="center"/>
                </w:tcPr>
                <w:p w14:paraId="1B764128">
                  <w:pPr>
                    <w:pStyle w:val="62"/>
                    <w:spacing w:beforeLines="0" w:afterLines="0"/>
                    <w:rPr>
                      <w:rFonts w:ascii="Times New Roman" w:hAnsi="Times New Roman" w:eastAsia="宋体" w:cs="Times New Roman"/>
                      <w:b/>
                      <w:bCs/>
                      <w:color w:val="auto"/>
                    </w:rPr>
                  </w:pPr>
                  <w:r>
                    <w:rPr>
                      <w:rFonts w:hint="eastAsia" w:ascii="Times New Roman" w:hAnsi="Times New Roman" w:eastAsia="宋体" w:cs="Times New Roman"/>
                      <w:b/>
                      <w:bCs/>
                      <w:color w:val="auto"/>
                    </w:rPr>
                    <w:t>规格成分</w:t>
                  </w:r>
                </w:p>
              </w:tc>
              <w:tc>
                <w:tcPr>
                  <w:tcW w:w="411" w:type="pct"/>
                  <w:tcBorders>
                    <w:tl2br w:val="nil"/>
                    <w:tr2bl w:val="nil"/>
                  </w:tcBorders>
                  <w:noWrap w:val="0"/>
                  <w:vAlign w:val="center"/>
                </w:tcPr>
                <w:p w14:paraId="44CF103F">
                  <w:pPr>
                    <w:pStyle w:val="62"/>
                    <w:spacing w:beforeLines="0" w:afterLines="0"/>
                    <w:rPr>
                      <w:rFonts w:ascii="Times New Roman" w:hAnsi="Times New Roman" w:eastAsia="宋体" w:cs="Times New Roman"/>
                      <w:b/>
                      <w:bCs/>
                      <w:color w:val="auto"/>
                    </w:rPr>
                  </w:pPr>
                  <w:r>
                    <w:rPr>
                      <w:rFonts w:hint="eastAsia" w:ascii="Times New Roman" w:hAnsi="Times New Roman" w:eastAsia="宋体" w:cs="Times New Roman"/>
                      <w:b/>
                      <w:bCs/>
                      <w:color w:val="auto"/>
                    </w:rPr>
                    <w:t>物态</w:t>
                  </w:r>
                </w:p>
              </w:tc>
              <w:tc>
                <w:tcPr>
                  <w:tcW w:w="530" w:type="pct"/>
                  <w:tcBorders>
                    <w:tl2br w:val="nil"/>
                    <w:tr2bl w:val="nil"/>
                  </w:tcBorders>
                  <w:noWrap w:val="0"/>
                  <w:vAlign w:val="center"/>
                </w:tcPr>
                <w:p w14:paraId="15A97BA2">
                  <w:pPr>
                    <w:pStyle w:val="62"/>
                    <w:spacing w:beforeLines="0" w:afterLines="0"/>
                    <w:rPr>
                      <w:rFonts w:ascii="Times New Roman" w:hAnsi="Times New Roman" w:eastAsia="宋体" w:cs="Times New Roman"/>
                      <w:b/>
                      <w:bCs/>
                      <w:color w:val="auto"/>
                    </w:rPr>
                  </w:pPr>
                  <w:r>
                    <w:rPr>
                      <w:rFonts w:hint="eastAsia" w:ascii="Times New Roman" w:hAnsi="Times New Roman" w:eastAsia="宋体" w:cs="Times New Roman"/>
                      <w:b/>
                      <w:bCs/>
                      <w:color w:val="auto"/>
                    </w:rPr>
                    <w:t>包装方式</w:t>
                  </w:r>
                </w:p>
              </w:tc>
              <w:tc>
                <w:tcPr>
                  <w:tcW w:w="622" w:type="pct"/>
                  <w:tcBorders>
                    <w:tl2br w:val="nil"/>
                    <w:tr2bl w:val="nil"/>
                  </w:tcBorders>
                  <w:noWrap w:val="0"/>
                  <w:vAlign w:val="center"/>
                </w:tcPr>
                <w:p w14:paraId="7A6AF507">
                  <w:pPr>
                    <w:pStyle w:val="62"/>
                    <w:spacing w:beforeLines="0" w:afterLines="0"/>
                    <w:rPr>
                      <w:rFonts w:ascii="Times New Roman" w:hAnsi="Times New Roman" w:eastAsia="宋体" w:cs="Times New Roman"/>
                      <w:b/>
                      <w:bCs/>
                      <w:color w:val="auto"/>
                    </w:rPr>
                  </w:pPr>
                  <w:r>
                    <w:rPr>
                      <w:rFonts w:hint="eastAsia" w:ascii="Times New Roman" w:hAnsi="Times New Roman" w:eastAsia="宋体" w:cs="Times New Roman"/>
                      <w:b/>
                      <w:bCs/>
                      <w:color w:val="auto"/>
                    </w:rPr>
                    <w:t>储存方式</w:t>
                  </w:r>
                </w:p>
              </w:tc>
            </w:tr>
            <w:tr w14:paraId="799EDB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67" w:type="pct"/>
                  <w:tcBorders>
                    <w:tl2br w:val="nil"/>
                    <w:tr2bl w:val="nil"/>
                  </w:tcBorders>
                  <w:noWrap w:val="0"/>
                  <w:vAlign w:val="center"/>
                </w:tcPr>
                <w:p w14:paraId="37DDD3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p>
              </w:tc>
              <w:tc>
                <w:tcPr>
                  <w:tcW w:w="637" w:type="pct"/>
                  <w:tcBorders>
                    <w:tl2br w:val="nil"/>
                    <w:tr2bl w:val="nil"/>
                  </w:tcBorders>
                  <w:noWrap w:val="0"/>
                  <w:vAlign w:val="center"/>
                </w:tcPr>
                <w:p w14:paraId="573643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钢背</w:t>
                  </w:r>
                </w:p>
              </w:tc>
              <w:tc>
                <w:tcPr>
                  <w:tcW w:w="671" w:type="pct"/>
                  <w:tcBorders>
                    <w:tl2br w:val="nil"/>
                    <w:tr2bl w:val="nil"/>
                  </w:tcBorders>
                  <w:noWrap w:val="0"/>
                  <w:vAlign w:val="center"/>
                </w:tcPr>
                <w:p w14:paraId="1EB85AAB">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120</w:t>
                  </w:r>
                </w:p>
              </w:tc>
              <w:tc>
                <w:tcPr>
                  <w:tcW w:w="605" w:type="pct"/>
                  <w:tcBorders>
                    <w:tl2br w:val="nil"/>
                    <w:tr2bl w:val="nil"/>
                  </w:tcBorders>
                  <w:noWrap w:val="0"/>
                  <w:vAlign w:val="center"/>
                </w:tcPr>
                <w:p w14:paraId="27DEEC85">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10</w:t>
                  </w:r>
                </w:p>
              </w:tc>
              <w:tc>
                <w:tcPr>
                  <w:tcW w:w="543" w:type="pct"/>
                  <w:tcBorders>
                    <w:tl2br w:val="nil"/>
                    <w:tr2bl w:val="nil"/>
                  </w:tcBorders>
                  <w:noWrap w:val="0"/>
                  <w:vAlign w:val="center"/>
                </w:tcPr>
                <w:p w14:paraId="35080B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49F8F8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低碳钢</w:t>
                  </w:r>
                </w:p>
              </w:tc>
              <w:tc>
                <w:tcPr>
                  <w:tcW w:w="411" w:type="pct"/>
                  <w:tcBorders>
                    <w:tl2br w:val="nil"/>
                    <w:tr2bl w:val="nil"/>
                  </w:tcBorders>
                  <w:noWrap w:val="0"/>
                  <w:vAlign w:val="center"/>
                </w:tcPr>
                <w:p w14:paraId="673BF6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纤维</w:t>
                  </w:r>
                </w:p>
              </w:tc>
              <w:tc>
                <w:tcPr>
                  <w:tcW w:w="530" w:type="pct"/>
                  <w:tcBorders>
                    <w:tl2br w:val="nil"/>
                    <w:tr2bl w:val="nil"/>
                  </w:tcBorders>
                  <w:noWrap w:val="0"/>
                  <w:vAlign w:val="center"/>
                </w:tcPr>
                <w:p w14:paraId="239164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纸皮袋</w:t>
                  </w:r>
                </w:p>
              </w:tc>
              <w:tc>
                <w:tcPr>
                  <w:tcW w:w="622" w:type="pct"/>
                  <w:tcBorders>
                    <w:tl2br w:val="nil"/>
                    <w:tr2bl w:val="nil"/>
                  </w:tcBorders>
                  <w:noWrap w:val="0"/>
                  <w:vAlign w:val="center"/>
                </w:tcPr>
                <w:p w14:paraId="59FD59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袋装隔离</w:t>
                  </w:r>
                </w:p>
              </w:tc>
            </w:tr>
            <w:tr w14:paraId="599764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67" w:type="pct"/>
                  <w:tcBorders>
                    <w:tl2br w:val="nil"/>
                    <w:tr2bl w:val="nil"/>
                  </w:tcBorders>
                  <w:noWrap w:val="0"/>
                  <w:vAlign w:val="center"/>
                </w:tcPr>
                <w:p w14:paraId="05B598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637" w:type="pct"/>
                  <w:tcBorders>
                    <w:tl2br w:val="nil"/>
                    <w:tr2bl w:val="nil"/>
                  </w:tcBorders>
                  <w:noWrap w:val="0"/>
                  <w:vAlign w:val="center"/>
                </w:tcPr>
                <w:p w14:paraId="0488EA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硫酸钡</w:t>
                  </w:r>
                </w:p>
              </w:tc>
              <w:tc>
                <w:tcPr>
                  <w:tcW w:w="671" w:type="pct"/>
                  <w:tcBorders>
                    <w:tl2br w:val="nil"/>
                    <w:tr2bl w:val="nil"/>
                  </w:tcBorders>
                  <w:noWrap w:val="0"/>
                  <w:vAlign w:val="center"/>
                </w:tcPr>
                <w:p w14:paraId="1BBA8E2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snapToGrid w:val="0"/>
                      <w:color w:val="auto"/>
                      <w:kern w:val="0"/>
                      <w:sz w:val="21"/>
                      <w:szCs w:val="21"/>
                      <w:u w:val="none"/>
                      <w:lang w:val="en-US" w:eastAsia="zh-CN" w:bidi="ar"/>
                    </w:rPr>
                    <w:t>200</w:t>
                  </w:r>
                </w:p>
              </w:tc>
              <w:tc>
                <w:tcPr>
                  <w:tcW w:w="605" w:type="pct"/>
                  <w:tcBorders>
                    <w:tl2br w:val="nil"/>
                    <w:tr2bl w:val="nil"/>
                  </w:tcBorders>
                  <w:noWrap w:val="0"/>
                  <w:vAlign w:val="center"/>
                </w:tcPr>
                <w:p w14:paraId="303CB39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snapToGrid w:val="0"/>
                      <w:color w:val="auto"/>
                      <w:kern w:val="0"/>
                      <w:sz w:val="21"/>
                      <w:szCs w:val="21"/>
                      <w:u w:val="none"/>
                      <w:lang w:val="en-US" w:eastAsia="zh-CN" w:bidi="ar"/>
                    </w:rPr>
                    <w:t>20</w:t>
                  </w:r>
                </w:p>
              </w:tc>
              <w:tc>
                <w:tcPr>
                  <w:tcW w:w="543" w:type="pct"/>
                  <w:tcBorders>
                    <w:tl2br w:val="nil"/>
                    <w:tr2bl w:val="nil"/>
                  </w:tcBorders>
                  <w:noWrap w:val="0"/>
                  <w:vAlign w:val="center"/>
                </w:tcPr>
                <w:p w14:paraId="54C951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576CFD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矿粉</w:t>
                  </w:r>
                </w:p>
              </w:tc>
              <w:tc>
                <w:tcPr>
                  <w:tcW w:w="411" w:type="pct"/>
                  <w:tcBorders>
                    <w:tl2br w:val="nil"/>
                    <w:tr2bl w:val="nil"/>
                  </w:tcBorders>
                  <w:noWrap w:val="0"/>
                  <w:vAlign w:val="center"/>
                </w:tcPr>
                <w:p w14:paraId="38EA37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粉末</w:t>
                  </w:r>
                </w:p>
              </w:tc>
              <w:tc>
                <w:tcPr>
                  <w:tcW w:w="530" w:type="pct"/>
                  <w:tcBorders>
                    <w:tl2br w:val="nil"/>
                    <w:tr2bl w:val="nil"/>
                  </w:tcBorders>
                  <w:noWrap w:val="0"/>
                  <w:vAlign w:val="center"/>
                </w:tcPr>
                <w:p w14:paraId="214A2E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编织袋</w:t>
                  </w:r>
                </w:p>
              </w:tc>
              <w:tc>
                <w:tcPr>
                  <w:tcW w:w="622" w:type="pct"/>
                  <w:tcBorders>
                    <w:tl2br w:val="nil"/>
                    <w:tr2bl w:val="nil"/>
                  </w:tcBorders>
                  <w:noWrap w:val="0"/>
                  <w:vAlign w:val="center"/>
                </w:tcPr>
                <w:p w14:paraId="572DBC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袋装隔离</w:t>
                  </w:r>
                </w:p>
              </w:tc>
            </w:tr>
            <w:tr w14:paraId="46B52F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67" w:type="pct"/>
                  <w:tcBorders>
                    <w:tl2br w:val="nil"/>
                    <w:tr2bl w:val="nil"/>
                  </w:tcBorders>
                  <w:noWrap w:val="0"/>
                  <w:vAlign w:val="center"/>
                </w:tcPr>
                <w:p w14:paraId="078A92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637" w:type="pct"/>
                  <w:tcBorders>
                    <w:tl2br w:val="nil"/>
                    <w:tr2bl w:val="nil"/>
                  </w:tcBorders>
                  <w:noWrap w:val="0"/>
                  <w:vAlign w:val="center"/>
                </w:tcPr>
                <w:p w14:paraId="73DFB0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铁矿粉</w:t>
                  </w:r>
                </w:p>
              </w:tc>
              <w:tc>
                <w:tcPr>
                  <w:tcW w:w="671" w:type="pct"/>
                  <w:tcBorders>
                    <w:tl2br w:val="nil"/>
                    <w:tr2bl w:val="nil"/>
                  </w:tcBorders>
                  <w:noWrap w:val="0"/>
                  <w:vAlign w:val="center"/>
                </w:tcPr>
                <w:p w14:paraId="3A4188D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snapToGrid w:val="0"/>
                      <w:color w:val="auto"/>
                      <w:kern w:val="0"/>
                      <w:sz w:val="21"/>
                      <w:szCs w:val="21"/>
                      <w:u w:val="none"/>
                      <w:lang w:val="en-US" w:eastAsia="zh-CN" w:bidi="ar"/>
                    </w:rPr>
                    <w:t>24</w:t>
                  </w:r>
                </w:p>
              </w:tc>
              <w:tc>
                <w:tcPr>
                  <w:tcW w:w="605" w:type="pct"/>
                  <w:tcBorders>
                    <w:tl2br w:val="nil"/>
                    <w:tr2bl w:val="nil"/>
                  </w:tcBorders>
                  <w:noWrap w:val="0"/>
                  <w:vAlign w:val="center"/>
                </w:tcPr>
                <w:p w14:paraId="65428D1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snapToGrid w:val="0"/>
                      <w:color w:val="auto"/>
                      <w:kern w:val="0"/>
                      <w:sz w:val="21"/>
                      <w:szCs w:val="21"/>
                      <w:u w:val="none"/>
                      <w:lang w:val="en-US" w:eastAsia="zh-CN" w:bidi="ar"/>
                    </w:rPr>
                    <w:t>2</w:t>
                  </w:r>
                </w:p>
              </w:tc>
              <w:tc>
                <w:tcPr>
                  <w:tcW w:w="543" w:type="pct"/>
                  <w:tcBorders>
                    <w:tl2br w:val="nil"/>
                    <w:tr2bl w:val="nil"/>
                  </w:tcBorders>
                  <w:noWrap w:val="0"/>
                  <w:vAlign w:val="center"/>
                </w:tcPr>
                <w:p w14:paraId="53C938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7C777E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矿粉</w:t>
                  </w:r>
                </w:p>
              </w:tc>
              <w:tc>
                <w:tcPr>
                  <w:tcW w:w="411" w:type="pct"/>
                  <w:tcBorders>
                    <w:tl2br w:val="nil"/>
                    <w:tr2bl w:val="nil"/>
                  </w:tcBorders>
                  <w:noWrap w:val="0"/>
                  <w:vAlign w:val="center"/>
                </w:tcPr>
                <w:p w14:paraId="5086C4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粉末</w:t>
                  </w:r>
                </w:p>
              </w:tc>
              <w:tc>
                <w:tcPr>
                  <w:tcW w:w="530" w:type="pct"/>
                  <w:tcBorders>
                    <w:tl2br w:val="nil"/>
                    <w:tr2bl w:val="nil"/>
                  </w:tcBorders>
                  <w:noWrap w:val="0"/>
                  <w:vAlign w:val="center"/>
                </w:tcPr>
                <w:p w14:paraId="45C14D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纸皮袋</w:t>
                  </w:r>
                </w:p>
              </w:tc>
              <w:tc>
                <w:tcPr>
                  <w:tcW w:w="622" w:type="pct"/>
                  <w:tcBorders>
                    <w:tl2br w:val="nil"/>
                    <w:tr2bl w:val="nil"/>
                  </w:tcBorders>
                  <w:noWrap w:val="0"/>
                  <w:vAlign w:val="center"/>
                </w:tcPr>
                <w:p w14:paraId="047692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袋装隔离</w:t>
                  </w:r>
                </w:p>
              </w:tc>
            </w:tr>
            <w:tr w14:paraId="7C5793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67" w:type="pct"/>
                  <w:tcBorders>
                    <w:tl2br w:val="nil"/>
                    <w:tr2bl w:val="nil"/>
                  </w:tcBorders>
                  <w:noWrap w:val="0"/>
                  <w:vAlign w:val="center"/>
                </w:tcPr>
                <w:p w14:paraId="13D273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637" w:type="pct"/>
                  <w:tcBorders>
                    <w:tl2br w:val="nil"/>
                    <w:tr2bl w:val="nil"/>
                  </w:tcBorders>
                  <w:noWrap w:val="0"/>
                  <w:vAlign w:val="center"/>
                </w:tcPr>
                <w:p w14:paraId="069216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酚醛树脂</w:t>
                  </w:r>
                </w:p>
              </w:tc>
              <w:tc>
                <w:tcPr>
                  <w:tcW w:w="671" w:type="pct"/>
                  <w:tcBorders>
                    <w:tl2br w:val="nil"/>
                    <w:tr2bl w:val="nil"/>
                  </w:tcBorders>
                  <w:noWrap w:val="0"/>
                  <w:vAlign w:val="center"/>
                </w:tcPr>
                <w:p w14:paraId="0E56D321">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50</w:t>
                  </w:r>
                </w:p>
              </w:tc>
              <w:tc>
                <w:tcPr>
                  <w:tcW w:w="605" w:type="pct"/>
                  <w:tcBorders>
                    <w:tl2br w:val="nil"/>
                    <w:tr2bl w:val="nil"/>
                  </w:tcBorders>
                  <w:noWrap w:val="0"/>
                  <w:vAlign w:val="center"/>
                </w:tcPr>
                <w:p w14:paraId="036B2A41">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4</w:t>
                  </w:r>
                </w:p>
              </w:tc>
              <w:tc>
                <w:tcPr>
                  <w:tcW w:w="543" w:type="pct"/>
                  <w:tcBorders>
                    <w:tl2br w:val="nil"/>
                    <w:tr2bl w:val="nil"/>
                  </w:tcBorders>
                  <w:noWrap w:val="0"/>
                  <w:vAlign w:val="center"/>
                </w:tcPr>
                <w:p w14:paraId="13C848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436501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树脂</w:t>
                  </w:r>
                </w:p>
              </w:tc>
              <w:tc>
                <w:tcPr>
                  <w:tcW w:w="411" w:type="pct"/>
                  <w:tcBorders>
                    <w:tl2br w:val="nil"/>
                    <w:tr2bl w:val="nil"/>
                  </w:tcBorders>
                  <w:noWrap w:val="0"/>
                  <w:vAlign w:val="center"/>
                </w:tcPr>
                <w:p w14:paraId="1FBFF5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粉末</w:t>
                  </w:r>
                </w:p>
              </w:tc>
              <w:tc>
                <w:tcPr>
                  <w:tcW w:w="530" w:type="pct"/>
                  <w:tcBorders>
                    <w:tl2br w:val="nil"/>
                    <w:tr2bl w:val="nil"/>
                  </w:tcBorders>
                  <w:noWrap w:val="0"/>
                  <w:vAlign w:val="center"/>
                </w:tcPr>
                <w:p w14:paraId="106109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塑料袋</w:t>
                  </w:r>
                </w:p>
              </w:tc>
              <w:tc>
                <w:tcPr>
                  <w:tcW w:w="622" w:type="pct"/>
                  <w:tcBorders>
                    <w:tl2br w:val="nil"/>
                    <w:tr2bl w:val="nil"/>
                  </w:tcBorders>
                  <w:noWrap w:val="0"/>
                  <w:vAlign w:val="center"/>
                </w:tcPr>
                <w:p w14:paraId="6D887C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袋装隔离</w:t>
                  </w:r>
                </w:p>
              </w:tc>
            </w:tr>
            <w:tr w14:paraId="080A0D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67" w:type="pct"/>
                  <w:tcBorders>
                    <w:tl2br w:val="nil"/>
                    <w:tr2bl w:val="nil"/>
                  </w:tcBorders>
                  <w:noWrap w:val="0"/>
                  <w:vAlign w:val="center"/>
                </w:tcPr>
                <w:p w14:paraId="3FBA95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637" w:type="pct"/>
                  <w:tcBorders>
                    <w:tl2br w:val="nil"/>
                    <w:tr2bl w:val="nil"/>
                  </w:tcBorders>
                  <w:noWrap w:val="0"/>
                  <w:vAlign w:val="center"/>
                </w:tcPr>
                <w:p w14:paraId="125C80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钢纤维</w:t>
                  </w:r>
                </w:p>
              </w:tc>
              <w:tc>
                <w:tcPr>
                  <w:tcW w:w="671" w:type="pct"/>
                  <w:tcBorders>
                    <w:tl2br w:val="nil"/>
                    <w:tr2bl w:val="nil"/>
                  </w:tcBorders>
                  <w:noWrap w:val="0"/>
                  <w:vAlign w:val="center"/>
                </w:tcPr>
                <w:p w14:paraId="77D3548F">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84</w:t>
                  </w:r>
                </w:p>
              </w:tc>
              <w:tc>
                <w:tcPr>
                  <w:tcW w:w="605" w:type="pct"/>
                  <w:tcBorders>
                    <w:tl2br w:val="nil"/>
                    <w:tr2bl w:val="nil"/>
                  </w:tcBorders>
                  <w:noWrap w:val="0"/>
                  <w:vAlign w:val="center"/>
                </w:tcPr>
                <w:p w14:paraId="2160F125">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7</w:t>
                  </w:r>
                </w:p>
              </w:tc>
              <w:tc>
                <w:tcPr>
                  <w:tcW w:w="543" w:type="pct"/>
                  <w:tcBorders>
                    <w:tl2br w:val="nil"/>
                    <w:tr2bl w:val="nil"/>
                  </w:tcBorders>
                  <w:noWrap w:val="0"/>
                  <w:vAlign w:val="center"/>
                </w:tcPr>
                <w:p w14:paraId="14F28A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066ED2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矿物</w:t>
                  </w:r>
                </w:p>
              </w:tc>
              <w:tc>
                <w:tcPr>
                  <w:tcW w:w="411" w:type="pct"/>
                  <w:tcBorders>
                    <w:tl2br w:val="nil"/>
                    <w:tr2bl w:val="nil"/>
                  </w:tcBorders>
                  <w:noWrap w:val="0"/>
                  <w:vAlign w:val="center"/>
                </w:tcPr>
                <w:p w14:paraId="58D212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纤维</w:t>
                  </w:r>
                </w:p>
              </w:tc>
              <w:tc>
                <w:tcPr>
                  <w:tcW w:w="530" w:type="pct"/>
                  <w:tcBorders>
                    <w:tl2br w:val="nil"/>
                    <w:tr2bl w:val="nil"/>
                  </w:tcBorders>
                  <w:noWrap w:val="0"/>
                  <w:vAlign w:val="center"/>
                </w:tcPr>
                <w:p w14:paraId="782F36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塑料袋</w:t>
                  </w:r>
                </w:p>
              </w:tc>
              <w:tc>
                <w:tcPr>
                  <w:tcW w:w="622" w:type="pct"/>
                  <w:tcBorders>
                    <w:tl2br w:val="nil"/>
                    <w:tr2bl w:val="nil"/>
                  </w:tcBorders>
                  <w:noWrap w:val="0"/>
                  <w:vAlign w:val="center"/>
                </w:tcPr>
                <w:p w14:paraId="064DB4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袋装隔离</w:t>
                  </w:r>
                </w:p>
              </w:tc>
            </w:tr>
            <w:tr w14:paraId="6A5A86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67" w:type="pct"/>
                  <w:tcBorders>
                    <w:tl2br w:val="nil"/>
                    <w:tr2bl w:val="nil"/>
                  </w:tcBorders>
                  <w:noWrap w:val="0"/>
                  <w:vAlign w:val="center"/>
                </w:tcPr>
                <w:p w14:paraId="018C36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637" w:type="pct"/>
                  <w:tcBorders>
                    <w:tl2br w:val="nil"/>
                    <w:tr2bl w:val="nil"/>
                  </w:tcBorders>
                  <w:noWrap w:val="0"/>
                  <w:vAlign w:val="center"/>
                </w:tcPr>
                <w:p w14:paraId="67A613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石墨</w:t>
                  </w:r>
                </w:p>
              </w:tc>
              <w:tc>
                <w:tcPr>
                  <w:tcW w:w="671" w:type="pct"/>
                  <w:tcBorders>
                    <w:tl2br w:val="nil"/>
                    <w:tr2bl w:val="nil"/>
                  </w:tcBorders>
                  <w:noWrap w:val="0"/>
                  <w:vAlign w:val="center"/>
                </w:tcPr>
                <w:p w14:paraId="563548F2">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108</w:t>
                  </w:r>
                </w:p>
              </w:tc>
              <w:tc>
                <w:tcPr>
                  <w:tcW w:w="605" w:type="pct"/>
                  <w:tcBorders>
                    <w:tl2br w:val="nil"/>
                    <w:tr2bl w:val="nil"/>
                  </w:tcBorders>
                  <w:noWrap w:val="0"/>
                  <w:vAlign w:val="center"/>
                </w:tcPr>
                <w:p w14:paraId="7805EF19">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9</w:t>
                  </w:r>
                </w:p>
              </w:tc>
              <w:tc>
                <w:tcPr>
                  <w:tcW w:w="543" w:type="pct"/>
                  <w:tcBorders>
                    <w:tl2br w:val="nil"/>
                    <w:tr2bl w:val="nil"/>
                  </w:tcBorders>
                  <w:noWrap w:val="0"/>
                  <w:vAlign w:val="center"/>
                </w:tcPr>
                <w:p w14:paraId="57CDA9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64AC22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石墨</w:t>
                  </w:r>
                </w:p>
              </w:tc>
              <w:tc>
                <w:tcPr>
                  <w:tcW w:w="411" w:type="pct"/>
                  <w:tcBorders>
                    <w:tl2br w:val="nil"/>
                    <w:tr2bl w:val="nil"/>
                  </w:tcBorders>
                  <w:noWrap w:val="0"/>
                  <w:vAlign w:val="center"/>
                </w:tcPr>
                <w:p w14:paraId="3F5748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颗粒</w:t>
                  </w:r>
                </w:p>
              </w:tc>
              <w:tc>
                <w:tcPr>
                  <w:tcW w:w="530" w:type="pct"/>
                  <w:tcBorders>
                    <w:tl2br w:val="nil"/>
                    <w:tr2bl w:val="nil"/>
                  </w:tcBorders>
                  <w:noWrap w:val="0"/>
                  <w:vAlign w:val="center"/>
                </w:tcPr>
                <w:p w14:paraId="616964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编织袋</w:t>
                  </w:r>
                </w:p>
              </w:tc>
              <w:tc>
                <w:tcPr>
                  <w:tcW w:w="622" w:type="pct"/>
                  <w:tcBorders>
                    <w:tl2br w:val="nil"/>
                    <w:tr2bl w:val="nil"/>
                  </w:tcBorders>
                  <w:noWrap w:val="0"/>
                  <w:vAlign w:val="center"/>
                </w:tcPr>
                <w:p w14:paraId="3B9731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袋装隔离</w:t>
                  </w:r>
                </w:p>
              </w:tc>
            </w:tr>
            <w:tr w14:paraId="11F2B8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67" w:type="pct"/>
                  <w:tcBorders>
                    <w:tl2br w:val="nil"/>
                    <w:tr2bl w:val="nil"/>
                  </w:tcBorders>
                  <w:noWrap w:val="0"/>
                  <w:vAlign w:val="center"/>
                </w:tcPr>
                <w:p w14:paraId="120AA4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auto"/>
                      <w:sz w:val="21"/>
                      <w:szCs w:val="21"/>
                      <w:lang w:val="en-US" w:eastAsia="zh-CN" w:bidi="ar-SA"/>
                    </w:rPr>
                  </w:pPr>
                  <w:r>
                    <w:rPr>
                      <w:rFonts w:hint="eastAsia" w:ascii="Times New Roman" w:hAnsi="Times New Roman" w:eastAsia="宋体" w:cs="Times New Roman"/>
                      <w:color w:val="auto"/>
                      <w:sz w:val="21"/>
                      <w:szCs w:val="21"/>
                      <w:lang w:val="en-US" w:eastAsia="zh-CN"/>
                    </w:rPr>
                    <w:t>7</w:t>
                  </w:r>
                </w:p>
              </w:tc>
              <w:tc>
                <w:tcPr>
                  <w:tcW w:w="637" w:type="pct"/>
                  <w:tcBorders>
                    <w:tl2br w:val="nil"/>
                    <w:tr2bl w:val="nil"/>
                  </w:tcBorders>
                  <w:noWrap w:val="0"/>
                  <w:vAlign w:val="center"/>
                </w:tcPr>
                <w:p w14:paraId="62FD1F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橡胶粉</w:t>
                  </w:r>
                </w:p>
              </w:tc>
              <w:tc>
                <w:tcPr>
                  <w:tcW w:w="671" w:type="pct"/>
                  <w:tcBorders>
                    <w:tl2br w:val="nil"/>
                    <w:tr2bl w:val="nil"/>
                  </w:tcBorders>
                  <w:noWrap w:val="0"/>
                  <w:vAlign w:val="center"/>
                </w:tcPr>
                <w:p w14:paraId="2779BE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20</w:t>
                  </w:r>
                </w:p>
              </w:tc>
              <w:tc>
                <w:tcPr>
                  <w:tcW w:w="605" w:type="pct"/>
                  <w:tcBorders>
                    <w:tl2br w:val="nil"/>
                    <w:tr2bl w:val="nil"/>
                  </w:tcBorders>
                  <w:noWrap w:val="0"/>
                  <w:vAlign w:val="center"/>
                </w:tcPr>
                <w:p w14:paraId="565841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543" w:type="pct"/>
                  <w:tcBorders>
                    <w:tl2br w:val="nil"/>
                    <w:tr2bl w:val="nil"/>
                  </w:tcBorders>
                  <w:noWrap w:val="0"/>
                  <w:vAlign w:val="center"/>
                </w:tcPr>
                <w:p w14:paraId="1FDAF9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0C1BCA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橡胶</w:t>
                  </w:r>
                </w:p>
              </w:tc>
              <w:tc>
                <w:tcPr>
                  <w:tcW w:w="411" w:type="pct"/>
                  <w:tcBorders>
                    <w:tl2br w:val="nil"/>
                    <w:tr2bl w:val="nil"/>
                  </w:tcBorders>
                  <w:noWrap w:val="0"/>
                  <w:vAlign w:val="center"/>
                </w:tcPr>
                <w:p w14:paraId="2F2CCA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粉末</w:t>
                  </w:r>
                </w:p>
              </w:tc>
              <w:tc>
                <w:tcPr>
                  <w:tcW w:w="530" w:type="pct"/>
                  <w:tcBorders>
                    <w:tl2br w:val="nil"/>
                    <w:tr2bl w:val="nil"/>
                  </w:tcBorders>
                  <w:noWrap w:val="0"/>
                  <w:vAlign w:val="center"/>
                </w:tcPr>
                <w:p w14:paraId="459B43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编织袋</w:t>
                  </w:r>
                </w:p>
              </w:tc>
              <w:tc>
                <w:tcPr>
                  <w:tcW w:w="622" w:type="pct"/>
                  <w:tcBorders>
                    <w:tl2br w:val="nil"/>
                    <w:tr2bl w:val="nil"/>
                  </w:tcBorders>
                  <w:noWrap w:val="0"/>
                  <w:vAlign w:val="center"/>
                </w:tcPr>
                <w:p w14:paraId="147E78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袋装隔离</w:t>
                  </w:r>
                </w:p>
              </w:tc>
            </w:tr>
            <w:tr w14:paraId="172CC1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67" w:type="pct"/>
                  <w:tcBorders>
                    <w:tl2br w:val="nil"/>
                    <w:tr2bl w:val="nil"/>
                  </w:tcBorders>
                  <w:noWrap w:val="0"/>
                  <w:vAlign w:val="center"/>
                </w:tcPr>
                <w:p w14:paraId="518138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auto"/>
                      <w:sz w:val="21"/>
                      <w:szCs w:val="21"/>
                      <w:lang w:val="en-US" w:eastAsia="zh-CN" w:bidi="ar-SA"/>
                    </w:rPr>
                  </w:pPr>
                  <w:r>
                    <w:rPr>
                      <w:rFonts w:hint="eastAsia" w:ascii="Times New Roman" w:hAnsi="Times New Roman" w:eastAsia="宋体" w:cs="Times New Roman"/>
                      <w:color w:val="auto"/>
                      <w:sz w:val="21"/>
                      <w:szCs w:val="21"/>
                      <w:lang w:val="en-US" w:eastAsia="zh-CN"/>
                    </w:rPr>
                    <w:t>8</w:t>
                  </w:r>
                </w:p>
              </w:tc>
              <w:tc>
                <w:tcPr>
                  <w:tcW w:w="637" w:type="pct"/>
                  <w:tcBorders>
                    <w:tl2br w:val="nil"/>
                    <w:tr2bl w:val="nil"/>
                  </w:tcBorders>
                  <w:noWrap w:val="0"/>
                  <w:vAlign w:val="center"/>
                </w:tcPr>
                <w:p w14:paraId="1AF664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摩擦粉</w:t>
                  </w:r>
                </w:p>
              </w:tc>
              <w:tc>
                <w:tcPr>
                  <w:tcW w:w="671" w:type="pct"/>
                  <w:tcBorders>
                    <w:tl2br w:val="nil"/>
                    <w:tr2bl w:val="nil"/>
                  </w:tcBorders>
                  <w:noWrap w:val="0"/>
                  <w:vAlign w:val="center"/>
                </w:tcPr>
                <w:p w14:paraId="039B1A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20</w:t>
                  </w:r>
                </w:p>
              </w:tc>
              <w:tc>
                <w:tcPr>
                  <w:tcW w:w="605" w:type="pct"/>
                  <w:tcBorders>
                    <w:tl2br w:val="nil"/>
                    <w:tr2bl w:val="nil"/>
                  </w:tcBorders>
                  <w:noWrap w:val="0"/>
                  <w:vAlign w:val="center"/>
                </w:tcPr>
                <w:p w14:paraId="3834A1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543" w:type="pct"/>
                  <w:tcBorders>
                    <w:tl2br w:val="nil"/>
                    <w:tr2bl w:val="nil"/>
                  </w:tcBorders>
                  <w:noWrap w:val="0"/>
                  <w:vAlign w:val="center"/>
                </w:tcPr>
                <w:p w14:paraId="094386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79C2BE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树脂</w:t>
                  </w:r>
                </w:p>
              </w:tc>
              <w:tc>
                <w:tcPr>
                  <w:tcW w:w="411" w:type="pct"/>
                  <w:tcBorders>
                    <w:tl2br w:val="nil"/>
                    <w:tr2bl w:val="nil"/>
                  </w:tcBorders>
                  <w:noWrap w:val="0"/>
                  <w:vAlign w:val="center"/>
                </w:tcPr>
                <w:p w14:paraId="11AC54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粉末</w:t>
                  </w:r>
                </w:p>
              </w:tc>
              <w:tc>
                <w:tcPr>
                  <w:tcW w:w="530" w:type="pct"/>
                  <w:tcBorders>
                    <w:tl2br w:val="nil"/>
                    <w:tr2bl w:val="nil"/>
                  </w:tcBorders>
                  <w:noWrap w:val="0"/>
                  <w:vAlign w:val="center"/>
                </w:tcPr>
                <w:p w14:paraId="41802F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编织袋</w:t>
                  </w:r>
                </w:p>
              </w:tc>
              <w:tc>
                <w:tcPr>
                  <w:tcW w:w="622" w:type="pct"/>
                  <w:tcBorders>
                    <w:tl2br w:val="nil"/>
                    <w:tr2bl w:val="nil"/>
                  </w:tcBorders>
                  <w:noWrap w:val="0"/>
                  <w:vAlign w:val="center"/>
                </w:tcPr>
                <w:p w14:paraId="27FC35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袋装隔离</w:t>
                  </w:r>
                </w:p>
              </w:tc>
            </w:tr>
            <w:tr w14:paraId="7FDC19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67" w:type="pct"/>
                  <w:tcBorders>
                    <w:tl2br w:val="nil"/>
                    <w:tr2bl w:val="nil"/>
                  </w:tcBorders>
                  <w:noWrap w:val="0"/>
                  <w:vAlign w:val="center"/>
                </w:tcPr>
                <w:p w14:paraId="776153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auto"/>
                      <w:sz w:val="21"/>
                      <w:szCs w:val="21"/>
                      <w:lang w:val="en-US" w:eastAsia="zh-CN" w:bidi="ar-SA"/>
                    </w:rPr>
                  </w:pPr>
                  <w:r>
                    <w:rPr>
                      <w:rFonts w:hint="eastAsia" w:ascii="Times New Roman" w:hAnsi="Times New Roman" w:eastAsia="宋体" w:cs="Times New Roman"/>
                      <w:color w:val="auto"/>
                      <w:sz w:val="21"/>
                      <w:szCs w:val="21"/>
                      <w:lang w:val="en-US" w:eastAsia="zh-CN"/>
                    </w:rPr>
                    <w:t>9</w:t>
                  </w:r>
                </w:p>
              </w:tc>
              <w:tc>
                <w:tcPr>
                  <w:tcW w:w="637" w:type="pct"/>
                  <w:tcBorders>
                    <w:tl2br w:val="nil"/>
                    <w:tr2bl w:val="nil"/>
                  </w:tcBorders>
                  <w:noWrap w:val="0"/>
                  <w:vAlign w:val="center"/>
                </w:tcPr>
                <w:p w14:paraId="765CF6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轮胎粉</w:t>
                  </w:r>
                </w:p>
              </w:tc>
              <w:tc>
                <w:tcPr>
                  <w:tcW w:w="671" w:type="pct"/>
                  <w:tcBorders>
                    <w:tl2br w:val="nil"/>
                    <w:tr2bl w:val="nil"/>
                  </w:tcBorders>
                  <w:noWrap w:val="0"/>
                  <w:vAlign w:val="center"/>
                </w:tcPr>
                <w:p w14:paraId="39E591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20</w:t>
                  </w:r>
                </w:p>
              </w:tc>
              <w:tc>
                <w:tcPr>
                  <w:tcW w:w="605" w:type="pct"/>
                  <w:tcBorders>
                    <w:tl2br w:val="nil"/>
                    <w:tr2bl w:val="nil"/>
                  </w:tcBorders>
                  <w:noWrap w:val="0"/>
                  <w:vAlign w:val="center"/>
                </w:tcPr>
                <w:p w14:paraId="59BC96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543" w:type="pct"/>
                  <w:tcBorders>
                    <w:tl2br w:val="nil"/>
                    <w:tr2bl w:val="nil"/>
                  </w:tcBorders>
                  <w:noWrap w:val="0"/>
                  <w:vAlign w:val="center"/>
                </w:tcPr>
                <w:p w14:paraId="4F2B5A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65845E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橡胶</w:t>
                  </w:r>
                </w:p>
              </w:tc>
              <w:tc>
                <w:tcPr>
                  <w:tcW w:w="411" w:type="pct"/>
                  <w:tcBorders>
                    <w:tl2br w:val="nil"/>
                    <w:tr2bl w:val="nil"/>
                  </w:tcBorders>
                  <w:noWrap w:val="0"/>
                  <w:vAlign w:val="center"/>
                </w:tcPr>
                <w:p w14:paraId="561FAB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粉末</w:t>
                  </w:r>
                </w:p>
              </w:tc>
              <w:tc>
                <w:tcPr>
                  <w:tcW w:w="530" w:type="pct"/>
                  <w:tcBorders>
                    <w:tl2br w:val="nil"/>
                    <w:tr2bl w:val="nil"/>
                  </w:tcBorders>
                  <w:noWrap w:val="0"/>
                  <w:vAlign w:val="center"/>
                </w:tcPr>
                <w:p w14:paraId="26D8E7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编织袋</w:t>
                  </w:r>
                </w:p>
              </w:tc>
              <w:tc>
                <w:tcPr>
                  <w:tcW w:w="622" w:type="pct"/>
                  <w:tcBorders>
                    <w:tl2br w:val="nil"/>
                    <w:tr2bl w:val="nil"/>
                  </w:tcBorders>
                  <w:noWrap w:val="0"/>
                  <w:vAlign w:val="center"/>
                </w:tcPr>
                <w:p w14:paraId="6BEDD7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袋装隔离</w:t>
                  </w:r>
                </w:p>
              </w:tc>
            </w:tr>
            <w:tr w14:paraId="1A8856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367" w:type="pct"/>
                  <w:tcBorders>
                    <w:tl2br w:val="nil"/>
                    <w:tr2bl w:val="nil"/>
                  </w:tcBorders>
                  <w:noWrap w:val="0"/>
                  <w:vAlign w:val="center"/>
                </w:tcPr>
                <w:p w14:paraId="02F99C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auto"/>
                      <w:sz w:val="21"/>
                      <w:szCs w:val="21"/>
                      <w:lang w:val="en-US" w:eastAsia="zh-CN" w:bidi="ar-SA"/>
                    </w:rPr>
                  </w:pPr>
                  <w:r>
                    <w:rPr>
                      <w:rFonts w:hint="eastAsia" w:ascii="Times New Roman" w:hAnsi="Times New Roman" w:cs="Times New Roman"/>
                      <w:color w:val="auto"/>
                      <w:sz w:val="21"/>
                      <w:szCs w:val="21"/>
                      <w:lang w:val="en-US" w:eastAsia="zh-CN"/>
                    </w:rPr>
                    <w:t>10</w:t>
                  </w:r>
                </w:p>
              </w:tc>
              <w:tc>
                <w:tcPr>
                  <w:tcW w:w="637" w:type="pct"/>
                  <w:tcBorders>
                    <w:tl2br w:val="nil"/>
                    <w:tr2bl w:val="nil"/>
                  </w:tcBorders>
                  <w:noWrap w:val="0"/>
                  <w:vAlign w:val="center"/>
                </w:tcPr>
                <w:p w14:paraId="710BB7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氧化镁</w:t>
                  </w:r>
                </w:p>
              </w:tc>
              <w:tc>
                <w:tcPr>
                  <w:tcW w:w="671" w:type="pct"/>
                  <w:tcBorders>
                    <w:tl2br w:val="nil"/>
                    <w:tr2bl w:val="nil"/>
                  </w:tcBorders>
                  <w:noWrap w:val="0"/>
                  <w:vAlign w:val="center"/>
                </w:tcPr>
                <w:p w14:paraId="55CBC90C">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24</w:t>
                  </w:r>
                </w:p>
              </w:tc>
              <w:tc>
                <w:tcPr>
                  <w:tcW w:w="605" w:type="pct"/>
                  <w:tcBorders>
                    <w:tl2br w:val="nil"/>
                    <w:tr2bl w:val="nil"/>
                  </w:tcBorders>
                  <w:noWrap w:val="0"/>
                  <w:vAlign w:val="center"/>
                </w:tcPr>
                <w:p w14:paraId="37EFF9E5">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2</w:t>
                  </w:r>
                </w:p>
              </w:tc>
              <w:tc>
                <w:tcPr>
                  <w:tcW w:w="543" w:type="pct"/>
                  <w:tcBorders>
                    <w:tl2br w:val="nil"/>
                    <w:tr2bl w:val="nil"/>
                  </w:tcBorders>
                  <w:noWrap w:val="0"/>
                  <w:vAlign w:val="center"/>
                </w:tcPr>
                <w:p w14:paraId="30276F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r>
                    <w:rPr>
                      <w:rFonts w:hint="eastAsia" w:ascii="Times New Roman" w:hAnsi="Times New Roman" w:cs="Times New Roman"/>
                      <w:color w:val="auto"/>
                      <w:sz w:val="21"/>
                      <w:szCs w:val="21"/>
                      <w:lang w:val="en-US" w:eastAsia="zh-CN"/>
                    </w:rPr>
                    <w:t>d</w:t>
                  </w:r>
                </w:p>
              </w:tc>
              <w:tc>
                <w:tcPr>
                  <w:tcW w:w="609" w:type="pct"/>
                  <w:tcBorders>
                    <w:tl2br w:val="nil"/>
                    <w:tr2bl w:val="nil"/>
                  </w:tcBorders>
                  <w:noWrap w:val="0"/>
                  <w:vAlign w:val="center"/>
                </w:tcPr>
                <w:p w14:paraId="668AD3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矿粉</w:t>
                  </w:r>
                </w:p>
              </w:tc>
              <w:tc>
                <w:tcPr>
                  <w:tcW w:w="411" w:type="pct"/>
                  <w:tcBorders>
                    <w:tl2br w:val="nil"/>
                    <w:tr2bl w:val="nil"/>
                  </w:tcBorders>
                  <w:noWrap w:val="0"/>
                  <w:vAlign w:val="center"/>
                </w:tcPr>
                <w:p w14:paraId="08BED9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粉末</w:t>
                  </w:r>
                </w:p>
              </w:tc>
              <w:tc>
                <w:tcPr>
                  <w:tcW w:w="530" w:type="pct"/>
                  <w:tcBorders>
                    <w:tl2br w:val="nil"/>
                    <w:tr2bl w:val="nil"/>
                  </w:tcBorders>
                  <w:noWrap w:val="0"/>
                  <w:vAlign w:val="center"/>
                </w:tcPr>
                <w:p w14:paraId="2DDFA1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纸皮袋</w:t>
                  </w:r>
                </w:p>
              </w:tc>
              <w:tc>
                <w:tcPr>
                  <w:tcW w:w="622" w:type="pct"/>
                  <w:tcBorders>
                    <w:tl2br w:val="nil"/>
                    <w:tr2bl w:val="nil"/>
                  </w:tcBorders>
                  <w:noWrap w:val="0"/>
                  <w:vAlign w:val="center"/>
                </w:tcPr>
                <w:p w14:paraId="691AAE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袋装隔离</w:t>
                  </w:r>
                </w:p>
              </w:tc>
            </w:tr>
            <w:tr w14:paraId="711AE3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367" w:type="pct"/>
                  <w:tcBorders>
                    <w:tl2br w:val="nil"/>
                    <w:tr2bl w:val="nil"/>
                  </w:tcBorders>
                  <w:noWrap w:val="0"/>
                  <w:vAlign w:val="center"/>
                </w:tcPr>
                <w:p w14:paraId="60DE82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auto"/>
                      <w:sz w:val="21"/>
                      <w:szCs w:val="21"/>
                      <w:lang w:val="en-US" w:eastAsia="zh-CN" w:bidi="ar-SA"/>
                    </w:rPr>
                  </w:pPr>
                  <w:r>
                    <w:rPr>
                      <w:rFonts w:hint="eastAsia" w:ascii="Times New Roman" w:hAnsi="Times New Roman" w:cs="Times New Roman"/>
                      <w:snapToGrid w:val="0"/>
                      <w:color w:val="auto"/>
                      <w:sz w:val="21"/>
                      <w:szCs w:val="21"/>
                      <w:lang w:val="en-US" w:eastAsia="zh-CN" w:bidi="ar-SA"/>
                    </w:rPr>
                    <w:t>9</w:t>
                  </w:r>
                </w:p>
              </w:tc>
              <w:tc>
                <w:tcPr>
                  <w:tcW w:w="637" w:type="pct"/>
                  <w:tcBorders>
                    <w:tl2br w:val="nil"/>
                    <w:tr2bl w:val="nil"/>
                  </w:tcBorders>
                  <w:noWrap w:val="0"/>
                  <w:vAlign w:val="center"/>
                </w:tcPr>
                <w:p w14:paraId="634610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塑粉</w:t>
                  </w:r>
                </w:p>
              </w:tc>
              <w:tc>
                <w:tcPr>
                  <w:tcW w:w="671" w:type="pct"/>
                  <w:tcBorders>
                    <w:tl2br w:val="nil"/>
                    <w:tr2bl w:val="nil"/>
                  </w:tcBorders>
                  <w:noWrap w:val="0"/>
                  <w:vAlign w:val="center"/>
                </w:tcPr>
                <w:p w14:paraId="3C94FE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9</w:t>
                  </w:r>
                </w:p>
              </w:tc>
              <w:tc>
                <w:tcPr>
                  <w:tcW w:w="605" w:type="pct"/>
                  <w:tcBorders>
                    <w:tl2br w:val="nil"/>
                    <w:tr2bl w:val="nil"/>
                  </w:tcBorders>
                  <w:noWrap w:val="0"/>
                  <w:vAlign w:val="center"/>
                </w:tcPr>
                <w:p w14:paraId="6DEB94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p>
              </w:tc>
              <w:tc>
                <w:tcPr>
                  <w:tcW w:w="543" w:type="pct"/>
                  <w:tcBorders>
                    <w:tl2br w:val="nil"/>
                    <w:tr2bl w:val="nil"/>
                  </w:tcBorders>
                  <w:noWrap w:val="0"/>
                  <w:vAlign w:val="center"/>
                </w:tcPr>
                <w:p w14:paraId="7F86D5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30d</w:t>
                  </w:r>
                </w:p>
              </w:tc>
              <w:tc>
                <w:tcPr>
                  <w:tcW w:w="609" w:type="pct"/>
                  <w:tcBorders>
                    <w:tl2br w:val="nil"/>
                    <w:tr2bl w:val="nil"/>
                  </w:tcBorders>
                  <w:noWrap w:val="0"/>
                  <w:vAlign w:val="center"/>
                </w:tcPr>
                <w:p w14:paraId="393AF1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树脂</w:t>
                  </w:r>
                </w:p>
              </w:tc>
              <w:tc>
                <w:tcPr>
                  <w:tcW w:w="411" w:type="pct"/>
                  <w:tcBorders>
                    <w:tl2br w:val="nil"/>
                    <w:tr2bl w:val="nil"/>
                  </w:tcBorders>
                  <w:noWrap w:val="0"/>
                  <w:vAlign w:val="center"/>
                </w:tcPr>
                <w:p w14:paraId="0DBE06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粉末</w:t>
                  </w:r>
                </w:p>
              </w:tc>
              <w:tc>
                <w:tcPr>
                  <w:tcW w:w="530" w:type="pct"/>
                  <w:tcBorders>
                    <w:tl2br w:val="nil"/>
                    <w:tr2bl w:val="nil"/>
                  </w:tcBorders>
                  <w:noWrap w:val="0"/>
                  <w:vAlign w:val="center"/>
                </w:tcPr>
                <w:p w14:paraId="3A1A3B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编织袋</w:t>
                  </w:r>
                </w:p>
              </w:tc>
              <w:tc>
                <w:tcPr>
                  <w:tcW w:w="622" w:type="pct"/>
                  <w:tcBorders>
                    <w:tl2br w:val="nil"/>
                    <w:tr2bl w:val="nil"/>
                  </w:tcBorders>
                  <w:noWrap w:val="0"/>
                  <w:vAlign w:val="center"/>
                </w:tcPr>
                <w:p w14:paraId="293B36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袋装隔离</w:t>
                  </w:r>
                </w:p>
              </w:tc>
            </w:tr>
            <w:tr w14:paraId="057077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67" w:type="pct"/>
                  <w:tcBorders>
                    <w:tl2br w:val="nil"/>
                    <w:tr2bl w:val="nil"/>
                  </w:tcBorders>
                  <w:noWrap w:val="0"/>
                  <w:vAlign w:val="center"/>
                </w:tcPr>
                <w:p w14:paraId="18E7BD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10</w:t>
                  </w:r>
                </w:p>
              </w:tc>
              <w:tc>
                <w:tcPr>
                  <w:tcW w:w="637" w:type="pct"/>
                  <w:tcBorders>
                    <w:tl2br w:val="nil"/>
                    <w:tr2bl w:val="nil"/>
                  </w:tcBorders>
                  <w:noWrap w:val="0"/>
                  <w:vAlign w:val="center"/>
                </w:tcPr>
                <w:p w14:paraId="54B3BD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酚醛树脂胶水</w:t>
                  </w:r>
                </w:p>
              </w:tc>
              <w:tc>
                <w:tcPr>
                  <w:tcW w:w="671" w:type="pct"/>
                  <w:tcBorders>
                    <w:tl2br w:val="nil"/>
                    <w:tr2bl w:val="nil"/>
                  </w:tcBorders>
                  <w:noWrap w:val="0"/>
                  <w:vAlign w:val="center"/>
                </w:tcPr>
                <w:p w14:paraId="097647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5</w:t>
                  </w:r>
                </w:p>
              </w:tc>
              <w:tc>
                <w:tcPr>
                  <w:tcW w:w="605" w:type="pct"/>
                  <w:tcBorders>
                    <w:tl2br w:val="nil"/>
                    <w:tr2bl w:val="nil"/>
                  </w:tcBorders>
                  <w:noWrap w:val="0"/>
                  <w:vAlign w:val="center"/>
                </w:tcPr>
                <w:p w14:paraId="537E77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0.5</w:t>
                  </w:r>
                </w:p>
              </w:tc>
              <w:tc>
                <w:tcPr>
                  <w:tcW w:w="543" w:type="pct"/>
                  <w:tcBorders>
                    <w:tl2br w:val="nil"/>
                    <w:tr2bl w:val="nil"/>
                  </w:tcBorders>
                  <w:noWrap w:val="0"/>
                  <w:vAlign w:val="center"/>
                </w:tcPr>
                <w:p w14:paraId="2E9A2B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30d</w:t>
                  </w:r>
                </w:p>
              </w:tc>
              <w:tc>
                <w:tcPr>
                  <w:tcW w:w="609" w:type="pct"/>
                  <w:tcBorders>
                    <w:tl2br w:val="nil"/>
                    <w:tr2bl w:val="nil"/>
                  </w:tcBorders>
                  <w:noWrap w:val="0"/>
                  <w:vAlign w:val="center"/>
                </w:tcPr>
                <w:p w14:paraId="51B4D2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聚氨酯胶水</w:t>
                  </w:r>
                </w:p>
              </w:tc>
              <w:tc>
                <w:tcPr>
                  <w:tcW w:w="411" w:type="pct"/>
                  <w:tcBorders>
                    <w:tl2br w:val="nil"/>
                    <w:tr2bl w:val="nil"/>
                  </w:tcBorders>
                  <w:noWrap w:val="0"/>
                  <w:vAlign w:val="center"/>
                </w:tcPr>
                <w:p w14:paraId="1135F3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液态</w:t>
                  </w:r>
                </w:p>
              </w:tc>
              <w:tc>
                <w:tcPr>
                  <w:tcW w:w="530" w:type="pct"/>
                  <w:tcBorders>
                    <w:tl2br w:val="nil"/>
                    <w:tr2bl w:val="nil"/>
                  </w:tcBorders>
                  <w:noWrap w:val="0"/>
                  <w:vAlign w:val="center"/>
                </w:tcPr>
                <w:p w14:paraId="7BD2FD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桶装</w:t>
                  </w:r>
                </w:p>
              </w:tc>
              <w:tc>
                <w:tcPr>
                  <w:tcW w:w="622" w:type="pct"/>
                  <w:tcBorders>
                    <w:tl2br w:val="nil"/>
                    <w:tr2bl w:val="nil"/>
                  </w:tcBorders>
                  <w:noWrap w:val="0"/>
                  <w:vAlign w:val="center"/>
                </w:tcPr>
                <w:p w14:paraId="40E350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桶装</w:t>
                  </w:r>
                  <w:r>
                    <w:rPr>
                      <w:rFonts w:hint="eastAsia" w:ascii="Times New Roman" w:hAnsi="Times New Roman" w:eastAsia="宋体" w:cs="Times New Roman"/>
                      <w:color w:val="auto"/>
                      <w:sz w:val="21"/>
                      <w:szCs w:val="21"/>
                      <w:lang w:val="en-US" w:eastAsia="zh-CN"/>
                    </w:rPr>
                    <w:t>隔离</w:t>
                  </w:r>
                </w:p>
              </w:tc>
            </w:tr>
            <w:tr w14:paraId="6167BE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67" w:type="pct"/>
                  <w:tcBorders>
                    <w:tl2br w:val="nil"/>
                    <w:tr2bl w:val="nil"/>
                  </w:tcBorders>
                  <w:noWrap w:val="0"/>
                  <w:vAlign w:val="center"/>
                </w:tcPr>
                <w:p w14:paraId="700601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11</w:t>
                  </w:r>
                </w:p>
              </w:tc>
              <w:tc>
                <w:tcPr>
                  <w:tcW w:w="637" w:type="pct"/>
                  <w:tcBorders>
                    <w:tl2br w:val="nil"/>
                    <w:tr2bl w:val="nil"/>
                  </w:tcBorders>
                  <w:noWrap w:val="0"/>
                  <w:vAlign w:val="center"/>
                </w:tcPr>
                <w:p w14:paraId="107C0C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钢丸</w:t>
                  </w:r>
                </w:p>
              </w:tc>
              <w:tc>
                <w:tcPr>
                  <w:tcW w:w="671" w:type="pct"/>
                  <w:tcBorders>
                    <w:tl2br w:val="nil"/>
                    <w:tr2bl w:val="nil"/>
                  </w:tcBorders>
                  <w:noWrap w:val="0"/>
                  <w:vAlign w:val="center"/>
                </w:tcPr>
                <w:p w14:paraId="4A3575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605" w:type="pct"/>
                  <w:tcBorders>
                    <w:tl2br w:val="nil"/>
                    <w:tr2bl w:val="nil"/>
                  </w:tcBorders>
                  <w:noWrap w:val="0"/>
                  <w:vAlign w:val="center"/>
                </w:tcPr>
                <w:p w14:paraId="03B0E4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0.5</w:t>
                  </w:r>
                </w:p>
              </w:tc>
              <w:tc>
                <w:tcPr>
                  <w:tcW w:w="823" w:type="dxa"/>
                  <w:tcBorders>
                    <w:tl2br w:val="nil"/>
                    <w:tr2bl w:val="nil"/>
                  </w:tcBorders>
                  <w:noWrap w:val="0"/>
                  <w:vAlign w:val="center"/>
                </w:tcPr>
                <w:p w14:paraId="119389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30d</w:t>
                  </w:r>
                </w:p>
              </w:tc>
              <w:tc>
                <w:tcPr>
                  <w:tcW w:w="923" w:type="dxa"/>
                  <w:tcBorders>
                    <w:tl2br w:val="nil"/>
                    <w:tr2bl w:val="nil"/>
                  </w:tcBorders>
                  <w:noWrap w:val="0"/>
                  <w:vAlign w:val="center"/>
                </w:tcPr>
                <w:p w14:paraId="2BFCB8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钢丸</w:t>
                  </w:r>
                </w:p>
              </w:tc>
              <w:tc>
                <w:tcPr>
                  <w:tcW w:w="623" w:type="dxa"/>
                  <w:tcBorders>
                    <w:tl2br w:val="nil"/>
                    <w:tr2bl w:val="nil"/>
                  </w:tcBorders>
                  <w:noWrap w:val="0"/>
                  <w:vAlign w:val="center"/>
                </w:tcPr>
                <w:p w14:paraId="26E512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固态</w:t>
                  </w:r>
                </w:p>
              </w:tc>
              <w:tc>
                <w:tcPr>
                  <w:tcW w:w="804" w:type="dxa"/>
                  <w:tcBorders>
                    <w:tl2br w:val="nil"/>
                    <w:tr2bl w:val="nil"/>
                  </w:tcBorders>
                  <w:noWrap w:val="0"/>
                  <w:vAlign w:val="center"/>
                </w:tcPr>
                <w:p w14:paraId="1FFAC2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袋装</w:t>
                  </w:r>
                </w:p>
              </w:tc>
              <w:tc>
                <w:tcPr>
                  <w:tcW w:w="944" w:type="dxa"/>
                  <w:tcBorders>
                    <w:tl2br w:val="nil"/>
                    <w:tr2bl w:val="nil"/>
                  </w:tcBorders>
                  <w:noWrap w:val="0"/>
                  <w:vAlign w:val="center"/>
                </w:tcPr>
                <w:p w14:paraId="7185DB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袋装隔离</w:t>
                  </w:r>
                </w:p>
              </w:tc>
            </w:tr>
            <w:tr w14:paraId="066B01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67" w:type="pct"/>
                  <w:tcBorders>
                    <w:tl2br w:val="nil"/>
                    <w:tr2bl w:val="nil"/>
                  </w:tcBorders>
                  <w:noWrap w:val="0"/>
                  <w:vAlign w:val="center"/>
                </w:tcPr>
                <w:p w14:paraId="260BB9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12</w:t>
                  </w:r>
                </w:p>
              </w:tc>
              <w:tc>
                <w:tcPr>
                  <w:tcW w:w="637" w:type="pct"/>
                  <w:tcBorders>
                    <w:tl2br w:val="nil"/>
                    <w:tr2bl w:val="nil"/>
                  </w:tcBorders>
                  <w:noWrap w:val="0"/>
                  <w:vAlign w:val="center"/>
                </w:tcPr>
                <w:p w14:paraId="4941E5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润滑油</w:t>
                  </w:r>
                </w:p>
              </w:tc>
              <w:tc>
                <w:tcPr>
                  <w:tcW w:w="671" w:type="pct"/>
                  <w:tcBorders>
                    <w:tl2br w:val="nil"/>
                    <w:tr2bl w:val="nil"/>
                  </w:tcBorders>
                  <w:noWrap w:val="0"/>
                  <w:vAlign w:val="center"/>
                </w:tcPr>
                <w:p w14:paraId="68E3C5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0.03</w:t>
                  </w:r>
                </w:p>
              </w:tc>
              <w:tc>
                <w:tcPr>
                  <w:tcW w:w="605" w:type="pct"/>
                  <w:tcBorders>
                    <w:tl2br w:val="nil"/>
                    <w:tr2bl w:val="nil"/>
                  </w:tcBorders>
                  <w:noWrap w:val="0"/>
                  <w:vAlign w:val="center"/>
                </w:tcPr>
                <w:p w14:paraId="3B760F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0.03</w:t>
                  </w:r>
                </w:p>
              </w:tc>
              <w:tc>
                <w:tcPr>
                  <w:tcW w:w="823" w:type="dxa"/>
                  <w:tcBorders>
                    <w:tl2br w:val="nil"/>
                    <w:tr2bl w:val="nil"/>
                  </w:tcBorders>
                  <w:noWrap w:val="0"/>
                  <w:vAlign w:val="center"/>
                </w:tcPr>
                <w:p w14:paraId="76EE50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30d</w:t>
                  </w:r>
                </w:p>
              </w:tc>
              <w:tc>
                <w:tcPr>
                  <w:tcW w:w="923" w:type="dxa"/>
                  <w:tcBorders>
                    <w:tl2br w:val="nil"/>
                    <w:tr2bl w:val="nil"/>
                  </w:tcBorders>
                  <w:noWrap w:val="0"/>
                  <w:vAlign w:val="center"/>
                </w:tcPr>
                <w:p w14:paraId="48F2CE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矿物油</w:t>
                  </w:r>
                </w:p>
              </w:tc>
              <w:tc>
                <w:tcPr>
                  <w:tcW w:w="623" w:type="dxa"/>
                  <w:tcBorders>
                    <w:tl2br w:val="nil"/>
                    <w:tr2bl w:val="nil"/>
                  </w:tcBorders>
                  <w:noWrap w:val="0"/>
                  <w:vAlign w:val="center"/>
                </w:tcPr>
                <w:p w14:paraId="64BD90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液态</w:t>
                  </w:r>
                </w:p>
              </w:tc>
              <w:tc>
                <w:tcPr>
                  <w:tcW w:w="804" w:type="dxa"/>
                  <w:tcBorders>
                    <w:tl2br w:val="nil"/>
                    <w:tr2bl w:val="nil"/>
                  </w:tcBorders>
                  <w:noWrap w:val="0"/>
                  <w:vAlign w:val="center"/>
                </w:tcPr>
                <w:p w14:paraId="00C222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桶装</w:t>
                  </w:r>
                </w:p>
              </w:tc>
              <w:tc>
                <w:tcPr>
                  <w:tcW w:w="944" w:type="dxa"/>
                  <w:tcBorders>
                    <w:tl2br w:val="nil"/>
                    <w:tr2bl w:val="nil"/>
                  </w:tcBorders>
                  <w:noWrap w:val="0"/>
                  <w:vAlign w:val="center"/>
                </w:tcPr>
                <w:p w14:paraId="36E626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桶装</w:t>
                  </w:r>
                  <w:r>
                    <w:rPr>
                      <w:rFonts w:hint="eastAsia" w:ascii="Times New Roman" w:hAnsi="Times New Roman" w:eastAsia="宋体" w:cs="Times New Roman"/>
                      <w:color w:val="auto"/>
                      <w:sz w:val="21"/>
                      <w:szCs w:val="21"/>
                      <w:lang w:val="en-US" w:eastAsia="zh-CN"/>
                    </w:rPr>
                    <w:t>隔离</w:t>
                  </w:r>
                </w:p>
              </w:tc>
            </w:tr>
          </w:tbl>
          <w:p w14:paraId="4D174BF5">
            <w:pPr>
              <w:keepNext w:val="0"/>
              <w:keepLines w:val="0"/>
              <w:pageBreakBefore w:val="0"/>
              <w:widowControl w:val="0"/>
              <w:kinsoku/>
              <w:wordWrap/>
              <w:overflowPunct/>
              <w:topLinePunct/>
              <w:autoSpaceDE w:val="0"/>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auto"/>
                <w:sz w:val="24"/>
                <w:highlight w:val="none"/>
                <w:lang w:val="en-US" w:eastAsia="zh-CN"/>
              </w:rPr>
            </w:pPr>
            <w:r>
              <w:rPr>
                <w:rFonts w:hint="eastAsia" w:ascii="Times New Roman" w:hAnsi="Times New Roman" w:cs="Times New Roman"/>
                <w:b/>
                <w:bCs w:val="0"/>
                <w:color w:val="auto"/>
                <w:sz w:val="24"/>
                <w:highlight w:val="none"/>
                <w:lang w:eastAsia="zh-CN"/>
              </w:rPr>
              <w:t>（</w:t>
            </w:r>
            <w:r>
              <w:rPr>
                <w:rFonts w:hint="eastAsia" w:ascii="Times New Roman" w:hAnsi="Times New Roman" w:cs="Times New Roman"/>
                <w:b/>
                <w:bCs w:val="0"/>
                <w:color w:val="auto"/>
                <w:sz w:val="24"/>
                <w:highlight w:val="none"/>
                <w:lang w:val="en-US" w:eastAsia="zh-CN"/>
              </w:rPr>
              <w:t>2</w:t>
            </w:r>
            <w:r>
              <w:rPr>
                <w:rFonts w:hint="eastAsia" w:ascii="Times New Roman" w:hAnsi="Times New Roman" w:cs="Times New Roman"/>
                <w:b/>
                <w:bCs w:val="0"/>
                <w:color w:val="auto"/>
                <w:sz w:val="24"/>
                <w:highlight w:val="none"/>
                <w:lang w:eastAsia="zh-CN"/>
              </w:rPr>
              <w:t>）</w:t>
            </w:r>
            <w:r>
              <w:rPr>
                <w:rFonts w:hint="eastAsia" w:ascii="Times New Roman" w:hAnsi="Times New Roman" w:cs="Times New Roman"/>
                <w:b/>
                <w:bCs w:val="0"/>
                <w:color w:val="auto"/>
                <w:sz w:val="24"/>
                <w:highlight w:val="none"/>
                <w:lang w:val="en-US" w:eastAsia="zh-CN"/>
              </w:rPr>
              <w:t>成分分析</w:t>
            </w:r>
          </w:p>
          <w:p w14:paraId="7B3EE0B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1"/>
                <w:szCs w:val="21"/>
                <w:highlight w:val="none"/>
                <w:lang w:eastAsia="zh-CN"/>
              </w:rPr>
              <w:t>表2-</w:t>
            </w:r>
            <w:r>
              <w:rPr>
                <w:rFonts w:hint="default" w:ascii="Times New Roman" w:hAnsi="Times New Roman" w:eastAsia="宋体" w:cs="Times New Roman"/>
                <w:b/>
                <w:bCs/>
                <w:color w:val="auto"/>
                <w:kern w:val="0"/>
                <w:sz w:val="21"/>
                <w:szCs w:val="21"/>
                <w:highlight w:val="none"/>
                <w:lang w:val="en-US" w:eastAsia="zh-CN"/>
              </w:rPr>
              <w:t>7</w:t>
            </w:r>
            <w:r>
              <w:rPr>
                <w:rFonts w:hint="default" w:ascii="Times New Roman" w:hAnsi="Times New Roman" w:eastAsia="宋体" w:cs="Times New Roman"/>
                <w:b/>
                <w:bCs/>
                <w:color w:val="auto"/>
                <w:kern w:val="0"/>
                <w:sz w:val="21"/>
                <w:szCs w:val="21"/>
                <w:highlight w:val="none"/>
                <w:lang w:eastAsia="zh-CN"/>
              </w:rPr>
              <w:t xml:space="preserve"> </w:t>
            </w:r>
            <w:r>
              <w:rPr>
                <w:rFonts w:hint="eastAsia" w:ascii="Times New Roman" w:hAnsi="Times New Roman" w:eastAsia="宋体" w:cs="Times New Roman"/>
                <w:b/>
                <w:bCs/>
                <w:color w:val="auto"/>
                <w:kern w:val="0"/>
                <w:sz w:val="21"/>
                <w:szCs w:val="21"/>
                <w:highlight w:val="none"/>
                <w:lang w:eastAsia="zh-CN"/>
              </w:rPr>
              <w:t>项目</w:t>
            </w:r>
            <w:r>
              <w:rPr>
                <w:rFonts w:hint="eastAsia" w:cs="Times New Roman"/>
                <w:b/>
                <w:bCs/>
                <w:color w:val="auto"/>
                <w:kern w:val="0"/>
                <w:sz w:val="21"/>
                <w:szCs w:val="21"/>
                <w:highlight w:val="none"/>
                <w:lang w:val="en-US" w:eastAsia="zh-CN"/>
              </w:rPr>
              <w:t>成分分析</w:t>
            </w:r>
          </w:p>
          <w:tbl>
            <w:tblPr>
              <w:tblStyle w:val="25"/>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
            <w:tblGrid>
              <w:gridCol w:w="887"/>
              <w:gridCol w:w="2205"/>
              <w:gridCol w:w="2141"/>
              <w:gridCol w:w="2346"/>
            </w:tblGrid>
            <w:tr w14:paraId="1E1042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4" w:hRule="atLeast"/>
                <w:tblHeader/>
                <w:jc w:val="center"/>
              </w:trPr>
              <w:tc>
                <w:tcPr>
                  <w:tcW w:w="585" w:type="pct"/>
                  <w:noWrap w:val="0"/>
                  <w:tcMar>
                    <w:top w:w="120" w:type="dxa"/>
                    <w:left w:w="120" w:type="dxa"/>
                    <w:bottom w:w="120" w:type="dxa"/>
                    <w:right w:w="120" w:type="dxa"/>
                  </w:tcMar>
                  <w:vAlign w:val="center"/>
                </w:tcPr>
                <w:p w14:paraId="5CE0187B">
                  <w:pPr>
                    <w:keepNext w:val="0"/>
                    <w:keepLines w:val="0"/>
                    <w:widowControl/>
                    <w:suppressLineNumbers w:val="0"/>
                    <w:jc w:val="center"/>
                    <w:rPr>
                      <w:rFonts w:hint="default" w:ascii="Times New Roman" w:hAnsi="Times New Roman" w:eastAsia="宋体" w:cs="Times New Roman"/>
                      <w:b w:val="0"/>
                      <w:bCs w:val="0"/>
                      <w:color w:val="auto"/>
                      <w:sz w:val="21"/>
                      <w:szCs w:val="21"/>
                    </w:rPr>
                  </w:pPr>
                  <w:r>
                    <w:rPr>
                      <w:rFonts w:hint="eastAsia" w:ascii="Times New Roman" w:hAnsi="Times New Roman" w:eastAsia="宋体" w:cs="Times New Roman"/>
                      <w:b w:val="0"/>
                      <w:bCs w:val="0"/>
                      <w:color w:val="auto"/>
                      <w:kern w:val="0"/>
                      <w:sz w:val="21"/>
                      <w:szCs w:val="21"/>
                      <w:lang w:val="en-US" w:eastAsia="zh-CN" w:bidi="ar"/>
                    </w:rPr>
                    <w:t>名称</w:t>
                  </w:r>
                </w:p>
              </w:tc>
              <w:tc>
                <w:tcPr>
                  <w:tcW w:w="1454" w:type="pct"/>
                  <w:noWrap w:val="0"/>
                  <w:tcMar>
                    <w:top w:w="120" w:type="dxa"/>
                    <w:left w:w="120" w:type="dxa"/>
                    <w:bottom w:w="120" w:type="dxa"/>
                    <w:right w:w="120" w:type="dxa"/>
                  </w:tcMar>
                  <w:vAlign w:val="center"/>
                </w:tcPr>
                <w:p w14:paraId="64678724">
                  <w:pPr>
                    <w:keepNext w:val="0"/>
                    <w:keepLines w:val="0"/>
                    <w:widowControl/>
                    <w:suppressLineNumbers w:val="0"/>
                    <w:jc w:val="center"/>
                    <w:rPr>
                      <w:rFonts w:hint="default" w:ascii="Times New Roman" w:hAnsi="Times New Roman" w:eastAsia="宋体" w:cs="Times New Roman"/>
                      <w:b w:val="0"/>
                      <w:bCs w:val="0"/>
                      <w:color w:val="auto"/>
                      <w:sz w:val="21"/>
                      <w:szCs w:val="21"/>
                    </w:rPr>
                  </w:pPr>
                  <w:r>
                    <w:rPr>
                      <w:rFonts w:hint="eastAsia" w:ascii="Times New Roman" w:hAnsi="Times New Roman" w:eastAsia="宋体" w:cs="Times New Roman"/>
                      <w:b w:val="0"/>
                      <w:bCs w:val="0"/>
                      <w:color w:val="auto"/>
                      <w:kern w:val="0"/>
                      <w:sz w:val="21"/>
                      <w:szCs w:val="21"/>
                      <w:lang w:val="en-US" w:eastAsia="zh-CN" w:bidi="ar"/>
                    </w:rPr>
                    <w:t>成分</w:t>
                  </w:r>
                </w:p>
              </w:tc>
              <w:tc>
                <w:tcPr>
                  <w:tcW w:w="1412" w:type="pct"/>
                  <w:noWrap w:val="0"/>
                  <w:tcMar>
                    <w:top w:w="120" w:type="dxa"/>
                    <w:left w:w="120" w:type="dxa"/>
                    <w:bottom w:w="120" w:type="dxa"/>
                    <w:right w:w="120" w:type="dxa"/>
                  </w:tcMar>
                  <w:vAlign w:val="center"/>
                </w:tcPr>
                <w:p w14:paraId="0610FB97">
                  <w:pPr>
                    <w:keepNext w:val="0"/>
                    <w:keepLines w:val="0"/>
                    <w:widowControl/>
                    <w:suppressLineNumbers w:val="0"/>
                    <w:jc w:val="center"/>
                    <w:rPr>
                      <w:rFonts w:hint="default" w:ascii="Times New Roman" w:hAnsi="Times New Roman" w:eastAsia="宋体" w:cs="Times New Roman"/>
                      <w:b w:val="0"/>
                      <w:bCs w:val="0"/>
                      <w:color w:val="auto"/>
                      <w:sz w:val="21"/>
                      <w:szCs w:val="21"/>
                      <w:lang w:val="en-US"/>
                    </w:rPr>
                  </w:pPr>
                  <w:r>
                    <w:rPr>
                      <w:rFonts w:hint="eastAsia" w:ascii="Times New Roman" w:hAnsi="Times New Roman" w:eastAsia="宋体" w:cs="Times New Roman"/>
                      <w:b w:val="0"/>
                      <w:bCs w:val="0"/>
                      <w:color w:val="auto"/>
                      <w:kern w:val="0"/>
                      <w:sz w:val="21"/>
                      <w:szCs w:val="21"/>
                      <w:lang w:val="en-US" w:eastAsia="zh-CN" w:bidi="ar"/>
                    </w:rPr>
                    <w:t>CAS号</w:t>
                  </w:r>
                </w:p>
              </w:tc>
              <w:tc>
                <w:tcPr>
                  <w:tcW w:w="1547" w:type="pct"/>
                  <w:noWrap w:val="0"/>
                  <w:tcMar>
                    <w:top w:w="120" w:type="dxa"/>
                    <w:left w:w="120" w:type="dxa"/>
                    <w:bottom w:w="120" w:type="dxa"/>
                    <w:right w:w="120" w:type="dxa"/>
                  </w:tcMar>
                  <w:vAlign w:val="center"/>
                </w:tcPr>
                <w:p w14:paraId="50F8AEAB">
                  <w:pPr>
                    <w:keepNext w:val="0"/>
                    <w:keepLines w:val="0"/>
                    <w:widowControl/>
                    <w:suppressLineNumbers w:val="0"/>
                    <w:jc w:val="center"/>
                    <w:rPr>
                      <w:rFonts w:hint="default" w:ascii="Times New Roman" w:hAnsi="Times New Roman" w:eastAsia="宋体" w:cs="Times New Roman"/>
                      <w:b w:val="0"/>
                      <w:bCs w:val="0"/>
                      <w:color w:val="auto"/>
                      <w:sz w:val="21"/>
                      <w:szCs w:val="21"/>
                    </w:rPr>
                  </w:pPr>
                  <w:r>
                    <w:rPr>
                      <w:rFonts w:hint="eastAsia" w:ascii="Times New Roman" w:hAnsi="Times New Roman" w:eastAsia="宋体" w:cs="Times New Roman"/>
                      <w:b w:val="0"/>
                      <w:bCs w:val="0"/>
                      <w:color w:val="auto"/>
                      <w:kern w:val="0"/>
                      <w:sz w:val="21"/>
                      <w:szCs w:val="21"/>
                      <w:lang w:val="en-US" w:eastAsia="zh-CN" w:bidi="ar"/>
                    </w:rPr>
                    <w:t>含量</w:t>
                  </w:r>
                </w:p>
              </w:tc>
            </w:tr>
            <w:tr w14:paraId="41B410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585" w:type="pct"/>
                  <w:vMerge w:val="restart"/>
                  <w:noWrap w:val="0"/>
                  <w:tcMar>
                    <w:top w:w="120" w:type="dxa"/>
                    <w:left w:w="120" w:type="dxa"/>
                    <w:bottom w:w="120" w:type="dxa"/>
                    <w:right w:w="120" w:type="dxa"/>
                  </w:tcMar>
                  <w:vAlign w:val="center"/>
                </w:tcPr>
                <w:p w14:paraId="20C5ABD9">
                  <w:pPr>
                    <w:keepNext w:val="0"/>
                    <w:keepLines w:val="0"/>
                    <w:widowControl/>
                    <w:suppressLineNumbers w:val="0"/>
                    <w:jc w:val="center"/>
                    <w:rPr>
                      <w:rFonts w:hint="default" w:ascii="Times New Roman" w:hAnsi="Times New Roman" w:eastAsia="宋体" w:cs="Times New Roman"/>
                      <w:b w:val="0"/>
                      <w:bCs w:val="0"/>
                      <w:color w:val="auto"/>
                      <w:sz w:val="21"/>
                      <w:szCs w:val="21"/>
                    </w:rPr>
                  </w:pPr>
                  <w:r>
                    <w:rPr>
                      <w:rFonts w:hint="eastAsia" w:ascii="Times New Roman" w:hAnsi="Times New Roman" w:cs="Times New Roman"/>
                      <w:color w:val="auto"/>
                      <w:sz w:val="21"/>
                      <w:szCs w:val="21"/>
                      <w:lang w:val="en-US" w:eastAsia="zh-CN"/>
                    </w:rPr>
                    <w:t>酚醛树脂</w:t>
                  </w:r>
                </w:p>
              </w:tc>
              <w:tc>
                <w:tcPr>
                  <w:tcW w:w="1454" w:type="pct"/>
                  <w:noWrap w:val="0"/>
                  <w:tcMar>
                    <w:top w:w="120" w:type="dxa"/>
                    <w:left w:w="120" w:type="dxa"/>
                    <w:bottom w:w="120" w:type="dxa"/>
                    <w:right w:w="120" w:type="dxa"/>
                  </w:tcMar>
                  <w:vAlign w:val="center"/>
                </w:tcPr>
                <w:p w14:paraId="0AA2408D">
                  <w:pPr>
                    <w:keepNext w:val="0"/>
                    <w:keepLines w:val="0"/>
                    <w:widowControl/>
                    <w:suppressLineNumbers w:val="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sz w:val="21"/>
                      <w:szCs w:val="21"/>
                      <w:highlight w:val="none"/>
                      <w:lang w:val="en-US" w:eastAsia="zh-CN"/>
                    </w:rPr>
                    <w:t>酚醛树脂</w:t>
                  </w:r>
                </w:p>
              </w:tc>
              <w:tc>
                <w:tcPr>
                  <w:tcW w:w="1412" w:type="pct"/>
                  <w:noWrap w:val="0"/>
                  <w:tcMar>
                    <w:top w:w="120" w:type="dxa"/>
                    <w:left w:w="120" w:type="dxa"/>
                    <w:bottom w:w="120" w:type="dxa"/>
                    <w:right w:w="120" w:type="dxa"/>
                  </w:tcMar>
                  <w:vAlign w:val="center"/>
                </w:tcPr>
                <w:p w14:paraId="4714B4AC">
                  <w:pPr>
                    <w:keepNext w:val="0"/>
                    <w:keepLines w:val="0"/>
                    <w:widowControl/>
                    <w:suppressLineNumbers w:val="0"/>
                    <w:jc w:val="center"/>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w:t>
                  </w:r>
                </w:p>
              </w:tc>
              <w:tc>
                <w:tcPr>
                  <w:tcW w:w="1547" w:type="pct"/>
                  <w:noWrap w:val="0"/>
                  <w:tcMar>
                    <w:top w:w="120" w:type="dxa"/>
                    <w:left w:w="120" w:type="dxa"/>
                    <w:bottom w:w="120" w:type="dxa"/>
                    <w:right w:w="120" w:type="dxa"/>
                  </w:tcMar>
                  <w:vAlign w:val="center"/>
                </w:tcPr>
                <w:p w14:paraId="423B545B">
                  <w:pPr>
                    <w:keepNext w:val="0"/>
                    <w:keepLines w:val="0"/>
                    <w:widowControl/>
                    <w:suppressLineNumbers w:val="0"/>
                    <w:jc w:val="center"/>
                    <w:rPr>
                      <w:rFonts w:hint="default" w:ascii="Times New Roman" w:hAnsi="Times New Roman" w:eastAsia="宋体" w:cs="Times New Roman"/>
                      <w:b w:val="0"/>
                      <w:bCs w:val="0"/>
                      <w:color w:val="auto"/>
                      <w:sz w:val="21"/>
                      <w:szCs w:val="21"/>
                    </w:rPr>
                  </w:pPr>
                  <w:r>
                    <w:rPr>
                      <w:rFonts w:hint="eastAsia" w:ascii="Times New Roman" w:hAnsi="Times New Roman" w:cs="Times New Roman"/>
                      <w:color w:val="auto"/>
                      <w:sz w:val="21"/>
                      <w:szCs w:val="21"/>
                      <w:highlight w:val="none"/>
                      <w:lang w:val="en-US" w:eastAsia="zh-CN"/>
                    </w:rPr>
                    <w:t>87</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-90</w:t>
                  </w:r>
                  <w:r>
                    <w:rPr>
                      <w:rFonts w:hint="default" w:ascii="Times New Roman" w:hAnsi="Times New Roman" w:eastAsia="宋体" w:cs="Times New Roman"/>
                      <w:color w:val="auto"/>
                      <w:sz w:val="21"/>
                      <w:szCs w:val="21"/>
                      <w:highlight w:val="none"/>
                      <w:lang w:val="en-US" w:eastAsia="zh-CN"/>
                    </w:rPr>
                    <w:t>%</w:t>
                  </w:r>
                </w:p>
              </w:tc>
            </w:tr>
            <w:tr w14:paraId="17C416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585" w:type="pct"/>
                  <w:vMerge w:val="continue"/>
                  <w:noWrap w:val="0"/>
                  <w:tcMar>
                    <w:top w:w="120" w:type="dxa"/>
                    <w:left w:w="120" w:type="dxa"/>
                    <w:bottom w:w="120" w:type="dxa"/>
                    <w:right w:w="120" w:type="dxa"/>
                  </w:tcMar>
                  <w:vAlign w:val="center"/>
                </w:tcPr>
                <w:p w14:paraId="426D4272">
                  <w:pPr>
                    <w:keepNext w:val="0"/>
                    <w:keepLines w:val="0"/>
                    <w:widowControl/>
                    <w:suppressLineNumbers w:val="0"/>
                    <w:jc w:val="center"/>
                    <w:rPr>
                      <w:color w:val="auto"/>
                    </w:rPr>
                  </w:pPr>
                </w:p>
              </w:tc>
              <w:tc>
                <w:tcPr>
                  <w:tcW w:w="1454" w:type="pct"/>
                  <w:noWrap w:val="0"/>
                  <w:tcMar>
                    <w:top w:w="120" w:type="dxa"/>
                    <w:left w:w="120" w:type="dxa"/>
                    <w:bottom w:w="120" w:type="dxa"/>
                    <w:right w:w="120" w:type="dxa"/>
                  </w:tcMar>
                  <w:vAlign w:val="center"/>
                </w:tcPr>
                <w:p w14:paraId="38B0017C">
                  <w:pPr>
                    <w:keepNext w:val="0"/>
                    <w:keepLines w:val="0"/>
                    <w:widowControl/>
                    <w:suppressLineNumbers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游离</w:t>
                  </w:r>
                  <w:r>
                    <w:rPr>
                      <w:rFonts w:hint="default" w:ascii="Times New Roman" w:hAnsi="Times New Roman" w:eastAsia="宋体" w:cs="Times New Roman"/>
                      <w:color w:val="auto"/>
                      <w:sz w:val="21"/>
                      <w:szCs w:val="21"/>
                      <w:highlight w:val="none"/>
                      <w:lang w:val="en-US" w:eastAsia="zh-CN"/>
                    </w:rPr>
                    <w:t>苯酚</w:t>
                  </w:r>
                </w:p>
              </w:tc>
              <w:tc>
                <w:tcPr>
                  <w:tcW w:w="1412" w:type="pct"/>
                  <w:noWrap w:val="0"/>
                  <w:tcMar>
                    <w:top w:w="120" w:type="dxa"/>
                    <w:left w:w="120" w:type="dxa"/>
                    <w:bottom w:w="120" w:type="dxa"/>
                    <w:right w:w="120" w:type="dxa"/>
                  </w:tcMar>
                  <w:vAlign w:val="center"/>
                </w:tcPr>
                <w:p w14:paraId="77EEBA2B">
                  <w:pPr>
                    <w:keepNext w:val="0"/>
                    <w:keepLines w:val="0"/>
                    <w:widowControl/>
                    <w:suppressLineNumbers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47" w:type="pct"/>
                  <w:noWrap w:val="0"/>
                  <w:tcMar>
                    <w:top w:w="120" w:type="dxa"/>
                    <w:left w:w="120" w:type="dxa"/>
                    <w:bottom w:w="120" w:type="dxa"/>
                    <w:right w:w="120" w:type="dxa"/>
                  </w:tcMar>
                  <w:vAlign w:val="center"/>
                </w:tcPr>
                <w:p w14:paraId="617698AA">
                  <w:pPr>
                    <w:keepNext w:val="0"/>
                    <w:keepLines w:val="0"/>
                    <w:widowControl/>
                    <w:suppressLineNumbers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0-3.5%</w:t>
                  </w:r>
                </w:p>
              </w:tc>
            </w:tr>
            <w:tr w14:paraId="603535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585" w:type="pct"/>
                  <w:vMerge w:val="continue"/>
                  <w:noWrap w:val="0"/>
                  <w:tcMar>
                    <w:top w:w="120" w:type="dxa"/>
                    <w:left w:w="120" w:type="dxa"/>
                    <w:bottom w:w="120" w:type="dxa"/>
                    <w:right w:w="120" w:type="dxa"/>
                  </w:tcMar>
                  <w:vAlign w:val="center"/>
                </w:tcPr>
                <w:p w14:paraId="5C011883">
                  <w:pPr>
                    <w:keepNext w:val="0"/>
                    <w:keepLines w:val="0"/>
                    <w:widowControl/>
                    <w:suppressLineNumbers w:val="0"/>
                    <w:jc w:val="center"/>
                    <w:rPr>
                      <w:rFonts w:hint="default" w:ascii="Times New Roman" w:hAnsi="Times New Roman" w:eastAsia="宋体" w:cs="Times New Roman"/>
                      <w:color w:val="auto"/>
                      <w:sz w:val="21"/>
                      <w:szCs w:val="21"/>
                      <w:highlight w:val="none"/>
                      <w:lang w:val="en-US" w:eastAsia="zh-CN"/>
                    </w:rPr>
                  </w:pPr>
                </w:p>
              </w:tc>
              <w:tc>
                <w:tcPr>
                  <w:tcW w:w="1454" w:type="pct"/>
                  <w:noWrap w:val="0"/>
                  <w:tcMar>
                    <w:top w:w="120" w:type="dxa"/>
                    <w:left w:w="120" w:type="dxa"/>
                    <w:bottom w:w="120" w:type="dxa"/>
                    <w:right w:w="120" w:type="dxa"/>
                  </w:tcMar>
                  <w:vAlign w:val="center"/>
                </w:tcPr>
                <w:p w14:paraId="40B447B1">
                  <w:pPr>
                    <w:keepNext w:val="0"/>
                    <w:keepLines w:val="0"/>
                    <w:widowControl/>
                    <w:suppressLineNumbers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六次甲基四胺</w:t>
                  </w:r>
                </w:p>
              </w:tc>
              <w:tc>
                <w:tcPr>
                  <w:tcW w:w="1412" w:type="pct"/>
                  <w:noWrap w:val="0"/>
                  <w:tcMar>
                    <w:top w:w="120" w:type="dxa"/>
                    <w:left w:w="120" w:type="dxa"/>
                    <w:bottom w:w="120" w:type="dxa"/>
                    <w:right w:w="120" w:type="dxa"/>
                  </w:tcMar>
                  <w:vAlign w:val="center"/>
                </w:tcPr>
                <w:p w14:paraId="00487D7A">
                  <w:pPr>
                    <w:keepNext w:val="0"/>
                    <w:keepLines w:val="0"/>
                    <w:widowControl/>
                    <w:suppressLineNumbers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47" w:type="pct"/>
                  <w:noWrap w:val="0"/>
                  <w:tcMar>
                    <w:top w:w="120" w:type="dxa"/>
                    <w:left w:w="120" w:type="dxa"/>
                    <w:bottom w:w="120" w:type="dxa"/>
                    <w:right w:w="120" w:type="dxa"/>
                  </w:tcMar>
                  <w:vAlign w:val="center"/>
                </w:tcPr>
                <w:p w14:paraId="401D32CE">
                  <w:pPr>
                    <w:keepNext w:val="0"/>
                    <w:keepLines w:val="0"/>
                    <w:widowControl/>
                    <w:suppressLineNumbers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9.5%-10.5</w:t>
                  </w:r>
                  <w:r>
                    <w:rPr>
                      <w:rFonts w:hint="eastAsia" w:ascii="Times New Roman" w:hAnsi="Times New Roman" w:cs="Times New Roman"/>
                      <w:color w:val="auto"/>
                      <w:sz w:val="21"/>
                      <w:szCs w:val="21"/>
                      <w:highlight w:val="none"/>
                      <w:lang w:val="en-US" w:eastAsia="zh-CN"/>
                    </w:rPr>
                    <w:t>%</w:t>
                  </w:r>
                </w:p>
              </w:tc>
            </w:tr>
            <w:tr w14:paraId="443481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83" w:hRule="atLeast"/>
                <w:jc w:val="center"/>
              </w:trPr>
              <w:tc>
                <w:tcPr>
                  <w:tcW w:w="585" w:type="pct"/>
                  <w:vMerge w:val="restart"/>
                  <w:noWrap w:val="0"/>
                  <w:tcMar>
                    <w:top w:w="120" w:type="dxa"/>
                    <w:left w:w="120" w:type="dxa"/>
                    <w:bottom w:w="120" w:type="dxa"/>
                    <w:right w:w="120" w:type="dxa"/>
                  </w:tcMar>
                  <w:vAlign w:val="center"/>
                </w:tcPr>
                <w:p w14:paraId="58AA36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color w:val="auto"/>
                      <w:sz w:val="21"/>
                      <w:szCs w:val="21"/>
                      <w:lang w:val="en-US" w:eastAsia="zh-CN"/>
                    </w:rPr>
                    <w:t>塑粉</w:t>
                  </w:r>
                </w:p>
              </w:tc>
              <w:tc>
                <w:tcPr>
                  <w:tcW w:w="1454" w:type="pct"/>
                  <w:noWrap w:val="0"/>
                  <w:tcMar>
                    <w:top w:w="120" w:type="dxa"/>
                    <w:left w:w="120" w:type="dxa"/>
                    <w:bottom w:w="120" w:type="dxa"/>
                    <w:right w:w="120" w:type="dxa"/>
                  </w:tcMar>
                  <w:vAlign w:val="center"/>
                </w:tcPr>
                <w:p w14:paraId="124BA840">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聚氨酯树脂</w:t>
                  </w:r>
                </w:p>
              </w:tc>
              <w:tc>
                <w:tcPr>
                  <w:tcW w:w="1412" w:type="pct"/>
                  <w:noWrap w:val="0"/>
                  <w:tcMar>
                    <w:top w:w="120" w:type="dxa"/>
                    <w:left w:w="120" w:type="dxa"/>
                    <w:bottom w:w="120" w:type="dxa"/>
                    <w:right w:w="120" w:type="dxa"/>
                  </w:tcMar>
                  <w:vAlign w:val="center"/>
                </w:tcPr>
                <w:p w14:paraId="307D6062">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61788-97-4</w:t>
                  </w:r>
                </w:p>
              </w:tc>
              <w:tc>
                <w:tcPr>
                  <w:tcW w:w="1547" w:type="pct"/>
                  <w:noWrap w:val="0"/>
                  <w:tcMar>
                    <w:top w:w="120" w:type="dxa"/>
                    <w:left w:w="120" w:type="dxa"/>
                    <w:bottom w:w="120" w:type="dxa"/>
                    <w:right w:w="120" w:type="dxa"/>
                  </w:tcMar>
                  <w:vAlign w:val="center"/>
                </w:tcPr>
                <w:p w14:paraId="02E6FF0C">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50%-60%</w:t>
                  </w:r>
                </w:p>
              </w:tc>
            </w:tr>
            <w:tr w14:paraId="181828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83" w:hRule="atLeast"/>
                <w:jc w:val="center"/>
              </w:trPr>
              <w:tc>
                <w:tcPr>
                  <w:tcW w:w="585" w:type="pct"/>
                  <w:vMerge w:val="continue"/>
                  <w:noWrap w:val="0"/>
                  <w:tcMar>
                    <w:top w:w="120" w:type="dxa"/>
                    <w:left w:w="120" w:type="dxa"/>
                    <w:bottom w:w="120" w:type="dxa"/>
                    <w:right w:w="120" w:type="dxa"/>
                  </w:tcMar>
                  <w:vAlign w:val="center"/>
                </w:tcPr>
                <w:p w14:paraId="5BA413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454" w:type="pct"/>
                  <w:noWrap w:val="0"/>
                  <w:tcMar>
                    <w:top w:w="120" w:type="dxa"/>
                    <w:left w:w="120" w:type="dxa"/>
                    <w:bottom w:w="120" w:type="dxa"/>
                    <w:right w:w="120" w:type="dxa"/>
                  </w:tcMar>
                  <w:vAlign w:val="center"/>
                </w:tcPr>
                <w:p w14:paraId="5CCF580A">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固化剂</w:t>
                  </w:r>
                </w:p>
              </w:tc>
              <w:tc>
                <w:tcPr>
                  <w:tcW w:w="1412" w:type="pct"/>
                  <w:noWrap w:val="0"/>
                  <w:tcMar>
                    <w:top w:w="120" w:type="dxa"/>
                    <w:left w:w="120" w:type="dxa"/>
                    <w:bottom w:w="120" w:type="dxa"/>
                    <w:right w:w="120" w:type="dxa"/>
                  </w:tcMar>
                  <w:vAlign w:val="center"/>
                </w:tcPr>
                <w:p w14:paraId="548E7E01">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26123-45-5</w:t>
                  </w:r>
                </w:p>
              </w:tc>
              <w:tc>
                <w:tcPr>
                  <w:tcW w:w="1547" w:type="pct"/>
                  <w:noWrap w:val="0"/>
                  <w:tcMar>
                    <w:top w:w="120" w:type="dxa"/>
                    <w:left w:w="120" w:type="dxa"/>
                    <w:bottom w:w="120" w:type="dxa"/>
                    <w:right w:w="120" w:type="dxa"/>
                  </w:tcMar>
                  <w:vAlign w:val="center"/>
                </w:tcPr>
                <w:p w14:paraId="54CA4275">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4%-4.5%</w:t>
                  </w:r>
                </w:p>
              </w:tc>
            </w:tr>
            <w:tr w14:paraId="727CA3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83" w:hRule="atLeast"/>
                <w:jc w:val="center"/>
              </w:trPr>
              <w:tc>
                <w:tcPr>
                  <w:tcW w:w="585" w:type="pct"/>
                  <w:vMerge w:val="continue"/>
                  <w:noWrap w:val="0"/>
                  <w:tcMar>
                    <w:top w:w="120" w:type="dxa"/>
                    <w:left w:w="120" w:type="dxa"/>
                    <w:bottom w:w="120" w:type="dxa"/>
                    <w:right w:w="120" w:type="dxa"/>
                  </w:tcMar>
                  <w:vAlign w:val="center"/>
                </w:tcPr>
                <w:p w14:paraId="4E1F4F03">
                  <w:pPr>
                    <w:keepNext w:val="0"/>
                    <w:keepLines w:val="0"/>
                    <w:widowControl/>
                    <w:suppressLineNumbers w:val="0"/>
                    <w:jc w:val="center"/>
                    <w:rPr>
                      <w:color w:val="auto"/>
                    </w:rPr>
                  </w:pPr>
                </w:p>
              </w:tc>
              <w:tc>
                <w:tcPr>
                  <w:tcW w:w="1454" w:type="pct"/>
                  <w:noWrap w:val="0"/>
                  <w:tcMar>
                    <w:top w:w="120" w:type="dxa"/>
                    <w:left w:w="120" w:type="dxa"/>
                    <w:bottom w:w="120" w:type="dxa"/>
                    <w:right w:w="120" w:type="dxa"/>
                  </w:tcMar>
                  <w:vAlign w:val="center"/>
                </w:tcPr>
                <w:p w14:paraId="0D754407">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钛白粉</w:t>
                  </w:r>
                </w:p>
              </w:tc>
              <w:tc>
                <w:tcPr>
                  <w:tcW w:w="1412" w:type="pct"/>
                  <w:noWrap w:val="0"/>
                  <w:tcMar>
                    <w:top w:w="120" w:type="dxa"/>
                    <w:left w:w="120" w:type="dxa"/>
                    <w:bottom w:w="120" w:type="dxa"/>
                    <w:right w:w="120" w:type="dxa"/>
                  </w:tcMar>
                  <w:vAlign w:val="center"/>
                </w:tcPr>
                <w:p w14:paraId="6F885AEE">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13463-67-7</w:t>
                  </w:r>
                </w:p>
              </w:tc>
              <w:tc>
                <w:tcPr>
                  <w:tcW w:w="1547" w:type="pct"/>
                  <w:noWrap w:val="0"/>
                  <w:tcMar>
                    <w:top w:w="120" w:type="dxa"/>
                    <w:left w:w="120" w:type="dxa"/>
                    <w:bottom w:w="120" w:type="dxa"/>
                    <w:right w:w="120" w:type="dxa"/>
                  </w:tcMar>
                  <w:vAlign w:val="center"/>
                </w:tcPr>
                <w:p w14:paraId="67BD31D4">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7%- 8%</w:t>
                  </w:r>
                </w:p>
              </w:tc>
            </w:tr>
            <w:tr w14:paraId="6A1D1A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83" w:hRule="atLeast"/>
                <w:jc w:val="center"/>
              </w:trPr>
              <w:tc>
                <w:tcPr>
                  <w:tcW w:w="585" w:type="pct"/>
                  <w:vMerge w:val="continue"/>
                  <w:noWrap w:val="0"/>
                  <w:tcMar>
                    <w:top w:w="120" w:type="dxa"/>
                    <w:left w:w="120" w:type="dxa"/>
                    <w:bottom w:w="120" w:type="dxa"/>
                    <w:right w:w="120" w:type="dxa"/>
                  </w:tcMar>
                  <w:vAlign w:val="center"/>
                </w:tcPr>
                <w:p w14:paraId="5DADE3A0">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p>
              </w:tc>
              <w:tc>
                <w:tcPr>
                  <w:tcW w:w="1454" w:type="pct"/>
                  <w:noWrap w:val="0"/>
                  <w:tcMar>
                    <w:top w:w="120" w:type="dxa"/>
                    <w:left w:w="120" w:type="dxa"/>
                    <w:bottom w:w="120" w:type="dxa"/>
                    <w:right w:w="120" w:type="dxa"/>
                  </w:tcMar>
                  <w:vAlign w:val="center"/>
                </w:tcPr>
                <w:p w14:paraId="39583852">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硫酸钡</w:t>
                  </w:r>
                </w:p>
              </w:tc>
              <w:tc>
                <w:tcPr>
                  <w:tcW w:w="1412" w:type="pct"/>
                  <w:noWrap w:val="0"/>
                  <w:tcMar>
                    <w:top w:w="120" w:type="dxa"/>
                    <w:left w:w="120" w:type="dxa"/>
                    <w:bottom w:w="120" w:type="dxa"/>
                    <w:right w:w="120" w:type="dxa"/>
                  </w:tcMar>
                  <w:vAlign w:val="center"/>
                </w:tcPr>
                <w:p w14:paraId="3324353C">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7727-43-7</w:t>
                  </w:r>
                </w:p>
              </w:tc>
              <w:tc>
                <w:tcPr>
                  <w:tcW w:w="1547" w:type="pct"/>
                  <w:noWrap w:val="0"/>
                  <w:tcMar>
                    <w:top w:w="120" w:type="dxa"/>
                    <w:left w:w="120" w:type="dxa"/>
                    <w:bottom w:w="120" w:type="dxa"/>
                    <w:right w:w="120" w:type="dxa"/>
                  </w:tcMar>
                  <w:vAlign w:val="center"/>
                </w:tcPr>
                <w:p w14:paraId="7A65E156">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17</w:t>
                  </w:r>
                  <w:r>
                    <w:rPr>
                      <w:rFonts w:hint="default" w:ascii="Times New Roman" w:hAnsi="Times New Roman" w:eastAsia="宋体" w:cs="Times New Roman"/>
                      <w:b w:val="0"/>
                      <w:bCs w:val="0"/>
                      <w:color w:val="auto"/>
                      <w:kern w:val="0"/>
                      <w:sz w:val="21"/>
                      <w:szCs w:val="21"/>
                      <w:lang w:val="en-US" w:eastAsia="zh-CN" w:bidi="ar"/>
                    </w:rPr>
                    <w:t>%-</w:t>
                  </w:r>
                  <w:r>
                    <w:rPr>
                      <w:rFonts w:hint="eastAsia" w:ascii="Times New Roman" w:hAnsi="Times New Roman" w:eastAsia="宋体" w:cs="Times New Roman"/>
                      <w:b w:val="0"/>
                      <w:bCs w:val="0"/>
                      <w:color w:val="auto"/>
                      <w:kern w:val="0"/>
                      <w:sz w:val="21"/>
                      <w:szCs w:val="21"/>
                      <w:lang w:val="en-US" w:eastAsia="zh-CN" w:bidi="ar"/>
                    </w:rPr>
                    <w:t>31</w:t>
                  </w:r>
                  <w:r>
                    <w:rPr>
                      <w:rFonts w:hint="default" w:ascii="Times New Roman" w:hAnsi="Times New Roman" w:eastAsia="宋体" w:cs="Times New Roman"/>
                      <w:b w:val="0"/>
                      <w:bCs w:val="0"/>
                      <w:color w:val="auto"/>
                      <w:kern w:val="0"/>
                      <w:sz w:val="21"/>
                      <w:szCs w:val="21"/>
                      <w:lang w:val="en-US" w:eastAsia="zh-CN" w:bidi="ar"/>
                    </w:rPr>
                    <w:t>%</w:t>
                  </w:r>
                </w:p>
              </w:tc>
            </w:tr>
            <w:tr w14:paraId="1CD1AE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83" w:hRule="atLeast"/>
                <w:jc w:val="center"/>
              </w:trPr>
              <w:tc>
                <w:tcPr>
                  <w:tcW w:w="585" w:type="pct"/>
                  <w:vMerge w:val="continue"/>
                  <w:noWrap w:val="0"/>
                  <w:tcMar>
                    <w:top w:w="120" w:type="dxa"/>
                    <w:left w:w="120" w:type="dxa"/>
                    <w:bottom w:w="120" w:type="dxa"/>
                    <w:right w:w="120" w:type="dxa"/>
                  </w:tcMar>
                  <w:vAlign w:val="center"/>
                </w:tcPr>
                <w:p w14:paraId="611F82DE">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p>
              </w:tc>
              <w:tc>
                <w:tcPr>
                  <w:tcW w:w="1454" w:type="pct"/>
                  <w:noWrap w:val="0"/>
                  <w:tcMar>
                    <w:top w:w="120" w:type="dxa"/>
                    <w:left w:w="120" w:type="dxa"/>
                    <w:bottom w:w="120" w:type="dxa"/>
                    <w:right w:w="120" w:type="dxa"/>
                  </w:tcMar>
                  <w:vAlign w:val="center"/>
                </w:tcPr>
                <w:p w14:paraId="50170D8C">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砂纹剂</w:t>
                  </w:r>
                </w:p>
              </w:tc>
              <w:tc>
                <w:tcPr>
                  <w:tcW w:w="1412" w:type="pct"/>
                  <w:noWrap w:val="0"/>
                  <w:tcMar>
                    <w:top w:w="120" w:type="dxa"/>
                    <w:left w:w="120" w:type="dxa"/>
                    <w:bottom w:w="120" w:type="dxa"/>
                    <w:right w:w="120" w:type="dxa"/>
                  </w:tcMar>
                  <w:vAlign w:val="center"/>
                </w:tcPr>
                <w:p w14:paraId="1F970EDE">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128192-17-6</w:t>
                  </w:r>
                </w:p>
              </w:tc>
              <w:tc>
                <w:tcPr>
                  <w:tcW w:w="1547" w:type="pct"/>
                  <w:noWrap w:val="0"/>
                  <w:tcMar>
                    <w:top w:w="120" w:type="dxa"/>
                    <w:left w:w="120" w:type="dxa"/>
                    <w:bottom w:w="120" w:type="dxa"/>
                    <w:right w:w="120" w:type="dxa"/>
                  </w:tcMar>
                  <w:vAlign w:val="center"/>
                </w:tcPr>
                <w:p w14:paraId="6CE00006">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0.7%-1%</w:t>
                  </w:r>
                </w:p>
              </w:tc>
            </w:tr>
            <w:tr w14:paraId="663EBA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83" w:hRule="atLeast"/>
                <w:jc w:val="center"/>
              </w:trPr>
              <w:tc>
                <w:tcPr>
                  <w:tcW w:w="585" w:type="pct"/>
                  <w:vMerge w:val="continue"/>
                  <w:noWrap w:val="0"/>
                  <w:tcMar>
                    <w:top w:w="120" w:type="dxa"/>
                    <w:left w:w="120" w:type="dxa"/>
                    <w:bottom w:w="120" w:type="dxa"/>
                    <w:right w:w="120" w:type="dxa"/>
                  </w:tcMar>
                  <w:vAlign w:val="center"/>
                </w:tcPr>
                <w:p w14:paraId="3878022C">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p>
              </w:tc>
              <w:tc>
                <w:tcPr>
                  <w:tcW w:w="1454" w:type="pct"/>
                  <w:noWrap w:val="0"/>
                  <w:tcMar>
                    <w:top w:w="120" w:type="dxa"/>
                    <w:left w:w="120" w:type="dxa"/>
                    <w:bottom w:w="120" w:type="dxa"/>
                    <w:right w:w="120" w:type="dxa"/>
                  </w:tcMar>
                  <w:vAlign w:val="center"/>
                </w:tcPr>
                <w:p w14:paraId="3B337917">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PE蜡</w:t>
                  </w:r>
                </w:p>
              </w:tc>
              <w:tc>
                <w:tcPr>
                  <w:tcW w:w="1412" w:type="pct"/>
                  <w:noWrap w:val="0"/>
                  <w:tcMar>
                    <w:top w:w="120" w:type="dxa"/>
                    <w:left w:w="120" w:type="dxa"/>
                    <w:bottom w:w="120" w:type="dxa"/>
                    <w:right w:w="120" w:type="dxa"/>
                  </w:tcMar>
                  <w:vAlign w:val="center"/>
                </w:tcPr>
                <w:p w14:paraId="2EEFBBBA">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9002-88-4</w:t>
                  </w:r>
                </w:p>
              </w:tc>
              <w:tc>
                <w:tcPr>
                  <w:tcW w:w="1547" w:type="pct"/>
                  <w:noWrap w:val="0"/>
                  <w:tcMar>
                    <w:top w:w="120" w:type="dxa"/>
                    <w:left w:w="120" w:type="dxa"/>
                    <w:bottom w:w="120" w:type="dxa"/>
                    <w:right w:w="120" w:type="dxa"/>
                  </w:tcMar>
                  <w:vAlign w:val="center"/>
                </w:tcPr>
                <w:p w14:paraId="7DCCFE31">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0.3%-0.6%</w:t>
                  </w:r>
                </w:p>
              </w:tc>
            </w:tr>
            <w:tr w14:paraId="11BE0C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83" w:hRule="atLeast"/>
                <w:jc w:val="center"/>
              </w:trPr>
              <w:tc>
                <w:tcPr>
                  <w:tcW w:w="585" w:type="pct"/>
                  <w:vMerge w:val="continue"/>
                  <w:noWrap w:val="0"/>
                  <w:tcMar>
                    <w:top w:w="120" w:type="dxa"/>
                    <w:left w:w="120" w:type="dxa"/>
                    <w:bottom w:w="120" w:type="dxa"/>
                    <w:right w:w="120" w:type="dxa"/>
                  </w:tcMar>
                  <w:vAlign w:val="center"/>
                </w:tcPr>
                <w:p w14:paraId="7CF7CDB1">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p>
              </w:tc>
              <w:tc>
                <w:tcPr>
                  <w:tcW w:w="1454" w:type="pct"/>
                  <w:noWrap w:val="0"/>
                  <w:tcMar>
                    <w:top w:w="120" w:type="dxa"/>
                    <w:left w:w="120" w:type="dxa"/>
                    <w:bottom w:w="120" w:type="dxa"/>
                    <w:right w:w="120" w:type="dxa"/>
                  </w:tcMar>
                  <w:vAlign w:val="center"/>
                </w:tcPr>
                <w:p w14:paraId="7DFECC41">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颜料</w:t>
                  </w:r>
                </w:p>
              </w:tc>
              <w:tc>
                <w:tcPr>
                  <w:tcW w:w="1412" w:type="pct"/>
                  <w:noWrap w:val="0"/>
                  <w:tcMar>
                    <w:top w:w="120" w:type="dxa"/>
                    <w:left w:w="120" w:type="dxa"/>
                    <w:bottom w:w="120" w:type="dxa"/>
                    <w:right w:w="120" w:type="dxa"/>
                  </w:tcMar>
                  <w:vAlign w:val="center"/>
                </w:tcPr>
                <w:p w14:paraId="23509054">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1333-86-4</w:t>
                  </w:r>
                </w:p>
              </w:tc>
              <w:tc>
                <w:tcPr>
                  <w:tcW w:w="1547" w:type="pct"/>
                  <w:noWrap w:val="0"/>
                  <w:tcMar>
                    <w:top w:w="120" w:type="dxa"/>
                    <w:left w:w="120" w:type="dxa"/>
                    <w:bottom w:w="120" w:type="dxa"/>
                    <w:right w:w="120" w:type="dxa"/>
                  </w:tcMar>
                  <w:vAlign w:val="center"/>
                </w:tcPr>
                <w:p w14:paraId="5CB2CC80">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0.43%-0.5%</w:t>
                  </w:r>
                </w:p>
              </w:tc>
            </w:tr>
            <w:tr w14:paraId="4245D9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jc w:val="center"/>
              </w:trPr>
              <w:tc>
                <w:tcPr>
                  <w:tcW w:w="585" w:type="pct"/>
                  <w:vMerge w:val="restart"/>
                  <w:noWrap w:val="0"/>
                  <w:tcMar>
                    <w:top w:w="120" w:type="dxa"/>
                    <w:left w:w="120" w:type="dxa"/>
                    <w:bottom w:w="120" w:type="dxa"/>
                    <w:right w:w="120" w:type="dxa"/>
                  </w:tcMar>
                  <w:vAlign w:val="center"/>
                </w:tcPr>
                <w:p w14:paraId="1D9743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color w:val="auto"/>
                      <w:sz w:val="21"/>
                      <w:szCs w:val="21"/>
                      <w:lang w:val="en-US" w:eastAsia="zh-CN"/>
                    </w:rPr>
                    <w:t>酚醛树脂胶水</w:t>
                  </w:r>
                </w:p>
              </w:tc>
              <w:tc>
                <w:tcPr>
                  <w:tcW w:w="1454" w:type="pct"/>
                  <w:noWrap w:val="0"/>
                  <w:tcMar>
                    <w:top w:w="120" w:type="dxa"/>
                    <w:left w:w="120" w:type="dxa"/>
                    <w:bottom w:w="120" w:type="dxa"/>
                    <w:right w:w="120" w:type="dxa"/>
                  </w:tcMar>
                  <w:vAlign w:val="center"/>
                </w:tcPr>
                <w:p w14:paraId="36A91866">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酚醛树脂</w:t>
                  </w:r>
                </w:p>
              </w:tc>
              <w:tc>
                <w:tcPr>
                  <w:tcW w:w="1412" w:type="pct"/>
                  <w:noWrap w:val="0"/>
                  <w:tcMar>
                    <w:top w:w="120" w:type="dxa"/>
                    <w:left w:w="120" w:type="dxa"/>
                    <w:bottom w:w="120" w:type="dxa"/>
                    <w:right w:w="120" w:type="dxa"/>
                  </w:tcMar>
                  <w:vAlign w:val="center"/>
                </w:tcPr>
                <w:p w14:paraId="3DC360FE">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9003-35-4</w:t>
                  </w:r>
                </w:p>
              </w:tc>
              <w:tc>
                <w:tcPr>
                  <w:tcW w:w="1547" w:type="pct"/>
                  <w:noWrap w:val="0"/>
                  <w:tcMar>
                    <w:top w:w="120" w:type="dxa"/>
                    <w:left w:w="120" w:type="dxa"/>
                    <w:bottom w:w="120" w:type="dxa"/>
                    <w:right w:w="120" w:type="dxa"/>
                  </w:tcMar>
                  <w:vAlign w:val="center"/>
                </w:tcPr>
                <w:p w14:paraId="614E3F1D">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30%</w:t>
                  </w:r>
                </w:p>
              </w:tc>
            </w:tr>
            <w:tr w14:paraId="62CBD4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jc w:val="center"/>
              </w:trPr>
              <w:tc>
                <w:tcPr>
                  <w:tcW w:w="585" w:type="pct"/>
                  <w:vMerge w:val="continue"/>
                  <w:noWrap w:val="0"/>
                  <w:tcMar>
                    <w:top w:w="120" w:type="dxa"/>
                    <w:left w:w="120" w:type="dxa"/>
                    <w:bottom w:w="120" w:type="dxa"/>
                    <w:right w:w="120" w:type="dxa"/>
                  </w:tcMar>
                  <w:vAlign w:val="center"/>
                </w:tcPr>
                <w:p w14:paraId="1B4F71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454" w:type="pct"/>
                  <w:noWrap w:val="0"/>
                  <w:tcMar>
                    <w:top w:w="120" w:type="dxa"/>
                    <w:left w:w="120" w:type="dxa"/>
                    <w:bottom w:w="120" w:type="dxa"/>
                    <w:right w:w="120" w:type="dxa"/>
                  </w:tcMar>
                  <w:vAlign w:val="center"/>
                </w:tcPr>
                <w:p w14:paraId="161A4D82">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橡胶</w:t>
                  </w:r>
                </w:p>
              </w:tc>
              <w:tc>
                <w:tcPr>
                  <w:tcW w:w="1412" w:type="pct"/>
                  <w:noWrap w:val="0"/>
                  <w:tcMar>
                    <w:top w:w="120" w:type="dxa"/>
                    <w:left w:w="120" w:type="dxa"/>
                    <w:bottom w:w="120" w:type="dxa"/>
                    <w:right w:w="120" w:type="dxa"/>
                  </w:tcMar>
                  <w:vAlign w:val="center"/>
                </w:tcPr>
                <w:p w14:paraId="490AEF26">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w:t>
                  </w:r>
                </w:p>
              </w:tc>
              <w:tc>
                <w:tcPr>
                  <w:tcW w:w="1547" w:type="pct"/>
                  <w:noWrap w:val="0"/>
                  <w:tcMar>
                    <w:top w:w="120" w:type="dxa"/>
                    <w:left w:w="120" w:type="dxa"/>
                    <w:bottom w:w="120" w:type="dxa"/>
                    <w:right w:w="120" w:type="dxa"/>
                  </w:tcMar>
                  <w:vAlign w:val="center"/>
                </w:tcPr>
                <w:p w14:paraId="119B699E">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7%</w:t>
                  </w:r>
                </w:p>
              </w:tc>
            </w:tr>
            <w:tr w14:paraId="0632F3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jc w:val="center"/>
              </w:trPr>
              <w:tc>
                <w:tcPr>
                  <w:tcW w:w="585" w:type="pct"/>
                  <w:vMerge w:val="continue"/>
                  <w:noWrap w:val="0"/>
                  <w:tcMar>
                    <w:top w:w="120" w:type="dxa"/>
                    <w:left w:w="120" w:type="dxa"/>
                    <w:bottom w:w="120" w:type="dxa"/>
                    <w:right w:w="120" w:type="dxa"/>
                  </w:tcMar>
                  <w:vAlign w:val="center"/>
                </w:tcPr>
                <w:p w14:paraId="2E66DE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454" w:type="pct"/>
                  <w:noWrap w:val="0"/>
                  <w:tcMar>
                    <w:top w:w="120" w:type="dxa"/>
                    <w:left w:w="120" w:type="dxa"/>
                    <w:bottom w:w="120" w:type="dxa"/>
                    <w:right w:w="120" w:type="dxa"/>
                  </w:tcMar>
                  <w:vAlign w:val="center"/>
                </w:tcPr>
                <w:p w14:paraId="25F87014">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有机溶剂</w:t>
                  </w:r>
                </w:p>
              </w:tc>
              <w:tc>
                <w:tcPr>
                  <w:tcW w:w="1412" w:type="pct"/>
                  <w:noWrap w:val="0"/>
                  <w:tcMar>
                    <w:top w:w="120" w:type="dxa"/>
                    <w:left w:w="120" w:type="dxa"/>
                    <w:bottom w:w="120" w:type="dxa"/>
                    <w:right w:w="120" w:type="dxa"/>
                  </w:tcMar>
                  <w:vAlign w:val="center"/>
                </w:tcPr>
                <w:p w14:paraId="7FFF9660">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w:t>
                  </w:r>
                </w:p>
              </w:tc>
              <w:tc>
                <w:tcPr>
                  <w:tcW w:w="1547" w:type="pct"/>
                  <w:noWrap w:val="0"/>
                  <w:tcMar>
                    <w:top w:w="120" w:type="dxa"/>
                    <w:left w:w="120" w:type="dxa"/>
                    <w:bottom w:w="120" w:type="dxa"/>
                    <w:right w:w="120" w:type="dxa"/>
                  </w:tcMar>
                  <w:vAlign w:val="center"/>
                </w:tcPr>
                <w:p w14:paraId="16278C3D">
                  <w:pPr>
                    <w:keepNext w:val="0"/>
                    <w:keepLines w:val="0"/>
                    <w:widowControl/>
                    <w:suppressLineNumbers w:val="0"/>
                    <w:jc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63%</w:t>
                  </w:r>
                </w:p>
              </w:tc>
            </w:tr>
          </w:tbl>
          <w:p w14:paraId="441F6941">
            <w:pPr>
              <w:keepNext w:val="0"/>
              <w:keepLines w:val="0"/>
              <w:pageBreakBefore w:val="0"/>
              <w:widowControl w:val="0"/>
              <w:kinsoku/>
              <w:wordWrap/>
              <w:overflowPunct/>
              <w:topLinePunct/>
              <w:autoSpaceDE w:val="0"/>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auto"/>
                <w:sz w:val="24"/>
                <w:highlight w:val="none"/>
                <w:lang w:val="en-US" w:eastAsia="zh-CN"/>
              </w:rPr>
            </w:pPr>
            <w:r>
              <w:rPr>
                <w:rFonts w:hint="eastAsia" w:ascii="Times New Roman" w:hAnsi="Times New Roman" w:cs="Times New Roman"/>
                <w:b/>
                <w:bCs w:val="0"/>
                <w:color w:val="auto"/>
                <w:sz w:val="24"/>
                <w:highlight w:val="none"/>
                <w:lang w:eastAsia="zh-CN"/>
              </w:rPr>
              <w:t>（</w:t>
            </w:r>
            <w:r>
              <w:rPr>
                <w:rFonts w:hint="eastAsia" w:ascii="Times New Roman" w:hAnsi="Times New Roman" w:cs="Times New Roman"/>
                <w:b/>
                <w:bCs w:val="0"/>
                <w:color w:val="auto"/>
                <w:sz w:val="24"/>
                <w:highlight w:val="none"/>
                <w:lang w:val="en-US" w:eastAsia="zh-CN"/>
              </w:rPr>
              <w:t>3</w:t>
            </w:r>
            <w:r>
              <w:rPr>
                <w:rFonts w:hint="eastAsia" w:ascii="Times New Roman" w:hAnsi="Times New Roman" w:cs="Times New Roman"/>
                <w:b/>
                <w:bCs w:val="0"/>
                <w:color w:val="auto"/>
                <w:sz w:val="24"/>
                <w:highlight w:val="none"/>
                <w:lang w:eastAsia="zh-CN"/>
              </w:rPr>
              <w:t>）</w:t>
            </w:r>
            <w:r>
              <w:rPr>
                <w:rFonts w:hint="eastAsia" w:ascii="Times New Roman" w:hAnsi="Times New Roman" w:cs="Times New Roman"/>
                <w:b/>
                <w:bCs w:val="0"/>
                <w:color w:val="auto"/>
                <w:sz w:val="24"/>
                <w:highlight w:val="none"/>
                <w:lang w:val="en-US" w:eastAsia="zh-CN"/>
              </w:rPr>
              <w:t>用量分析</w:t>
            </w:r>
          </w:p>
          <w:p w14:paraId="5708501F">
            <w:pPr>
              <w:keepNext w:val="0"/>
              <w:keepLines w:val="0"/>
              <w:pageBreakBefore w:val="0"/>
              <w:widowControl w:val="0"/>
              <w:kinsoku/>
              <w:wordWrap/>
              <w:overflowPunct/>
              <w:topLinePunct/>
              <w:autoSpaceDE w:val="0"/>
              <w:autoSpaceDN/>
              <w:bidi w:val="0"/>
              <w:adjustRightInd w:val="0"/>
              <w:snapToGrid w:val="0"/>
              <w:spacing w:line="360" w:lineRule="auto"/>
              <w:ind w:firstLine="482" w:firstLineChars="200"/>
              <w:jc w:val="left"/>
              <w:textAlignment w:val="auto"/>
              <w:rPr>
                <w:rFonts w:hint="default" w:ascii="宋体" w:hAnsi="宋体" w:eastAsia="宋体" w:cs="宋体"/>
                <w:b/>
                <w:bCs w:val="0"/>
                <w:color w:val="auto"/>
                <w:sz w:val="24"/>
                <w:highlight w:val="none"/>
                <w:lang w:val="en-US" w:eastAsia="zh-CN"/>
              </w:rPr>
            </w:pPr>
            <w:r>
              <w:rPr>
                <w:rFonts w:hint="eastAsia" w:ascii="宋体" w:hAnsi="宋体" w:eastAsia="宋体" w:cs="宋体"/>
                <w:b/>
                <w:bCs w:val="0"/>
                <w:color w:val="auto"/>
                <w:sz w:val="24"/>
                <w:highlight w:val="none"/>
              </w:rPr>
              <w:t>①</w:t>
            </w:r>
            <w:r>
              <w:rPr>
                <w:rFonts w:hint="eastAsia" w:ascii="宋体" w:hAnsi="宋体" w:eastAsia="宋体" w:cs="宋体"/>
                <w:b/>
                <w:bCs w:val="0"/>
                <w:color w:val="auto"/>
                <w:sz w:val="24"/>
                <w:highlight w:val="none"/>
                <w:lang w:val="en-US" w:eastAsia="zh-CN"/>
              </w:rPr>
              <w:t>塑粉用量</w:t>
            </w:r>
          </w:p>
          <w:p w14:paraId="0AD1CDAB">
            <w:pPr>
              <w:widowControl/>
              <w:adjustRightInd w:val="0"/>
              <w:snapToGrid w:val="0"/>
              <w:spacing w:line="360" w:lineRule="auto"/>
              <w:ind w:firstLine="480" w:firstLineChars="200"/>
              <w:jc w:val="left"/>
              <w:rPr>
                <w:rFonts w:hint="eastAsia"/>
                <w:color w:val="auto"/>
                <w:sz w:val="24"/>
                <w:szCs w:val="24"/>
                <w:highlight w:val="none"/>
              </w:rPr>
            </w:pPr>
            <w:r>
              <w:rPr>
                <w:rFonts w:hint="eastAsia"/>
                <w:color w:val="auto"/>
                <w:sz w:val="24"/>
                <w:szCs w:val="24"/>
                <w:highlight w:val="none"/>
              </w:rPr>
              <w:t>根据建设单位提供资料，本项目拟采用的环氧树脂粉末涂料喷涂。根据《喷塑行业污染物源强估算及治理方法探讨》（王世杰，朱童琪，宋洁，中国环境管理干部学院学报[第26卷第6期]，2016年12月）中相关资料，喷塑粉的平均附着率按照70%~90%，本次环评按照70%计算。</w:t>
            </w:r>
          </w:p>
          <w:p w14:paraId="604A5911">
            <w:pPr>
              <w:widowControl/>
              <w:adjustRightInd w:val="0"/>
              <w:snapToGrid w:val="0"/>
              <w:spacing w:line="360" w:lineRule="auto"/>
              <w:ind w:firstLine="480" w:firstLineChars="200"/>
              <w:jc w:val="left"/>
              <w:rPr>
                <w:rFonts w:hint="eastAsia"/>
                <w:color w:val="auto"/>
                <w:sz w:val="24"/>
                <w:szCs w:val="24"/>
                <w:highlight w:val="none"/>
              </w:rPr>
            </w:pPr>
            <w:r>
              <w:rPr>
                <w:rFonts w:hint="eastAsia"/>
                <w:color w:val="auto"/>
                <w:sz w:val="24"/>
                <w:szCs w:val="24"/>
                <w:highlight w:val="none"/>
              </w:rPr>
              <w:t>依据喷涂行业对涂料使用量的计算方法：</w:t>
            </w:r>
          </w:p>
          <w:p w14:paraId="30DF47DA">
            <w:pPr>
              <w:widowControl/>
              <w:adjustRightInd w:val="0"/>
              <w:snapToGrid w:val="0"/>
              <w:spacing w:line="360" w:lineRule="auto"/>
              <w:ind w:firstLine="480" w:firstLineChars="200"/>
              <w:jc w:val="left"/>
              <w:rPr>
                <w:rFonts w:hint="eastAsia"/>
                <w:color w:val="auto"/>
                <w:sz w:val="24"/>
                <w:szCs w:val="24"/>
                <w:highlight w:val="none"/>
              </w:rPr>
            </w:pPr>
            <w:r>
              <w:rPr>
                <w:rFonts w:hint="eastAsia"/>
                <w:color w:val="auto"/>
                <w:sz w:val="24"/>
                <w:szCs w:val="24"/>
                <w:highlight w:val="none"/>
              </w:rPr>
              <w:t>涂料用量=（干膜厚度*喷涂面积*涂料密度）/（固含量*附着率）</w:t>
            </w:r>
          </w:p>
          <w:p w14:paraId="3153FC2E">
            <w:pPr>
              <w:widowControl/>
              <w:adjustRightInd w:val="0"/>
              <w:snapToGrid w:val="0"/>
              <w:spacing w:line="360" w:lineRule="auto"/>
              <w:ind w:firstLine="480" w:firstLineChars="200"/>
              <w:jc w:val="left"/>
              <w:rPr>
                <w:rFonts w:ascii="Times New Roman" w:hAnsi="Times New Roman" w:eastAsia="宋体" w:cs="Times New Roman"/>
                <w:color w:val="auto"/>
                <w:kern w:val="0"/>
                <w:sz w:val="24"/>
                <w:szCs w:val="24"/>
                <w:highlight w:val="none"/>
              </w:rPr>
            </w:pPr>
            <w:r>
              <w:rPr>
                <w:rFonts w:hint="eastAsia"/>
                <w:color w:val="auto"/>
                <w:sz w:val="24"/>
                <w:szCs w:val="24"/>
                <w:highlight w:val="none"/>
              </w:rPr>
              <w:t>根据建设单位提供资料，本项目产品为汽车刹车片，</w:t>
            </w:r>
            <w:r>
              <w:rPr>
                <w:rFonts w:hint="eastAsia"/>
                <w:color w:val="auto"/>
                <w:sz w:val="24"/>
                <w:szCs w:val="24"/>
                <w:highlight w:val="none"/>
                <w:lang w:val="en-US" w:eastAsia="zh-CN"/>
              </w:rPr>
              <w:t>单片</w:t>
            </w:r>
            <w:r>
              <w:rPr>
                <w:rFonts w:hint="eastAsia"/>
                <w:color w:val="auto"/>
                <w:sz w:val="24"/>
                <w:szCs w:val="24"/>
                <w:highlight w:val="none"/>
              </w:rPr>
              <w:t>尺寸约为1</w:t>
            </w:r>
            <w:r>
              <w:rPr>
                <w:rFonts w:hint="eastAsia"/>
                <w:color w:val="auto"/>
                <w:sz w:val="24"/>
                <w:szCs w:val="24"/>
                <w:highlight w:val="none"/>
                <w:lang w:val="en-US" w:eastAsia="zh-CN"/>
              </w:rPr>
              <w:t>60*9</w:t>
            </w:r>
            <w:r>
              <w:rPr>
                <w:rFonts w:hint="eastAsia"/>
                <w:color w:val="auto"/>
                <w:sz w:val="24"/>
                <w:szCs w:val="24"/>
                <w:highlight w:val="none"/>
              </w:rPr>
              <w:t>0mm</w:t>
            </w:r>
            <w:r>
              <w:rPr>
                <w:rFonts w:hint="eastAsia"/>
                <w:color w:val="auto"/>
                <w:sz w:val="24"/>
                <w:szCs w:val="24"/>
                <w:highlight w:val="none"/>
                <w:lang w:val="en-US" w:eastAsia="zh-CN"/>
              </w:rPr>
              <w:t>，</w:t>
            </w:r>
            <w:r>
              <w:rPr>
                <w:rFonts w:hint="eastAsia"/>
                <w:color w:val="auto"/>
                <w:sz w:val="24"/>
                <w:szCs w:val="24"/>
                <w:highlight w:val="none"/>
              </w:rPr>
              <w:t>喷粉双面喷，则单位产品的喷涂面积为0.0</w:t>
            </w:r>
            <w:r>
              <w:rPr>
                <w:rFonts w:hint="eastAsia"/>
                <w:color w:val="auto"/>
                <w:sz w:val="24"/>
                <w:szCs w:val="24"/>
                <w:highlight w:val="none"/>
                <w:lang w:val="en-US" w:eastAsia="zh-CN"/>
              </w:rPr>
              <w:t>288</w:t>
            </w:r>
            <w:r>
              <w:rPr>
                <w:rFonts w:hint="eastAsia"/>
                <w:color w:val="auto"/>
                <w:sz w:val="24"/>
                <w:szCs w:val="24"/>
                <w:highlight w:val="none"/>
              </w:rPr>
              <w:t>m</w:t>
            </w:r>
            <w:r>
              <w:rPr>
                <w:rFonts w:hint="eastAsia"/>
                <w:color w:val="auto"/>
                <w:sz w:val="24"/>
                <w:szCs w:val="24"/>
                <w:highlight w:val="none"/>
                <w:vertAlign w:val="superscript"/>
                <w:lang w:val="en-US" w:eastAsia="zh-CN"/>
              </w:rPr>
              <w:t>2</w:t>
            </w:r>
            <w:r>
              <w:rPr>
                <w:rFonts w:hint="eastAsia"/>
                <w:color w:val="auto"/>
                <w:sz w:val="24"/>
                <w:szCs w:val="24"/>
                <w:highlight w:val="none"/>
              </w:rPr>
              <w:t>。项目塑粉用量核算情况见下表。</w:t>
            </w:r>
          </w:p>
          <w:p w14:paraId="2B424BD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4"/>
                <w:szCs w:val="24"/>
                <w:highlight w:val="none"/>
                <w:lang w:eastAsia="zh-CN"/>
              </w:rPr>
            </w:pPr>
            <w:r>
              <w:rPr>
                <w:rFonts w:hint="default" w:ascii="Times New Roman" w:hAnsi="Times New Roman" w:eastAsia="宋体" w:cs="Times New Roman"/>
                <w:b/>
                <w:bCs/>
                <w:color w:val="auto"/>
                <w:kern w:val="0"/>
                <w:sz w:val="21"/>
                <w:szCs w:val="21"/>
                <w:highlight w:val="none"/>
                <w:lang w:eastAsia="zh-CN"/>
              </w:rPr>
              <w:t>表2-</w:t>
            </w:r>
            <w:r>
              <w:rPr>
                <w:rFonts w:hint="eastAsia" w:cs="Times New Roman"/>
                <w:b/>
                <w:bCs/>
                <w:color w:val="auto"/>
                <w:kern w:val="0"/>
                <w:sz w:val="21"/>
                <w:szCs w:val="21"/>
                <w:highlight w:val="none"/>
                <w:lang w:val="en-US" w:eastAsia="zh-CN"/>
              </w:rPr>
              <w:t>8</w:t>
            </w:r>
            <w:r>
              <w:rPr>
                <w:rFonts w:hint="default" w:ascii="Times New Roman" w:hAnsi="Times New Roman" w:eastAsia="宋体" w:cs="Times New Roman"/>
                <w:b/>
                <w:bCs/>
                <w:color w:val="auto"/>
                <w:kern w:val="0"/>
                <w:sz w:val="21"/>
                <w:szCs w:val="21"/>
                <w:highlight w:val="none"/>
                <w:lang w:eastAsia="zh-CN"/>
              </w:rPr>
              <w:t xml:space="preserve"> </w:t>
            </w:r>
            <w:r>
              <w:rPr>
                <w:rFonts w:hint="eastAsia" w:ascii="Times New Roman" w:hAnsi="Times New Roman" w:eastAsia="宋体" w:cs="Times New Roman"/>
                <w:b/>
                <w:bCs/>
                <w:color w:val="auto"/>
                <w:kern w:val="0"/>
                <w:sz w:val="21"/>
                <w:szCs w:val="21"/>
                <w:highlight w:val="none"/>
                <w:lang w:eastAsia="zh-CN"/>
              </w:rPr>
              <w:t>项目</w:t>
            </w:r>
            <w:r>
              <w:rPr>
                <w:rFonts w:hint="default" w:ascii="Times New Roman" w:hAnsi="Times New Roman" w:eastAsia="宋体" w:cs="Times New Roman"/>
                <w:b/>
                <w:bCs/>
                <w:color w:val="auto"/>
                <w:kern w:val="0"/>
                <w:sz w:val="21"/>
                <w:szCs w:val="21"/>
                <w:highlight w:val="none"/>
                <w:lang w:eastAsia="zh-CN"/>
              </w:rPr>
              <w:t>实施后塑粉消耗量核算</w:t>
            </w:r>
          </w:p>
          <w:tbl>
            <w:tblPr>
              <w:tblStyle w:val="25"/>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
            <w:tblGrid>
              <w:gridCol w:w="555"/>
              <w:gridCol w:w="669"/>
              <w:gridCol w:w="818"/>
              <w:gridCol w:w="613"/>
              <w:gridCol w:w="818"/>
              <w:gridCol w:w="581"/>
              <w:gridCol w:w="863"/>
              <w:gridCol w:w="1053"/>
              <w:gridCol w:w="804"/>
              <w:gridCol w:w="805"/>
            </w:tblGrid>
            <w:tr w14:paraId="498B07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tblHeader/>
                <w:jc w:val="center"/>
              </w:trPr>
              <w:tc>
                <w:tcPr>
                  <w:tcW w:w="366" w:type="pct"/>
                  <w:noWrap w:val="0"/>
                  <w:tcMar>
                    <w:top w:w="120" w:type="dxa"/>
                    <w:left w:w="120" w:type="dxa"/>
                    <w:bottom w:w="120" w:type="dxa"/>
                    <w:right w:w="120" w:type="dxa"/>
                  </w:tcMar>
                  <w:vAlign w:val="center"/>
                </w:tcPr>
                <w:p w14:paraId="2D284E0C">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涂装类型</w:t>
                  </w:r>
                </w:p>
              </w:tc>
              <w:tc>
                <w:tcPr>
                  <w:tcW w:w="441" w:type="pct"/>
                  <w:noWrap w:val="0"/>
                  <w:tcMar>
                    <w:top w:w="120" w:type="dxa"/>
                    <w:left w:w="120" w:type="dxa"/>
                    <w:bottom w:w="120" w:type="dxa"/>
                    <w:right w:w="120" w:type="dxa"/>
                  </w:tcMar>
                  <w:vAlign w:val="center"/>
                </w:tcPr>
                <w:p w14:paraId="0C1AFAA9">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规格</w:t>
                  </w:r>
                </w:p>
              </w:tc>
              <w:tc>
                <w:tcPr>
                  <w:tcW w:w="539" w:type="pct"/>
                  <w:noWrap w:val="0"/>
                  <w:tcMar>
                    <w:top w:w="120" w:type="dxa"/>
                    <w:left w:w="120" w:type="dxa"/>
                    <w:bottom w:w="120" w:type="dxa"/>
                    <w:right w:w="120" w:type="dxa"/>
                  </w:tcMar>
                  <w:vAlign w:val="center"/>
                </w:tcPr>
                <w:p w14:paraId="1466F338">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单位产品喷涂面积（m²）</w:t>
                  </w:r>
                </w:p>
              </w:tc>
              <w:tc>
                <w:tcPr>
                  <w:tcW w:w="404" w:type="pct"/>
                  <w:noWrap w:val="0"/>
                  <w:tcMar>
                    <w:top w:w="120" w:type="dxa"/>
                    <w:left w:w="120" w:type="dxa"/>
                    <w:bottom w:w="120" w:type="dxa"/>
                    <w:right w:w="120" w:type="dxa"/>
                  </w:tcMar>
                  <w:vAlign w:val="center"/>
                </w:tcPr>
                <w:p w14:paraId="078F7504">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产能（</w:t>
                  </w:r>
                  <w:r>
                    <w:rPr>
                      <w:rFonts w:hint="eastAsia" w:cs="Times New Roman"/>
                      <w:b w:val="0"/>
                      <w:bCs w:val="0"/>
                      <w:kern w:val="0"/>
                      <w:sz w:val="21"/>
                      <w:szCs w:val="21"/>
                      <w:lang w:val="en-US" w:eastAsia="zh-CN" w:bidi="ar"/>
                    </w:rPr>
                    <w:t>万套</w:t>
                  </w:r>
                  <w:r>
                    <w:rPr>
                      <w:rFonts w:hint="default" w:ascii="Times New Roman" w:hAnsi="Times New Roman" w:eastAsia="宋体" w:cs="Times New Roman"/>
                      <w:b w:val="0"/>
                      <w:bCs w:val="0"/>
                      <w:kern w:val="0"/>
                      <w:sz w:val="21"/>
                      <w:szCs w:val="21"/>
                      <w:lang w:val="en-US" w:eastAsia="zh-CN" w:bidi="ar"/>
                    </w:rPr>
                    <w:t>）</w:t>
                  </w:r>
                </w:p>
              </w:tc>
              <w:tc>
                <w:tcPr>
                  <w:tcW w:w="539" w:type="pct"/>
                  <w:noWrap w:val="0"/>
                  <w:tcMar>
                    <w:top w:w="120" w:type="dxa"/>
                    <w:left w:w="120" w:type="dxa"/>
                    <w:bottom w:w="120" w:type="dxa"/>
                    <w:right w:w="120" w:type="dxa"/>
                  </w:tcMar>
                  <w:vAlign w:val="center"/>
                </w:tcPr>
                <w:p w14:paraId="3B687FA0">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喷塑总面积（m²）</w:t>
                  </w:r>
                </w:p>
              </w:tc>
              <w:tc>
                <w:tcPr>
                  <w:tcW w:w="383" w:type="pct"/>
                  <w:noWrap w:val="0"/>
                  <w:tcMar>
                    <w:top w:w="120" w:type="dxa"/>
                    <w:left w:w="120" w:type="dxa"/>
                    <w:bottom w:w="120" w:type="dxa"/>
                    <w:right w:w="120" w:type="dxa"/>
                  </w:tcMar>
                  <w:vAlign w:val="center"/>
                </w:tcPr>
                <w:p w14:paraId="1B4D0B6E">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附着率</w:t>
                  </w:r>
                </w:p>
              </w:tc>
              <w:tc>
                <w:tcPr>
                  <w:tcW w:w="569" w:type="pct"/>
                  <w:noWrap w:val="0"/>
                  <w:tcMar>
                    <w:top w:w="120" w:type="dxa"/>
                    <w:left w:w="120" w:type="dxa"/>
                    <w:bottom w:w="120" w:type="dxa"/>
                    <w:right w:w="120" w:type="dxa"/>
                  </w:tcMar>
                  <w:vAlign w:val="center"/>
                </w:tcPr>
                <w:p w14:paraId="1AE5F289">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塑膜厚度（μm）</w:t>
                  </w:r>
                </w:p>
              </w:tc>
              <w:tc>
                <w:tcPr>
                  <w:tcW w:w="694" w:type="pct"/>
                  <w:noWrap w:val="0"/>
                  <w:tcMar>
                    <w:top w:w="120" w:type="dxa"/>
                    <w:left w:w="120" w:type="dxa"/>
                    <w:bottom w:w="120" w:type="dxa"/>
                    <w:right w:w="120" w:type="dxa"/>
                  </w:tcMar>
                  <w:vAlign w:val="center"/>
                </w:tcPr>
                <w:p w14:paraId="3682D59A">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密度（g/c</w:t>
                  </w:r>
                  <w:r>
                    <w:rPr>
                      <w:rFonts w:hint="eastAsia" w:cs="Times New Roman"/>
                      <w:b w:val="0"/>
                      <w:bCs w:val="0"/>
                      <w:kern w:val="0"/>
                      <w:sz w:val="21"/>
                      <w:szCs w:val="21"/>
                      <w:lang w:val="en-US" w:eastAsia="zh-CN" w:bidi="ar"/>
                    </w:rPr>
                    <w:t>m3</w:t>
                  </w:r>
                  <w:r>
                    <w:rPr>
                      <w:rFonts w:hint="default" w:ascii="Times New Roman" w:hAnsi="Times New Roman" w:eastAsia="宋体" w:cs="Times New Roman"/>
                      <w:b w:val="0"/>
                      <w:bCs w:val="0"/>
                      <w:kern w:val="0"/>
                      <w:sz w:val="21"/>
                      <w:szCs w:val="21"/>
                      <w:lang w:val="en-US" w:eastAsia="zh-CN" w:bidi="ar"/>
                    </w:rPr>
                    <w:t>）</w:t>
                  </w:r>
                </w:p>
              </w:tc>
              <w:tc>
                <w:tcPr>
                  <w:tcW w:w="530" w:type="pct"/>
                  <w:noWrap w:val="0"/>
                  <w:tcMar>
                    <w:top w:w="120" w:type="dxa"/>
                    <w:left w:w="120" w:type="dxa"/>
                    <w:bottom w:w="120" w:type="dxa"/>
                    <w:right w:w="120" w:type="dxa"/>
                  </w:tcMar>
                  <w:vAlign w:val="center"/>
                </w:tcPr>
                <w:p w14:paraId="4931FE5B">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理论推算值（t/a）</w:t>
                  </w:r>
                </w:p>
              </w:tc>
              <w:tc>
                <w:tcPr>
                  <w:tcW w:w="530" w:type="pct"/>
                  <w:noWrap w:val="0"/>
                  <w:tcMar>
                    <w:top w:w="120" w:type="dxa"/>
                    <w:left w:w="120" w:type="dxa"/>
                    <w:bottom w:w="120" w:type="dxa"/>
                    <w:right w:w="120" w:type="dxa"/>
                  </w:tcMar>
                  <w:vAlign w:val="center"/>
                </w:tcPr>
                <w:p w14:paraId="4793E8BD">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环评申报值（t/a）</w:t>
                  </w:r>
                </w:p>
              </w:tc>
            </w:tr>
            <w:tr w14:paraId="22A805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15" w:type="dxa"/>
                  <w:left w:w="15" w:type="dxa"/>
                  <w:bottom w:w="15" w:type="dxa"/>
                  <w:right w:w="15" w:type="dxa"/>
                </w:tblCellMar>
              </w:tblPrEx>
              <w:trPr>
                <w:jc w:val="center"/>
              </w:trPr>
              <w:tc>
                <w:tcPr>
                  <w:tcW w:w="366" w:type="pct"/>
                  <w:noWrap w:val="0"/>
                  <w:tcMar>
                    <w:top w:w="120" w:type="dxa"/>
                    <w:left w:w="120" w:type="dxa"/>
                    <w:bottom w:w="120" w:type="dxa"/>
                    <w:right w:w="120" w:type="dxa"/>
                  </w:tcMar>
                  <w:vAlign w:val="center"/>
                </w:tcPr>
                <w:p w14:paraId="09FE5205">
                  <w:pPr>
                    <w:keepNext w:val="0"/>
                    <w:keepLines w:val="0"/>
                    <w:widowControl/>
                    <w:suppressLineNumbers w:val="0"/>
                    <w:jc w:val="center"/>
                    <w:rPr>
                      <w:rFonts w:hint="default" w:ascii="Times New Roman" w:hAnsi="Times New Roman" w:eastAsia="宋体" w:cs="Times New Roman"/>
                      <w:b w:val="0"/>
                      <w:bCs w:val="0"/>
                      <w:sz w:val="21"/>
                      <w:szCs w:val="21"/>
                    </w:rPr>
                  </w:pPr>
                  <w:r>
                    <w:rPr>
                      <w:rFonts w:hint="eastAsia" w:ascii="Times New Roman" w:hAnsi="Times New Roman" w:eastAsia="宋体" w:cs="Times New Roman"/>
                      <w:b w:val="0"/>
                      <w:bCs w:val="0"/>
                      <w:kern w:val="0"/>
                      <w:sz w:val="21"/>
                      <w:szCs w:val="21"/>
                      <w:lang w:val="en-US" w:eastAsia="zh-CN" w:bidi="ar"/>
                    </w:rPr>
                    <w:t>喷塑</w:t>
                  </w:r>
                </w:p>
              </w:tc>
              <w:tc>
                <w:tcPr>
                  <w:tcW w:w="441" w:type="pct"/>
                  <w:noWrap w:val="0"/>
                  <w:tcMar>
                    <w:top w:w="120" w:type="dxa"/>
                    <w:left w:w="120" w:type="dxa"/>
                    <w:bottom w:w="120" w:type="dxa"/>
                    <w:right w:w="120" w:type="dxa"/>
                  </w:tcMar>
                  <w:vAlign w:val="center"/>
                </w:tcPr>
                <w:p w14:paraId="3C52D10B">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1</w:t>
                  </w:r>
                  <w:r>
                    <w:rPr>
                      <w:rFonts w:hint="eastAsia" w:ascii="Times New Roman" w:hAnsi="Times New Roman" w:eastAsia="宋体" w:cs="Times New Roman"/>
                      <w:b w:val="0"/>
                      <w:bCs w:val="0"/>
                      <w:kern w:val="0"/>
                      <w:sz w:val="21"/>
                      <w:szCs w:val="21"/>
                      <w:lang w:val="en-US" w:eastAsia="zh-CN" w:bidi="ar"/>
                    </w:rPr>
                    <w:t>60</w:t>
                  </w:r>
                  <w:r>
                    <w:rPr>
                      <w:rFonts w:hint="default" w:ascii="Times New Roman" w:hAnsi="Times New Roman" w:eastAsia="宋体" w:cs="Times New Roman"/>
                      <w:b w:val="0"/>
                      <w:bCs w:val="0"/>
                      <w:kern w:val="0"/>
                      <w:sz w:val="21"/>
                      <w:szCs w:val="21"/>
                      <w:lang w:val="en-US" w:eastAsia="zh-CN" w:bidi="ar"/>
                    </w:rPr>
                    <w:t>*</w:t>
                  </w:r>
                  <w:r>
                    <w:rPr>
                      <w:rFonts w:hint="eastAsia" w:ascii="Times New Roman" w:hAnsi="Times New Roman" w:eastAsia="宋体" w:cs="Times New Roman"/>
                      <w:b w:val="0"/>
                      <w:bCs w:val="0"/>
                      <w:kern w:val="0"/>
                      <w:sz w:val="21"/>
                      <w:szCs w:val="21"/>
                      <w:lang w:val="en-US" w:eastAsia="zh-CN" w:bidi="ar"/>
                    </w:rPr>
                    <w:t>90</w:t>
                  </w:r>
                  <w:r>
                    <w:rPr>
                      <w:rFonts w:hint="default" w:ascii="Times New Roman" w:hAnsi="Times New Roman" w:eastAsia="宋体" w:cs="Times New Roman"/>
                      <w:b w:val="0"/>
                      <w:bCs w:val="0"/>
                      <w:kern w:val="0"/>
                      <w:sz w:val="21"/>
                      <w:szCs w:val="21"/>
                      <w:lang w:val="en-US" w:eastAsia="zh-CN" w:bidi="ar"/>
                    </w:rPr>
                    <w:t xml:space="preserve"> mm</w:t>
                  </w:r>
                </w:p>
              </w:tc>
              <w:tc>
                <w:tcPr>
                  <w:tcW w:w="539" w:type="pct"/>
                  <w:noWrap w:val="0"/>
                  <w:tcMar>
                    <w:top w:w="120" w:type="dxa"/>
                    <w:left w:w="120" w:type="dxa"/>
                    <w:bottom w:w="120" w:type="dxa"/>
                    <w:right w:w="120" w:type="dxa"/>
                  </w:tcMar>
                  <w:vAlign w:val="center"/>
                </w:tcPr>
                <w:p w14:paraId="66225BAF">
                  <w:pPr>
                    <w:keepNext w:val="0"/>
                    <w:keepLines w:val="0"/>
                    <w:widowControl/>
                    <w:suppressLineNumbers w:val="0"/>
                    <w:jc w:val="center"/>
                    <w:rPr>
                      <w:rFonts w:hint="default" w:ascii="Times New Roman" w:hAnsi="Times New Roman" w:eastAsia="宋体" w:cs="Times New Roman"/>
                      <w:b w:val="0"/>
                      <w:bCs w:val="0"/>
                      <w:sz w:val="21"/>
                      <w:szCs w:val="21"/>
                      <w:lang w:val="en-US"/>
                    </w:rPr>
                  </w:pPr>
                  <w:r>
                    <w:rPr>
                      <w:rFonts w:hint="eastAsia" w:ascii="Times New Roman" w:hAnsi="Times New Roman" w:eastAsia="宋体" w:cs="Times New Roman"/>
                      <w:b w:val="0"/>
                      <w:bCs w:val="0"/>
                      <w:kern w:val="0"/>
                      <w:sz w:val="21"/>
                      <w:szCs w:val="21"/>
                      <w:lang w:val="en-US" w:eastAsia="zh-CN" w:bidi="ar"/>
                    </w:rPr>
                    <w:t>0.0288</w:t>
                  </w:r>
                </w:p>
              </w:tc>
              <w:tc>
                <w:tcPr>
                  <w:tcW w:w="404" w:type="pct"/>
                  <w:noWrap w:val="0"/>
                  <w:tcMar>
                    <w:top w:w="120" w:type="dxa"/>
                    <w:left w:w="120" w:type="dxa"/>
                    <w:bottom w:w="120" w:type="dxa"/>
                    <w:right w:w="120" w:type="dxa"/>
                  </w:tcMar>
                  <w:vAlign w:val="center"/>
                </w:tcPr>
                <w:p w14:paraId="11890C7C">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200</w:t>
                  </w:r>
                </w:p>
              </w:tc>
              <w:tc>
                <w:tcPr>
                  <w:tcW w:w="539" w:type="pct"/>
                  <w:noWrap w:val="0"/>
                  <w:tcMar>
                    <w:top w:w="120" w:type="dxa"/>
                    <w:left w:w="120" w:type="dxa"/>
                    <w:bottom w:w="120" w:type="dxa"/>
                    <w:right w:w="120" w:type="dxa"/>
                  </w:tcMar>
                  <w:vAlign w:val="center"/>
                </w:tcPr>
                <w:p w14:paraId="46122C88">
                  <w:pPr>
                    <w:keepNext w:val="0"/>
                    <w:keepLines w:val="0"/>
                    <w:widowControl/>
                    <w:suppressLineNumbers w:val="0"/>
                    <w:jc w:val="center"/>
                    <w:rPr>
                      <w:rFonts w:hint="default" w:ascii="Times New Roman" w:hAnsi="Times New Roman" w:eastAsia="宋体" w:cs="Times New Roman"/>
                      <w:b w:val="0"/>
                      <w:bCs w:val="0"/>
                      <w:sz w:val="21"/>
                      <w:szCs w:val="21"/>
                    </w:rPr>
                  </w:pPr>
                  <w:r>
                    <w:rPr>
                      <w:rFonts w:hint="eastAsia" w:ascii="Times New Roman" w:hAnsi="Times New Roman" w:eastAsia="宋体" w:cs="Times New Roman"/>
                      <w:b w:val="0"/>
                      <w:bCs w:val="0"/>
                      <w:kern w:val="0"/>
                      <w:sz w:val="21"/>
                      <w:szCs w:val="21"/>
                      <w:lang w:val="en-US" w:eastAsia="zh-CN" w:bidi="ar"/>
                    </w:rPr>
                    <w:t>576</w:t>
                  </w:r>
                  <w:r>
                    <w:rPr>
                      <w:rFonts w:hint="default" w:ascii="Times New Roman" w:hAnsi="Times New Roman" w:eastAsia="宋体" w:cs="Times New Roman"/>
                      <w:b w:val="0"/>
                      <w:bCs w:val="0"/>
                      <w:kern w:val="0"/>
                      <w:sz w:val="21"/>
                      <w:szCs w:val="21"/>
                      <w:lang w:val="en-US" w:eastAsia="zh-CN" w:bidi="ar"/>
                    </w:rPr>
                    <w:t>00</w:t>
                  </w:r>
                </w:p>
              </w:tc>
              <w:tc>
                <w:tcPr>
                  <w:tcW w:w="383" w:type="pct"/>
                  <w:noWrap w:val="0"/>
                  <w:tcMar>
                    <w:top w:w="120" w:type="dxa"/>
                    <w:left w:w="120" w:type="dxa"/>
                    <w:bottom w:w="120" w:type="dxa"/>
                    <w:right w:w="120" w:type="dxa"/>
                  </w:tcMar>
                  <w:vAlign w:val="center"/>
                </w:tcPr>
                <w:p w14:paraId="05C80B26">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70%</w:t>
                  </w:r>
                </w:p>
              </w:tc>
              <w:tc>
                <w:tcPr>
                  <w:tcW w:w="569" w:type="pct"/>
                  <w:noWrap w:val="0"/>
                  <w:tcMar>
                    <w:top w:w="120" w:type="dxa"/>
                    <w:left w:w="120" w:type="dxa"/>
                    <w:bottom w:w="120" w:type="dxa"/>
                    <w:right w:w="120" w:type="dxa"/>
                  </w:tcMar>
                  <w:vAlign w:val="center"/>
                </w:tcPr>
                <w:p w14:paraId="00CFF3AE">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80</w:t>
                  </w:r>
                </w:p>
              </w:tc>
              <w:tc>
                <w:tcPr>
                  <w:tcW w:w="694" w:type="pct"/>
                  <w:noWrap w:val="0"/>
                  <w:tcMar>
                    <w:top w:w="120" w:type="dxa"/>
                    <w:left w:w="120" w:type="dxa"/>
                    <w:bottom w:w="120" w:type="dxa"/>
                    <w:right w:w="120" w:type="dxa"/>
                  </w:tcMar>
                  <w:vAlign w:val="center"/>
                </w:tcPr>
                <w:p w14:paraId="4264E2D3">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1.3</w:t>
                  </w:r>
                </w:p>
              </w:tc>
              <w:tc>
                <w:tcPr>
                  <w:tcW w:w="530" w:type="pct"/>
                  <w:noWrap w:val="0"/>
                  <w:tcMar>
                    <w:top w:w="120" w:type="dxa"/>
                    <w:left w:w="120" w:type="dxa"/>
                    <w:bottom w:w="120" w:type="dxa"/>
                    <w:right w:w="120" w:type="dxa"/>
                  </w:tcMar>
                  <w:vAlign w:val="center"/>
                </w:tcPr>
                <w:p w14:paraId="08DB2065">
                  <w:pPr>
                    <w:keepNext w:val="0"/>
                    <w:keepLines w:val="0"/>
                    <w:widowControl/>
                    <w:suppressLineNumbers w:val="0"/>
                    <w:jc w:val="center"/>
                    <w:rPr>
                      <w:rFonts w:hint="default" w:ascii="Times New Roman" w:hAnsi="Times New Roman" w:eastAsia="宋体" w:cs="Times New Roman"/>
                      <w:b w:val="0"/>
                      <w:bCs w:val="0"/>
                      <w:sz w:val="21"/>
                      <w:szCs w:val="21"/>
                      <w:lang w:val="en-US"/>
                    </w:rPr>
                  </w:pPr>
                  <w:r>
                    <w:rPr>
                      <w:rFonts w:hint="eastAsia" w:ascii="Times New Roman" w:hAnsi="Times New Roman" w:eastAsia="宋体" w:cs="Times New Roman"/>
                      <w:b w:val="0"/>
                      <w:bCs w:val="0"/>
                      <w:kern w:val="0"/>
                      <w:sz w:val="21"/>
                      <w:szCs w:val="21"/>
                      <w:lang w:val="en-US" w:eastAsia="zh-CN" w:bidi="ar"/>
                    </w:rPr>
                    <w:t>8.56</w:t>
                  </w:r>
                </w:p>
              </w:tc>
              <w:tc>
                <w:tcPr>
                  <w:tcW w:w="530" w:type="pct"/>
                  <w:noWrap w:val="0"/>
                  <w:tcMar>
                    <w:top w:w="120" w:type="dxa"/>
                    <w:left w:w="120" w:type="dxa"/>
                    <w:bottom w:w="120" w:type="dxa"/>
                    <w:right w:w="120" w:type="dxa"/>
                  </w:tcMar>
                  <w:vAlign w:val="center"/>
                </w:tcPr>
                <w:p w14:paraId="4C36589F">
                  <w:pPr>
                    <w:keepNext w:val="0"/>
                    <w:keepLines w:val="0"/>
                    <w:widowControl/>
                    <w:suppressLineNumbers w:val="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w:t>
                  </w:r>
                </w:p>
              </w:tc>
            </w:tr>
          </w:tbl>
          <w:p w14:paraId="74F2F29D">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jc w:val="left"/>
              <w:textAlignment w:val="auto"/>
              <w:rPr>
                <w:rFonts w:hint="eastAsia" w:ascii="宋体" w:hAnsi="宋体" w:eastAsia="宋体" w:cs="宋体"/>
                <w:bCs/>
                <w:color w:val="auto"/>
                <w:sz w:val="24"/>
                <w:highlight w:val="none"/>
              </w:rPr>
            </w:pPr>
            <w:r>
              <w:rPr>
                <w:rFonts w:hint="default" w:ascii="Times New Roman" w:hAnsi="Times New Roman" w:eastAsia="宋体" w:cs="Times New Roman"/>
                <w:bCs/>
                <w:color w:val="auto"/>
                <w:sz w:val="24"/>
                <w:highlight w:val="none"/>
              </w:rPr>
              <w:t>结合上表，计算得项目塑粉理论用量为</w:t>
            </w:r>
            <w:r>
              <w:rPr>
                <w:rFonts w:hint="eastAsia" w:ascii="Times New Roman" w:hAnsi="Times New Roman" w:eastAsia="宋体" w:cs="Times New Roman"/>
                <w:bCs/>
                <w:color w:val="auto"/>
                <w:sz w:val="24"/>
                <w:highlight w:val="none"/>
                <w:lang w:val="en-US" w:eastAsia="zh-CN"/>
              </w:rPr>
              <w:t>8.56</w:t>
            </w:r>
            <w:r>
              <w:rPr>
                <w:rFonts w:hint="default" w:ascii="Times New Roman" w:hAnsi="Times New Roman" w:eastAsia="宋体" w:cs="Times New Roman"/>
                <w:bCs/>
                <w:color w:val="auto"/>
                <w:sz w:val="24"/>
                <w:highlight w:val="none"/>
              </w:rPr>
              <w:t xml:space="preserve"> t/a，故本项目塑粉使用量</w:t>
            </w:r>
            <w:r>
              <w:rPr>
                <w:rFonts w:hint="eastAsia" w:ascii="Times New Roman" w:hAnsi="Times New Roman" w:eastAsia="宋体" w:cs="Times New Roman"/>
                <w:bCs/>
                <w:color w:val="auto"/>
                <w:sz w:val="24"/>
                <w:highlight w:val="none"/>
                <w:lang w:val="en-US" w:eastAsia="zh-CN"/>
              </w:rPr>
              <w:t>9</w:t>
            </w:r>
            <w:r>
              <w:rPr>
                <w:rFonts w:hint="default" w:ascii="Times New Roman" w:hAnsi="Times New Roman" w:eastAsia="宋体" w:cs="Times New Roman"/>
                <w:bCs/>
                <w:color w:val="auto"/>
                <w:sz w:val="24"/>
                <w:highlight w:val="none"/>
              </w:rPr>
              <w:t>t/a</w:t>
            </w:r>
            <w:r>
              <w:rPr>
                <w:rFonts w:hint="eastAsia" w:ascii="宋体" w:hAnsi="宋体" w:eastAsia="宋体" w:cs="宋体"/>
                <w:bCs/>
                <w:color w:val="auto"/>
                <w:sz w:val="24"/>
                <w:highlight w:val="none"/>
              </w:rPr>
              <w:t>合理。</w:t>
            </w:r>
          </w:p>
          <w:p w14:paraId="1DD793DA">
            <w:pPr>
              <w:pStyle w:val="10"/>
              <w:spacing w:line="360" w:lineRule="auto"/>
              <w:rPr>
                <w:rFonts w:hint="eastAsia"/>
              </w:rPr>
            </w:pPr>
            <w:r>
              <w:rPr>
                <w:rFonts w:hint="eastAsia" w:ascii="宋体" w:hAnsi="宋体" w:eastAsia="宋体" w:cs="宋体"/>
                <w:bCs/>
                <w:color w:val="auto"/>
                <w:sz w:val="24"/>
                <w:highlight w:val="none"/>
                <w:lang w:val="en-US" w:eastAsia="zh-CN"/>
              </w:rPr>
              <w:t xml:space="preserve">    </w:t>
            </w:r>
            <w:r>
              <w:rPr>
                <w:rFonts w:hint="default" w:ascii="Times New Roman" w:hAnsi="Times New Roman" w:eastAsia="宋体" w:cs="Times New Roman"/>
                <w:b/>
                <w:bCs w:val="0"/>
                <w:color w:val="auto"/>
                <w:sz w:val="24"/>
                <w:highlight w:val="none"/>
                <w:lang w:val="en-US" w:eastAsia="zh-CN"/>
              </w:rPr>
              <w:t>涂料符合性分析：</w:t>
            </w:r>
            <w:r>
              <w:rPr>
                <w:rFonts w:hint="eastAsia" w:ascii="Times New Roman" w:hAnsi="Times New Roman" w:eastAsia="宋体" w:cs="Times New Roman"/>
                <w:bCs/>
                <w:color w:val="auto"/>
                <w:sz w:val="24"/>
                <w:highlight w:val="none"/>
                <w:lang w:val="en-US" w:eastAsia="zh-CN"/>
              </w:rPr>
              <w:t>本项目使用的涂料为塑粉，</w:t>
            </w:r>
            <w:r>
              <w:rPr>
                <w:rFonts w:hint="default" w:ascii="Times New Roman" w:hAnsi="Times New Roman" w:eastAsia="宋体" w:cs="Times New Roman"/>
                <w:bCs/>
                <w:color w:val="auto"/>
                <w:sz w:val="24"/>
                <w:highlight w:val="none"/>
                <w:lang w:val="en-US" w:eastAsia="zh-CN"/>
              </w:rPr>
              <w:t>对照《《涂料中有害物质限量 第2部分：工业涂料》》（GB30981.2-2025）及《低挥发性有机化合物含量涂料产品技术要求》（GB T 38597-2020），</w:t>
            </w:r>
            <w:r>
              <w:rPr>
                <w:rFonts w:hint="eastAsia" w:ascii="Times New Roman" w:hAnsi="Times New Roman" w:eastAsia="宋体" w:cs="Times New Roman"/>
                <w:bCs/>
                <w:color w:val="auto"/>
                <w:sz w:val="24"/>
                <w:highlight w:val="none"/>
                <w:lang w:val="en-US" w:eastAsia="zh-CN"/>
              </w:rPr>
              <w:t>属于粉末涂料，</w:t>
            </w:r>
            <w:r>
              <w:rPr>
                <w:rFonts w:hint="default" w:ascii="Times New Roman" w:hAnsi="Times New Roman" w:eastAsia="宋体" w:cs="Times New Roman"/>
                <w:bCs/>
                <w:color w:val="auto"/>
                <w:sz w:val="24"/>
                <w:highlight w:val="none"/>
                <w:lang w:val="en-US" w:eastAsia="zh-CN"/>
              </w:rPr>
              <w:t>为低VOCs含量的涂料</w:t>
            </w:r>
            <w:r>
              <w:rPr>
                <w:rFonts w:hint="eastAsia" w:ascii="宋体" w:hAnsi="宋体" w:eastAsia="宋体" w:cs="宋体"/>
                <w:bCs/>
                <w:color w:val="auto"/>
                <w:sz w:val="24"/>
                <w:highlight w:val="none"/>
                <w:lang w:val="en-US" w:eastAsia="zh-CN"/>
              </w:rPr>
              <w:t>。</w:t>
            </w:r>
          </w:p>
          <w:p w14:paraId="61445E99">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jc w:val="left"/>
              <w:textAlignment w:val="auto"/>
              <w:rPr>
                <w:rFonts w:hint="default" w:ascii="宋体" w:hAnsi="宋体" w:eastAsia="宋体" w:cs="宋体"/>
                <w:bCs/>
                <w:color w:val="auto"/>
                <w:sz w:val="24"/>
                <w:highlight w:val="none"/>
                <w:lang w:val="en-US" w:eastAsia="zh-CN"/>
              </w:rPr>
            </w:pPr>
            <w:r>
              <w:rPr>
                <w:rFonts w:hint="eastAsia" w:ascii="宋体" w:hAnsi="宋体" w:eastAsia="宋体" w:cs="宋体"/>
                <w:bCs/>
                <w:color w:val="auto"/>
                <w:sz w:val="24"/>
                <w:highlight w:val="none"/>
              </w:rPr>
              <w:t>②</w:t>
            </w:r>
            <w:r>
              <w:rPr>
                <w:rFonts w:hint="eastAsia" w:ascii="宋体" w:hAnsi="宋体" w:eastAsia="宋体" w:cs="宋体"/>
                <w:bCs/>
                <w:color w:val="auto"/>
                <w:sz w:val="24"/>
                <w:highlight w:val="none"/>
                <w:lang w:val="en-US" w:eastAsia="zh-CN"/>
              </w:rPr>
              <w:t>胶水用量</w:t>
            </w:r>
          </w:p>
          <w:p w14:paraId="66BAE957">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jc w:val="left"/>
              <w:textAlignment w:val="auto"/>
              <w:rPr>
                <w:rFonts w:hint="eastAsia" w:ascii="宋体" w:hAnsi="宋体" w:eastAsia="宋体" w:cs="宋体"/>
                <w:bCs/>
                <w:color w:val="auto"/>
                <w:sz w:val="24"/>
                <w:highlight w:val="none"/>
              </w:rPr>
            </w:pPr>
            <w:r>
              <w:rPr>
                <w:rFonts w:hint="eastAsia" w:ascii="Times New Roman" w:hAnsi="Times New Roman" w:eastAsia="宋体" w:cs="Times New Roman"/>
                <w:b w:val="0"/>
                <w:color w:val="auto"/>
                <w:kern w:val="2"/>
                <w:sz w:val="24"/>
                <w:szCs w:val="24"/>
                <w:lang w:val="en-US" w:eastAsia="zh-CN" w:bidi="ar-SA"/>
              </w:rPr>
              <w:t>项目刹车片总面积为57600m</w:t>
            </w:r>
            <w:r>
              <w:rPr>
                <w:rFonts w:hint="eastAsia" w:ascii="Times New Roman" w:hAnsi="Times New Roman" w:eastAsia="宋体" w:cs="Times New Roman"/>
                <w:b w:val="0"/>
                <w:color w:val="auto"/>
                <w:kern w:val="2"/>
                <w:sz w:val="24"/>
                <w:szCs w:val="24"/>
                <w:vertAlign w:val="superscript"/>
                <w:lang w:val="en-US" w:eastAsia="zh-CN" w:bidi="ar-SA"/>
              </w:rPr>
              <w:t>2</w:t>
            </w:r>
            <w:r>
              <w:rPr>
                <w:rFonts w:hint="eastAsia" w:ascii="Times New Roman" w:hAnsi="Times New Roman" w:eastAsia="宋体" w:cs="Times New Roman"/>
                <w:b w:val="0"/>
                <w:color w:val="auto"/>
                <w:kern w:val="2"/>
                <w:sz w:val="24"/>
                <w:szCs w:val="24"/>
                <w:lang w:val="en-US" w:eastAsia="zh-CN" w:bidi="ar-SA"/>
              </w:rPr>
              <w:t>。刹车片平均涂布</w:t>
            </w:r>
            <w:r>
              <w:rPr>
                <w:rFonts w:hint="eastAsia" w:ascii="Times New Roman" w:hAnsi="Times New Roman" w:eastAsia="宋体" w:cs="Times New Roman"/>
                <w:bCs/>
                <w:color w:val="auto"/>
                <w:sz w:val="24"/>
                <w:highlight w:val="none"/>
                <w:lang w:val="en-US" w:eastAsia="zh-CN"/>
              </w:rPr>
              <w:t>胶水</w:t>
            </w:r>
            <w:r>
              <w:rPr>
                <w:rFonts w:hint="eastAsia" w:ascii="Times New Roman" w:hAnsi="Times New Roman" w:eastAsia="宋体" w:cs="Times New Roman"/>
                <w:b w:val="0"/>
                <w:color w:val="auto"/>
                <w:kern w:val="2"/>
                <w:sz w:val="24"/>
                <w:szCs w:val="24"/>
                <w:lang w:val="en-US" w:eastAsia="zh-CN" w:bidi="ar-SA"/>
              </w:rPr>
              <w:t>用量每平方米需要80g，则</w:t>
            </w:r>
            <w:r>
              <w:rPr>
                <w:rFonts w:hint="default" w:ascii="Times New Roman" w:hAnsi="Times New Roman" w:eastAsia="宋体" w:cs="Times New Roman"/>
                <w:bCs/>
                <w:color w:val="auto"/>
                <w:sz w:val="24"/>
                <w:highlight w:val="none"/>
              </w:rPr>
              <w:t>计算得项目</w:t>
            </w:r>
            <w:r>
              <w:rPr>
                <w:rFonts w:hint="eastAsia" w:ascii="Times New Roman" w:hAnsi="Times New Roman" w:eastAsia="宋体" w:cs="Times New Roman"/>
                <w:bCs/>
                <w:color w:val="auto"/>
                <w:sz w:val="24"/>
                <w:highlight w:val="none"/>
                <w:lang w:val="en-US" w:eastAsia="zh-CN"/>
              </w:rPr>
              <w:t>胶水</w:t>
            </w:r>
            <w:r>
              <w:rPr>
                <w:rFonts w:hint="default" w:ascii="Times New Roman" w:hAnsi="Times New Roman" w:eastAsia="宋体" w:cs="Times New Roman"/>
                <w:bCs/>
                <w:color w:val="auto"/>
                <w:sz w:val="24"/>
                <w:highlight w:val="none"/>
              </w:rPr>
              <w:t>理论用量</w:t>
            </w:r>
            <w:r>
              <w:rPr>
                <w:rFonts w:hint="eastAsia" w:ascii="Times New Roman" w:hAnsi="Times New Roman" w:eastAsia="宋体" w:cs="Times New Roman"/>
                <w:b w:val="0"/>
                <w:color w:val="auto"/>
                <w:kern w:val="2"/>
                <w:sz w:val="24"/>
                <w:szCs w:val="24"/>
                <w:lang w:val="en-US" w:eastAsia="zh-CN" w:bidi="ar-SA"/>
              </w:rPr>
              <w:t>约4.608t/a</w:t>
            </w:r>
            <w:r>
              <w:rPr>
                <w:rFonts w:hint="default" w:ascii="Times New Roman" w:hAnsi="Times New Roman" w:eastAsia="宋体" w:cs="Times New Roman"/>
                <w:bCs/>
                <w:color w:val="auto"/>
                <w:sz w:val="24"/>
                <w:highlight w:val="none"/>
              </w:rPr>
              <w:t>，故本项目</w:t>
            </w:r>
            <w:r>
              <w:rPr>
                <w:rFonts w:hint="eastAsia" w:ascii="Times New Roman" w:hAnsi="Times New Roman" w:eastAsia="宋体" w:cs="Times New Roman"/>
                <w:bCs/>
                <w:color w:val="auto"/>
                <w:sz w:val="24"/>
                <w:highlight w:val="none"/>
                <w:lang w:val="en-US" w:eastAsia="zh-CN"/>
              </w:rPr>
              <w:t>酚醛树脂胶水</w:t>
            </w:r>
            <w:r>
              <w:rPr>
                <w:rFonts w:hint="default" w:ascii="Times New Roman" w:hAnsi="Times New Roman" w:eastAsia="宋体" w:cs="Times New Roman"/>
                <w:bCs/>
                <w:color w:val="auto"/>
                <w:sz w:val="24"/>
                <w:highlight w:val="none"/>
              </w:rPr>
              <w:t>使用量</w:t>
            </w:r>
            <w:r>
              <w:rPr>
                <w:rFonts w:hint="eastAsia" w:ascii="Times New Roman" w:hAnsi="Times New Roman" w:eastAsia="宋体" w:cs="Times New Roman"/>
                <w:bCs/>
                <w:color w:val="auto"/>
                <w:sz w:val="24"/>
                <w:highlight w:val="none"/>
                <w:lang w:val="en-US" w:eastAsia="zh-CN"/>
              </w:rPr>
              <w:t>5</w:t>
            </w:r>
            <w:r>
              <w:rPr>
                <w:rFonts w:hint="default" w:ascii="Times New Roman" w:hAnsi="Times New Roman" w:eastAsia="宋体" w:cs="Times New Roman"/>
                <w:bCs/>
                <w:color w:val="auto"/>
                <w:sz w:val="24"/>
                <w:highlight w:val="none"/>
              </w:rPr>
              <w:t>t/a</w:t>
            </w:r>
            <w:r>
              <w:rPr>
                <w:rFonts w:hint="eastAsia" w:ascii="宋体" w:hAnsi="宋体" w:eastAsia="宋体" w:cs="宋体"/>
                <w:bCs/>
                <w:color w:val="auto"/>
                <w:sz w:val="24"/>
                <w:highlight w:val="none"/>
              </w:rPr>
              <w:t>合理。</w:t>
            </w:r>
          </w:p>
          <w:p w14:paraId="03AA7EA1">
            <w:pPr>
              <w:pStyle w:val="10"/>
              <w:spacing w:line="360" w:lineRule="auto"/>
              <w:rPr>
                <w:rFonts w:hint="default" w:ascii="Times New Roman" w:hAnsi="Times New Roman" w:eastAsia="宋体" w:cs="Times New Roman"/>
                <w:bCs/>
                <w:color w:val="auto"/>
                <w:sz w:val="24"/>
                <w:highlight w:val="none"/>
                <w:lang w:eastAsia="zh-CN"/>
              </w:rPr>
            </w:pPr>
            <w:r>
              <w:rPr>
                <w:rFonts w:hint="eastAsia" w:ascii="宋体" w:hAnsi="宋体" w:eastAsia="宋体" w:cs="宋体"/>
                <w:bCs/>
                <w:color w:val="auto"/>
                <w:sz w:val="24"/>
                <w:highlight w:val="none"/>
                <w:lang w:val="en-US" w:eastAsia="zh-CN"/>
              </w:rPr>
              <w:t xml:space="preserve">  </w:t>
            </w:r>
            <w:r>
              <w:rPr>
                <w:rFonts w:hint="default" w:ascii="Times New Roman" w:hAnsi="Times New Roman" w:eastAsia="宋体" w:cs="Times New Roman"/>
                <w:bCs/>
                <w:color w:val="auto"/>
                <w:sz w:val="24"/>
                <w:highlight w:val="none"/>
                <w:lang w:val="en-US" w:eastAsia="zh-CN"/>
              </w:rPr>
              <w:t xml:space="preserve"> </w:t>
            </w:r>
            <w:r>
              <w:rPr>
                <w:rFonts w:hint="default" w:ascii="Times New Roman" w:hAnsi="Times New Roman" w:eastAsia="宋体" w:cs="Times New Roman"/>
                <w:b/>
                <w:bCs w:val="0"/>
                <w:color w:val="auto"/>
                <w:sz w:val="24"/>
                <w:highlight w:val="none"/>
                <w:lang w:val="en-US" w:eastAsia="zh-CN"/>
              </w:rPr>
              <w:t>胶粘剂符合性分析：</w:t>
            </w:r>
            <w:r>
              <w:rPr>
                <w:rFonts w:hint="eastAsia" w:ascii="Times New Roman" w:hAnsi="Times New Roman" w:eastAsia="宋体" w:cs="Times New Roman"/>
                <w:bCs/>
                <w:color w:val="auto"/>
                <w:sz w:val="24"/>
                <w:highlight w:val="none"/>
                <w:lang w:val="en-US" w:eastAsia="zh-CN"/>
              </w:rPr>
              <w:t>本</w:t>
            </w:r>
            <w:r>
              <w:rPr>
                <w:rFonts w:hint="default" w:ascii="Times New Roman" w:hAnsi="Times New Roman" w:eastAsia="宋体" w:cs="Times New Roman"/>
                <w:bCs/>
                <w:color w:val="auto"/>
                <w:sz w:val="24"/>
                <w:highlight w:val="none"/>
                <w:lang w:eastAsia="zh-CN"/>
              </w:rPr>
              <w:t>项目使用的</w:t>
            </w:r>
            <w:r>
              <w:rPr>
                <w:rFonts w:hint="eastAsia" w:ascii="Times New Roman" w:hAnsi="Times New Roman" w:eastAsia="宋体" w:cs="Times New Roman"/>
                <w:bCs/>
                <w:color w:val="auto"/>
                <w:sz w:val="24"/>
                <w:highlight w:val="none"/>
                <w:lang w:eastAsia="zh-CN"/>
              </w:rPr>
              <w:t>胶水</w:t>
            </w:r>
            <w:r>
              <w:rPr>
                <w:rFonts w:hint="default" w:ascii="Times New Roman" w:hAnsi="Times New Roman" w:eastAsia="宋体" w:cs="Times New Roman"/>
                <w:bCs/>
                <w:color w:val="auto"/>
                <w:sz w:val="24"/>
                <w:highlight w:val="none"/>
                <w:lang w:eastAsia="zh-CN"/>
              </w:rPr>
              <w:t>为酚醛胶粘剂，根据《胶粘剂挥发性有机化合物限量》（GB33372-2020）中“范围”的要求，《胶粘剂挥发性有机化合物限量》（GB33372-2020）不适</w:t>
            </w:r>
            <w:r>
              <w:rPr>
                <w:rFonts w:hint="eastAsia" w:ascii="Times New Roman" w:hAnsi="Times New Roman" w:eastAsia="宋体" w:cs="Times New Roman"/>
                <w:bCs/>
                <w:color w:val="auto"/>
                <w:sz w:val="24"/>
                <w:highlight w:val="none"/>
                <w:lang w:eastAsia="zh-CN"/>
              </w:rPr>
              <w:t>用于</w:t>
            </w:r>
            <w:r>
              <w:rPr>
                <w:rFonts w:hint="default" w:ascii="Times New Roman" w:hAnsi="Times New Roman" w:eastAsia="宋体" w:cs="Times New Roman"/>
                <w:bCs/>
                <w:color w:val="auto"/>
                <w:sz w:val="24"/>
                <w:highlight w:val="none"/>
                <w:lang w:eastAsia="zh-CN"/>
              </w:rPr>
              <w:t>酚醛胶粘剂。故本项目无需执行《胶粘剂挥发性有机化合物限量》（GB33372-2020）中的相关要求。</w:t>
            </w:r>
          </w:p>
          <w:p w14:paraId="0A56304D">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eastAsia="宋体" w:cs="Times New Roman"/>
                <w:bCs/>
                <w:color w:val="auto"/>
                <w:sz w:val="24"/>
                <w:highlight w:val="none"/>
                <w:lang w:eastAsia="zh-CN"/>
              </w:rPr>
              <w:t>（</w:t>
            </w:r>
            <w:r>
              <w:rPr>
                <w:rFonts w:hint="default" w:ascii="Times New Roman" w:hAnsi="Times New Roman" w:eastAsia="宋体" w:cs="Times New Roman"/>
                <w:bCs/>
                <w:color w:val="auto"/>
                <w:sz w:val="24"/>
                <w:highlight w:val="none"/>
                <w:lang w:val="en-US" w:eastAsia="zh-CN"/>
              </w:rPr>
              <w:t>3</w:t>
            </w:r>
            <w:r>
              <w:rPr>
                <w:rFonts w:hint="default" w:ascii="Times New Roman" w:hAnsi="Times New Roman" w:eastAsia="宋体" w:cs="Times New Roman"/>
                <w:bCs/>
                <w:color w:val="auto"/>
                <w:sz w:val="24"/>
                <w:highlight w:val="none"/>
                <w:lang w:eastAsia="zh-CN"/>
              </w:rPr>
              <w:t>）</w:t>
            </w:r>
            <w:r>
              <w:rPr>
                <w:rFonts w:hint="default" w:ascii="Times New Roman" w:hAnsi="Times New Roman" w:cs="Times New Roman"/>
                <w:bCs/>
                <w:color w:val="auto"/>
                <w:sz w:val="24"/>
                <w:highlight w:val="none"/>
              </w:rPr>
              <w:t>理化性质</w:t>
            </w:r>
          </w:p>
          <w:p w14:paraId="78E73EF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bCs/>
                <w:color w:val="auto"/>
                <w:kern w:val="0"/>
                <w:sz w:val="24"/>
                <w:szCs w:val="24"/>
                <w:highlight w:val="none"/>
                <w:lang w:eastAsia="zh-CN"/>
              </w:rPr>
            </w:pPr>
            <w:r>
              <w:rPr>
                <w:rFonts w:hint="default" w:ascii="Times New Roman" w:hAnsi="Times New Roman" w:eastAsia="宋体" w:cs="Times New Roman"/>
                <w:b/>
                <w:bCs/>
                <w:color w:val="auto"/>
                <w:kern w:val="0"/>
                <w:sz w:val="21"/>
                <w:szCs w:val="21"/>
                <w:highlight w:val="none"/>
                <w:lang w:eastAsia="zh-CN"/>
              </w:rPr>
              <w:t>表2-</w:t>
            </w:r>
            <w:r>
              <w:rPr>
                <w:rFonts w:hint="eastAsia" w:cs="Times New Roman"/>
                <w:b/>
                <w:bCs/>
                <w:color w:val="auto"/>
                <w:kern w:val="0"/>
                <w:sz w:val="21"/>
                <w:szCs w:val="21"/>
                <w:highlight w:val="none"/>
                <w:lang w:val="en-US" w:eastAsia="zh-CN"/>
              </w:rPr>
              <w:t>9</w:t>
            </w:r>
            <w:r>
              <w:rPr>
                <w:rFonts w:hint="eastAsia" w:ascii="Times New Roman" w:hAnsi="Times New Roman" w:eastAsia="宋体" w:cs="Times New Roman"/>
                <w:b/>
                <w:bCs/>
                <w:color w:val="auto"/>
                <w:kern w:val="0"/>
                <w:sz w:val="21"/>
                <w:szCs w:val="21"/>
                <w:highlight w:val="none"/>
                <w:lang w:eastAsia="zh-CN"/>
              </w:rPr>
              <w:t>项目</w:t>
            </w:r>
            <w:r>
              <w:rPr>
                <w:rFonts w:hint="default" w:ascii="Times New Roman" w:hAnsi="Times New Roman" w:eastAsia="宋体" w:cs="Times New Roman"/>
                <w:b/>
                <w:bCs/>
                <w:color w:val="auto"/>
                <w:kern w:val="0"/>
                <w:sz w:val="21"/>
                <w:szCs w:val="21"/>
                <w:highlight w:val="none"/>
                <w:lang w:eastAsia="zh-CN"/>
              </w:rPr>
              <w:t>原辅材料理化性质表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83"/>
              <w:gridCol w:w="576"/>
              <w:gridCol w:w="4675"/>
              <w:gridCol w:w="1008"/>
              <w:gridCol w:w="934"/>
            </w:tblGrid>
            <w:tr w14:paraId="752709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252" w:type="pct"/>
                  <w:noWrap w:val="0"/>
                  <w:vAlign w:val="center"/>
                </w:tcPr>
                <w:p w14:paraId="5FED454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380" w:type="pct"/>
                  <w:noWrap w:val="0"/>
                  <w:vAlign w:val="center"/>
                </w:tcPr>
                <w:p w14:paraId="0489670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物质名称</w:t>
                  </w:r>
                </w:p>
              </w:tc>
              <w:tc>
                <w:tcPr>
                  <w:tcW w:w="3085" w:type="pct"/>
                  <w:noWrap w:val="0"/>
                  <w:vAlign w:val="center"/>
                </w:tcPr>
                <w:p w14:paraId="28B6690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理化性质</w:t>
                  </w:r>
                </w:p>
              </w:tc>
              <w:tc>
                <w:tcPr>
                  <w:tcW w:w="665" w:type="pct"/>
                  <w:noWrap w:val="0"/>
                  <w:vAlign w:val="center"/>
                </w:tcPr>
                <w:p w14:paraId="7CD2614D">
                  <w:pPr>
                    <w:keepNext w:val="0"/>
                    <w:keepLines w:val="0"/>
                    <w:widowControl/>
                    <w:suppressLineNumbers w:val="0"/>
                    <w:jc w:val="center"/>
                    <w:rPr>
                      <w:rFonts w:hint="default" w:ascii="Times New Roman" w:hAnsi="Times New Roman" w:cs="Times New Roman"/>
                      <w:b/>
                      <w:bCs/>
                      <w:color w:val="auto"/>
                      <w:sz w:val="21"/>
                      <w:szCs w:val="21"/>
                      <w:highlight w:val="none"/>
                    </w:rPr>
                  </w:pPr>
                  <w:r>
                    <w:rPr>
                      <w:rFonts w:hint="eastAsia" w:ascii="宋体" w:hAnsi="宋体" w:eastAsia="宋体" w:cs="宋体"/>
                      <w:b/>
                      <w:bCs/>
                      <w:color w:val="000000"/>
                      <w:kern w:val="0"/>
                      <w:sz w:val="18"/>
                      <w:szCs w:val="18"/>
                      <w:lang w:val="en-US" w:eastAsia="zh-CN" w:bidi="ar"/>
                    </w:rPr>
                    <w:t>燃烧爆炸性</w:t>
                  </w:r>
                </w:p>
              </w:tc>
              <w:tc>
                <w:tcPr>
                  <w:tcW w:w="616" w:type="pct"/>
                  <w:noWrap w:val="0"/>
                  <w:vAlign w:val="center"/>
                </w:tcPr>
                <w:p w14:paraId="7A817459">
                  <w:pPr>
                    <w:keepNext w:val="0"/>
                    <w:keepLines w:val="0"/>
                    <w:widowControl/>
                    <w:suppressLineNumbers w:val="0"/>
                    <w:jc w:val="center"/>
                    <w:rPr>
                      <w:rFonts w:hint="default" w:ascii="Times New Roman" w:hAnsi="Times New Roman" w:cs="Times New Roman"/>
                      <w:b/>
                      <w:bCs/>
                      <w:color w:val="auto"/>
                      <w:sz w:val="21"/>
                      <w:szCs w:val="21"/>
                      <w:highlight w:val="none"/>
                    </w:rPr>
                  </w:pPr>
                  <w:r>
                    <w:rPr>
                      <w:rFonts w:hint="eastAsia" w:ascii="宋体" w:hAnsi="宋体" w:eastAsia="宋体" w:cs="宋体"/>
                      <w:b/>
                      <w:bCs/>
                      <w:color w:val="000000"/>
                      <w:kern w:val="0"/>
                      <w:sz w:val="18"/>
                      <w:szCs w:val="18"/>
                      <w:lang w:val="en-US" w:eastAsia="zh-CN" w:bidi="ar"/>
                    </w:rPr>
                    <w:t>毒性毒理</w:t>
                  </w:r>
                </w:p>
              </w:tc>
            </w:tr>
            <w:tr w14:paraId="5FF188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52" w:type="pct"/>
                  <w:noWrap w:val="0"/>
                  <w:vAlign w:val="center"/>
                </w:tcPr>
                <w:p w14:paraId="36EC1767">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p>
              </w:tc>
              <w:tc>
                <w:tcPr>
                  <w:tcW w:w="380" w:type="pct"/>
                  <w:noWrap w:val="0"/>
                  <w:vAlign w:val="center"/>
                </w:tcPr>
                <w:p w14:paraId="17A027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硫酸钡</w:t>
                  </w:r>
                </w:p>
              </w:tc>
              <w:tc>
                <w:tcPr>
                  <w:tcW w:w="3085" w:type="pct"/>
                  <w:noWrap w:val="0"/>
                  <w:vAlign w:val="center"/>
                </w:tcPr>
                <w:p w14:paraId="066DC64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性状：无色斜方晶系晶体或白色定形粉末。相对密度：4.50(15℃)熔点：1580℃</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溶解性：几乎不溶于水、乙醇和酸。溶于热浓硫酸中。</w:t>
                  </w:r>
                </w:p>
              </w:tc>
              <w:tc>
                <w:tcPr>
                  <w:tcW w:w="665" w:type="pct"/>
                  <w:noWrap w:val="0"/>
                  <w:vAlign w:val="center"/>
                </w:tcPr>
                <w:p w14:paraId="5F2FC2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不燃</w:t>
                  </w:r>
                </w:p>
              </w:tc>
              <w:tc>
                <w:tcPr>
                  <w:tcW w:w="616" w:type="pct"/>
                  <w:noWrap w:val="0"/>
                  <w:vAlign w:val="center"/>
                </w:tcPr>
                <w:p w14:paraId="132D07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经口</w:t>
                  </w:r>
                  <w:r>
                    <w:rPr>
                      <w:rFonts w:hint="default" w:ascii="Times New Roman" w:hAnsi="Times New Roman" w:eastAsia="宋体" w:cs="Times New Roman"/>
                      <w:color w:val="auto"/>
                      <w:sz w:val="21"/>
                      <w:szCs w:val="21"/>
                      <w:lang w:val="en-US" w:eastAsia="zh-CN"/>
                    </w:rPr>
                    <w:t>: LD</w:t>
                  </w:r>
                  <w:r>
                    <w:rPr>
                      <w:rFonts w:hint="default" w:ascii="Times New Roman" w:hAnsi="Times New Roman" w:eastAsia="宋体" w:cs="Times New Roman"/>
                      <w:color w:val="auto"/>
                      <w:sz w:val="21"/>
                      <w:szCs w:val="21"/>
                      <w:vertAlign w:val="subscript"/>
                      <w:lang w:val="en-US" w:eastAsia="zh-CN"/>
                    </w:rPr>
                    <w:t>50</w:t>
                  </w:r>
                  <w:r>
                    <w:rPr>
                      <w:rFonts w:hint="eastAsia" w:ascii="Times New Roman" w:hAnsi="Times New Roman" w:eastAsia="宋体" w:cs="Times New Roman"/>
                      <w:color w:val="auto"/>
                      <w:sz w:val="21"/>
                      <w:szCs w:val="21"/>
                      <w:lang w:val="en-US" w:eastAsia="zh-CN"/>
                    </w:rPr>
                    <w:t xml:space="preserve">： </w:t>
                  </w:r>
                </w:p>
                <w:p w14:paraId="7ED7AD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307000 mg/kg</w:t>
                  </w:r>
                </w:p>
              </w:tc>
            </w:tr>
            <w:tr w14:paraId="3280B2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52" w:type="pct"/>
                  <w:noWrap w:val="0"/>
                  <w:vAlign w:val="center"/>
                </w:tcPr>
                <w:p w14:paraId="66EDD8F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p>
              </w:tc>
              <w:tc>
                <w:tcPr>
                  <w:tcW w:w="380" w:type="pct"/>
                  <w:noWrap w:val="0"/>
                  <w:vAlign w:val="center"/>
                </w:tcPr>
                <w:p w14:paraId="28F09416">
                  <w:pPr>
                    <w:widowControl w:val="0"/>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铁矿粉</w:t>
                  </w:r>
                </w:p>
              </w:tc>
              <w:tc>
                <w:tcPr>
                  <w:tcW w:w="3085" w:type="pct"/>
                  <w:noWrap w:val="0"/>
                  <w:vAlign w:val="center"/>
                </w:tcPr>
                <w:p w14:paraId="0A1F22D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是岩浆作用的矿物，主要成分是FeCr</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val="en-US" w:eastAsia="zh-CN"/>
                    </w:rPr>
                    <w:t>O</w:t>
                  </w:r>
                  <w:r>
                    <w:rPr>
                      <w:rFonts w:hint="default" w:ascii="Times New Roman" w:hAnsi="Times New Roman" w:eastAsia="宋体" w:cs="Times New Roman"/>
                      <w:color w:val="auto"/>
                      <w:sz w:val="21"/>
                      <w:szCs w:val="21"/>
                      <w:highlight w:val="none"/>
                      <w:vertAlign w:val="subscript"/>
                      <w:lang w:val="en-US" w:eastAsia="zh-CN"/>
                    </w:rPr>
                    <w:t>4</w:t>
                  </w:r>
                  <w:r>
                    <w:rPr>
                      <w:rFonts w:hint="default" w:ascii="Times New Roman" w:hAnsi="Times New Roman" w:eastAsia="宋体" w:cs="Times New Roman"/>
                      <w:color w:val="auto"/>
                      <w:sz w:val="21"/>
                      <w:szCs w:val="21"/>
                      <w:highlight w:val="none"/>
                      <w:lang w:val="en-US" w:eastAsia="zh-CN"/>
                    </w:rPr>
                    <w:t>或FeO·Cr</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val="en-US" w:eastAsia="zh-CN"/>
                    </w:rPr>
                    <w:t>O</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lang w:val="en-US" w:eastAsia="zh-CN"/>
                    </w:rPr>
                    <w:t>。为棕黑色或铁黑色，成等轴晶系。常以粒状或块状形式存在，有暗棕色的条痕。具有半金属光泽至金属光泽。密度4.3~4.6克/立方厘米，硬度5.5。常产于超基性岩中，与橄榄石共生，也见于砂矿中</w:t>
                  </w:r>
                </w:p>
              </w:tc>
              <w:tc>
                <w:tcPr>
                  <w:tcW w:w="665" w:type="pct"/>
                  <w:noWrap w:val="0"/>
                  <w:vAlign w:val="center"/>
                </w:tcPr>
                <w:p w14:paraId="1031620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不燃</w:t>
                  </w:r>
                </w:p>
              </w:tc>
              <w:tc>
                <w:tcPr>
                  <w:tcW w:w="616" w:type="pct"/>
                  <w:noWrap w:val="0"/>
                  <w:vAlign w:val="center"/>
                </w:tcPr>
                <w:p w14:paraId="3436A96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128257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52" w:type="pct"/>
                  <w:noWrap w:val="0"/>
                  <w:vAlign w:val="center"/>
                </w:tcPr>
                <w:p w14:paraId="03AFA9E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p>
              </w:tc>
              <w:tc>
                <w:tcPr>
                  <w:tcW w:w="380" w:type="pct"/>
                  <w:noWrap w:val="0"/>
                  <w:vAlign w:val="center"/>
                </w:tcPr>
                <w:p w14:paraId="77DF6271">
                  <w:pPr>
                    <w:widowControl w:val="0"/>
                    <w:numPr>
                      <w:ilvl w:val="0"/>
                      <w:numId w:val="0"/>
                    </w:numPr>
                    <w:spacing w:line="240" w:lineRule="auto"/>
                    <w:ind w:left="0" w:leftChars="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lang w:val="en-US" w:eastAsia="zh-CN"/>
                    </w:rPr>
                    <w:t>酚醛树脂</w:t>
                  </w:r>
                </w:p>
              </w:tc>
              <w:tc>
                <w:tcPr>
                  <w:tcW w:w="3085" w:type="pct"/>
                  <w:noWrap w:val="0"/>
                  <w:vAlign w:val="center"/>
                </w:tcPr>
                <w:p w14:paraId="08C6FB6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白色/淡黄色粉末，易溶于醇，不溶于水，对水、弱酸、弱碱溶液稳定。</w:t>
                  </w:r>
                </w:p>
              </w:tc>
              <w:tc>
                <w:tcPr>
                  <w:tcW w:w="665" w:type="pct"/>
                  <w:noWrap w:val="0"/>
                  <w:vAlign w:val="center"/>
                </w:tcPr>
                <w:p w14:paraId="0C369FF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可燃</w:t>
                  </w:r>
                </w:p>
              </w:tc>
              <w:tc>
                <w:tcPr>
                  <w:tcW w:w="616" w:type="pct"/>
                  <w:noWrap w:val="0"/>
                  <w:vAlign w:val="center"/>
                </w:tcPr>
                <w:p w14:paraId="0BD9747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皮肤腐蚀/刺激－级别 3</w:t>
                  </w:r>
                </w:p>
              </w:tc>
            </w:tr>
            <w:tr w14:paraId="77700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52" w:type="pct"/>
                  <w:noWrap w:val="0"/>
                  <w:vAlign w:val="center"/>
                </w:tcPr>
                <w:p w14:paraId="7965C39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w:t>
                  </w:r>
                </w:p>
              </w:tc>
              <w:tc>
                <w:tcPr>
                  <w:tcW w:w="380" w:type="pct"/>
                  <w:noWrap w:val="0"/>
                  <w:vAlign w:val="center"/>
                </w:tcPr>
                <w:p w14:paraId="6DD4E3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氧化镁</w:t>
                  </w:r>
                </w:p>
              </w:tc>
              <w:tc>
                <w:tcPr>
                  <w:tcW w:w="3085" w:type="pct"/>
                  <w:noWrap w:val="0"/>
                  <w:vAlign w:val="center"/>
                </w:tcPr>
                <w:p w14:paraId="3A566A7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俗称苦土或灯粉，氧化物型无机化合物，化学式为MgO，相对分子量40.30。常温下为白色粉末，密度约3.58g/cm3，熔点2852℃，沸点3600℃，难溶于水和乙醇，溶于铵盐溶液。高温下氧化镁能被强还原性单质或合金还原为金属镁；能与氯气生成氯化镁。氧化镁可以与酸反应，生成相应酸的镁盐和水；与铵盐反应可以放出氨气，与二氧化碳或三氧化硫等酸性氧化物反应则分别生成碳酸镁或硫酸镁</w:t>
                  </w:r>
                </w:p>
              </w:tc>
              <w:tc>
                <w:tcPr>
                  <w:tcW w:w="1008" w:type="dxa"/>
                  <w:noWrap w:val="0"/>
                  <w:vAlign w:val="center"/>
                </w:tcPr>
                <w:p w14:paraId="2BCC321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不燃</w:t>
                  </w:r>
                </w:p>
              </w:tc>
              <w:tc>
                <w:tcPr>
                  <w:tcW w:w="934" w:type="dxa"/>
                  <w:noWrap w:val="0"/>
                  <w:vAlign w:val="center"/>
                </w:tcPr>
                <w:p w14:paraId="1D734C5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bl>
          <w:p w14:paraId="756B650B">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7</w:t>
            </w:r>
            <w:r>
              <w:rPr>
                <w:rFonts w:hint="default" w:ascii="Times New Roman" w:hAnsi="Times New Roman" w:cs="Times New Roman"/>
                <w:b/>
                <w:color w:val="auto"/>
                <w:sz w:val="24"/>
                <w:highlight w:val="none"/>
              </w:rPr>
              <w:t>、项目水平衡</w:t>
            </w:r>
          </w:p>
          <w:p w14:paraId="0BBD347C">
            <w:pPr>
              <w:pStyle w:val="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bookmarkStart w:id="4" w:name="OLE_LINK34"/>
            <w:bookmarkStart w:id="5" w:name="OLE_LINK12"/>
            <w:bookmarkStart w:id="6" w:name="OLE_LINK4"/>
            <w:r>
              <w:rPr>
                <w:rFonts w:hint="default" w:ascii="Times New Roman" w:hAnsi="Times New Roman" w:eastAsia="宋体" w:cs="Times New Roman"/>
                <w:color w:val="auto"/>
                <w:kern w:val="2"/>
                <w:sz w:val="24"/>
                <w:szCs w:val="24"/>
                <w:highlight w:val="none"/>
                <w:lang w:val="en-US" w:eastAsia="zh-CN" w:bidi="ar-SA"/>
              </w:rPr>
              <w:t>根据工艺分析，项目主要</w:t>
            </w:r>
            <w:r>
              <w:rPr>
                <w:rFonts w:hint="default" w:ascii="Times New Roman" w:hAnsi="Times New Roman" w:cs="Times New Roman"/>
                <w:color w:val="auto"/>
                <w:kern w:val="2"/>
                <w:sz w:val="24"/>
                <w:szCs w:val="24"/>
                <w:highlight w:val="none"/>
                <w:lang w:val="en-US" w:eastAsia="zh-CN" w:bidi="ar-SA"/>
              </w:rPr>
              <w:t>用水为</w:t>
            </w:r>
            <w:r>
              <w:rPr>
                <w:rFonts w:hint="default" w:ascii="Times New Roman" w:hAnsi="Times New Roman" w:eastAsia="宋体" w:cs="Times New Roman"/>
                <w:color w:val="auto"/>
                <w:kern w:val="2"/>
                <w:sz w:val="24"/>
                <w:szCs w:val="24"/>
                <w:highlight w:val="none"/>
                <w:lang w:val="en-US" w:eastAsia="zh-CN" w:bidi="ar-SA"/>
              </w:rPr>
              <w:t>职工生活用水</w:t>
            </w:r>
            <w:r>
              <w:rPr>
                <w:rFonts w:hint="default" w:ascii="Times New Roman" w:hAnsi="Times New Roman" w:cs="Times New Roman"/>
                <w:color w:val="auto"/>
                <w:kern w:val="2"/>
                <w:sz w:val="24"/>
                <w:szCs w:val="24"/>
                <w:highlight w:val="none"/>
                <w:lang w:val="en-US" w:eastAsia="zh-CN" w:bidi="ar-SA"/>
              </w:rPr>
              <w:t>和车间保洁</w:t>
            </w:r>
            <w:r>
              <w:rPr>
                <w:rFonts w:hint="default" w:ascii="Times New Roman" w:hAnsi="Times New Roman" w:eastAsia="宋体" w:cs="Times New Roman"/>
                <w:color w:val="auto"/>
                <w:kern w:val="2"/>
                <w:sz w:val="24"/>
                <w:szCs w:val="24"/>
                <w:highlight w:val="none"/>
                <w:lang w:val="en-US" w:eastAsia="zh-CN" w:bidi="ar-SA"/>
              </w:rPr>
              <w:t>用水。</w:t>
            </w:r>
          </w:p>
          <w:p w14:paraId="77E1108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①</w:t>
            </w:r>
            <w:r>
              <w:rPr>
                <w:rFonts w:hint="default" w:ascii="Times New Roman" w:hAnsi="Times New Roman" w:cs="Times New Roman"/>
                <w:color w:val="auto"/>
                <w:kern w:val="2"/>
                <w:sz w:val="24"/>
                <w:szCs w:val="24"/>
                <w:highlight w:val="none"/>
                <w:lang w:val="en-US" w:eastAsia="zh-CN" w:bidi="ar-SA"/>
              </w:rPr>
              <w:t>职工</w:t>
            </w:r>
            <w:r>
              <w:rPr>
                <w:rFonts w:hint="default" w:ascii="Times New Roman" w:hAnsi="Times New Roman" w:eastAsia="宋体" w:cs="Times New Roman"/>
                <w:color w:val="auto"/>
                <w:kern w:val="2"/>
                <w:sz w:val="24"/>
                <w:szCs w:val="24"/>
                <w:highlight w:val="none"/>
                <w:lang w:val="en-US" w:eastAsia="zh-CN" w:bidi="ar-SA"/>
              </w:rPr>
              <w:t>生活</w:t>
            </w:r>
            <w:r>
              <w:rPr>
                <w:rFonts w:hint="default" w:ascii="Times New Roman" w:hAnsi="Times New Roman" w:eastAsia="宋体" w:cs="Times New Roman"/>
                <w:color w:val="auto"/>
                <w:sz w:val="24"/>
                <w:highlight w:val="none"/>
                <w:lang w:val="en-US" w:eastAsia="zh-CN"/>
              </w:rPr>
              <w:t>用</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排水</w:t>
            </w:r>
          </w:p>
          <w:p w14:paraId="479708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val="en-US" w:eastAsia="zh-CN"/>
              </w:rPr>
              <w:t>职工定员40人，不提供食、宿，用水标准参考《安徽省行业用水定额》（DB34/T679-20</w:t>
            </w:r>
            <w:r>
              <w:rPr>
                <w:rFonts w:hint="default" w:ascii="Times New Roman" w:hAnsi="Times New Roman"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cs="Times New Roman"/>
                <w:color w:val="auto"/>
                <w:sz w:val="24"/>
                <w:szCs w:val="24"/>
                <w:highlight w:val="none"/>
                <w:lang w:val="en-US" w:eastAsia="zh-CN"/>
              </w:rPr>
              <w:t>S922国家行政机构</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先进</w:t>
            </w:r>
            <w:r>
              <w:rPr>
                <w:rFonts w:hint="default" w:ascii="Times New Roman" w:hAnsi="Times New Roman" w:eastAsia="宋体" w:cs="Times New Roman"/>
                <w:color w:val="auto"/>
                <w:sz w:val="24"/>
                <w:szCs w:val="24"/>
                <w:highlight w:val="none"/>
                <w:lang w:val="en-US" w:eastAsia="zh-CN"/>
              </w:rPr>
              <w:t>定额</w:t>
            </w:r>
            <w:r>
              <w:rPr>
                <w:rFonts w:hint="default" w:ascii="Times New Roman" w:hAnsi="Times New Roman" w:cs="Times New Roman"/>
                <w:color w:val="auto"/>
                <w:sz w:val="24"/>
                <w:szCs w:val="24"/>
                <w:highlight w:val="none"/>
                <w:lang w:val="en-US" w:eastAsia="zh-CN"/>
              </w:rPr>
              <w:t>15t</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人•</w:t>
            </w:r>
            <w:r>
              <w:rPr>
                <w:rFonts w:hint="default" w:ascii="Times New Roman" w:hAnsi="Times New Roman" w:cs="Times New Roman"/>
                <w:color w:val="auto"/>
                <w:sz w:val="24"/>
                <w:szCs w:val="24"/>
                <w:highlight w:val="none"/>
                <w:lang w:val="en-US" w:eastAsia="zh-CN"/>
              </w:rPr>
              <w:t>a），折算后为50L/人</w:t>
            </w:r>
            <w:r>
              <w:rPr>
                <w:rFonts w:hint="default" w:ascii="Times New Roman" w:hAnsi="Times New Roman" w:eastAsia="宋体" w:cs="Times New Roman"/>
                <w:color w:val="auto"/>
                <w:sz w:val="24"/>
                <w:szCs w:val="24"/>
                <w:highlight w:val="none"/>
                <w:lang w:val="en-US" w:eastAsia="zh-CN"/>
              </w:rPr>
              <w:t>•d，年工作</w:t>
            </w:r>
            <w:r>
              <w:rPr>
                <w:rFonts w:hint="eastAsia" w:ascii="Times New Roman" w:hAnsi="Times New Roman"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lang w:val="en-US" w:eastAsia="zh-CN"/>
              </w:rPr>
              <w:t>天，则生活用水量为</w:t>
            </w:r>
            <w:r>
              <w:rPr>
                <w:rFonts w:hint="eastAsia" w:ascii="Times New Roman" w:hAnsi="Times New Roman" w:cs="Times New Roman"/>
                <w:color w:val="auto"/>
                <w:sz w:val="24"/>
                <w:szCs w:val="24"/>
                <w:highlight w:val="none"/>
                <w:lang w:val="en-US" w:eastAsia="zh-CN"/>
              </w:rPr>
              <w:t>600</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t/d），产排污系数按0.8计算，则生活污水排放量约</w:t>
            </w:r>
            <w:r>
              <w:rPr>
                <w:rFonts w:hint="eastAsia" w:ascii="Times New Roman" w:hAnsi="Times New Roman" w:cs="Times New Roman"/>
                <w:color w:val="auto"/>
                <w:sz w:val="24"/>
                <w:szCs w:val="24"/>
                <w:highlight w:val="none"/>
                <w:lang w:val="en-US" w:eastAsia="zh-CN"/>
              </w:rPr>
              <w:t>480</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cs="Times New Roman"/>
                <w:color w:val="auto"/>
                <w:sz w:val="24"/>
                <w:szCs w:val="24"/>
                <w:highlight w:val="none"/>
                <w:lang w:val="en-US" w:eastAsia="zh-CN"/>
              </w:rPr>
              <w:t>1.6</w:t>
            </w:r>
            <w:r>
              <w:rPr>
                <w:rFonts w:hint="default" w:ascii="Times New Roman" w:hAnsi="Times New Roman" w:eastAsia="宋体" w:cs="Times New Roman"/>
                <w:color w:val="auto"/>
                <w:sz w:val="24"/>
                <w:szCs w:val="24"/>
                <w:highlight w:val="none"/>
                <w:lang w:val="en-US" w:eastAsia="zh-CN"/>
              </w:rPr>
              <w:t>t/d）</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员工</w:t>
            </w:r>
            <w:r>
              <w:rPr>
                <w:rFonts w:hint="default" w:ascii="Times New Roman" w:hAnsi="Times New Roman" w:eastAsia="宋体" w:cs="Times New Roman"/>
                <w:color w:val="auto"/>
                <w:sz w:val="24"/>
                <w:szCs w:val="24"/>
                <w:highlight w:val="none"/>
              </w:rPr>
              <w:t>生活污水依托产业园现有生活污水排水系统收集、化粪池预处理，达标后依托产业园现有污水排放口</w:t>
            </w:r>
            <w:r>
              <w:rPr>
                <w:rFonts w:hint="default" w:ascii="Times New Roman" w:hAnsi="Times New Roman" w:eastAsia="宋体" w:cs="Times New Roman"/>
                <w:color w:val="auto"/>
                <w:sz w:val="24"/>
                <w:highlight w:val="none"/>
              </w:rPr>
              <w:t>接入淮南市高新区山南新区污水处理厂处理</w:t>
            </w:r>
            <w:r>
              <w:rPr>
                <w:rFonts w:hint="default" w:ascii="Times New Roman" w:hAnsi="Times New Roman" w:eastAsia="宋体" w:cs="Times New Roman"/>
                <w:color w:val="auto"/>
                <w:sz w:val="24"/>
                <w:szCs w:val="24"/>
                <w:highlight w:val="none"/>
              </w:rPr>
              <w:t>。</w:t>
            </w:r>
          </w:p>
          <w:p w14:paraId="41330B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kern w:val="2"/>
                <w:sz w:val="24"/>
                <w:szCs w:val="24"/>
                <w:highlight w:val="none"/>
                <w:lang w:val="en-US" w:eastAsia="zh-CN" w:bidi="ar-SA"/>
              </w:rPr>
              <w:t>②</w:t>
            </w:r>
            <w:r>
              <w:rPr>
                <w:rFonts w:hint="default" w:ascii="Times New Roman" w:hAnsi="Times New Roman" w:cs="Times New Roman"/>
                <w:color w:val="auto"/>
                <w:sz w:val="24"/>
                <w:szCs w:val="24"/>
                <w:highlight w:val="none"/>
                <w:lang w:val="en-US" w:eastAsia="zh-CN"/>
              </w:rPr>
              <w:t>车间保洁用水、排水</w:t>
            </w:r>
          </w:p>
          <w:p w14:paraId="27ED36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rPr>
              <w:t>项目车间地面采取每</w:t>
            </w:r>
            <w:r>
              <w:rPr>
                <w:rFonts w:hint="default" w:ascii="Times New Roman" w:hAnsi="Times New Roman" w:cs="Times New Roman"/>
                <w:color w:val="auto"/>
                <w:sz w:val="24"/>
                <w:highlight w:val="none"/>
                <w:lang w:eastAsia="zh-CN"/>
              </w:rPr>
              <w:t>天</w:t>
            </w:r>
            <w:r>
              <w:rPr>
                <w:rFonts w:hint="default" w:ascii="Times New Roman" w:hAnsi="Times New Roman" w:cs="Times New Roman"/>
                <w:color w:val="auto"/>
                <w:sz w:val="24"/>
                <w:highlight w:val="none"/>
              </w:rPr>
              <w:t>清扫制</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参照</w:t>
            </w:r>
            <w:r>
              <w:rPr>
                <w:rFonts w:hint="eastAsia" w:ascii="Times New Roman" w:hAnsi="Times New Roman" w:eastAsia="宋体" w:cs="Times New Roman"/>
                <w:color w:val="auto"/>
                <w:sz w:val="24"/>
                <w:highlight w:val="none"/>
                <w:lang w:val="en-US" w:eastAsia="zh-CN"/>
              </w:rPr>
              <w:t>《建筑给水排水设计标准》（GB50015-2019）</w:t>
            </w:r>
            <w:r>
              <w:rPr>
                <w:rFonts w:hint="default" w:ascii="Times New Roman" w:hAnsi="Times New Roman" w:eastAsia="宋体" w:cs="Times New Roman"/>
                <w:color w:val="auto"/>
                <w:sz w:val="24"/>
                <w:highlight w:val="none"/>
                <w:lang w:val="en-US" w:eastAsia="zh-CN"/>
              </w:rPr>
              <w:t>，地面冲洗用水量为2-3</w:t>
            </w:r>
            <w:r>
              <w:rPr>
                <w:rFonts w:hint="default" w:ascii="Times New Roman" w:hAnsi="Times New Roman" w:cs="Times New Roman"/>
                <w:color w:val="auto"/>
                <w:sz w:val="24"/>
                <w:highlight w:val="none"/>
              </w:rPr>
              <w:t>L/m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vertAlign w:val="baseline"/>
                <w:lang w:val="en-US" w:eastAsia="zh-CN"/>
              </w:rPr>
              <w:t>.次，项目地面</w:t>
            </w:r>
            <w:r>
              <w:rPr>
                <w:rFonts w:hint="default" w:ascii="Times New Roman" w:hAnsi="Times New Roman" w:cs="Times New Roman"/>
                <w:color w:val="auto"/>
                <w:sz w:val="24"/>
                <w:highlight w:val="none"/>
              </w:rPr>
              <w:t>使用</w:t>
            </w:r>
            <w:r>
              <w:rPr>
                <w:rFonts w:hint="default" w:ascii="Times New Roman" w:hAnsi="Times New Roman" w:cs="Times New Roman"/>
                <w:color w:val="auto"/>
                <w:sz w:val="24"/>
                <w:highlight w:val="none"/>
                <w:lang w:eastAsia="zh-CN"/>
              </w:rPr>
              <w:t>尘推车</w:t>
            </w:r>
            <w:r>
              <w:rPr>
                <w:rFonts w:hint="default" w:ascii="Times New Roman" w:hAnsi="Times New Roman" w:cs="Times New Roman"/>
                <w:color w:val="auto"/>
                <w:sz w:val="24"/>
                <w:highlight w:val="none"/>
              </w:rPr>
              <w:t>清理</w:t>
            </w:r>
            <w:r>
              <w:rPr>
                <w:rFonts w:hint="default" w:ascii="Times New Roman" w:hAnsi="Times New Roman" w:cs="Times New Roman"/>
                <w:color w:val="auto"/>
                <w:sz w:val="24"/>
                <w:highlight w:val="none"/>
                <w:lang w:eastAsia="zh-CN"/>
              </w:rPr>
              <w:t>或拖把清理，</w:t>
            </w:r>
            <w:r>
              <w:rPr>
                <w:rFonts w:hint="default" w:ascii="Times New Roman" w:hAnsi="Times New Roman" w:cs="Times New Roman"/>
                <w:color w:val="auto"/>
                <w:sz w:val="24"/>
                <w:highlight w:val="none"/>
              </w:rPr>
              <w:t>按</w:t>
            </w:r>
            <w:r>
              <w:rPr>
                <w:rFonts w:hint="default" w:ascii="Times New Roman" w:hAnsi="Times New Roman" w:cs="Times New Roman"/>
                <w:color w:val="auto"/>
                <w:sz w:val="24"/>
                <w:highlight w:val="none"/>
                <w:lang w:eastAsia="zh-CN"/>
              </w:rPr>
              <w:t>冲洗用水量</w:t>
            </w:r>
            <w:r>
              <w:rPr>
                <w:rFonts w:hint="default" w:ascii="Times New Roman" w:hAnsi="Times New Roman" w:cs="Times New Roman"/>
                <w:color w:val="auto"/>
                <w:sz w:val="24"/>
                <w:highlight w:val="none"/>
                <w:lang w:val="en-US" w:eastAsia="zh-CN"/>
              </w:rPr>
              <w:t>30%计，取0.9</w:t>
            </w:r>
            <w:r>
              <w:rPr>
                <w:rFonts w:hint="default" w:ascii="Times New Roman" w:hAnsi="Times New Roman" w:cs="Times New Roman"/>
                <w:color w:val="auto"/>
                <w:sz w:val="24"/>
                <w:highlight w:val="none"/>
              </w:rPr>
              <w:t>L/m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lang w:val="en-US" w:eastAsia="zh-CN"/>
              </w:rPr>
              <w:t>.次。</w:t>
            </w:r>
            <w:r>
              <w:rPr>
                <w:rFonts w:hint="default" w:ascii="Times New Roman" w:hAnsi="Times New Roman" w:cs="Times New Roman"/>
                <w:color w:val="auto"/>
                <w:sz w:val="24"/>
                <w:highlight w:val="none"/>
              </w:rPr>
              <w:t>项目</w:t>
            </w:r>
            <w:r>
              <w:rPr>
                <w:rFonts w:hint="default" w:ascii="Times New Roman" w:hAnsi="Times New Roman" w:cs="Times New Roman"/>
                <w:color w:val="auto"/>
                <w:sz w:val="24"/>
                <w:highlight w:val="none"/>
                <w:lang w:val="en-US" w:eastAsia="zh-CN"/>
              </w:rPr>
              <w:t>1F</w:t>
            </w:r>
            <w:r>
              <w:rPr>
                <w:rFonts w:hint="default" w:ascii="Times New Roman" w:hAnsi="Times New Roman" w:cs="Times New Roman"/>
                <w:color w:val="auto"/>
                <w:sz w:val="24"/>
                <w:highlight w:val="none"/>
              </w:rPr>
              <w:t>建筑面积约</w:t>
            </w:r>
            <w:r>
              <w:rPr>
                <w:rFonts w:hint="default" w:ascii="Times New Roman" w:hAnsi="Times New Roman" w:cs="Times New Roman"/>
                <w:color w:val="auto"/>
                <w:sz w:val="24"/>
                <w:highlight w:val="none"/>
                <w:lang w:val="en-US" w:eastAsia="zh-CN"/>
              </w:rPr>
              <w:t>5000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设备、隔断、物料</w:t>
            </w:r>
            <w:r>
              <w:rPr>
                <w:rFonts w:hint="default" w:ascii="Times New Roman" w:hAnsi="Times New Roman" w:cs="Times New Roman"/>
                <w:color w:val="auto"/>
                <w:sz w:val="24"/>
                <w:highlight w:val="none"/>
                <w:lang w:val="en-US" w:eastAsia="zh-CN"/>
              </w:rPr>
              <w:t>及预留区域</w:t>
            </w:r>
            <w:r>
              <w:rPr>
                <w:rFonts w:hint="default" w:ascii="Times New Roman" w:hAnsi="Times New Roman" w:cs="Times New Roman"/>
                <w:color w:val="auto"/>
                <w:sz w:val="24"/>
                <w:highlight w:val="none"/>
                <w:lang w:eastAsia="zh-CN"/>
              </w:rPr>
              <w:t>等约</w:t>
            </w:r>
            <w:r>
              <w:rPr>
                <w:rFonts w:hint="default" w:ascii="Times New Roman" w:hAnsi="Times New Roman" w:cs="Times New Roman"/>
                <w:color w:val="auto"/>
                <w:sz w:val="24"/>
                <w:highlight w:val="none"/>
                <w:lang w:val="en-US" w:eastAsia="zh-CN"/>
              </w:rPr>
              <w:t>占80%</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需要每天保洁的面积约</w:t>
            </w:r>
            <w:r>
              <w:rPr>
                <w:rFonts w:hint="default" w:ascii="Times New Roman" w:hAnsi="Times New Roman" w:cs="Times New Roman"/>
                <w:color w:val="auto"/>
                <w:sz w:val="24"/>
                <w:highlight w:val="none"/>
                <w:lang w:val="en-US" w:eastAsia="zh-CN"/>
              </w:rPr>
              <w:t>1000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车间</w:t>
            </w:r>
            <w:r>
              <w:rPr>
                <w:rFonts w:hint="default" w:ascii="Times New Roman" w:hAnsi="Times New Roman" w:cs="Times New Roman"/>
                <w:color w:val="auto"/>
                <w:sz w:val="24"/>
                <w:highlight w:val="none"/>
              </w:rPr>
              <w:t>保洁</w:t>
            </w:r>
            <w:r>
              <w:rPr>
                <w:rFonts w:hint="default" w:ascii="Times New Roman" w:hAnsi="Times New Roman" w:cs="Times New Roman"/>
                <w:color w:val="auto"/>
                <w:sz w:val="24"/>
                <w:highlight w:val="none"/>
                <w:lang w:val="en-US" w:eastAsia="zh-CN"/>
              </w:rPr>
              <w:t>年</w:t>
            </w:r>
            <w:r>
              <w:rPr>
                <w:rFonts w:hint="default" w:ascii="Times New Roman" w:hAnsi="Times New Roman" w:cs="Times New Roman"/>
                <w:color w:val="auto"/>
                <w:sz w:val="24"/>
                <w:highlight w:val="none"/>
              </w:rPr>
              <w:t>用水量约</w:t>
            </w:r>
            <w:r>
              <w:rPr>
                <w:rFonts w:hint="default" w:ascii="Times New Roman" w:hAnsi="Times New Roman" w:cs="Times New Roman"/>
                <w:color w:val="auto"/>
                <w:sz w:val="24"/>
                <w:highlight w:val="none"/>
                <w:lang w:val="en-US" w:eastAsia="zh-CN"/>
              </w:rPr>
              <w:t>280.8</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a</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0.9</w:t>
            </w:r>
            <w:r>
              <w:rPr>
                <w:rFonts w:hint="eastAsia" w:cs="Times New Roman"/>
                <w:color w:val="auto"/>
                <w:sz w:val="24"/>
                <w:highlight w:val="none"/>
                <w:lang w:val="en-US" w:eastAsia="zh-CN"/>
              </w:rPr>
              <w:t>36</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eastAsia="zh-CN"/>
              </w:rPr>
              <w:t>），保洁用水</w:t>
            </w:r>
            <w:r>
              <w:rPr>
                <w:rFonts w:hint="default" w:ascii="Times New Roman" w:hAnsi="Times New Roman" w:cs="Times New Roman"/>
                <w:color w:val="auto"/>
                <w:sz w:val="24"/>
                <w:highlight w:val="none"/>
              </w:rPr>
              <w:t>随地面蒸发，</w:t>
            </w:r>
            <w:r>
              <w:rPr>
                <w:rFonts w:hint="default" w:ascii="Times New Roman" w:hAnsi="Times New Roman" w:cs="Times New Roman"/>
                <w:color w:val="auto"/>
                <w:sz w:val="24"/>
                <w:highlight w:val="none"/>
                <w:lang w:eastAsia="zh-CN"/>
              </w:rPr>
              <w:t>清扫结束需对保洁工具进行清洗，清洗废水量产生系数约占保洁用水量的</w:t>
            </w:r>
            <w:r>
              <w:rPr>
                <w:rFonts w:hint="default"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lang w:eastAsia="zh-CN"/>
              </w:rPr>
              <w:t>% ，即</w:t>
            </w:r>
            <w:r>
              <w:rPr>
                <w:rFonts w:hint="default" w:ascii="Times New Roman" w:hAnsi="Times New Roman" w:cs="Times New Roman"/>
                <w:color w:val="auto"/>
                <w:sz w:val="24"/>
                <w:highlight w:val="none"/>
                <w:lang w:val="en-US" w:eastAsia="zh-CN"/>
              </w:rPr>
              <w:t>年</w:t>
            </w:r>
            <w:r>
              <w:rPr>
                <w:rFonts w:hint="default" w:ascii="Times New Roman" w:hAnsi="Times New Roman" w:cs="Times New Roman"/>
                <w:color w:val="auto"/>
                <w:sz w:val="24"/>
                <w:highlight w:val="none"/>
                <w:lang w:eastAsia="zh-CN"/>
              </w:rPr>
              <w:t>产生保洁废水</w:t>
            </w:r>
            <w:r>
              <w:rPr>
                <w:rFonts w:hint="default" w:ascii="Times New Roman" w:hAnsi="Times New Roman" w:cs="Times New Roman"/>
                <w:color w:val="auto"/>
                <w:sz w:val="24"/>
                <w:highlight w:val="none"/>
                <w:lang w:val="en-US" w:eastAsia="zh-CN"/>
              </w:rPr>
              <w:t>224.64</w:t>
            </w:r>
            <w:r>
              <w:rPr>
                <w:rFonts w:hint="default" w:ascii="Times New Roman" w:hAnsi="Times New Roman" w:cs="Times New Roman"/>
                <w:color w:val="auto"/>
                <w:sz w:val="24"/>
                <w:highlight w:val="none"/>
                <w:lang w:eastAsia="zh-CN"/>
              </w:rPr>
              <w:t>m</w:t>
            </w:r>
            <w:r>
              <w:rPr>
                <w:rFonts w:hint="default" w:ascii="Times New Roman" w:hAnsi="Times New Roman" w:cs="Times New Roman"/>
                <w:color w:val="auto"/>
                <w:sz w:val="24"/>
                <w:highlight w:val="none"/>
                <w:vertAlign w:val="superscript"/>
                <w:lang w:eastAsia="zh-CN"/>
              </w:rPr>
              <w:t>3</w:t>
            </w: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a</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0.7</w:t>
            </w:r>
            <w:r>
              <w:rPr>
                <w:rFonts w:hint="eastAsia" w:cs="Times New Roman"/>
                <w:color w:val="auto"/>
                <w:sz w:val="24"/>
                <w:highlight w:val="none"/>
                <w:lang w:val="en-US" w:eastAsia="zh-CN"/>
              </w:rPr>
              <w:t>488</w:t>
            </w:r>
            <w:r>
              <w:rPr>
                <w:rFonts w:hint="default" w:ascii="Times New Roman" w:hAnsi="Times New Roman" w:cs="Times New Roman"/>
                <w:color w:val="auto"/>
                <w:sz w:val="24"/>
                <w:highlight w:val="none"/>
                <w:lang w:eastAsia="zh-CN"/>
              </w:rPr>
              <w:t>m</w:t>
            </w:r>
            <w:r>
              <w:rPr>
                <w:rFonts w:hint="default" w:ascii="Times New Roman" w:hAnsi="Times New Roman" w:cs="Times New Roman"/>
                <w:color w:val="auto"/>
                <w:sz w:val="24"/>
                <w:highlight w:val="none"/>
                <w:vertAlign w:val="superscript"/>
                <w:lang w:eastAsia="zh-CN"/>
              </w:rPr>
              <w:t>3</w:t>
            </w:r>
            <w:r>
              <w:rPr>
                <w:rFonts w:hint="default" w:ascii="Times New Roman" w:hAnsi="Times New Roman" w:cs="Times New Roman"/>
                <w:color w:val="auto"/>
                <w:sz w:val="24"/>
                <w:highlight w:val="none"/>
                <w:lang w:eastAsia="zh-CN"/>
              </w:rPr>
              <w:t>/d）</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highlight w:val="none"/>
                <w:lang w:val="en-US" w:eastAsia="zh-CN"/>
              </w:rPr>
              <w:t>保洁从卫生间取排水，故保洁废水进入化粪池后，与生活污水一并</w:t>
            </w:r>
            <w:r>
              <w:rPr>
                <w:rFonts w:hint="default" w:ascii="Times New Roman" w:hAnsi="Times New Roman" w:eastAsia="宋体" w:cs="Times New Roman"/>
                <w:color w:val="auto"/>
                <w:sz w:val="24"/>
                <w:highlight w:val="none"/>
              </w:rPr>
              <w:t>接入淮南市高新区山南新区污水处理厂处理</w:t>
            </w:r>
            <w:r>
              <w:rPr>
                <w:rFonts w:hint="default" w:ascii="Times New Roman" w:hAnsi="Times New Roman" w:cs="Times New Roman"/>
                <w:color w:val="auto"/>
                <w:sz w:val="24"/>
                <w:highlight w:val="none"/>
                <w:lang w:val="en-US" w:eastAsia="zh-CN"/>
              </w:rPr>
              <w:t>。</w:t>
            </w:r>
          </w:p>
          <w:bookmarkEnd w:id="4"/>
          <w:bookmarkEnd w:id="5"/>
          <w:bookmarkEnd w:id="6"/>
          <w:p w14:paraId="1F49414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水平衡</w:t>
            </w:r>
            <w:r>
              <w:rPr>
                <w:rFonts w:hint="default" w:ascii="Times New Roman" w:hAnsi="Times New Roman" w:cs="Times New Roman"/>
                <w:color w:val="auto"/>
                <w:sz w:val="24"/>
                <w:highlight w:val="none"/>
                <w:lang w:eastAsia="zh-CN"/>
              </w:rPr>
              <w:t>见下图。</w:t>
            </w:r>
          </w:p>
          <w:p w14:paraId="275DFF08">
            <w:pPr>
              <w:adjustRightInd w:val="0"/>
              <w:snapToGrid w:val="0"/>
              <w:spacing w:line="240" w:lineRule="auto"/>
              <w:jc w:val="center"/>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object>
                <v:shape id="_x0000_i1025" o:spt="75" alt="" type="#_x0000_t75" style="height:136.6pt;width:361.65pt;" o:ole="t" filled="f" o:preferrelative="t" stroked="f" coordsize="21600,21600">
                  <v:path/>
                  <v:fill on="f" focussize="0,0"/>
                  <v:stroke on="f"/>
                  <v:imagedata r:id="rId16" o:title=""/>
                  <o:lock v:ext="edit" aspectratio="f"/>
                  <w10:wrap type="none"/>
                  <w10:anchorlock/>
                </v:shape>
                <o:OLEObject Type="Embed" ProgID="Visio.DrawingConvertable.15" ShapeID="_x0000_i1025" DrawAspect="Content" ObjectID="_1468075725" r:id="rId15">
                  <o:LockedField>false</o:LockedField>
                </o:OLEObject>
              </w:object>
            </w:r>
          </w:p>
          <w:p w14:paraId="2986D650">
            <w:pPr>
              <w:adjustRightInd w:val="0"/>
              <w:snapToGrid w:val="0"/>
              <w:spacing w:line="240" w:lineRule="auto"/>
              <w:jc w:val="center"/>
              <w:rPr>
                <w:rFonts w:hint="default" w:ascii="Times New Roman" w:hAnsi="Times New Roman" w:cs="Times New Roman"/>
                <w:b/>
                <w:color w:val="auto"/>
                <w:sz w:val="24"/>
                <w:highlight w:val="none"/>
                <w:lang w:val="en-US" w:eastAsia="zh-CN"/>
              </w:rPr>
            </w:pPr>
            <w:r>
              <w:rPr>
                <w:rFonts w:hint="default" w:ascii="Times New Roman" w:hAnsi="Times New Roman" w:cs="Times New Roman"/>
                <w:b/>
                <w:bCs/>
                <w:color w:val="auto"/>
                <w:sz w:val="21"/>
                <w:szCs w:val="21"/>
                <w:highlight w:val="none"/>
              </w:rPr>
              <w:t>图2-</w:t>
            </w:r>
            <w:r>
              <w:rPr>
                <w:rFonts w:hint="default" w:ascii="Times New Roman" w:hAnsi="Times New Roman" w:cs="Times New Roman"/>
                <w:b/>
                <w:bCs/>
                <w:color w:val="auto"/>
                <w:sz w:val="21"/>
                <w:szCs w:val="21"/>
                <w:highlight w:val="none"/>
                <w:lang w:val="en-US" w:eastAsia="zh-CN"/>
              </w:rPr>
              <w:t>1</w:t>
            </w:r>
            <w:r>
              <w:rPr>
                <w:rFonts w:hint="default" w:ascii="Times New Roman" w:hAnsi="Times New Roman" w:cs="Times New Roman"/>
                <w:b/>
                <w:bCs/>
                <w:color w:val="auto"/>
                <w:sz w:val="21"/>
                <w:szCs w:val="21"/>
                <w:highlight w:val="none"/>
              </w:rPr>
              <w:t xml:space="preserve"> </w:t>
            </w:r>
            <w:r>
              <w:rPr>
                <w:rFonts w:hint="eastAsia" w:ascii="Times New Roman" w:hAnsi="Times New Roman" w:cs="Times New Roman"/>
                <w:b/>
                <w:bCs/>
                <w:color w:val="auto"/>
                <w:sz w:val="21"/>
                <w:szCs w:val="21"/>
                <w:highlight w:val="none"/>
                <w:lang w:eastAsia="zh-CN"/>
              </w:rPr>
              <w:t>项目</w:t>
            </w:r>
            <w:r>
              <w:rPr>
                <w:rFonts w:hint="default" w:ascii="Times New Roman" w:hAnsi="Times New Roman" w:cs="Times New Roman"/>
                <w:b/>
                <w:bCs/>
                <w:color w:val="auto"/>
                <w:sz w:val="21"/>
                <w:szCs w:val="21"/>
                <w:highlight w:val="none"/>
              </w:rPr>
              <w:t>营运期水平衡图 单位：</w:t>
            </w:r>
            <w:r>
              <w:rPr>
                <w:rFonts w:hint="default" w:ascii="Times New Roman" w:hAnsi="Times New Roman" w:cs="Times New Roman"/>
                <w:b/>
                <w:bCs/>
                <w:color w:val="auto"/>
                <w:sz w:val="21"/>
                <w:szCs w:val="21"/>
                <w:highlight w:val="none"/>
                <w:lang w:val="en-US" w:eastAsia="zh-CN"/>
              </w:rPr>
              <w:t>t</w:t>
            </w:r>
            <w:r>
              <w:rPr>
                <w:rFonts w:hint="default" w:ascii="Times New Roman" w:hAnsi="Times New Roman" w:cs="Times New Roman"/>
                <w:b/>
                <w:bCs/>
                <w:color w:val="auto"/>
                <w:sz w:val="21"/>
                <w:szCs w:val="21"/>
                <w:highlight w:val="none"/>
              </w:rPr>
              <w:t>/</w:t>
            </w:r>
            <w:r>
              <w:rPr>
                <w:rFonts w:hint="default" w:ascii="Times New Roman" w:hAnsi="Times New Roman" w:cs="Times New Roman"/>
                <w:b/>
                <w:bCs/>
                <w:color w:val="auto"/>
                <w:sz w:val="21"/>
                <w:szCs w:val="21"/>
                <w:highlight w:val="none"/>
                <w:lang w:val="en-US" w:eastAsia="zh-CN"/>
              </w:rPr>
              <w:t>d</w:t>
            </w:r>
          </w:p>
          <w:p w14:paraId="7CF19A98">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8</w:t>
            </w:r>
            <w:r>
              <w:rPr>
                <w:rFonts w:hint="default" w:ascii="Times New Roman" w:hAnsi="Times New Roman" w:cs="Times New Roman"/>
                <w:b/>
                <w:color w:val="auto"/>
                <w:sz w:val="24"/>
                <w:highlight w:val="none"/>
              </w:rPr>
              <w:t>、劳动定员及工作制度</w:t>
            </w:r>
          </w:p>
          <w:p w14:paraId="78990B38">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劳动定员：</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职工定员</w:t>
            </w:r>
            <w:r>
              <w:rPr>
                <w:rFonts w:hint="default" w:ascii="Times New Roman" w:hAnsi="Times New Roman" w:cs="Times New Roman"/>
                <w:color w:val="auto"/>
                <w:sz w:val="24"/>
                <w:highlight w:val="none"/>
                <w:lang w:val="en-US" w:eastAsia="zh-CN"/>
              </w:rPr>
              <w:t>40</w:t>
            </w:r>
            <w:r>
              <w:rPr>
                <w:rFonts w:hint="default" w:ascii="Times New Roman" w:hAnsi="Times New Roman" w:cs="Times New Roman"/>
                <w:color w:val="auto"/>
                <w:sz w:val="24"/>
                <w:highlight w:val="none"/>
              </w:rPr>
              <w:t>人。</w:t>
            </w:r>
          </w:p>
          <w:p w14:paraId="36EC977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工作制度：</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lang w:val="en-US" w:eastAsia="zh-CN"/>
              </w:rPr>
              <w:t>实行单班制</w:t>
            </w:r>
            <w:r>
              <w:rPr>
                <w:rFonts w:hint="default" w:ascii="Times New Roman" w:hAnsi="Times New Roman" w:cs="Times New Roman"/>
                <w:color w:val="auto"/>
                <w:sz w:val="24"/>
                <w:highlight w:val="none"/>
              </w:rPr>
              <w:t>，每班工作</w:t>
            </w:r>
            <w:r>
              <w:rPr>
                <w:rFonts w:hint="default"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rPr>
              <w:t>h，年工作</w:t>
            </w:r>
            <w:r>
              <w:rPr>
                <w:rFonts w:hint="eastAsia" w:ascii="Times New Roman" w:hAnsi="Times New Roman" w:cs="Times New Roman"/>
                <w:color w:val="auto"/>
                <w:sz w:val="24"/>
                <w:highlight w:val="none"/>
                <w:lang w:val="en-US" w:eastAsia="zh-CN"/>
              </w:rPr>
              <w:t>300天</w:t>
            </w:r>
            <w:r>
              <w:rPr>
                <w:rFonts w:hint="default" w:ascii="Times New Roman" w:hAnsi="Times New Roman" w:cs="Times New Roman"/>
                <w:color w:val="auto"/>
                <w:sz w:val="24"/>
                <w:highlight w:val="none"/>
              </w:rPr>
              <w:t>。</w:t>
            </w:r>
          </w:p>
          <w:p w14:paraId="248F081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9</w:t>
            </w:r>
            <w:r>
              <w:rPr>
                <w:rFonts w:hint="default" w:ascii="Times New Roman" w:hAnsi="Times New Roman" w:cs="Times New Roman"/>
                <w:b/>
                <w:color w:val="auto"/>
                <w:sz w:val="24"/>
                <w:highlight w:val="none"/>
              </w:rPr>
              <w:t>、厂区平面布置情况</w:t>
            </w:r>
          </w:p>
          <w:p w14:paraId="5E0342E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lang w:val="en-US" w:eastAsia="zh-CN"/>
              </w:rPr>
              <w:t>产业园四周均设置</w:t>
            </w:r>
            <w:r>
              <w:rPr>
                <w:rFonts w:hint="default" w:ascii="Times New Roman" w:hAnsi="Times New Roman" w:cs="Times New Roman"/>
                <w:color w:val="auto"/>
                <w:sz w:val="24"/>
                <w:highlight w:val="none"/>
              </w:rPr>
              <w:t>出入口，</w:t>
            </w:r>
            <w:r>
              <w:rPr>
                <w:rFonts w:hint="eastAsia" w:ascii="Times New Roman" w:hAnsi="Times New Roman" w:cs="Times New Roman"/>
                <w:color w:val="auto"/>
                <w:sz w:val="24"/>
                <w:highlight w:val="none"/>
                <w:lang w:val="en-US" w:eastAsia="zh-CN"/>
              </w:rPr>
              <w:t>9号厂房</w:t>
            </w:r>
            <w:r>
              <w:rPr>
                <w:rFonts w:hint="default" w:ascii="Times New Roman" w:hAnsi="Times New Roman" w:cs="Times New Roman"/>
                <w:color w:val="auto"/>
                <w:sz w:val="24"/>
                <w:highlight w:val="none"/>
              </w:rPr>
              <w:t>内</w:t>
            </w:r>
            <w:r>
              <w:rPr>
                <w:rFonts w:hint="default" w:ascii="Times New Roman" w:hAnsi="Times New Roman" w:cs="Times New Roman"/>
                <w:color w:val="auto"/>
                <w:sz w:val="24"/>
                <w:highlight w:val="none"/>
                <w:lang w:val="en-US" w:eastAsia="zh-CN"/>
              </w:rPr>
              <w:t>主要为生产区</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val="en-US" w:eastAsia="zh-CN"/>
              </w:rPr>
              <w:t>办公区在厂房内南侧，原料区和</w:t>
            </w:r>
            <w:r>
              <w:rPr>
                <w:rFonts w:hint="eastAsia" w:ascii="Times New Roman" w:hAnsi="Times New Roman" w:cs="Times New Roman"/>
                <w:color w:val="auto"/>
                <w:sz w:val="24"/>
                <w:highlight w:val="none"/>
                <w:lang w:val="en-US" w:eastAsia="zh-CN"/>
              </w:rPr>
              <w:t>辅料暂存区</w:t>
            </w:r>
            <w:r>
              <w:rPr>
                <w:rFonts w:hint="default" w:ascii="Times New Roman" w:hAnsi="Times New Roman" w:cs="Times New Roman"/>
                <w:color w:val="auto"/>
                <w:sz w:val="24"/>
                <w:highlight w:val="none"/>
                <w:lang w:val="en-US" w:eastAsia="zh-CN"/>
              </w:rPr>
              <w:t>在厂房内南侧，成品区在厂房内北侧</w:t>
            </w:r>
            <w:r>
              <w:rPr>
                <w:rFonts w:hint="default" w:ascii="Times New Roman" w:hAnsi="Times New Roman" w:cs="Times New Roman"/>
                <w:color w:val="auto"/>
                <w:sz w:val="24"/>
                <w:highlight w:val="none"/>
              </w:rPr>
              <w:t>。</w:t>
            </w:r>
          </w:p>
          <w:p w14:paraId="24A6F548">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color w:val="auto"/>
                <w:szCs w:val="21"/>
                <w:highlight w:val="none"/>
                <w:lang w:eastAsia="zh-CN"/>
              </w:rPr>
            </w:pPr>
            <w:r>
              <w:rPr>
                <w:rFonts w:hint="default" w:ascii="Times New Roman" w:hAnsi="Times New Roman" w:cs="Times New Roman"/>
                <w:color w:val="auto"/>
                <w:sz w:val="24"/>
                <w:highlight w:val="none"/>
              </w:rPr>
              <w:t>纵观厂房的平面布置，各分区的布置规划整齐，方便原辅材料和成品的转运，厂区平面布置合理</w:t>
            </w:r>
            <w:r>
              <w:rPr>
                <w:rFonts w:hint="default" w:ascii="Times New Roman" w:hAnsi="Times New Roman" w:cs="Times New Roman"/>
                <w:color w:val="auto"/>
                <w:sz w:val="24"/>
                <w:highlight w:val="none"/>
                <w:lang w:eastAsia="zh-CN"/>
              </w:rPr>
              <w:t>。</w:t>
            </w:r>
          </w:p>
        </w:tc>
      </w:tr>
      <w:tr w14:paraId="65E77A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3" w:type="pct"/>
            <w:noWrap w:val="0"/>
            <w:vAlign w:val="center"/>
          </w:tcPr>
          <w:p w14:paraId="35B4941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工艺流程和产排污环节</w:t>
            </w:r>
          </w:p>
        </w:tc>
        <w:tc>
          <w:tcPr>
            <w:tcW w:w="4576" w:type="pct"/>
            <w:noWrap w:val="0"/>
            <w:vAlign w:val="top"/>
          </w:tcPr>
          <w:p w14:paraId="476B90EC">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val="0"/>
                <w:bCs w:val="0"/>
                <w:color w:val="auto"/>
                <w:sz w:val="24"/>
                <w:highlight w:val="none"/>
              </w:rPr>
            </w:pPr>
            <w:bookmarkStart w:id="7" w:name="OLE_LINK6"/>
            <w:bookmarkStart w:id="8" w:name="OLE_LINK5"/>
          </w:p>
          <w:p w14:paraId="78835E4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val="0"/>
                <w:bCs w:val="0"/>
                <w:color w:val="auto"/>
                <w:sz w:val="24"/>
                <w:highlight w:val="none"/>
              </w:rPr>
            </w:pPr>
          </w:p>
          <w:p w14:paraId="68F9FBE8">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val="0"/>
                <w:bCs w:val="0"/>
                <w:color w:val="auto"/>
                <w:sz w:val="24"/>
                <w:highlight w:val="none"/>
              </w:rPr>
            </w:pPr>
          </w:p>
          <w:p w14:paraId="36353072">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val="0"/>
                <w:bCs w:val="0"/>
                <w:color w:val="auto"/>
                <w:sz w:val="24"/>
                <w:highlight w:val="none"/>
              </w:rPr>
            </w:pPr>
          </w:p>
          <w:p w14:paraId="46F0B41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val="0"/>
                <w:bCs w:val="0"/>
                <w:color w:val="auto"/>
                <w:sz w:val="24"/>
                <w:highlight w:val="none"/>
              </w:rPr>
              <w:t>本项目租赁闲置厂房，该厂房已建成，目前为空置厂房；本次项目仅购置生产所需设备，施工期主要进行设备的安装，不涉及土建等工程。因此，评价不对施工期进行详细分析。</w:t>
            </w:r>
          </w:p>
          <w:p w14:paraId="705643DC">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p>
          <w:p w14:paraId="2988BFAA">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p>
          <w:p w14:paraId="64D9FE1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p>
          <w:p w14:paraId="486CD43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p>
          <w:p w14:paraId="4DC2536E">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eastAsia="宋体" w:cs="Times New Roman"/>
                <w:color w:val="auto"/>
                <w:sz w:val="24"/>
                <w:highlight w:val="none"/>
                <w:lang w:eastAsia="zh-CN"/>
              </w:rPr>
            </w:pPr>
            <w:r>
              <w:rPr>
                <w:rFonts w:hint="default" w:ascii="Times New Roman" w:hAnsi="Times New Roman" w:cs="Times New Roman"/>
                <w:b/>
                <w:bCs/>
                <w:color w:val="auto"/>
                <w:sz w:val="24"/>
                <w:highlight w:val="none"/>
              </w:rPr>
              <w:t>运营期</w:t>
            </w:r>
            <w:r>
              <w:rPr>
                <w:rFonts w:hint="default" w:ascii="Times New Roman" w:hAnsi="Times New Roman" w:cs="Times New Roman"/>
                <w:b/>
                <w:bCs/>
                <w:snapToGrid w:val="0"/>
                <w:color w:val="auto"/>
                <w:kern w:val="0"/>
                <w:sz w:val="24"/>
                <w:highlight w:val="none"/>
              </w:rPr>
              <w:t>工艺流程</w:t>
            </w:r>
            <w:r>
              <w:rPr>
                <w:rFonts w:hint="default" w:ascii="Times New Roman" w:hAnsi="Times New Roman" w:cs="Times New Roman"/>
                <w:b/>
                <w:bCs/>
                <w:snapToGrid w:val="0"/>
                <w:color w:val="auto"/>
                <w:kern w:val="0"/>
                <w:sz w:val="24"/>
                <w:highlight w:val="none"/>
                <w:lang w:eastAsia="zh-CN"/>
              </w:rPr>
              <w:t>：</w:t>
            </w:r>
          </w:p>
          <w:bookmarkEnd w:id="7"/>
          <w:bookmarkEnd w:id="8"/>
          <w:p w14:paraId="7FEC5E92">
            <w:pPr>
              <w:keepNext w:val="0"/>
              <w:keepLines w:val="0"/>
              <w:pageBreakBefore w:val="0"/>
              <w:widowControl w:val="0"/>
              <w:numPr>
                <w:ilvl w:val="0"/>
                <w:numId w:val="0"/>
              </w:numPr>
              <w:kinsoku/>
              <w:wordWrap/>
              <w:overflowPunct/>
              <w:topLinePunct/>
              <w:autoSpaceDE w:val="0"/>
              <w:autoSpaceDN/>
              <w:bidi w:val="0"/>
              <w:adjustRightInd w:val="0"/>
              <w:snapToGrid w:val="0"/>
              <w:ind w:left="0" w:leftChars="0"/>
              <w:jc w:val="left"/>
              <w:rPr>
                <w:rFonts w:hint="default" w:ascii="Times New Roman" w:hAnsi="Times New Roman" w:cs="Times New Roman"/>
                <w:color w:val="auto"/>
                <w:highlight w:val="none"/>
              </w:rPr>
            </w:pPr>
            <w:r>
              <w:rPr>
                <w:rFonts w:hint="default" w:ascii="Times New Roman" w:hAnsi="Times New Roman" w:eastAsia="宋体" w:cs="Times New Roman"/>
                <w:b/>
                <w:bCs/>
                <w:color w:val="auto"/>
                <w:kern w:val="0"/>
                <w:sz w:val="21"/>
                <w:szCs w:val="21"/>
                <w:lang w:val="en-US" w:eastAsia="zh-CN" w:bidi="ar"/>
              </w:rPr>
              <w:object>
                <v:shape id="_x0000_i1026" o:spt="75" type="#_x0000_t75" style="height:305.85pt;width:386.6pt;" o:ole="t" filled="f" o:preferrelative="t" stroked="f" coordsize="21600,21600">
                  <v:path/>
                  <v:fill on="f" focussize="0,0"/>
                  <v:stroke on="f"/>
                  <v:imagedata r:id="rId18" o:title=""/>
                  <o:lock v:ext="edit" aspectratio="f"/>
                  <w10:wrap type="none"/>
                  <w10:anchorlock/>
                </v:shape>
                <o:OLEObject Type="Embed" ProgID="Visio.DrawingConvertable.15" ShapeID="_x0000_i1026" DrawAspect="Content" ObjectID="_1468075726" r:id="rId17">
                  <o:LockedField>false</o:LockedField>
                </o:OLEObject>
              </w:object>
            </w:r>
          </w:p>
          <w:p w14:paraId="5ADF416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center"/>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
                <w:bCs/>
                <w:color w:val="auto"/>
                <w:sz w:val="24"/>
                <w:highlight w:val="none"/>
              </w:rPr>
              <w:t>图2-</w:t>
            </w:r>
            <w:r>
              <w:rPr>
                <w:rFonts w:hint="default" w:ascii="Times New Roman" w:hAnsi="Times New Roman" w:cs="Times New Roman"/>
                <w:b/>
                <w:bCs/>
                <w:color w:val="auto"/>
                <w:sz w:val="24"/>
                <w:highlight w:val="none"/>
                <w:lang w:val="en-US" w:eastAsia="zh-CN"/>
              </w:rPr>
              <w:t>1</w:t>
            </w:r>
            <w:r>
              <w:rPr>
                <w:rFonts w:hint="default" w:ascii="Times New Roman" w:hAnsi="Times New Roman" w:cs="Times New Roman"/>
                <w:b/>
                <w:bCs/>
                <w:color w:val="auto"/>
                <w:sz w:val="24"/>
                <w:highlight w:val="none"/>
              </w:rPr>
              <w:t xml:space="preserve"> </w:t>
            </w:r>
            <w:r>
              <w:rPr>
                <w:rFonts w:hint="eastAsia" w:ascii="Times New Roman" w:hAnsi="Times New Roman" w:cs="Times New Roman"/>
                <w:b/>
                <w:bCs/>
                <w:color w:val="auto"/>
                <w:sz w:val="24"/>
                <w:highlight w:val="none"/>
                <w:lang w:val="en-US" w:eastAsia="zh-CN"/>
              </w:rPr>
              <w:t>汽车刹车片</w:t>
            </w:r>
            <w:r>
              <w:rPr>
                <w:rFonts w:hint="default" w:ascii="Times New Roman" w:hAnsi="Times New Roman" w:cs="Times New Roman"/>
                <w:b/>
                <w:bCs/>
                <w:color w:val="auto"/>
                <w:sz w:val="24"/>
                <w:highlight w:val="none"/>
                <w:lang w:val="en-US" w:eastAsia="zh-CN"/>
              </w:rPr>
              <w:t>生产</w:t>
            </w:r>
            <w:r>
              <w:rPr>
                <w:rFonts w:hint="default" w:ascii="Times New Roman" w:hAnsi="Times New Roman" w:cs="Times New Roman"/>
                <w:b/>
                <w:bCs/>
                <w:color w:val="auto"/>
                <w:sz w:val="24"/>
                <w:highlight w:val="none"/>
              </w:rPr>
              <w:t>工艺流程及产污节点图</w:t>
            </w:r>
          </w:p>
          <w:p w14:paraId="27A4D026">
            <w:pPr>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left="0" w:leftChars="0" w:firstLine="482" w:firstLineChars="200"/>
              <w:jc w:val="both"/>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eastAsia="宋体" w:cs="Times New Roman"/>
                <w:b/>
                <w:bCs w:val="0"/>
                <w:color w:val="auto"/>
                <w:sz w:val="24"/>
                <w:highlight w:val="none"/>
                <w:lang w:val="en-US" w:eastAsia="zh-CN"/>
              </w:rPr>
              <w:t>工艺说明：</w:t>
            </w:r>
          </w:p>
          <w:p w14:paraId="1A4464D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w:t>
            </w:r>
            <w:r>
              <w:rPr>
                <w:rFonts w:hint="eastAsia" w:ascii="Times New Roman" w:hAnsi="Times New Roman" w:cs="Times New Roman"/>
                <w:b w:val="0"/>
                <w:bCs w:val="0"/>
                <w:color w:val="auto"/>
                <w:sz w:val="24"/>
                <w:szCs w:val="24"/>
                <w:highlight w:val="none"/>
                <w:lang w:val="en-US" w:eastAsia="zh-CN"/>
              </w:rPr>
              <w:t>）抛光</w:t>
            </w:r>
            <w:r>
              <w:rPr>
                <w:rFonts w:hint="default" w:ascii="Times New Roman" w:hAnsi="Times New Roman" w:eastAsia="宋体" w:cs="Times New Roman"/>
                <w:b w:val="0"/>
                <w:bCs w:val="0"/>
                <w:color w:val="auto"/>
                <w:sz w:val="24"/>
                <w:szCs w:val="24"/>
                <w:highlight w:val="none"/>
                <w:lang w:val="en-US" w:eastAsia="zh-CN"/>
              </w:rPr>
              <w:t>：将外购的钢背进行</w:t>
            </w:r>
            <w:r>
              <w:rPr>
                <w:rFonts w:hint="eastAsia" w:ascii="Times New Roman" w:hAnsi="Times New Roman" w:cs="Times New Roman"/>
                <w:b w:val="0"/>
                <w:bCs w:val="0"/>
                <w:color w:val="auto"/>
                <w:sz w:val="24"/>
                <w:szCs w:val="24"/>
                <w:highlight w:val="none"/>
                <w:lang w:val="en-US" w:eastAsia="zh-CN"/>
              </w:rPr>
              <w:t>抛光</w:t>
            </w:r>
            <w:r>
              <w:rPr>
                <w:rFonts w:hint="default" w:ascii="Times New Roman" w:hAnsi="Times New Roman" w:eastAsia="宋体" w:cs="Times New Roman"/>
                <w:b w:val="0"/>
                <w:bCs w:val="0"/>
                <w:color w:val="auto"/>
                <w:sz w:val="24"/>
                <w:szCs w:val="24"/>
                <w:highlight w:val="none"/>
                <w:lang w:val="en-US" w:eastAsia="zh-CN"/>
              </w:rPr>
              <w:t>，其表面经</w:t>
            </w:r>
            <w:r>
              <w:rPr>
                <w:rFonts w:hint="eastAsia" w:ascii="Times New Roman" w:hAnsi="Times New Roman" w:cs="Times New Roman"/>
                <w:b w:val="0"/>
                <w:bCs w:val="0"/>
                <w:color w:val="auto"/>
                <w:sz w:val="24"/>
                <w:szCs w:val="24"/>
                <w:highlight w:val="none"/>
                <w:lang w:val="en-US" w:eastAsia="zh-CN"/>
              </w:rPr>
              <w:t>抛砂</w:t>
            </w:r>
            <w:r>
              <w:rPr>
                <w:rFonts w:hint="default" w:ascii="Times New Roman" w:hAnsi="Times New Roman" w:eastAsia="宋体" w:cs="Times New Roman"/>
                <w:b w:val="0"/>
                <w:bCs w:val="0"/>
                <w:color w:val="auto"/>
                <w:sz w:val="24"/>
                <w:szCs w:val="24"/>
                <w:highlight w:val="none"/>
                <w:lang w:val="en-US" w:eastAsia="zh-CN"/>
              </w:rPr>
              <w:t>机处理。该过程主要产生G1</w:t>
            </w:r>
            <w:r>
              <w:rPr>
                <w:rFonts w:hint="eastAsia" w:ascii="Times New Roman" w:hAnsi="Times New Roman" w:cs="Times New Roman"/>
                <w:b w:val="0"/>
                <w:bCs w:val="0"/>
                <w:color w:val="auto"/>
                <w:sz w:val="24"/>
                <w:szCs w:val="24"/>
                <w:highlight w:val="none"/>
                <w:lang w:val="en-US" w:eastAsia="zh-CN"/>
              </w:rPr>
              <w:t>抛光废气</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cs="Times New Roman"/>
                <w:b w:val="0"/>
                <w:bCs w:val="0"/>
                <w:color w:val="auto"/>
                <w:sz w:val="24"/>
                <w:szCs w:val="24"/>
                <w:highlight w:val="none"/>
                <w:lang w:val="en-US" w:eastAsia="zh-CN"/>
              </w:rPr>
              <w:t>S1</w:t>
            </w:r>
            <w:r>
              <w:rPr>
                <w:rFonts w:hint="default" w:ascii="Times New Roman" w:hAnsi="Times New Roman" w:eastAsia="宋体" w:cs="Times New Roman"/>
                <w:b w:val="0"/>
                <w:bCs w:val="0"/>
                <w:color w:val="auto"/>
                <w:sz w:val="24"/>
                <w:szCs w:val="24"/>
                <w:highlight w:val="none"/>
                <w:lang w:val="en-US" w:eastAsia="zh-CN"/>
              </w:rPr>
              <w:t>废钢丸</w:t>
            </w:r>
            <w:r>
              <w:rPr>
                <w:rFonts w:hint="eastAsia" w:ascii="Times New Roman" w:hAnsi="Times New Roman" w:cs="Times New Roman"/>
                <w:b w:val="0"/>
                <w:bCs w:val="0"/>
                <w:color w:val="auto"/>
                <w:sz w:val="24"/>
                <w:szCs w:val="24"/>
                <w:highlight w:val="none"/>
                <w:lang w:val="en-US" w:eastAsia="zh-CN"/>
              </w:rPr>
              <w:t>；</w:t>
            </w:r>
          </w:p>
          <w:p w14:paraId="49BE63C7">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工人使用毛刷蘸取酚醛树脂胶</w:t>
            </w:r>
            <w:r>
              <w:rPr>
                <w:rFonts w:hint="eastAsia" w:ascii="Times New Roman" w:hAnsi="Times New Roman" w:cs="Times New Roman"/>
                <w:b w:val="0"/>
                <w:bCs w:val="0"/>
                <w:color w:val="auto"/>
                <w:sz w:val="24"/>
                <w:szCs w:val="24"/>
                <w:highlight w:val="none"/>
                <w:lang w:val="en-US" w:eastAsia="zh-CN"/>
              </w:rPr>
              <w:t>水</w:t>
            </w:r>
            <w:r>
              <w:rPr>
                <w:rFonts w:hint="default" w:ascii="Times New Roman" w:hAnsi="Times New Roman" w:eastAsia="宋体" w:cs="Times New Roman"/>
                <w:b w:val="0"/>
                <w:bCs w:val="0"/>
                <w:color w:val="auto"/>
                <w:sz w:val="24"/>
                <w:szCs w:val="24"/>
                <w:highlight w:val="none"/>
                <w:lang w:val="en-US" w:eastAsia="zh-CN"/>
              </w:rPr>
              <w:t>对工件表面进行涂胶处理，该过程主要产生G</w:t>
            </w:r>
            <w:r>
              <w:rPr>
                <w:rFonts w:hint="eastAsia" w:ascii="Times New Roman" w:hAnsi="Times New Roman"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涂胶废气</w:t>
            </w:r>
            <w:r>
              <w:rPr>
                <w:rFonts w:hint="eastAsia" w:ascii="Times New Roman" w:hAnsi="Times New Roman" w:cs="Times New Roman"/>
                <w:b w:val="0"/>
                <w:bCs w:val="0"/>
                <w:color w:val="auto"/>
                <w:sz w:val="24"/>
                <w:szCs w:val="24"/>
                <w:highlight w:val="none"/>
                <w:lang w:val="en-US" w:eastAsia="zh-CN"/>
              </w:rPr>
              <w:t>；</w:t>
            </w:r>
          </w:p>
          <w:p w14:paraId="087032D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3）计量混料</w:t>
            </w:r>
            <w:r>
              <w:rPr>
                <w:rFonts w:hint="default" w:ascii="Times New Roman" w:hAnsi="Times New Roman" w:eastAsia="宋体" w:cs="Times New Roman"/>
                <w:b w:val="0"/>
                <w:bCs w:val="0"/>
                <w:color w:val="auto"/>
                <w:sz w:val="24"/>
                <w:szCs w:val="24"/>
                <w:highlight w:val="none"/>
                <w:lang w:val="en-US" w:eastAsia="zh-CN"/>
              </w:rPr>
              <w:t>：将外购的摩擦材料通过混料机常温下混合均匀。该过程主要产生</w:t>
            </w:r>
            <w:r>
              <w:rPr>
                <w:rFonts w:hint="eastAsia" w:ascii="Times New Roman" w:hAnsi="Times New Roman" w:cs="Times New Roman"/>
                <w:b w:val="0"/>
                <w:bCs w:val="0"/>
                <w:color w:val="auto"/>
                <w:sz w:val="24"/>
                <w:szCs w:val="24"/>
                <w:highlight w:val="none"/>
                <w:lang w:val="en-US" w:eastAsia="zh-CN"/>
              </w:rPr>
              <w:t>G3混料</w:t>
            </w:r>
            <w:r>
              <w:rPr>
                <w:rFonts w:hint="default" w:ascii="Times New Roman" w:hAnsi="Times New Roman" w:eastAsia="宋体" w:cs="Times New Roman"/>
                <w:b w:val="0"/>
                <w:bCs w:val="0"/>
                <w:color w:val="auto"/>
                <w:sz w:val="24"/>
                <w:szCs w:val="24"/>
                <w:highlight w:val="none"/>
                <w:lang w:val="en-US" w:eastAsia="zh-CN"/>
              </w:rPr>
              <w:t>废气</w:t>
            </w:r>
            <w:r>
              <w:rPr>
                <w:rFonts w:hint="eastAsia" w:ascii="Times New Roman" w:hAnsi="Times New Roman" w:cs="Times New Roman"/>
                <w:b w:val="0"/>
                <w:bCs w:val="0"/>
                <w:color w:val="auto"/>
                <w:sz w:val="24"/>
                <w:szCs w:val="24"/>
                <w:highlight w:val="none"/>
                <w:lang w:val="en-US" w:eastAsia="zh-CN"/>
              </w:rPr>
              <w:t>；</w:t>
            </w:r>
          </w:p>
          <w:p w14:paraId="4639799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热压成型：混合好的摩擦材料通过压制机采用加热加压的形式将摩擦材料与</w:t>
            </w:r>
            <w:r>
              <w:rPr>
                <w:rFonts w:hint="eastAsia" w:ascii="Times New Roman" w:hAnsi="Times New Roman" w:cs="Times New Roman"/>
                <w:b w:val="0"/>
                <w:bCs w:val="0"/>
                <w:color w:val="auto"/>
                <w:sz w:val="24"/>
                <w:szCs w:val="24"/>
                <w:highlight w:val="none"/>
                <w:lang w:val="en-US" w:eastAsia="zh-CN"/>
              </w:rPr>
              <w:t>涂胶后的钢背</w:t>
            </w:r>
            <w:r>
              <w:rPr>
                <w:rFonts w:hint="default" w:ascii="Times New Roman" w:hAnsi="Times New Roman" w:eastAsia="宋体" w:cs="Times New Roman"/>
                <w:b w:val="0"/>
                <w:bCs w:val="0"/>
                <w:color w:val="auto"/>
                <w:sz w:val="24"/>
                <w:szCs w:val="24"/>
                <w:highlight w:val="none"/>
                <w:lang w:val="en-US" w:eastAsia="zh-CN"/>
              </w:rPr>
              <w:t>初步粘合。压制过程会加热至120℃~160℃。该过程主要产生G4热压废气</w:t>
            </w:r>
            <w:r>
              <w:rPr>
                <w:rFonts w:hint="eastAsia" w:ascii="Times New Roman" w:hAnsi="Times New Roman" w:cs="Times New Roman"/>
                <w:b w:val="0"/>
                <w:bCs w:val="0"/>
                <w:color w:val="auto"/>
                <w:sz w:val="24"/>
                <w:szCs w:val="24"/>
                <w:highlight w:val="none"/>
                <w:lang w:val="en-US" w:eastAsia="zh-CN"/>
              </w:rPr>
              <w:t>；</w:t>
            </w:r>
          </w:p>
          <w:p w14:paraId="296BF61B">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5）</w:t>
            </w:r>
            <w:r>
              <w:rPr>
                <w:rFonts w:hint="default" w:ascii="Times New Roman" w:hAnsi="Times New Roman" w:eastAsia="宋体" w:cs="Times New Roman"/>
                <w:b w:val="0"/>
                <w:bCs w:val="0"/>
                <w:color w:val="auto"/>
                <w:sz w:val="24"/>
                <w:szCs w:val="24"/>
                <w:highlight w:val="none"/>
                <w:lang w:val="en-US" w:eastAsia="zh-CN"/>
              </w:rPr>
              <w:t>烘干：经压制成型后的刹车片需进一步固化处理，（电加热）干燥箱固化过程在120~150℃温度下固化约8小时。该过程干燥箱处于全密闭状态，该过程主要产生G5烘干废气；</w:t>
            </w:r>
          </w:p>
          <w:p w14:paraId="7FF0545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6</w:t>
            </w:r>
            <w:r>
              <w:rPr>
                <w:rFonts w:hint="eastAsia" w:ascii="Times New Roman" w:hAnsi="Times New Roman" w:eastAsia="宋体" w:cs="Times New Roman"/>
                <w:b w:val="0"/>
                <w:bCs w:val="0"/>
                <w:color w:val="auto"/>
                <w:sz w:val="24"/>
                <w:szCs w:val="24"/>
                <w:highlight w:val="none"/>
                <w:lang w:val="en-US" w:eastAsia="zh-CN"/>
              </w:rPr>
              <w:t>）热处理：该工序为外协加工处理，本项目不涉及；</w:t>
            </w:r>
          </w:p>
          <w:p w14:paraId="7CDBC314">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7）</w:t>
            </w:r>
            <w:r>
              <w:rPr>
                <w:rFonts w:hint="default" w:ascii="Times New Roman" w:hAnsi="Times New Roman" w:eastAsia="宋体" w:cs="Times New Roman"/>
                <w:b w:val="0"/>
                <w:bCs w:val="0"/>
                <w:color w:val="auto"/>
                <w:sz w:val="24"/>
                <w:szCs w:val="24"/>
                <w:highlight w:val="none"/>
                <w:lang w:val="en-US" w:eastAsia="zh-CN"/>
              </w:rPr>
              <w:t>磨加工（开槽、</w:t>
            </w:r>
            <w:r>
              <w:rPr>
                <w:rFonts w:hint="eastAsia" w:ascii="Times New Roman" w:hAnsi="Times New Roman" w:cs="Times New Roman"/>
                <w:b w:val="0"/>
                <w:bCs w:val="0"/>
                <w:color w:val="auto"/>
                <w:sz w:val="24"/>
                <w:szCs w:val="24"/>
                <w:highlight w:val="none"/>
                <w:lang w:val="en-US" w:eastAsia="zh-CN"/>
              </w:rPr>
              <w:t>磨平面</w:t>
            </w:r>
            <w:r>
              <w:rPr>
                <w:rFonts w:hint="default" w:ascii="Times New Roman" w:hAnsi="Times New Roman" w:eastAsia="宋体" w:cs="Times New Roman"/>
                <w:b w:val="0"/>
                <w:bCs w:val="0"/>
                <w:color w:val="auto"/>
                <w:sz w:val="24"/>
                <w:szCs w:val="24"/>
                <w:highlight w:val="none"/>
                <w:lang w:val="en-US" w:eastAsia="zh-CN"/>
              </w:rPr>
              <w:t>等）：对已固化后半成品进行开槽等机加工处理，形成符合规格的半成品。该过程主要产生G6打磨废气、S</w:t>
            </w:r>
            <w:r>
              <w:rPr>
                <w:rFonts w:hint="eastAsia" w:ascii="Times New Roman" w:hAnsi="Times New Roman"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边角料；</w:t>
            </w:r>
          </w:p>
          <w:p w14:paraId="6727BC3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8</w:t>
            </w:r>
            <w:r>
              <w:rPr>
                <w:rFonts w:hint="eastAsia" w:ascii="Times New Roman" w:hAnsi="Times New Roman" w:eastAsia="宋体" w:cs="Times New Roman"/>
                <w:b w:val="0"/>
                <w:bCs w:val="0"/>
                <w:color w:val="auto"/>
                <w:sz w:val="24"/>
                <w:szCs w:val="24"/>
                <w:highlight w:val="none"/>
                <w:lang w:val="en-US" w:eastAsia="zh-CN"/>
              </w:rPr>
              <w:t>）</w:t>
            </w:r>
            <w:r>
              <w:rPr>
                <w:rFonts w:hint="eastAsia" w:ascii="Times New Roman" w:hAnsi="Times New Roman" w:cs="Times New Roman"/>
                <w:b w:val="0"/>
                <w:bCs w:val="0"/>
                <w:color w:val="auto"/>
                <w:sz w:val="24"/>
                <w:szCs w:val="24"/>
                <w:highlight w:val="none"/>
                <w:lang w:val="en-US" w:eastAsia="zh-CN"/>
              </w:rPr>
              <w:t>烧蚀</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该工序为外协加工处理，本项目不涉及；</w:t>
            </w:r>
          </w:p>
          <w:p w14:paraId="0ED8C59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9）</w:t>
            </w:r>
            <w:r>
              <w:rPr>
                <w:rFonts w:hint="default" w:ascii="Times New Roman" w:hAnsi="Times New Roman" w:eastAsia="宋体" w:cs="Times New Roman"/>
                <w:b w:val="0"/>
                <w:bCs w:val="0"/>
                <w:color w:val="auto"/>
                <w:sz w:val="24"/>
                <w:szCs w:val="24"/>
                <w:highlight w:val="none"/>
                <w:lang w:val="en-US" w:eastAsia="zh-CN"/>
              </w:rPr>
              <w:t>喷塑：项目采用自动静电喷塑工艺。使用悬挂式流水线输送工件。整个过程包括塑粉附着和塑粉烘干两道工序。产品粗品通过输送带</w:t>
            </w:r>
            <w:r>
              <w:rPr>
                <w:rFonts w:hint="eastAsia" w:ascii="Times New Roman" w:hAnsi="Times New Roman" w:cs="Times New Roman"/>
                <w:b w:val="0"/>
                <w:bCs w:val="0"/>
                <w:color w:val="auto"/>
                <w:sz w:val="24"/>
                <w:szCs w:val="24"/>
                <w:highlight w:val="none"/>
                <w:lang w:val="en-US" w:eastAsia="zh-CN"/>
              </w:rPr>
              <w:t>进入</w:t>
            </w:r>
            <w:r>
              <w:rPr>
                <w:rFonts w:hint="default" w:ascii="Times New Roman" w:hAnsi="Times New Roman" w:eastAsia="宋体" w:cs="Times New Roman"/>
                <w:b w:val="0"/>
                <w:bCs w:val="0"/>
                <w:color w:val="auto"/>
                <w:sz w:val="24"/>
                <w:szCs w:val="24"/>
                <w:highlight w:val="none"/>
                <w:lang w:val="en-US" w:eastAsia="zh-CN"/>
              </w:rPr>
              <w:t>密闭的全自动喷塑加热一体流水线，流水线设有喷枪、供粉装置、粉末回收装置等。塑粉通过喷枪在静电力和压缩空气的作用下均匀</w:t>
            </w:r>
            <w:r>
              <w:rPr>
                <w:rFonts w:hint="eastAsia" w:ascii="Times New Roman" w:hAnsi="Times New Roman" w:cs="Times New Roman"/>
                <w:b w:val="0"/>
                <w:bCs w:val="0"/>
                <w:color w:val="auto"/>
                <w:sz w:val="24"/>
                <w:szCs w:val="24"/>
                <w:highlight w:val="none"/>
                <w:lang w:val="en-US" w:eastAsia="zh-CN"/>
              </w:rPr>
              <w:t>地</w:t>
            </w:r>
            <w:r>
              <w:rPr>
                <w:rFonts w:hint="default" w:ascii="Times New Roman" w:hAnsi="Times New Roman" w:eastAsia="宋体" w:cs="Times New Roman"/>
                <w:b w:val="0"/>
                <w:bCs w:val="0"/>
                <w:color w:val="auto"/>
                <w:sz w:val="24"/>
                <w:szCs w:val="24"/>
                <w:highlight w:val="none"/>
                <w:lang w:val="en-US" w:eastAsia="zh-CN"/>
              </w:rPr>
              <w:t>吸附在工件上，喷粉时间4h/d，该过程主要产生G7喷塑废气</w:t>
            </w:r>
            <w:r>
              <w:rPr>
                <w:rFonts w:hint="eastAsia" w:ascii="Times New Roman" w:hAnsi="Times New Roman" w:cs="Times New Roman"/>
                <w:b w:val="0"/>
                <w:bCs w:val="0"/>
                <w:color w:val="auto"/>
                <w:sz w:val="24"/>
                <w:szCs w:val="24"/>
                <w:highlight w:val="none"/>
                <w:lang w:val="en-US" w:eastAsia="zh-CN"/>
              </w:rPr>
              <w:t>、S3废塑粉</w:t>
            </w:r>
            <w:r>
              <w:rPr>
                <w:rFonts w:hint="default" w:ascii="Times New Roman" w:hAnsi="Times New Roman" w:eastAsia="宋体" w:cs="Times New Roman"/>
                <w:b w:val="0"/>
                <w:bCs w:val="0"/>
                <w:color w:val="auto"/>
                <w:sz w:val="24"/>
                <w:szCs w:val="24"/>
                <w:highlight w:val="none"/>
                <w:lang w:val="en-US" w:eastAsia="zh-CN"/>
              </w:rPr>
              <w:t>。</w:t>
            </w:r>
          </w:p>
          <w:p w14:paraId="43C61E0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10）</w:t>
            </w:r>
            <w:r>
              <w:rPr>
                <w:rFonts w:hint="default" w:ascii="Times New Roman" w:hAnsi="Times New Roman" w:eastAsia="宋体" w:cs="Times New Roman"/>
                <w:b w:val="0"/>
                <w:bCs w:val="0"/>
                <w:color w:val="auto"/>
                <w:sz w:val="24"/>
                <w:szCs w:val="24"/>
                <w:highlight w:val="none"/>
                <w:lang w:val="en-US" w:eastAsia="zh-CN"/>
              </w:rPr>
              <w:t>固化：喷有塑粉的工件用输送带送入烘道。烘道采用电加热在180℃温度下烘烤使粉末熔融固化成均匀、连续、平整、光滑的涂膜。固化时间4h/d，该过程主要产生G</w:t>
            </w:r>
            <w:r>
              <w:rPr>
                <w:rFonts w:hint="eastAsia" w:ascii="Times New Roman" w:hAnsi="Times New Roman"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固化废气。</w:t>
            </w:r>
          </w:p>
          <w:p w14:paraId="736B5D3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12</w:t>
            </w:r>
            <w:r>
              <w:rPr>
                <w:rFonts w:hint="eastAsia" w:ascii="Times New Roman" w:hAnsi="Times New Roman" w:cs="Times New Roman"/>
                <w:b w:val="0"/>
                <w:bCs w:val="0"/>
                <w:color w:val="auto"/>
                <w:sz w:val="24"/>
                <w:szCs w:val="24"/>
                <w:highlight w:val="none"/>
                <w:lang w:val="en-US" w:eastAsia="zh-CN"/>
              </w:rPr>
              <w:t>）装配</w:t>
            </w:r>
            <w:r>
              <w:rPr>
                <w:rFonts w:hint="default" w:ascii="Times New Roman" w:hAnsi="Times New Roman" w:eastAsia="宋体" w:cs="Times New Roman"/>
                <w:b w:val="0"/>
                <w:bCs w:val="0"/>
                <w:color w:val="auto"/>
                <w:sz w:val="24"/>
                <w:szCs w:val="24"/>
                <w:highlight w:val="none"/>
                <w:lang w:val="en-US" w:eastAsia="zh-CN"/>
              </w:rPr>
              <w:t>检验：将制作完成的刹车片</w:t>
            </w:r>
            <w:r>
              <w:rPr>
                <w:rFonts w:hint="eastAsia" w:ascii="Times New Roman" w:hAnsi="Times New Roman" w:cs="Times New Roman"/>
                <w:b w:val="0"/>
                <w:bCs w:val="0"/>
                <w:color w:val="auto"/>
                <w:sz w:val="24"/>
                <w:szCs w:val="24"/>
                <w:highlight w:val="none"/>
                <w:lang w:val="en-US" w:eastAsia="zh-CN"/>
              </w:rPr>
              <w:t>装配并进行</w:t>
            </w:r>
            <w:r>
              <w:rPr>
                <w:rFonts w:hint="default" w:ascii="Times New Roman" w:hAnsi="Times New Roman" w:eastAsia="宋体" w:cs="Times New Roman"/>
                <w:b w:val="0"/>
                <w:bCs w:val="0"/>
                <w:color w:val="auto"/>
                <w:sz w:val="24"/>
                <w:szCs w:val="24"/>
                <w:highlight w:val="none"/>
                <w:lang w:val="en-US" w:eastAsia="zh-CN"/>
              </w:rPr>
              <w:t>质量检验，该过程主要产生</w:t>
            </w:r>
            <w:r>
              <w:rPr>
                <w:rFonts w:hint="eastAsia" w:ascii="Times New Roman" w:hAnsi="Times New Roman" w:cs="Times New Roman"/>
                <w:b w:val="0"/>
                <w:bCs w:val="0"/>
                <w:color w:val="auto"/>
                <w:sz w:val="24"/>
                <w:szCs w:val="24"/>
                <w:highlight w:val="none"/>
                <w:lang w:val="en-US" w:eastAsia="zh-CN"/>
              </w:rPr>
              <w:t>S4不合格品</w:t>
            </w:r>
            <w:r>
              <w:rPr>
                <w:rFonts w:hint="default" w:ascii="Times New Roman" w:hAnsi="Times New Roman" w:eastAsia="宋体" w:cs="Times New Roman"/>
                <w:b w:val="0"/>
                <w:bCs w:val="0"/>
                <w:color w:val="auto"/>
                <w:sz w:val="24"/>
                <w:szCs w:val="24"/>
                <w:highlight w:val="none"/>
                <w:lang w:val="en-US" w:eastAsia="zh-CN"/>
              </w:rPr>
              <w:t>。</w:t>
            </w:r>
          </w:p>
          <w:p w14:paraId="1C621E2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13</w:t>
            </w:r>
            <w:r>
              <w:rPr>
                <w:rFonts w:hint="eastAsia" w:ascii="Times New Roman" w:hAnsi="Times New Roman" w:cs="Times New Roman"/>
                <w:b w:val="0"/>
                <w:bCs w:val="0"/>
                <w:color w:val="auto"/>
                <w:sz w:val="24"/>
                <w:szCs w:val="24"/>
                <w:highlight w:val="none"/>
                <w:lang w:val="en-US" w:eastAsia="zh-CN"/>
              </w:rPr>
              <w:t>）贴标</w:t>
            </w:r>
            <w:r>
              <w:rPr>
                <w:rFonts w:hint="default" w:ascii="Times New Roman" w:hAnsi="Times New Roman" w:eastAsia="宋体" w:cs="Times New Roman"/>
                <w:b w:val="0"/>
                <w:bCs w:val="0"/>
                <w:color w:val="auto"/>
                <w:sz w:val="24"/>
                <w:szCs w:val="24"/>
                <w:highlight w:val="none"/>
                <w:lang w:val="en-US" w:eastAsia="zh-CN"/>
              </w:rPr>
              <w:t>包装入库：将合格的刹车片进行</w:t>
            </w:r>
            <w:r>
              <w:rPr>
                <w:rFonts w:hint="eastAsia" w:ascii="Times New Roman" w:hAnsi="Times New Roman" w:cs="Times New Roman"/>
                <w:b w:val="0"/>
                <w:bCs w:val="0"/>
                <w:color w:val="auto"/>
                <w:sz w:val="24"/>
                <w:szCs w:val="24"/>
                <w:highlight w:val="none"/>
                <w:lang w:val="en-US" w:eastAsia="zh-CN"/>
              </w:rPr>
              <w:t>贴标</w:t>
            </w:r>
            <w:r>
              <w:rPr>
                <w:rFonts w:hint="default" w:ascii="Times New Roman" w:hAnsi="Times New Roman" w:eastAsia="宋体" w:cs="Times New Roman"/>
                <w:b w:val="0"/>
                <w:bCs w:val="0"/>
                <w:color w:val="auto"/>
                <w:sz w:val="24"/>
                <w:szCs w:val="24"/>
                <w:highlight w:val="none"/>
                <w:lang w:val="en-US" w:eastAsia="zh-CN"/>
              </w:rPr>
              <w:t>包装运送至成品库储存待售。</w:t>
            </w:r>
          </w:p>
          <w:p w14:paraId="77C0AAD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根据工程分析，本项目主要产排污环节见下表。</w:t>
            </w:r>
          </w:p>
          <w:p w14:paraId="1E4E1B62">
            <w:pPr>
              <w:keepNext w:val="0"/>
              <w:keepLines w:val="0"/>
              <w:widowControl/>
              <w:suppressLineNumbers w:val="0"/>
              <w:jc w:val="center"/>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表2-</w:t>
            </w:r>
            <w:r>
              <w:rPr>
                <w:rFonts w:hint="eastAsia" w:cs="Times New Roman"/>
                <w:b/>
                <w:bCs/>
                <w:color w:val="auto"/>
                <w:kern w:val="0"/>
                <w:sz w:val="24"/>
                <w:szCs w:val="24"/>
                <w:highlight w:val="none"/>
                <w:lang w:val="en-US" w:eastAsia="zh-CN" w:bidi="ar"/>
              </w:rPr>
              <w:t>10</w:t>
            </w:r>
            <w:r>
              <w:rPr>
                <w:rFonts w:hint="default" w:ascii="Times New Roman" w:hAnsi="Times New Roman" w:cs="Times New Roman"/>
                <w:b/>
                <w:bCs/>
                <w:color w:val="auto"/>
                <w:kern w:val="0"/>
                <w:sz w:val="24"/>
                <w:szCs w:val="24"/>
                <w:highlight w:val="none"/>
                <w:lang w:val="en-US" w:eastAsia="zh-CN" w:bidi="ar"/>
              </w:rPr>
              <w:t xml:space="preserve"> </w:t>
            </w:r>
            <w:r>
              <w:rPr>
                <w:rFonts w:hint="default" w:ascii="Times New Roman" w:hAnsi="Times New Roman" w:eastAsia="宋体" w:cs="Times New Roman"/>
                <w:b/>
                <w:bCs/>
                <w:color w:val="auto"/>
                <w:kern w:val="0"/>
                <w:sz w:val="24"/>
                <w:szCs w:val="24"/>
                <w:highlight w:val="none"/>
                <w:lang w:val="en-US" w:eastAsia="zh-CN" w:bidi="ar"/>
              </w:rPr>
              <w:t>项目主要产排污环节汇总表</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1"/>
              <w:gridCol w:w="663"/>
              <w:gridCol w:w="1400"/>
              <w:gridCol w:w="2539"/>
              <w:gridCol w:w="2553"/>
            </w:tblGrid>
            <w:tr w14:paraId="4B4DED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15" w:type="pct"/>
                  <w:gridSpan w:val="2"/>
                  <w:tcBorders>
                    <w:tl2br w:val="nil"/>
                    <w:tr2bl w:val="nil"/>
                  </w:tcBorders>
                  <w:noWrap w:val="0"/>
                  <w:vAlign w:val="center"/>
                </w:tcPr>
                <w:p w14:paraId="197A46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污染源</w:t>
                  </w:r>
                </w:p>
              </w:tc>
              <w:tc>
                <w:tcPr>
                  <w:tcW w:w="923" w:type="pct"/>
                  <w:tcBorders>
                    <w:tl2br w:val="nil"/>
                    <w:tr2bl w:val="nil"/>
                  </w:tcBorders>
                  <w:noWrap w:val="0"/>
                  <w:vAlign w:val="center"/>
                </w:tcPr>
                <w:p w14:paraId="5B203B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产排污环节</w:t>
                  </w:r>
                </w:p>
              </w:tc>
              <w:tc>
                <w:tcPr>
                  <w:tcW w:w="1675" w:type="pct"/>
                  <w:tcBorders>
                    <w:tl2br w:val="nil"/>
                    <w:tr2bl w:val="nil"/>
                  </w:tcBorders>
                  <w:noWrap w:val="0"/>
                  <w:vAlign w:val="center"/>
                </w:tcPr>
                <w:p w14:paraId="7D5A43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主要污染物</w:t>
                  </w:r>
                </w:p>
              </w:tc>
              <w:tc>
                <w:tcPr>
                  <w:tcW w:w="1684" w:type="pct"/>
                  <w:tcBorders>
                    <w:tl2br w:val="nil"/>
                    <w:tr2bl w:val="nil"/>
                  </w:tcBorders>
                  <w:noWrap w:val="0"/>
                  <w:vAlign w:val="center"/>
                </w:tcPr>
                <w:p w14:paraId="363971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收集处理设施</w:t>
                  </w:r>
                </w:p>
              </w:tc>
            </w:tr>
            <w:tr w14:paraId="184F3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77" w:type="pct"/>
                  <w:vMerge w:val="restart"/>
                  <w:tcBorders>
                    <w:tl2br w:val="nil"/>
                    <w:tr2bl w:val="nil"/>
                  </w:tcBorders>
                  <w:noWrap w:val="0"/>
                  <w:vAlign w:val="center"/>
                </w:tcPr>
                <w:p w14:paraId="44E107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废气</w:t>
                  </w:r>
                </w:p>
              </w:tc>
              <w:tc>
                <w:tcPr>
                  <w:tcW w:w="437" w:type="pct"/>
                  <w:tcBorders>
                    <w:tl2br w:val="nil"/>
                    <w:tr2bl w:val="nil"/>
                  </w:tcBorders>
                  <w:noWrap w:val="0"/>
                  <w:vAlign w:val="center"/>
                </w:tcPr>
                <w:p w14:paraId="162B0F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G1</w:t>
                  </w:r>
                </w:p>
              </w:tc>
              <w:tc>
                <w:tcPr>
                  <w:tcW w:w="923" w:type="pct"/>
                  <w:tcBorders>
                    <w:tl2br w:val="nil"/>
                    <w:tr2bl w:val="nil"/>
                  </w:tcBorders>
                  <w:noWrap w:val="0"/>
                  <w:vAlign w:val="center"/>
                </w:tcPr>
                <w:p w14:paraId="22B70C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抛光</w:t>
                  </w:r>
                </w:p>
              </w:tc>
              <w:tc>
                <w:tcPr>
                  <w:tcW w:w="1675" w:type="pct"/>
                  <w:tcBorders>
                    <w:tl2br w:val="nil"/>
                    <w:tr2bl w:val="nil"/>
                  </w:tcBorders>
                  <w:noWrap w:val="0"/>
                  <w:vAlign w:val="center"/>
                </w:tcPr>
                <w:p w14:paraId="6F697F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颗粒物</w:t>
                  </w:r>
                </w:p>
              </w:tc>
              <w:tc>
                <w:tcPr>
                  <w:tcW w:w="1684" w:type="pct"/>
                  <w:vMerge w:val="restart"/>
                  <w:tcBorders>
                    <w:tl2br w:val="nil"/>
                    <w:tr2bl w:val="nil"/>
                  </w:tcBorders>
                  <w:noWrap w:val="0"/>
                  <w:vAlign w:val="center"/>
                </w:tcPr>
                <w:p w14:paraId="45A0F3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bCs/>
                      <w:color w:val="auto"/>
                      <w:sz w:val="21"/>
                      <w:szCs w:val="21"/>
                      <w:highlight w:val="none"/>
                      <w:lang w:val="en-US" w:eastAsia="zh-CN"/>
                    </w:rPr>
                    <w:t>集气罩收集后通过布袋除尘器</w:t>
                  </w:r>
                  <w:r>
                    <w:rPr>
                      <w:rFonts w:hint="default" w:ascii="Times New Roman" w:hAnsi="Times New Roman" w:cs="Times New Roman"/>
                      <w:b w:val="0"/>
                      <w:bCs w:val="0"/>
                      <w:color w:val="auto"/>
                      <w:sz w:val="21"/>
                      <w:szCs w:val="21"/>
                      <w:highlight w:val="none"/>
                      <w:vertAlign w:val="baseline"/>
                      <w:lang w:val="en-US" w:eastAsia="zh-CN"/>
                    </w:rPr>
                    <w:t>处理后通过1根20米高排气筒</w:t>
                  </w:r>
                  <w:r>
                    <w:rPr>
                      <w:rFonts w:hint="eastAsia" w:ascii="Times New Roman" w:hAnsi="Times New Roman" w:cs="Times New Roman"/>
                      <w:b w:val="0"/>
                      <w:bCs w:val="0"/>
                      <w:color w:val="auto"/>
                      <w:sz w:val="21"/>
                      <w:szCs w:val="21"/>
                      <w:highlight w:val="none"/>
                      <w:vertAlign w:val="baseline"/>
                      <w:lang w:val="en-US" w:eastAsia="zh-CN"/>
                    </w:rPr>
                    <w:t>（DA001）</w:t>
                  </w:r>
                  <w:r>
                    <w:rPr>
                      <w:rFonts w:hint="default" w:ascii="Times New Roman" w:hAnsi="Times New Roman" w:cs="Times New Roman"/>
                      <w:b w:val="0"/>
                      <w:bCs w:val="0"/>
                      <w:color w:val="auto"/>
                      <w:sz w:val="21"/>
                      <w:szCs w:val="21"/>
                      <w:highlight w:val="none"/>
                      <w:vertAlign w:val="baseline"/>
                      <w:lang w:val="en-US" w:eastAsia="zh-CN"/>
                    </w:rPr>
                    <w:t>排放</w:t>
                  </w:r>
                </w:p>
              </w:tc>
            </w:tr>
            <w:tr w14:paraId="007421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77" w:type="pct"/>
                  <w:vMerge w:val="continue"/>
                  <w:tcBorders>
                    <w:tl2br w:val="nil"/>
                    <w:tr2bl w:val="nil"/>
                  </w:tcBorders>
                  <w:noWrap w:val="0"/>
                  <w:vAlign w:val="center"/>
                </w:tcPr>
                <w:p w14:paraId="491275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7CDAB4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G3</w:t>
                  </w:r>
                </w:p>
              </w:tc>
              <w:tc>
                <w:tcPr>
                  <w:tcW w:w="923" w:type="pct"/>
                  <w:tcBorders>
                    <w:tl2br w:val="nil"/>
                    <w:tr2bl w:val="nil"/>
                  </w:tcBorders>
                  <w:noWrap w:val="0"/>
                  <w:vAlign w:val="center"/>
                </w:tcPr>
                <w:p w14:paraId="7A0CA4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混料</w:t>
                  </w:r>
                </w:p>
              </w:tc>
              <w:tc>
                <w:tcPr>
                  <w:tcW w:w="1675" w:type="pct"/>
                  <w:tcBorders>
                    <w:tl2br w:val="nil"/>
                    <w:tr2bl w:val="nil"/>
                  </w:tcBorders>
                  <w:noWrap w:val="0"/>
                  <w:vAlign w:val="center"/>
                </w:tcPr>
                <w:p w14:paraId="1592F6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颗粒物</w:t>
                  </w:r>
                </w:p>
              </w:tc>
              <w:tc>
                <w:tcPr>
                  <w:tcW w:w="1684" w:type="pct"/>
                  <w:vMerge w:val="continue"/>
                  <w:tcBorders>
                    <w:tl2br w:val="nil"/>
                    <w:tr2bl w:val="nil"/>
                  </w:tcBorders>
                  <w:noWrap w:val="0"/>
                  <w:vAlign w:val="center"/>
                </w:tcPr>
                <w:p w14:paraId="03B184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lang w:val="en-US" w:eastAsia="zh-CN"/>
                    </w:rPr>
                  </w:pPr>
                </w:p>
              </w:tc>
            </w:tr>
            <w:tr w14:paraId="7AE47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77" w:type="pct"/>
                  <w:vMerge w:val="continue"/>
                  <w:tcBorders>
                    <w:tl2br w:val="nil"/>
                    <w:tr2bl w:val="nil"/>
                  </w:tcBorders>
                  <w:noWrap w:val="0"/>
                  <w:vAlign w:val="center"/>
                </w:tcPr>
                <w:p w14:paraId="51E41B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1B62BF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G6</w:t>
                  </w:r>
                </w:p>
              </w:tc>
              <w:tc>
                <w:tcPr>
                  <w:tcW w:w="923" w:type="pct"/>
                  <w:tcBorders>
                    <w:tl2br w:val="nil"/>
                    <w:tr2bl w:val="nil"/>
                  </w:tcBorders>
                  <w:noWrap w:val="0"/>
                  <w:vAlign w:val="center"/>
                </w:tcPr>
                <w:p w14:paraId="152F66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打磨</w:t>
                  </w:r>
                </w:p>
              </w:tc>
              <w:tc>
                <w:tcPr>
                  <w:tcW w:w="1675" w:type="pct"/>
                  <w:tcBorders>
                    <w:tl2br w:val="nil"/>
                    <w:tr2bl w:val="nil"/>
                  </w:tcBorders>
                  <w:noWrap w:val="0"/>
                  <w:vAlign w:val="center"/>
                </w:tcPr>
                <w:p w14:paraId="4C6B4A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颗粒物</w:t>
                  </w:r>
                </w:p>
              </w:tc>
              <w:tc>
                <w:tcPr>
                  <w:tcW w:w="1684" w:type="pct"/>
                  <w:vMerge w:val="continue"/>
                  <w:tcBorders>
                    <w:tl2br w:val="nil"/>
                    <w:tr2bl w:val="nil"/>
                  </w:tcBorders>
                  <w:noWrap w:val="0"/>
                  <w:vAlign w:val="center"/>
                </w:tcPr>
                <w:p w14:paraId="08B732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lang w:val="en-US" w:eastAsia="zh-CN"/>
                    </w:rPr>
                  </w:pPr>
                </w:p>
              </w:tc>
            </w:tr>
            <w:tr w14:paraId="1350C1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77" w:type="pct"/>
                  <w:vMerge w:val="continue"/>
                  <w:tcBorders>
                    <w:tl2br w:val="nil"/>
                    <w:tr2bl w:val="nil"/>
                  </w:tcBorders>
                  <w:noWrap w:val="0"/>
                  <w:vAlign w:val="center"/>
                </w:tcPr>
                <w:p w14:paraId="6B58EA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75DDE0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G2</w:t>
                  </w:r>
                </w:p>
              </w:tc>
              <w:tc>
                <w:tcPr>
                  <w:tcW w:w="923" w:type="pct"/>
                  <w:tcBorders>
                    <w:tl2br w:val="nil"/>
                    <w:tr2bl w:val="nil"/>
                  </w:tcBorders>
                  <w:noWrap w:val="0"/>
                  <w:vAlign w:val="center"/>
                </w:tcPr>
                <w:p w14:paraId="096393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涂胶</w:t>
                  </w:r>
                </w:p>
              </w:tc>
              <w:tc>
                <w:tcPr>
                  <w:tcW w:w="1675" w:type="pct"/>
                  <w:tcBorders>
                    <w:tl2br w:val="nil"/>
                    <w:tr2bl w:val="nil"/>
                  </w:tcBorders>
                  <w:noWrap w:val="0"/>
                  <w:vAlign w:val="center"/>
                </w:tcPr>
                <w:p w14:paraId="647078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非甲烷总烃</w:t>
                  </w:r>
                </w:p>
              </w:tc>
              <w:tc>
                <w:tcPr>
                  <w:tcW w:w="1684" w:type="pct"/>
                  <w:vMerge w:val="restart"/>
                  <w:tcBorders>
                    <w:tl2br w:val="nil"/>
                    <w:tr2bl w:val="nil"/>
                  </w:tcBorders>
                  <w:noWrap w:val="0"/>
                  <w:vAlign w:val="center"/>
                </w:tcPr>
                <w:p w14:paraId="133937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集气罩收集后通过风冷+二级活性炭</w:t>
                  </w:r>
                  <w:r>
                    <w:rPr>
                      <w:rFonts w:hint="default" w:ascii="Times New Roman" w:hAnsi="Times New Roman" w:cs="Times New Roman"/>
                      <w:b w:val="0"/>
                      <w:bCs w:val="0"/>
                      <w:color w:val="auto"/>
                      <w:sz w:val="21"/>
                      <w:szCs w:val="21"/>
                      <w:highlight w:val="none"/>
                      <w:vertAlign w:val="baseline"/>
                      <w:lang w:val="en-US" w:eastAsia="zh-CN"/>
                    </w:rPr>
                    <w:t>处理后通过1根20米高排气筒</w:t>
                  </w:r>
                  <w:r>
                    <w:rPr>
                      <w:rFonts w:hint="eastAsia" w:ascii="Times New Roman" w:hAnsi="Times New Roman" w:cs="Times New Roman"/>
                      <w:b w:val="0"/>
                      <w:bCs w:val="0"/>
                      <w:color w:val="auto"/>
                      <w:sz w:val="21"/>
                      <w:szCs w:val="21"/>
                      <w:highlight w:val="none"/>
                      <w:vertAlign w:val="baseline"/>
                      <w:lang w:val="en-US" w:eastAsia="zh-CN"/>
                    </w:rPr>
                    <w:t>（DA002）</w:t>
                  </w:r>
                  <w:r>
                    <w:rPr>
                      <w:rFonts w:hint="default" w:ascii="Times New Roman" w:hAnsi="Times New Roman" w:cs="Times New Roman"/>
                      <w:b w:val="0"/>
                      <w:bCs w:val="0"/>
                      <w:color w:val="auto"/>
                      <w:sz w:val="21"/>
                      <w:szCs w:val="21"/>
                      <w:highlight w:val="none"/>
                      <w:vertAlign w:val="baseline"/>
                      <w:lang w:val="en-US" w:eastAsia="zh-CN"/>
                    </w:rPr>
                    <w:t>排放</w:t>
                  </w:r>
                </w:p>
              </w:tc>
            </w:tr>
            <w:tr w14:paraId="695E08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77" w:type="pct"/>
                  <w:vMerge w:val="continue"/>
                  <w:tcBorders>
                    <w:tl2br w:val="nil"/>
                    <w:tr2bl w:val="nil"/>
                  </w:tcBorders>
                  <w:noWrap w:val="0"/>
                  <w:vAlign w:val="center"/>
                </w:tcPr>
                <w:p w14:paraId="198777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66A47E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G4</w:t>
                  </w:r>
                </w:p>
              </w:tc>
              <w:tc>
                <w:tcPr>
                  <w:tcW w:w="923" w:type="pct"/>
                  <w:tcBorders>
                    <w:tl2br w:val="nil"/>
                    <w:tr2bl w:val="nil"/>
                  </w:tcBorders>
                  <w:noWrap w:val="0"/>
                  <w:vAlign w:val="center"/>
                </w:tcPr>
                <w:p w14:paraId="074F86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热压</w:t>
                  </w:r>
                </w:p>
              </w:tc>
              <w:tc>
                <w:tcPr>
                  <w:tcW w:w="1675" w:type="pct"/>
                  <w:tcBorders>
                    <w:tl2br w:val="nil"/>
                    <w:tr2bl w:val="nil"/>
                  </w:tcBorders>
                  <w:noWrap w:val="0"/>
                  <w:vAlign w:val="center"/>
                </w:tcPr>
                <w:p w14:paraId="41F1E4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非甲烷总烃、甲醛</w:t>
                  </w:r>
                  <w:r>
                    <w:rPr>
                      <w:rFonts w:hint="eastAsia" w:cs="Times New Roman"/>
                      <w:b w:val="0"/>
                      <w:bCs w:val="0"/>
                      <w:color w:val="auto"/>
                      <w:sz w:val="21"/>
                      <w:szCs w:val="21"/>
                      <w:highlight w:val="none"/>
                      <w:vertAlign w:val="baseline"/>
                      <w:lang w:val="en-US" w:eastAsia="zh-CN"/>
                    </w:rPr>
                    <w:t>、苯酚</w:t>
                  </w:r>
                </w:p>
              </w:tc>
              <w:tc>
                <w:tcPr>
                  <w:tcW w:w="1684" w:type="pct"/>
                  <w:vMerge w:val="continue"/>
                  <w:tcBorders>
                    <w:tl2br w:val="nil"/>
                    <w:tr2bl w:val="nil"/>
                  </w:tcBorders>
                  <w:noWrap w:val="0"/>
                  <w:vAlign w:val="center"/>
                </w:tcPr>
                <w:p w14:paraId="39216B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lang w:val="en-US" w:eastAsia="zh-CN"/>
                    </w:rPr>
                  </w:pPr>
                </w:p>
              </w:tc>
            </w:tr>
            <w:tr w14:paraId="214188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77" w:type="pct"/>
                  <w:vMerge w:val="continue"/>
                  <w:tcBorders>
                    <w:tl2br w:val="nil"/>
                    <w:tr2bl w:val="nil"/>
                  </w:tcBorders>
                  <w:noWrap w:val="0"/>
                  <w:vAlign w:val="center"/>
                </w:tcPr>
                <w:p w14:paraId="6FFF1E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44DB3C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G5</w:t>
                  </w:r>
                </w:p>
              </w:tc>
              <w:tc>
                <w:tcPr>
                  <w:tcW w:w="923" w:type="pct"/>
                  <w:tcBorders>
                    <w:tl2br w:val="nil"/>
                    <w:tr2bl w:val="nil"/>
                  </w:tcBorders>
                  <w:noWrap w:val="0"/>
                  <w:vAlign w:val="center"/>
                </w:tcPr>
                <w:p w14:paraId="47D421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烘干</w:t>
                  </w:r>
                </w:p>
              </w:tc>
              <w:tc>
                <w:tcPr>
                  <w:tcW w:w="1675" w:type="pct"/>
                  <w:tcBorders>
                    <w:tl2br w:val="nil"/>
                    <w:tr2bl w:val="nil"/>
                  </w:tcBorders>
                  <w:noWrap w:val="0"/>
                  <w:vAlign w:val="center"/>
                </w:tcPr>
                <w:p w14:paraId="658481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非甲烷总烃</w:t>
                  </w:r>
                </w:p>
              </w:tc>
              <w:tc>
                <w:tcPr>
                  <w:tcW w:w="1684" w:type="pct"/>
                  <w:vMerge w:val="continue"/>
                  <w:tcBorders>
                    <w:tl2br w:val="nil"/>
                    <w:tr2bl w:val="nil"/>
                  </w:tcBorders>
                  <w:noWrap w:val="0"/>
                  <w:vAlign w:val="center"/>
                </w:tcPr>
                <w:p w14:paraId="5F00F9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lang w:val="en-US" w:eastAsia="zh-CN"/>
                    </w:rPr>
                  </w:pPr>
                </w:p>
              </w:tc>
            </w:tr>
            <w:tr w14:paraId="027B5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77" w:type="pct"/>
                  <w:vMerge w:val="continue"/>
                  <w:tcBorders>
                    <w:tl2br w:val="nil"/>
                    <w:tr2bl w:val="nil"/>
                  </w:tcBorders>
                  <w:noWrap w:val="0"/>
                  <w:vAlign w:val="center"/>
                </w:tcPr>
                <w:p w14:paraId="5971A6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57786F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G7</w:t>
                  </w:r>
                </w:p>
              </w:tc>
              <w:tc>
                <w:tcPr>
                  <w:tcW w:w="923" w:type="pct"/>
                  <w:tcBorders>
                    <w:tl2br w:val="nil"/>
                    <w:tr2bl w:val="nil"/>
                  </w:tcBorders>
                  <w:noWrap w:val="0"/>
                  <w:vAlign w:val="center"/>
                </w:tcPr>
                <w:p w14:paraId="58B664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喷塑</w:t>
                  </w:r>
                </w:p>
              </w:tc>
              <w:tc>
                <w:tcPr>
                  <w:tcW w:w="1675" w:type="pct"/>
                  <w:tcBorders>
                    <w:tl2br w:val="nil"/>
                    <w:tr2bl w:val="nil"/>
                  </w:tcBorders>
                  <w:noWrap w:val="0"/>
                  <w:vAlign w:val="center"/>
                </w:tcPr>
                <w:p w14:paraId="3390E4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颗粒物</w:t>
                  </w:r>
                </w:p>
              </w:tc>
              <w:tc>
                <w:tcPr>
                  <w:tcW w:w="1684" w:type="pct"/>
                  <w:tcBorders>
                    <w:tl2br w:val="nil"/>
                    <w:tr2bl w:val="nil"/>
                  </w:tcBorders>
                  <w:noWrap w:val="0"/>
                  <w:vAlign w:val="center"/>
                </w:tcPr>
                <w:p w14:paraId="606B87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集气罩收集后通过布袋除尘器</w:t>
                  </w:r>
                  <w:r>
                    <w:rPr>
                      <w:rFonts w:hint="default" w:ascii="Times New Roman" w:hAnsi="Times New Roman" w:cs="Times New Roman"/>
                      <w:b w:val="0"/>
                      <w:bCs w:val="0"/>
                      <w:color w:val="auto"/>
                      <w:sz w:val="21"/>
                      <w:szCs w:val="21"/>
                      <w:highlight w:val="none"/>
                      <w:vertAlign w:val="baseline"/>
                      <w:lang w:val="en-US" w:eastAsia="zh-CN"/>
                    </w:rPr>
                    <w:t>处理后通过1根20米高排气筒</w:t>
                  </w:r>
                  <w:r>
                    <w:rPr>
                      <w:rFonts w:hint="eastAsia" w:ascii="Times New Roman" w:hAnsi="Times New Roman" w:cs="Times New Roman"/>
                      <w:b w:val="0"/>
                      <w:bCs w:val="0"/>
                      <w:color w:val="auto"/>
                      <w:sz w:val="21"/>
                      <w:szCs w:val="21"/>
                      <w:highlight w:val="none"/>
                      <w:vertAlign w:val="baseline"/>
                      <w:lang w:val="en-US" w:eastAsia="zh-CN"/>
                    </w:rPr>
                    <w:t>（DA003）</w:t>
                  </w:r>
                  <w:r>
                    <w:rPr>
                      <w:rFonts w:hint="default" w:ascii="Times New Roman" w:hAnsi="Times New Roman" w:cs="Times New Roman"/>
                      <w:b w:val="0"/>
                      <w:bCs w:val="0"/>
                      <w:color w:val="auto"/>
                      <w:sz w:val="21"/>
                      <w:szCs w:val="21"/>
                      <w:highlight w:val="none"/>
                      <w:vertAlign w:val="baseline"/>
                      <w:lang w:val="en-US" w:eastAsia="zh-CN"/>
                    </w:rPr>
                    <w:t>排放</w:t>
                  </w:r>
                </w:p>
              </w:tc>
            </w:tr>
            <w:tr w14:paraId="6F040A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77" w:type="pct"/>
                  <w:vMerge w:val="continue"/>
                  <w:tcBorders>
                    <w:tl2br w:val="nil"/>
                    <w:tr2bl w:val="nil"/>
                  </w:tcBorders>
                  <w:noWrap w:val="0"/>
                  <w:vAlign w:val="center"/>
                </w:tcPr>
                <w:p w14:paraId="095015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4A5F3C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G8</w:t>
                  </w:r>
                </w:p>
              </w:tc>
              <w:tc>
                <w:tcPr>
                  <w:tcW w:w="923" w:type="pct"/>
                  <w:tcBorders>
                    <w:tl2br w:val="nil"/>
                    <w:tr2bl w:val="nil"/>
                  </w:tcBorders>
                  <w:noWrap w:val="0"/>
                  <w:vAlign w:val="center"/>
                </w:tcPr>
                <w:p w14:paraId="4512D5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固化</w:t>
                  </w:r>
                </w:p>
              </w:tc>
              <w:tc>
                <w:tcPr>
                  <w:tcW w:w="1675" w:type="pct"/>
                  <w:tcBorders>
                    <w:tl2br w:val="nil"/>
                    <w:tr2bl w:val="nil"/>
                  </w:tcBorders>
                  <w:noWrap w:val="0"/>
                  <w:vAlign w:val="center"/>
                </w:tcPr>
                <w:p w14:paraId="539A3B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非甲烷总烃</w:t>
                  </w:r>
                </w:p>
              </w:tc>
              <w:tc>
                <w:tcPr>
                  <w:tcW w:w="1684" w:type="pct"/>
                  <w:tcBorders>
                    <w:tl2br w:val="nil"/>
                    <w:tr2bl w:val="nil"/>
                  </w:tcBorders>
                  <w:noWrap w:val="0"/>
                  <w:vAlign w:val="center"/>
                </w:tcPr>
                <w:p w14:paraId="490B8E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集气罩收集后通过风冷+二级活性炭</w:t>
                  </w:r>
                  <w:r>
                    <w:rPr>
                      <w:rFonts w:hint="default" w:ascii="Times New Roman" w:hAnsi="Times New Roman" w:cs="Times New Roman"/>
                      <w:b w:val="0"/>
                      <w:bCs w:val="0"/>
                      <w:color w:val="auto"/>
                      <w:sz w:val="21"/>
                      <w:szCs w:val="21"/>
                      <w:highlight w:val="none"/>
                      <w:vertAlign w:val="baseline"/>
                      <w:lang w:val="en-US" w:eastAsia="zh-CN"/>
                    </w:rPr>
                    <w:t>处理后通过1根20米高排气筒</w:t>
                  </w:r>
                  <w:r>
                    <w:rPr>
                      <w:rFonts w:hint="eastAsia" w:ascii="Times New Roman" w:hAnsi="Times New Roman" w:cs="Times New Roman"/>
                      <w:b w:val="0"/>
                      <w:bCs w:val="0"/>
                      <w:color w:val="auto"/>
                      <w:sz w:val="21"/>
                      <w:szCs w:val="21"/>
                      <w:highlight w:val="none"/>
                      <w:vertAlign w:val="baseline"/>
                      <w:lang w:val="en-US" w:eastAsia="zh-CN"/>
                    </w:rPr>
                    <w:t>（DA004）</w:t>
                  </w:r>
                  <w:r>
                    <w:rPr>
                      <w:rFonts w:hint="default" w:ascii="Times New Roman" w:hAnsi="Times New Roman" w:cs="Times New Roman"/>
                      <w:b w:val="0"/>
                      <w:bCs w:val="0"/>
                      <w:color w:val="auto"/>
                      <w:sz w:val="21"/>
                      <w:szCs w:val="21"/>
                      <w:highlight w:val="none"/>
                      <w:vertAlign w:val="baseline"/>
                      <w:lang w:val="en-US" w:eastAsia="zh-CN"/>
                    </w:rPr>
                    <w:t>排放</w:t>
                  </w:r>
                </w:p>
              </w:tc>
            </w:tr>
            <w:tr w14:paraId="1E469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7" w:type="pct"/>
                  <w:vMerge w:val="restart"/>
                  <w:tcBorders>
                    <w:tl2br w:val="nil"/>
                    <w:tr2bl w:val="nil"/>
                  </w:tcBorders>
                  <w:noWrap w:val="0"/>
                  <w:vAlign w:val="center"/>
                </w:tcPr>
                <w:p w14:paraId="5BC448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固废</w:t>
                  </w:r>
                </w:p>
              </w:tc>
              <w:tc>
                <w:tcPr>
                  <w:tcW w:w="437" w:type="pct"/>
                  <w:tcBorders>
                    <w:tl2br w:val="nil"/>
                    <w:tr2bl w:val="nil"/>
                  </w:tcBorders>
                  <w:noWrap w:val="0"/>
                  <w:vAlign w:val="center"/>
                </w:tcPr>
                <w:p w14:paraId="2DBB21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S1</w:t>
                  </w:r>
                </w:p>
              </w:tc>
              <w:tc>
                <w:tcPr>
                  <w:tcW w:w="923" w:type="pct"/>
                  <w:tcBorders>
                    <w:tl2br w:val="nil"/>
                    <w:tr2bl w:val="nil"/>
                  </w:tcBorders>
                  <w:noWrap w:val="0"/>
                  <w:vAlign w:val="center"/>
                </w:tcPr>
                <w:p w14:paraId="7D6AB2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kern w:val="2"/>
                      <w:sz w:val="21"/>
                      <w:szCs w:val="21"/>
                      <w:highlight w:val="none"/>
                      <w:vertAlign w:val="baseline"/>
                      <w:lang w:val="en-US" w:eastAsia="zh-CN" w:bidi="ar-SA"/>
                    </w:rPr>
                    <w:t>抛光</w:t>
                  </w:r>
                </w:p>
              </w:tc>
              <w:tc>
                <w:tcPr>
                  <w:tcW w:w="1675" w:type="pct"/>
                  <w:tcBorders>
                    <w:tl2br w:val="nil"/>
                    <w:tr2bl w:val="nil"/>
                  </w:tcBorders>
                  <w:noWrap w:val="0"/>
                  <w:vAlign w:val="center"/>
                </w:tcPr>
                <w:p w14:paraId="37C2DD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废钢丸</w:t>
                  </w:r>
                </w:p>
              </w:tc>
              <w:tc>
                <w:tcPr>
                  <w:tcW w:w="1684" w:type="pct"/>
                  <w:tcBorders>
                    <w:tl2br w:val="nil"/>
                    <w:tr2bl w:val="nil"/>
                  </w:tcBorders>
                  <w:noWrap w:val="0"/>
                  <w:vAlign w:val="center"/>
                </w:tcPr>
                <w:p w14:paraId="6A1898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外售综合利用</w:t>
                  </w:r>
                </w:p>
              </w:tc>
            </w:tr>
            <w:tr w14:paraId="0D7C80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7" w:type="pct"/>
                  <w:vMerge w:val="continue"/>
                  <w:tcBorders>
                    <w:tl2br w:val="nil"/>
                    <w:tr2bl w:val="nil"/>
                  </w:tcBorders>
                  <w:noWrap w:val="0"/>
                  <w:vAlign w:val="center"/>
                </w:tcPr>
                <w:p w14:paraId="35E63A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2A7624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S2</w:t>
                  </w:r>
                </w:p>
              </w:tc>
              <w:tc>
                <w:tcPr>
                  <w:tcW w:w="923" w:type="pct"/>
                  <w:tcBorders>
                    <w:tl2br w:val="nil"/>
                    <w:tr2bl w:val="nil"/>
                  </w:tcBorders>
                  <w:noWrap w:val="0"/>
                  <w:vAlign w:val="center"/>
                </w:tcPr>
                <w:p w14:paraId="460688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sz w:val="21"/>
                      <w:szCs w:val="21"/>
                      <w:highlight w:val="none"/>
                      <w:vertAlign w:val="baseline"/>
                      <w:lang w:val="en-US" w:eastAsia="zh-CN"/>
                    </w:rPr>
                    <w:t>磨加工</w:t>
                  </w:r>
                </w:p>
              </w:tc>
              <w:tc>
                <w:tcPr>
                  <w:tcW w:w="1675" w:type="pct"/>
                  <w:tcBorders>
                    <w:tl2br w:val="nil"/>
                    <w:tr2bl w:val="nil"/>
                  </w:tcBorders>
                  <w:noWrap w:val="0"/>
                  <w:vAlign w:val="center"/>
                </w:tcPr>
                <w:p w14:paraId="04BDC8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sz w:val="21"/>
                      <w:szCs w:val="21"/>
                      <w:highlight w:val="none"/>
                      <w:vertAlign w:val="baseline"/>
                      <w:lang w:val="en-US" w:eastAsia="zh-CN"/>
                    </w:rPr>
                    <w:t>边角料</w:t>
                  </w:r>
                </w:p>
              </w:tc>
              <w:tc>
                <w:tcPr>
                  <w:tcW w:w="1684" w:type="pct"/>
                  <w:tcBorders>
                    <w:tl2br w:val="nil"/>
                    <w:tr2bl w:val="nil"/>
                  </w:tcBorders>
                  <w:noWrap w:val="0"/>
                  <w:vAlign w:val="center"/>
                </w:tcPr>
                <w:p w14:paraId="1BACA1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外售综合利用</w:t>
                  </w:r>
                </w:p>
              </w:tc>
            </w:tr>
            <w:tr w14:paraId="2CF112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7" w:type="pct"/>
                  <w:vMerge w:val="continue"/>
                  <w:tcBorders>
                    <w:tl2br w:val="nil"/>
                    <w:tr2bl w:val="nil"/>
                  </w:tcBorders>
                  <w:noWrap w:val="0"/>
                  <w:vAlign w:val="center"/>
                </w:tcPr>
                <w:p w14:paraId="416337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highlight w:val="none"/>
                    </w:rPr>
                  </w:pPr>
                </w:p>
              </w:tc>
              <w:tc>
                <w:tcPr>
                  <w:tcW w:w="437" w:type="pct"/>
                  <w:tcBorders>
                    <w:tl2br w:val="nil"/>
                    <w:tr2bl w:val="nil"/>
                  </w:tcBorders>
                  <w:noWrap w:val="0"/>
                  <w:vAlign w:val="center"/>
                </w:tcPr>
                <w:p w14:paraId="438B9C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S3</w:t>
                  </w:r>
                </w:p>
              </w:tc>
              <w:tc>
                <w:tcPr>
                  <w:tcW w:w="923" w:type="pct"/>
                  <w:tcBorders>
                    <w:tl2br w:val="nil"/>
                    <w:tr2bl w:val="nil"/>
                  </w:tcBorders>
                  <w:noWrap w:val="0"/>
                  <w:vAlign w:val="center"/>
                </w:tcPr>
                <w:p w14:paraId="09F87B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kern w:val="2"/>
                      <w:sz w:val="21"/>
                      <w:szCs w:val="21"/>
                      <w:highlight w:val="none"/>
                      <w:vertAlign w:val="baseline"/>
                      <w:lang w:val="en-US" w:eastAsia="zh-CN" w:bidi="ar-SA"/>
                    </w:rPr>
                    <w:t>喷塑</w:t>
                  </w:r>
                </w:p>
              </w:tc>
              <w:tc>
                <w:tcPr>
                  <w:tcW w:w="1675" w:type="pct"/>
                  <w:tcBorders>
                    <w:tl2br w:val="nil"/>
                    <w:tr2bl w:val="nil"/>
                  </w:tcBorders>
                  <w:noWrap w:val="0"/>
                  <w:vAlign w:val="center"/>
                </w:tcPr>
                <w:p w14:paraId="5A106B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kern w:val="2"/>
                      <w:sz w:val="21"/>
                      <w:szCs w:val="21"/>
                      <w:highlight w:val="none"/>
                      <w:vertAlign w:val="baseline"/>
                      <w:lang w:val="en-US" w:eastAsia="zh-CN" w:bidi="ar-SA"/>
                    </w:rPr>
                    <w:t>废塑粉</w:t>
                  </w:r>
                </w:p>
              </w:tc>
              <w:tc>
                <w:tcPr>
                  <w:tcW w:w="1684" w:type="pct"/>
                  <w:tcBorders>
                    <w:tl2br w:val="nil"/>
                    <w:tr2bl w:val="nil"/>
                  </w:tcBorders>
                  <w:noWrap w:val="0"/>
                  <w:vAlign w:val="center"/>
                </w:tcPr>
                <w:p w14:paraId="1EA101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sz w:val="21"/>
                      <w:szCs w:val="21"/>
                      <w:highlight w:val="none"/>
                      <w:vertAlign w:val="baseline"/>
                      <w:lang w:val="en-US" w:eastAsia="zh-CN"/>
                    </w:rPr>
                    <w:t>回用于生产</w:t>
                  </w:r>
                </w:p>
              </w:tc>
            </w:tr>
            <w:tr w14:paraId="79F9F0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7" w:type="pct"/>
                  <w:vMerge w:val="continue"/>
                  <w:tcBorders>
                    <w:tl2br w:val="nil"/>
                    <w:tr2bl w:val="nil"/>
                  </w:tcBorders>
                  <w:noWrap w:val="0"/>
                  <w:vAlign w:val="center"/>
                </w:tcPr>
                <w:p w14:paraId="3FD292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highlight w:val="none"/>
                    </w:rPr>
                  </w:pPr>
                </w:p>
              </w:tc>
              <w:tc>
                <w:tcPr>
                  <w:tcW w:w="437" w:type="pct"/>
                  <w:tcBorders>
                    <w:tl2br w:val="nil"/>
                    <w:tr2bl w:val="nil"/>
                  </w:tcBorders>
                  <w:noWrap w:val="0"/>
                  <w:vAlign w:val="center"/>
                </w:tcPr>
                <w:p w14:paraId="12354D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S4</w:t>
                  </w:r>
                </w:p>
              </w:tc>
              <w:tc>
                <w:tcPr>
                  <w:tcW w:w="923" w:type="pct"/>
                  <w:tcBorders>
                    <w:tl2br w:val="nil"/>
                    <w:tr2bl w:val="nil"/>
                  </w:tcBorders>
                  <w:noWrap w:val="0"/>
                  <w:vAlign w:val="center"/>
                </w:tcPr>
                <w:p w14:paraId="78B263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检验</w:t>
                  </w:r>
                </w:p>
              </w:tc>
              <w:tc>
                <w:tcPr>
                  <w:tcW w:w="1675" w:type="pct"/>
                  <w:tcBorders>
                    <w:tl2br w:val="nil"/>
                    <w:tr2bl w:val="nil"/>
                  </w:tcBorders>
                  <w:noWrap w:val="0"/>
                  <w:vAlign w:val="center"/>
                </w:tcPr>
                <w:p w14:paraId="3ED788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不合格品</w:t>
                  </w:r>
                </w:p>
              </w:tc>
              <w:tc>
                <w:tcPr>
                  <w:tcW w:w="1684" w:type="pct"/>
                  <w:tcBorders>
                    <w:tl2br w:val="nil"/>
                    <w:tr2bl w:val="nil"/>
                  </w:tcBorders>
                  <w:noWrap w:val="0"/>
                  <w:vAlign w:val="center"/>
                </w:tcPr>
                <w:p w14:paraId="0FCA40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外售综合利用</w:t>
                  </w:r>
                </w:p>
              </w:tc>
            </w:tr>
            <w:tr w14:paraId="026461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7" w:type="pct"/>
                  <w:vMerge w:val="continue"/>
                  <w:tcBorders>
                    <w:tl2br w:val="nil"/>
                    <w:tr2bl w:val="nil"/>
                  </w:tcBorders>
                  <w:noWrap w:val="0"/>
                  <w:vAlign w:val="center"/>
                </w:tcPr>
                <w:p w14:paraId="1640DB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highlight w:val="none"/>
                    </w:rPr>
                  </w:pPr>
                </w:p>
              </w:tc>
              <w:tc>
                <w:tcPr>
                  <w:tcW w:w="437" w:type="pct"/>
                  <w:tcBorders>
                    <w:tl2br w:val="nil"/>
                    <w:tr2bl w:val="nil"/>
                  </w:tcBorders>
                  <w:noWrap w:val="0"/>
                  <w:vAlign w:val="center"/>
                </w:tcPr>
                <w:p w14:paraId="3C8943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S5</w:t>
                  </w:r>
                </w:p>
              </w:tc>
              <w:tc>
                <w:tcPr>
                  <w:tcW w:w="923" w:type="pct"/>
                  <w:tcBorders>
                    <w:tl2br w:val="nil"/>
                    <w:tr2bl w:val="nil"/>
                  </w:tcBorders>
                  <w:noWrap w:val="0"/>
                  <w:vAlign w:val="center"/>
                </w:tcPr>
                <w:p w14:paraId="4173F4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kern w:val="2"/>
                      <w:sz w:val="21"/>
                      <w:szCs w:val="21"/>
                      <w:highlight w:val="none"/>
                      <w:vertAlign w:val="baseline"/>
                      <w:lang w:val="en-US" w:eastAsia="zh-CN" w:bidi="ar-SA"/>
                    </w:rPr>
                    <w:t>布袋收集的粉尘</w:t>
                  </w:r>
                </w:p>
              </w:tc>
              <w:tc>
                <w:tcPr>
                  <w:tcW w:w="1675" w:type="pct"/>
                  <w:tcBorders>
                    <w:tl2br w:val="nil"/>
                    <w:tr2bl w:val="nil"/>
                  </w:tcBorders>
                  <w:noWrap w:val="0"/>
                  <w:vAlign w:val="center"/>
                </w:tcPr>
                <w:p w14:paraId="094AAA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布袋收集的粉尘</w:t>
                  </w:r>
                </w:p>
              </w:tc>
              <w:tc>
                <w:tcPr>
                  <w:tcW w:w="1684" w:type="pct"/>
                  <w:tcBorders>
                    <w:tl2br w:val="nil"/>
                    <w:tr2bl w:val="nil"/>
                  </w:tcBorders>
                  <w:noWrap w:val="0"/>
                  <w:vAlign w:val="center"/>
                </w:tcPr>
                <w:p w14:paraId="7197D5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外售综合利用</w:t>
                  </w:r>
                </w:p>
              </w:tc>
            </w:tr>
            <w:tr w14:paraId="2023D4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7" w:type="pct"/>
                  <w:vMerge w:val="continue"/>
                  <w:tcBorders>
                    <w:tl2br w:val="nil"/>
                    <w:tr2bl w:val="nil"/>
                  </w:tcBorders>
                  <w:noWrap w:val="0"/>
                  <w:vAlign w:val="center"/>
                </w:tcPr>
                <w:p w14:paraId="644268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highlight w:val="none"/>
                    </w:rPr>
                  </w:pPr>
                </w:p>
              </w:tc>
              <w:tc>
                <w:tcPr>
                  <w:tcW w:w="437" w:type="pct"/>
                  <w:tcBorders>
                    <w:tl2br w:val="nil"/>
                    <w:tr2bl w:val="nil"/>
                  </w:tcBorders>
                  <w:noWrap w:val="0"/>
                  <w:vAlign w:val="center"/>
                </w:tcPr>
                <w:p w14:paraId="6CB5CF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S6</w:t>
                  </w:r>
                </w:p>
              </w:tc>
              <w:tc>
                <w:tcPr>
                  <w:tcW w:w="923" w:type="pct"/>
                  <w:tcBorders>
                    <w:tl2br w:val="nil"/>
                    <w:tr2bl w:val="nil"/>
                  </w:tcBorders>
                  <w:noWrap w:val="0"/>
                  <w:vAlign w:val="center"/>
                </w:tcPr>
                <w:p w14:paraId="2C177D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kern w:val="2"/>
                      <w:sz w:val="21"/>
                      <w:szCs w:val="21"/>
                      <w:highlight w:val="none"/>
                      <w:vertAlign w:val="baseline"/>
                      <w:lang w:val="en-US" w:eastAsia="zh-CN" w:bidi="ar-SA"/>
                    </w:rPr>
                    <w:t>原料包装</w:t>
                  </w:r>
                </w:p>
              </w:tc>
              <w:tc>
                <w:tcPr>
                  <w:tcW w:w="1675" w:type="pct"/>
                  <w:tcBorders>
                    <w:tl2br w:val="nil"/>
                    <w:tr2bl w:val="nil"/>
                  </w:tcBorders>
                  <w:noWrap w:val="0"/>
                  <w:vAlign w:val="center"/>
                </w:tcPr>
                <w:p w14:paraId="4C924F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sz w:val="21"/>
                      <w:szCs w:val="21"/>
                      <w:highlight w:val="none"/>
                      <w:vertAlign w:val="baseline"/>
                      <w:lang w:val="en-US" w:eastAsia="zh-CN"/>
                    </w:rPr>
                    <w:t>废包装桶</w:t>
                  </w:r>
                </w:p>
              </w:tc>
              <w:tc>
                <w:tcPr>
                  <w:tcW w:w="1684" w:type="pct"/>
                  <w:tcBorders>
                    <w:tl2br w:val="nil"/>
                    <w:tr2bl w:val="nil"/>
                  </w:tcBorders>
                  <w:noWrap w:val="0"/>
                  <w:vAlign w:val="center"/>
                </w:tcPr>
                <w:p w14:paraId="395424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color w:val="auto"/>
                      <w:highlight w:val="none"/>
                      <w:lang w:val="en-US" w:eastAsia="zh-CN"/>
                    </w:rPr>
                    <w:t>委托有资质单位处置</w:t>
                  </w:r>
                </w:p>
              </w:tc>
            </w:tr>
            <w:tr w14:paraId="6AB5B9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7" w:type="pct"/>
                  <w:vMerge w:val="continue"/>
                  <w:tcBorders>
                    <w:tl2br w:val="nil"/>
                    <w:tr2bl w:val="nil"/>
                  </w:tcBorders>
                  <w:noWrap w:val="0"/>
                  <w:vAlign w:val="center"/>
                </w:tcPr>
                <w:p w14:paraId="370B1D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highlight w:val="none"/>
                    </w:rPr>
                  </w:pPr>
                </w:p>
              </w:tc>
              <w:tc>
                <w:tcPr>
                  <w:tcW w:w="437" w:type="pct"/>
                  <w:tcBorders>
                    <w:tl2br w:val="nil"/>
                    <w:tr2bl w:val="nil"/>
                  </w:tcBorders>
                  <w:noWrap w:val="0"/>
                  <w:vAlign w:val="center"/>
                </w:tcPr>
                <w:p w14:paraId="3328C8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S7</w:t>
                  </w:r>
                </w:p>
              </w:tc>
              <w:tc>
                <w:tcPr>
                  <w:tcW w:w="923" w:type="pct"/>
                  <w:tcBorders>
                    <w:tl2br w:val="nil"/>
                    <w:tr2bl w:val="nil"/>
                  </w:tcBorders>
                  <w:noWrap w:val="0"/>
                  <w:vAlign w:val="center"/>
                </w:tcPr>
                <w:p w14:paraId="1B6832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sz w:val="21"/>
                      <w:szCs w:val="21"/>
                      <w:highlight w:val="none"/>
                      <w:vertAlign w:val="baseline"/>
                      <w:lang w:val="en-US" w:eastAsia="zh-CN"/>
                    </w:rPr>
                    <w:t>废气处理</w:t>
                  </w:r>
                </w:p>
              </w:tc>
              <w:tc>
                <w:tcPr>
                  <w:tcW w:w="1675" w:type="pct"/>
                  <w:tcBorders>
                    <w:tl2br w:val="nil"/>
                    <w:tr2bl w:val="nil"/>
                  </w:tcBorders>
                  <w:noWrap w:val="0"/>
                  <w:vAlign w:val="center"/>
                </w:tcPr>
                <w:p w14:paraId="00F0E1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sz w:val="21"/>
                      <w:szCs w:val="21"/>
                      <w:highlight w:val="none"/>
                      <w:vertAlign w:val="baseline"/>
                      <w:lang w:val="en-US" w:eastAsia="zh-CN"/>
                    </w:rPr>
                    <w:t>废活性炭</w:t>
                  </w:r>
                </w:p>
              </w:tc>
              <w:tc>
                <w:tcPr>
                  <w:tcW w:w="1684" w:type="pct"/>
                  <w:tcBorders>
                    <w:tl2br w:val="nil"/>
                    <w:tr2bl w:val="nil"/>
                  </w:tcBorders>
                  <w:noWrap w:val="0"/>
                  <w:vAlign w:val="center"/>
                </w:tcPr>
                <w:p w14:paraId="715546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color w:val="auto"/>
                      <w:highlight w:val="none"/>
                      <w:lang w:val="en-US" w:eastAsia="zh-CN"/>
                    </w:rPr>
                    <w:t>委托有资质单位处置</w:t>
                  </w:r>
                </w:p>
              </w:tc>
            </w:tr>
            <w:tr w14:paraId="5AD4C5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7" w:type="pct"/>
                  <w:vMerge w:val="continue"/>
                  <w:tcBorders>
                    <w:tl2br w:val="nil"/>
                    <w:tr2bl w:val="nil"/>
                  </w:tcBorders>
                  <w:noWrap w:val="0"/>
                  <w:vAlign w:val="center"/>
                </w:tcPr>
                <w:p w14:paraId="037C69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3BBF14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S8</w:t>
                  </w:r>
                </w:p>
              </w:tc>
              <w:tc>
                <w:tcPr>
                  <w:tcW w:w="923" w:type="pct"/>
                  <w:tcBorders>
                    <w:tl2br w:val="nil"/>
                    <w:tr2bl w:val="nil"/>
                  </w:tcBorders>
                  <w:noWrap w:val="0"/>
                  <w:vAlign w:val="center"/>
                </w:tcPr>
                <w:p w14:paraId="443CC0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设备保养</w:t>
                  </w:r>
                </w:p>
              </w:tc>
              <w:tc>
                <w:tcPr>
                  <w:tcW w:w="1675" w:type="pct"/>
                  <w:tcBorders>
                    <w:tl2br w:val="nil"/>
                    <w:tr2bl w:val="nil"/>
                  </w:tcBorders>
                  <w:noWrap w:val="0"/>
                  <w:vAlign w:val="center"/>
                </w:tcPr>
                <w:p w14:paraId="4F54AA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废润滑油</w:t>
                  </w:r>
                </w:p>
              </w:tc>
              <w:tc>
                <w:tcPr>
                  <w:tcW w:w="1684" w:type="pct"/>
                  <w:tcBorders>
                    <w:tl2br w:val="nil"/>
                    <w:tr2bl w:val="nil"/>
                  </w:tcBorders>
                  <w:noWrap w:val="0"/>
                  <w:vAlign w:val="center"/>
                </w:tcPr>
                <w:p w14:paraId="0F089B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color w:val="auto"/>
                      <w:highlight w:val="none"/>
                      <w:lang w:val="en-US" w:eastAsia="zh-CN"/>
                    </w:rPr>
                    <w:t>委托有资质单位处置</w:t>
                  </w:r>
                </w:p>
              </w:tc>
            </w:tr>
            <w:tr w14:paraId="6C37B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7" w:type="pct"/>
                  <w:vMerge w:val="continue"/>
                  <w:tcBorders>
                    <w:tl2br w:val="nil"/>
                    <w:tr2bl w:val="nil"/>
                  </w:tcBorders>
                  <w:noWrap w:val="0"/>
                  <w:vAlign w:val="center"/>
                </w:tcPr>
                <w:p w14:paraId="3D0AA5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0028F5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S9</w:t>
                  </w:r>
                </w:p>
              </w:tc>
              <w:tc>
                <w:tcPr>
                  <w:tcW w:w="923" w:type="pct"/>
                  <w:tcBorders>
                    <w:tl2br w:val="nil"/>
                    <w:tr2bl w:val="nil"/>
                  </w:tcBorders>
                  <w:noWrap w:val="0"/>
                  <w:vAlign w:val="center"/>
                </w:tcPr>
                <w:p w14:paraId="42A9FB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设备保养</w:t>
                  </w:r>
                </w:p>
              </w:tc>
              <w:tc>
                <w:tcPr>
                  <w:tcW w:w="1675" w:type="pct"/>
                  <w:tcBorders>
                    <w:tl2br w:val="nil"/>
                    <w:tr2bl w:val="nil"/>
                  </w:tcBorders>
                  <w:noWrap w:val="0"/>
                  <w:vAlign w:val="center"/>
                </w:tcPr>
                <w:p w14:paraId="0126FF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含油抹布及手套</w:t>
                  </w:r>
                </w:p>
              </w:tc>
              <w:tc>
                <w:tcPr>
                  <w:tcW w:w="1684" w:type="pct"/>
                  <w:tcBorders>
                    <w:tl2br w:val="nil"/>
                    <w:tr2bl w:val="nil"/>
                  </w:tcBorders>
                  <w:noWrap w:val="0"/>
                  <w:vAlign w:val="center"/>
                </w:tcPr>
                <w:p w14:paraId="23B5DE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color w:val="auto"/>
                      <w:highlight w:val="none"/>
                      <w:lang w:val="en-US" w:eastAsia="zh-CN"/>
                    </w:rPr>
                    <w:t>委托有资质单位处置</w:t>
                  </w:r>
                </w:p>
              </w:tc>
            </w:tr>
            <w:tr w14:paraId="3F8F5B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7" w:type="pct"/>
                  <w:vMerge w:val="continue"/>
                  <w:tcBorders>
                    <w:tl2br w:val="nil"/>
                    <w:tr2bl w:val="nil"/>
                  </w:tcBorders>
                  <w:noWrap w:val="0"/>
                  <w:vAlign w:val="center"/>
                </w:tcPr>
                <w:p w14:paraId="32FB72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437" w:type="pct"/>
                  <w:tcBorders>
                    <w:tl2br w:val="nil"/>
                    <w:tr2bl w:val="nil"/>
                  </w:tcBorders>
                  <w:noWrap w:val="0"/>
                  <w:vAlign w:val="center"/>
                </w:tcPr>
                <w:p w14:paraId="3F32CA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S10</w:t>
                  </w:r>
                </w:p>
              </w:tc>
              <w:tc>
                <w:tcPr>
                  <w:tcW w:w="923" w:type="pct"/>
                  <w:tcBorders>
                    <w:tl2br w:val="nil"/>
                    <w:tr2bl w:val="nil"/>
                  </w:tcBorders>
                  <w:noWrap w:val="0"/>
                  <w:vAlign w:val="center"/>
                </w:tcPr>
                <w:p w14:paraId="617876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生活、办公</w:t>
                  </w:r>
                </w:p>
              </w:tc>
              <w:tc>
                <w:tcPr>
                  <w:tcW w:w="1675" w:type="pct"/>
                  <w:tcBorders>
                    <w:tl2br w:val="nil"/>
                    <w:tr2bl w:val="nil"/>
                  </w:tcBorders>
                  <w:noWrap w:val="0"/>
                  <w:vAlign w:val="center"/>
                </w:tcPr>
                <w:p w14:paraId="40544D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t>生活垃圾</w:t>
                  </w:r>
                </w:p>
              </w:tc>
              <w:tc>
                <w:tcPr>
                  <w:tcW w:w="1684" w:type="pct"/>
                  <w:tcBorders>
                    <w:tl2br w:val="nil"/>
                    <w:tr2bl w:val="nil"/>
                  </w:tcBorders>
                  <w:noWrap w:val="0"/>
                  <w:vAlign w:val="center"/>
                </w:tcPr>
                <w:p w14:paraId="1692C3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委托环卫部门处置</w:t>
                  </w:r>
                </w:p>
              </w:tc>
            </w:tr>
            <w:tr w14:paraId="2A8D3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7" w:type="pct"/>
                  <w:tcBorders>
                    <w:tl2br w:val="nil"/>
                    <w:tr2bl w:val="nil"/>
                  </w:tcBorders>
                  <w:noWrap w:val="0"/>
                  <w:vAlign w:val="center"/>
                </w:tcPr>
                <w:p w14:paraId="2A3AF6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噪声</w:t>
                  </w:r>
                </w:p>
              </w:tc>
              <w:tc>
                <w:tcPr>
                  <w:tcW w:w="437" w:type="pct"/>
                  <w:tcBorders>
                    <w:tl2br w:val="nil"/>
                    <w:tr2bl w:val="nil"/>
                  </w:tcBorders>
                  <w:noWrap w:val="0"/>
                  <w:vAlign w:val="center"/>
                </w:tcPr>
                <w:p w14:paraId="112D33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N</w:t>
                  </w:r>
                </w:p>
              </w:tc>
              <w:tc>
                <w:tcPr>
                  <w:tcW w:w="923" w:type="pct"/>
                  <w:tcBorders>
                    <w:tl2br w:val="nil"/>
                    <w:tr2bl w:val="nil"/>
                  </w:tcBorders>
                  <w:noWrap w:val="0"/>
                  <w:vAlign w:val="center"/>
                </w:tcPr>
                <w:p w14:paraId="26D35C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生产设备等</w:t>
                  </w:r>
                </w:p>
              </w:tc>
              <w:tc>
                <w:tcPr>
                  <w:tcW w:w="1675" w:type="pct"/>
                  <w:tcBorders>
                    <w:tl2br w:val="nil"/>
                    <w:tr2bl w:val="nil"/>
                  </w:tcBorders>
                  <w:noWrap w:val="0"/>
                  <w:vAlign w:val="center"/>
                </w:tcPr>
                <w:p w14:paraId="23911E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噪声</w:t>
                  </w:r>
                </w:p>
              </w:tc>
              <w:tc>
                <w:tcPr>
                  <w:tcW w:w="1684" w:type="pct"/>
                  <w:tcBorders>
                    <w:tl2br w:val="nil"/>
                    <w:tr2bl w:val="nil"/>
                  </w:tcBorders>
                  <w:noWrap w:val="0"/>
                  <w:vAlign w:val="center"/>
                </w:tcPr>
                <w:p w14:paraId="7B7292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隔声、基础减振、消声</w:t>
                  </w:r>
                </w:p>
              </w:tc>
            </w:tr>
            <w:tr w14:paraId="7ABD9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7" w:type="pct"/>
                  <w:tcBorders>
                    <w:tl2br w:val="nil"/>
                    <w:tr2bl w:val="nil"/>
                  </w:tcBorders>
                  <w:noWrap w:val="0"/>
                  <w:vAlign w:val="center"/>
                </w:tcPr>
                <w:p w14:paraId="35DCB8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废水</w:t>
                  </w:r>
                </w:p>
              </w:tc>
              <w:tc>
                <w:tcPr>
                  <w:tcW w:w="437" w:type="pct"/>
                  <w:tcBorders>
                    <w:tl2br w:val="nil"/>
                    <w:tr2bl w:val="nil"/>
                  </w:tcBorders>
                  <w:noWrap w:val="0"/>
                  <w:vAlign w:val="center"/>
                </w:tcPr>
                <w:p w14:paraId="247F31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w:t>
                  </w:r>
                </w:p>
              </w:tc>
              <w:tc>
                <w:tcPr>
                  <w:tcW w:w="923" w:type="pct"/>
                  <w:tcBorders>
                    <w:tl2br w:val="nil"/>
                    <w:tr2bl w:val="nil"/>
                  </w:tcBorders>
                  <w:noWrap w:val="0"/>
                  <w:vAlign w:val="center"/>
                </w:tcPr>
                <w:p w14:paraId="2549A3F6">
                  <w:pPr>
                    <w:pStyle w:val="8"/>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职工生活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车间保洁排水</w:t>
                  </w:r>
                </w:p>
              </w:tc>
              <w:tc>
                <w:tcPr>
                  <w:tcW w:w="1675" w:type="pct"/>
                  <w:tcBorders>
                    <w:tl2br w:val="nil"/>
                    <w:tr2bl w:val="nil"/>
                  </w:tcBorders>
                  <w:noWrap w:val="0"/>
                  <w:vAlign w:val="center"/>
                </w:tcPr>
                <w:p w14:paraId="0E4C15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pH、COD、BOD</w:t>
                  </w:r>
                  <w:r>
                    <w:rPr>
                      <w:rFonts w:hint="default" w:ascii="Times New Roman" w:hAnsi="Times New Roman" w:eastAsia="宋体" w:cs="Times New Roman"/>
                      <w:b w:val="0"/>
                      <w:bCs w:val="0"/>
                      <w:color w:val="auto"/>
                      <w:sz w:val="21"/>
                      <w:szCs w:val="21"/>
                      <w:highlight w:val="none"/>
                      <w:vertAlign w:val="subscript"/>
                      <w:lang w:val="en-US" w:eastAsia="zh-CN"/>
                    </w:rPr>
                    <w:t>5</w:t>
                  </w:r>
                  <w:r>
                    <w:rPr>
                      <w:rFonts w:hint="default" w:ascii="Times New Roman" w:hAnsi="Times New Roman" w:eastAsia="宋体" w:cs="Times New Roman"/>
                      <w:b w:val="0"/>
                      <w:bCs w:val="0"/>
                      <w:color w:val="auto"/>
                      <w:sz w:val="21"/>
                      <w:szCs w:val="21"/>
                      <w:highlight w:val="none"/>
                      <w:vertAlign w:val="baseline"/>
                      <w:lang w:val="en-US" w:eastAsia="zh-CN"/>
                    </w:rPr>
                    <w:t>、SS、NH</w:t>
                  </w:r>
                  <w:r>
                    <w:rPr>
                      <w:rFonts w:hint="default" w:ascii="Times New Roman" w:hAnsi="Times New Roman" w:eastAsia="宋体" w:cs="Times New Roman"/>
                      <w:b w:val="0"/>
                      <w:bCs w:val="0"/>
                      <w:color w:val="auto"/>
                      <w:sz w:val="21"/>
                      <w:szCs w:val="21"/>
                      <w:highlight w:val="none"/>
                      <w:vertAlign w:val="subscript"/>
                      <w:lang w:val="en-US" w:eastAsia="zh-CN"/>
                    </w:rPr>
                    <w:t>3</w:t>
                  </w:r>
                  <w:r>
                    <w:rPr>
                      <w:rFonts w:hint="default" w:ascii="Times New Roman" w:hAnsi="Times New Roman" w:eastAsia="宋体" w:cs="Times New Roman"/>
                      <w:b w:val="0"/>
                      <w:bCs w:val="0"/>
                      <w:color w:val="auto"/>
                      <w:sz w:val="21"/>
                      <w:szCs w:val="21"/>
                      <w:highlight w:val="none"/>
                      <w:vertAlign w:val="baseline"/>
                      <w:lang w:val="en-US" w:eastAsia="zh-CN"/>
                    </w:rPr>
                    <w:t>-H</w:t>
                  </w:r>
                </w:p>
              </w:tc>
              <w:tc>
                <w:tcPr>
                  <w:tcW w:w="1684" w:type="pct"/>
                  <w:tcBorders>
                    <w:tl2br w:val="nil"/>
                    <w:tr2bl w:val="nil"/>
                  </w:tcBorders>
                  <w:noWrap w:val="0"/>
                  <w:vAlign w:val="center"/>
                </w:tcPr>
                <w:p w14:paraId="3E5CE6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化粪池处理后接入污水处理厂处理</w:t>
                  </w:r>
                </w:p>
              </w:tc>
            </w:tr>
          </w:tbl>
          <w:p w14:paraId="02280D33">
            <w:pPr>
              <w:keepNext w:val="0"/>
              <w:keepLines w:val="0"/>
              <w:pageBreakBefore w:val="0"/>
              <w:widowControl w:val="0"/>
              <w:kinsoku/>
              <w:wordWrap/>
              <w:overflowPunct/>
              <w:topLinePunct/>
              <w:autoSpaceDE w:val="0"/>
              <w:autoSpaceDN/>
              <w:bidi w:val="0"/>
              <w:adjustRightInd w:val="0"/>
              <w:snapToGrid w:val="0"/>
              <w:spacing w:line="360" w:lineRule="auto"/>
              <w:textAlignment w:val="auto"/>
              <w:rPr>
                <w:rFonts w:hint="default" w:ascii="Times New Roman" w:hAnsi="Times New Roman" w:eastAsia="宋体" w:cs="Times New Roman"/>
                <w:b w:val="0"/>
                <w:bCs/>
                <w:color w:val="auto"/>
                <w:sz w:val="24"/>
                <w:highlight w:val="none"/>
                <w:u w:val="none"/>
                <w:lang w:val="en-US" w:eastAsia="zh-CN"/>
              </w:rPr>
            </w:pPr>
          </w:p>
        </w:tc>
      </w:tr>
      <w:tr w14:paraId="3CB87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3" w:type="pct"/>
            <w:noWrap w:val="0"/>
            <w:vAlign w:val="center"/>
          </w:tcPr>
          <w:p w14:paraId="2830DBE5">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13B72FF9">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69D9DCA4">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518D1DC9">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437DE573">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3BAC189D">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1628E074">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44A8A294">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6E39F338">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2D56210A">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6A05097B">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3BEB86CB">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13427ED9">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35477343">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r>
              <w:rPr>
                <w:rFonts w:hint="default" w:ascii="Times New Roman" w:hAnsi="Times New Roman" w:cs="Times New Roman"/>
                <w:b/>
                <w:bCs w:val="0"/>
                <w:color w:val="auto"/>
                <w:sz w:val="24"/>
                <w:highlight w:val="none"/>
              </w:rPr>
              <w:t>与项目有关的原有环境污染问题</w:t>
            </w:r>
          </w:p>
          <w:p w14:paraId="5B1C3FA9">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5AB06C1D">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260281AA">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71A7567E">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14CE6EC4">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3899B8A1">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3F114A84">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3EC30861">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77414C3C">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326E792E">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570E3C42">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p w14:paraId="514F7233">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b/>
                <w:bCs w:val="0"/>
                <w:color w:val="auto"/>
                <w:sz w:val="24"/>
                <w:highlight w:val="none"/>
              </w:rPr>
            </w:pPr>
          </w:p>
        </w:tc>
        <w:tc>
          <w:tcPr>
            <w:tcW w:w="4576" w:type="pct"/>
            <w:noWrap w:val="0"/>
            <w:vAlign w:val="top"/>
          </w:tcPr>
          <w:p w14:paraId="621AE87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Cs/>
                <w:color w:val="auto"/>
                <w:sz w:val="24"/>
                <w:highlight w:val="none"/>
              </w:rPr>
            </w:pPr>
          </w:p>
          <w:p w14:paraId="2154D81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Cs/>
                <w:color w:val="auto"/>
                <w:sz w:val="24"/>
                <w:highlight w:val="none"/>
                <w:lang w:eastAsia="zh-CN"/>
              </w:rPr>
            </w:pPr>
          </w:p>
          <w:p w14:paraId="09EEB8E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Cs/>
                <w:color w:val="auto"/>
                <w:sz w:val="24"/>
                <w:highlight w:val="none"/>
                <w:lang w:eastAsia="zh-CN"/>
              </w:rPr>
            </w:pPr>
          </w:p>
          <w:p w14:paraId="7AA369F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Cs/>
                <w:color w:val="auto"/>
                <w:sz w:val="24"/>
                <w:highlight w:val="none"/>
                <w:lang w:eastAsia="zh-CN"/>
              </w:rPr>
            </w:pPr>
          </w:p>
          <w:p w14:paraId="36D39B3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Cs/>
                <w:color w:val="auto"/>
                <w:sz w:val="24"/>
                <w:highlight w:val="none"/>
                <w:lang w:eastAsia="zh-CN"/>
              </w:rPr>
            </w:pPr>
          </w:p>
          <w:p w14:paraId="07669D3D">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Cs/>
                <w:color w:val="auto"/>
                <w:sz w:val="24"/>
                <w:highlight w:val="none"/>
                <w:lang w:eastAsia="zh-CN"/>
              </w:rPr>
            </w:pPr>
          </w:p>
          <w:p w14:paraId="0682FC6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Cs/>
                <w:color w:val="auto"/>
                <w:sz w:val="24"/>
                <w:highlight w:val="none"/>
                <w:lang w:eastAsia="zh-CN"/>
              </w:rPr>
            </w:pPr>
          </w:p>
          <w:p w14:paraId="69D2928E">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Cs/>
                <w:color w:val="auto"/>
                <w:sz w:val="24"/>
                <w:highlight w:val="none"/>
                <w:lang w:eastAsia="zh-CN"/>
              </w:rPr>
            </w:pPr>
          </w:p>
          <w:p w14:paraId="6D9B323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Cs/>
                <w:color w:val="auto"/>
                <w:sz w:val="24"/>
                <w:highlight w:val="none"/>
                <w:lang w:eastAsia="zh-CN"/>
              </w:rPr>
            </w:pPr>
          </w:p>
          <w:p w14:paraId="777263B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Cs/>
                <w:color w:val="auto"/>
                <w:sz w:val="24"/>
                <w:highlight w:val="none"/>
                <w:lang w:eastAsia="zh-CN"/>
              </w:rPr>
            </w:pPr>
          </w:p>
          <w:p w14:paraId="1EC2E60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Cs/>
                <w:color w:val="auto"/>
                <w:sz w:val="24"/>
                <w:highlight w:val="none"/>
                <w:lang w:eastAsia="zh-CN"/>
              </w:rPr>
            </w:pPr>
            <w:r>
              <w:rPr>
                <w:rFonts w:hint="eastAsia" w:ascii="Times New Roman" w:hAnsi="Times New Roman" w:cs="Times New Roman"/>
                <w:bCs/>
                <w:color w:val="auto"/>
                <w:sz w:val="24"/>
                <w:highlight w:val="none"/>
                <w:lang w:eastAsia="zh-CN"/>
              </w:rPr>
              <w:t>项目</w:t>
            </w:r>
            <w:r>
              <w:rPr>
                <w:rFonts w:hint="default" w:ascii="Times New Roman" w:hAnsi="Times New Roman" w:cs="Times New Roman"/>
                <w:bCs/>
                <w:color w:val="auto"/>
                <w:sz w:val="24"/>
                <w:highlight w:val="none"/>
              </w:rPr>
              <w:t>为新建项目，租赁</w:t>
            </w:r>
            <w:r>
              <w:rPr>
                <w:rFonts w:hint="default" w:ascii="Times New Roman" w:hAnsi="Times New Roman" w:cs="Times New Roman"/>
                <w:bCs/>
                <w:color w:val="auto"/>
                <w:sz w:val="24"/>
                <w:highlight w:val="none"/>
                <w:lang w:eastAsia="zh-CN"/>
              </w:rPr>
              <w:t>淮南市高新区合创产业园</w:t>
            </w:r>
            <w:r>
              <w:rPr>
                <w:rFonts w:hint="default" w:ascii="Times New Roman" w:hAnsi="Times New Roman" w:cs="Times New Roman"/>
                <w:bCs/>
                <w:color w:val="auto"/>
                <w:sz w:val="24"/>
                <w:highlight w:val="none"/>
                <w:lang w:val="en-US" w:eastAsia="zh-CN"/>
              </w:rPr>
              <w:t>厂房</w:t>
            </w:r>
            <w:r>
              <w:rPr>
                <w:rFonts w:hint="default" w:ascii="Times New Roman" w:hAnsi="Times New Roman" w:cs="Times New Roman"/>
                <w:bCs/>
                <w:color w:val="auto"/>
                <w:sz w:val="24"/>
                <w:highlight w:val="none"/>
              </w:rPr>
              <w:t>进行生产，</w:t>
            </w:r>
            <w:r>
              <w:rPr>
                <w:rFonts w:hint="default" w:ascii="Times New Roman" w:hAnsi="Times New Roman" w:cs="Times New Roman"/>
                <w:bCs/>
                <w:color w:val="auto"/>
                <w:sz w:val="24"/>
                <w:highlight w:val="none"/>
                <w:lang w:val="en-US" w:eastAsia="zh-CN"/>
              </w:rPr>
              <w:t>该厂房建成后空置至今，未进行其他生产活动，</w:t>
            </w:r>
            <w:r>
              <w:rPr>
                <w:rFonts w:hint="default" w:ascii="Times New Roman" w:hAnsi="Times New Roman" w:cs="Times New Roman"/>
                <w:bCs/>
                <w:color w:val="auto"/>
                <w:sz w:val="24"/>
                <w:highlight w:val="none"/>
              </w:rPr>
              <w:t>故无原有污染情况及环境问题。</w:t>
            </w:r>
          </w:p>
        </w:tc>
      </w:tr>
    </w:tbl>
    <w:p w14:paraId="368C133C">
      <w:pPr>
        <w:keepNext w:val="0"/>
        <w:keepLines w:val="0"/>
        <w:pageBreakBefore w:val="0"/>
        <w:widowControl w:val="0"/>
        <w:kinsoku/>
        <w:wordWrap/>
        <w:overflowPunct/>
        <w:topLinePunct/>
        <w:autoSpaceDE w:val="0"/>
        <w:autoSpaceDN/>
        <w:bidi w:val="0"/>
        <w:adjustRightInd w:val="0"/>
        <w:snapToGrid w:val="0"/>
        <w:ind w:left="0" w:leftChars="0"/>
        <w:jc w:val="center"/>
        <w:outlineLvl w:val="9"/>
        <w:rPr>
          <w:rFonts w:hint="default" w:ascii="Times New Roman" w:hAnsi="Times New Roman" w:cs="Times New Roman"/>
          <w:b/>
          <w:bCs/>
          <w:snapToGrid w:val="0"/>
          <w:color w:val="auto"/>
          <w:sz w:val="30"/>
          <w:szCs w:val="30"/>
          <w:highlight w:val="none"/>
        </w:rPr>
        <w:sectPr>
          <w:footerReference r:id="rId7" w:type="default"/>
          <w:pgSz w:w="11905" w:h="16838"/>
          <w:pgMar w:top="1440" w:right="1803" w:bottom="1440" w:left="1803"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71ECC189">
      <w:pPr>
        <w:keepNext w:val="0"/>
        <w:keepLines w:val="0"/>
        <w:pageBreakBefore w:val="0"/>
        <w:widowControl w:val="0"/>
        <w:kinsoku/>
        <w:wordWrap/>
        <w:overflowPunct/>
        <w:topLinePunct/>
        <w:autoSpaceDE w:val="0"/>
        <w:autoSpaceDN/>
        <w:bidi w:val="0"/>
        <w:adjustRightInd w:val="0"/>
        <w:snapToGrid w:val="0"/>
        <w:ind w:left="0" w:leftChars="0"/>
        <w:jc w:val="center"/>
        <w:outlineLvl w:val="0"/>
        <w:rPr>
          <w:rFonts w:hint="default" w:ascii="Times New Roman" w:hAnsi="Times New Roman" w:eastAsia="黑体" w:cs="Times New Roman"/>
          <w:b/>
          <w:bCs/>
          <w:snapToGrid w:val="0"/>
          <w:color w:val="auto"/>
          <w:sz w:val="30"/>
          <w:szCs w:val="30"/>
          <w:highlight w:val="none"/>
        </w:rPr>
      </w:pPr>
      <w:bookmarkStart w:id="9" w:name="_Toc1998"/>
      <w:r>
        <w:rPr>
          <w:rFonts w:hint="default" w:ascii="Times New Roman" w:hAnsi="Times New Roman" w:eastAsia="黑体" w:cs="Times New Roman"/>
          <w:b/>
          <w:bCs/>
          <w:snapToGrid w:val="0"/>
          <w:color w:val="auto"/>
          <w:sz w:val="30"/>
          <w:szCs w:val="30"/>
          <w:highlight w:val="none"/>
        </w:rPr>
        <w:t>三、区域环境质量现状、环境保护目标及评价标准</w:t>
      </w:r>
      <w:bookmarkEnd w:id="9"/>
    </w:p>
    <w:tbl>
      <w:tblPr>
        <w:tblStyle w:val="25"/>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7759"/>
      </w:tblGrid>
      <w:tr w14:paraId="6FE43E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3" w:type="pct"/>
            <w:noWrap w:val="0"/>
            <w:vAlign w:val="center"/>
          </w:tcPr>
          <w:p w14:paraId="425925A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区域</w:t>
            </w:r>
          </w:p>
          <w:p w14:paraId="600176F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环境</w:t>
            </w:r>
          </w:p>
          <w:p w14:paraId="2AA72BE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质量</w:t>
            </w:r>
          </w:p>
          <w:p w14:paraId="164DA1D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kern w:val="0"/>
                <w:szCs w:val="21"/>
                <w:highlight w:val="none"/>
              </w:rPr>
            </w:pPr>
            <w:r>
              <w:rPr>
                <w:rFonts w:hint="default" w:ascii="Times New Roman" w:hAnsi="Times New Roman" w:cs="Times New Roman"/>
                <w:b/>
                <w:bCs/>
                <w:color w:val="auto"/>
                <w:kern w:val="0"/>
                <w:sz w:val="24"/>
                <w:szCs w:val="24"/>
                <w:highlight w:val="none"/>
              </w:rPr>
              <w:t>现状</w:t>
            </w:r>
          </w:p>
        </w:tc>
        <w:tc>
          <w:tcPr>
            <w:tcW w:w="4556" w:type="pct"/>
            <w:noWrap w:val="0"/>
            <w:vAlign w:val="center"/>
          </w:tcPr>
          <w:p w14:paraId="5F368D9D">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textAlignment w:val="auto"/>
              <w:rPr>
                <w:rFonts w:hint="default" w:ascii="Times New Roman" w:hAnsi="Times New Roman" w:cs="Times New Roman"/>
                <w:color w:val="auto"/>
                <w:kern w:val="0"/>
                <w:sz w:val="24"/>
                <w:highlight w:val="none"/>
              </w:rPr>
            </w:pPr>
            <w:r>
              <w:rPr>
                <w:rFonts w:hint="default" w:ascii="Times New Roman" w:hAnsi="Times New Roman" w:cs="Times New Roman"/>
                <w:b/>
                <w:bCs/>
                <w:color w:val="auto"/>
                <w:kern w:val="0"/>
                <w:sz w:val="24"/>
                <w:highlight w:val="none"/>
              </w:rPr>
              <w:t>1.大气环境</w:t>
            </w:r>
          </w:p>
          <w:p w14:paraId="3647564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）达标区判定</w:t>
            </w:r>
          </w:p>
          <w:p w14:paraId="4EA777E2">
            <w:pPr>
              <w:pStyle w:val="24"/>
              <w:adjustRightInd/>
              <w:spacing w:before="0" w:after="0" w:line="360" w:lineRule="auto"/>
              <w:ind w:right="0" w:righ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为了解项目所在区域基本污染物环境质量现状，依据</w:t>
            </w:r>
            <w:r>
              <w:rPr>
                <w:rFonts w:hint="default" w:ascii="Times New Roman" w:hAnsi="Times New Roman" w:eastAsia="宋体" w:cs="Times New Roman"/>
                <w:bCs/>
                <w:color w:val="auto"/>
                <w:sz w:val="24"/>
                <w:szCs w:val="24"/>
                <w:highlight w:val="none"/>
              </w:rPr>
              <w:t>本项目位于淮南市高新技术产业开发区，本次评价基本因子引用淮南市生态环境局202</w:t>
            </w:r>
            <w:r>
              <w:rPr>
                <w:rFonts w:hint="default" w:ascii="Times New Roman" w:hAnsi="Times New Roman" w:cs="Times New Roman"/>
                <w:bCs/>
                <w:color w:val="auto"/>
                <w:sz w:val="24"/>
                <w:szCs w:val="24"/>
                <w:highlight w:val="none"/>
                <w:lang w:val="en-US" w:eastAsia="zh-CN"/>
              </w:rPr>
              <w:t>6</w:t>
            </w:r>
            <w:r>
              <w:rPr>
                <w:rFonts w:hint="default" w:ascii="Times New Roman" w:hAnsi="Times New Roman" w:eastAsia="宋体" w:cs="Times New Roman"/>
                <w:bCs/>
                <w:color w:val="auto"/>
                <w:sz w:val="24"/>
                <w:szCs w:val="24"/>
                <w:highlight w:val="none"/>
              </w:rPr>
              <w:t>年6月</w:t>
            </w:r>
            <w:r>
              <w:rPr>
                <w:rFonts w:hint="default" w:ascii="Times New Roman" w:hAnsi="Times New Roman" w:cs="Times New Roman"/>
                <w:bCs/>
                <w:color w:val="auto"/>
                <w:sz w:val="24"/>
                <w:szCs w:val="24"/>
                <w:highlight w:val="none"/>
                <w:lang w:val="en-US" w:eastAsia="zh-CN"/>
              </w:rPr>
              <w:t>4</w:t>
            </w:r>
            <w:r>
              <w:rPr>
                <w:rFonts w:hint="default" w:ascii="Times New Roman" w:hAnsi="Times New Roman" w:eastAsia="宋体" w:cs="Times New Roman"/>
                <w:bCs/>
                <w:color w:val="auto"/>
                <w:sz w:val="24"/>
                <w:szCs w:val="24"/>
                <w:highlight w:val="none"/>
              </w:rPr>
              <w:t>日发布的《</w:t>
            </w:r>
            <w:r>
              <w:rPr>
                <w:rFonts w:hint="default" w:ascii="Times New Roman" w:hAnsi="Times New Roman" w:cs="Times New Roman"/>
                <w:bCs/>
                <w:color w:val="auto"/>
                <w:sz w:val="24"/>
                <w:szCs w:val="24"/>
                <w:highlight w:val="none"/>
                <w:lang w:eastAsia="zh-CN"/>
              </w:rPr>
              <w:t>2025年淮南市生态环境质量状况公报</w:t>
            </w:r>
            <w:r>
              <w:rPr>
                <w:rFonts w:hint="default" w:ascii="Times New Roman" w:hAnsi="Times New Roman" w:eastAsia="宋体" w:cs="Times New Roman"/>
                <w:bCs/>
                <w:color w:val="auto"/>
                <w:sz w:val="24"/>
                <w:szCs w:val="24"/>
                <w:highlight w:val="none"/>
              </w:rPr>
              <w:t>》中相关数据。具体环境空气质量现状数值见下表。</w:t>
            </w:r>
          </w:p>
          <w:p w14:paraId="74BC636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表3-1</w:t>
            </w:r>
            <w:r>
              <w:rPr>
                <w:rFonts w:hint="default"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区域空气质量现状评价表</w:t>
            </w:r>
          </w:p>
          <w:tbl>
            <w:tblPr>
              <w:tblStyle w:val="25"/>
              <w:tblW w:w="4996"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690"/>
              <w:gridCol w:w="1838"/>
              <w:gridCol w:w="1163"/>
              <w:gridCol w:w="1851"/>
              <w:gridCol w:w="848"/>
              <w:gridCol w:w="649"/>
            </w:tblGrid>
            <w:tr w14:paraId="7605F8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07F7C144">
                  <w:pPr>
                    <w:jc w:val="center"/>
                    <w:rPr>
                      <w:rFonts w:hint="default" w:ascii="Times New Roman" w:hAnsi="Times New Roman" w:cs="Times New Roman"/>
                      <w:b/>
                      <w:bCs/>
                      <w:color w:val="auto"/>
                      <w:sz w:val="21"/>
                      <w:szCs w:val="21"/>
                    </w:rPr>
                  </w:pPr>
                  <w:bookmarkStart w:id="10" w:name="一、建设项目所在地区域环境质量现状及主要环境问题（环境空气、地表水、声环境等）"/>
                  <w:bookmarkEnd w:id="10"/>
                  <w:r>
                    <w:rPr>
                      <w:rFonts w:hint="default" w:ascii="Times New Roman" w:hAnsi="Times New Roman" w:cs="Times New Roman"/>
                      <w:b/>
                      <w:bCs/>
                      <w:color w:val="auto"/>
                      <w:sz w:val="21"/>
                      <w:szCs w:val="21"/>
                    </w:rPr>
                    <w:t>序号</w:t>
                  </w:r>
                </w:p>
              </w:tc>
              <w:tc>
                <w:tcPr>
                  <w:tcW w:w="508" w:type="pct"/>
                  <w:noWrap w:val="0"/>
                  <w:vAlign w:val="center"/>
                </w:tcPr>
                <w:p w14:paraId="710E1A6B">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污染物</w:t>
                  </w:r>
                </w:p>
              </w:tc>
              <w:tc>
                <w:tcPr>
                  <w:tcW w:w="1337" w:type="pct"/>
                  <w:noWrap w:val="0"/>
                  <w:vAlign w:val="center"/>
                </w:tcPr>
                <w:p w14:paraId="521136C2">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年评价指标</w:t>
                  </w:r>
                </w:p>
              </w:tc>
              <w:tc>
                <w:tcPr>
                  <w:tcW w:w="705" w:type="pct"/>
                  <w:noWrap w:val="0"/>
                  <w:vAlign w:val="center"/>
                </w:tcPr>
                <w:p w14:paraId="1EF6B1D0">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现状浓度</w:t>
                  </w:r>
                </w:p>
                <w:p w14:paraId="2A6B02C1">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（μg/m</w:t>
                  </w:r>
                  <w:r>
                    <w:rPr>
                      <w:rFonts w:hint="default" w:ascii="Times New Roman" w:hAnsi="Times New Roman" w:cs="Times New Roman"/>
                      <w:b/>
                      <w:bCs/>
                      <w:color w:val="auto"/>
                      <w:sz w:val="21"/>
                      <w:szCs w:val="21"/>
                      <w:vertAlign w:val="superscript"/>
                    </w:rPr>
                    <w:t>3</w:t>
                  </w:r>
                  <w:r>
                    <w:rPr>
                      <w:rFonts w:hint="default" w:ascii="Times New Roman" w:hAnsi="Times New Roman" w:cs="Times New Roman"/>
                      <w:b/>
                      <w:bCs/>
                      <w:color w:val="auto"/>
                      <w:sz w:val="21"/>
                      <w:szCs w:val="21"/>
                    </w:rPr>
                    <w:t>）</w:t>
                  </w:r>
                </w:p>
              </w:tc>
              <w:tc>
                <w:tcPr>
                  <w:tcW w:w="871" w:type="pct"/>
                  <w:noWrap w:val="0"/>
                  <w:vAlign w:val="center"/>
                </w:tcPr>
                <w:p w14:paraId="5037D3D7">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（GB3095-</w:t>
                  </w:r>
                  <w:r>
                    <w:rPr>
                      <w:rFonts w:hint="default" w:ascii="Times New Roman" w:hAnsi="Times New Roman" w:cs="Times New Roman"/>
                      <w:b/>
                      <w:bCs/>
                      <w:color w:val="auto"/>
                      <w:sz w:val="21"/>
                      <w:szCs w:val="21"/>
                      <w:lang w:val="en-US" w:eastAsia="zh-CN"/>
                    </w:rPr>
                    <w:t>2026</w:t>
                  </w:r>
                  <w:r>
                    <w:rPr>
                      <w:rFonts w:hint="default" w:ascii="Times New Roman" w:hAnsi="Times New Roman" w:cs="Times New Roman"/>
                      <w:b/>
                      <w:bCs/>
                      <w:color w:val="auto"/>
                      <w:sz w:val="21"/>
                      <w:szCs w:val="21"/>
                    </w:rPr>
                    <w:t>）</w:t>
                  </w:r>
                  <w:r>
                    <w:rPr>
                      <w:rFonts w:hint="default" w:ascii="Times New Roman" w:hAnsi="Times New Roman" w:cs="Times New Roman"/>
                      <w:b/>
                      <w:bCs/>
                      <w:color w:val="auto"/>
                      <w:sz w:val="21"/>
                      <w:szCs w:val="21"/>
                      <w:lang w:val="en-US" w:eastAsia="zh-CN"/>
                    </w:rPr>
                    <w:t>过渡阶段二级</w:t>
                  </w:r>
                  <w:r>
                    <w:rPr>
                      <w:rFonts w:hint="default" w:ascii="Times New Roman" w:hAnsi="Times New Roman" w:cs="Times New Roman"/>
                      <w:b/>
                      <w:bCs/>
                      <w:color w:val="auto"/>
                      <w:sz w:val="21"/>
                      <w:szCs w:val="21"/>
                    </w:rPr>
                    <w:t>评价标准值（μg/m</w:t>
                  </w:r>
                  <w:r>
                    <w:rPr>
                      <w:rFonts w:hint="default" w:ascii="Times New Roman" w:hAnsi="Times New Roman" w:cs="Times New Roman"/>
                      <w:b/>
                      <w:bCs/>
                      <w:color w:val="auto"/>
                      <w:sz w:val="21"/>
                      <w:szCs w:val="21"/>
                      <w:vertAlign w:val="superscript"/>
                    </w:rPr>
                    <w:t>3</w:t>
                  </w:r>
                  <w:r>
                    <w:rPr>
                      <w:rFonts w:hint="default" w:ascii="Times New Roman" w:hAnsi="Times New Roman" w:cs="Times New Roman"/>
                      <w:b/>
                      <w:bCs/>
                      <w:color w:val="auto"/>
                      <w:sz w:val="21"/>
                      <w:szCs w:val="21"/>
                    </w:rPr>
                    <w:t>）</w:t>
                  </w:r>
                </w:p>
              </w:tc>
              <w:tc>
                <w:tcPr>
                  <w:tcW w:w="572" w:type="pct"/>
                  <w:noWrap w:val="0"/>
                  <w:vAlign w:val="center"/>
                </w:tcPr>
                <w:p w14:paraId="21C3DB6A">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占标率</w:t>
                  </w:r>
                </w:p>
                <w:p w14:paraId="56FF9038">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w:t>
                  </w:r>
                </w:p>
              </w:tc>
              <w:tc>
                <w:tcPr>
                  <w:tcW w:w="589" w:type="pct"/>
                  <w:noWrap w:val="0"/>
                  <w:vAlign w:val="center"/>
                </w:tcPr>
                <w:p w14:paraId="62EC8E52">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达标情况</w:t>
                  </w:r>
                </w:p>
              </w:tc>
            </w:tr>
            <w:tr w14:paraId="750222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0CAD8792">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508" w:type="pct"/>
                  <w:noWrap w:val="0"/>
                  <w:vAlign w:val="center"/>
                </w:tcPr>
                <w:p w14:paraId="46AB9EE3">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SO</w:t>
                  </w:r>
                  <w:r>
                    <w:rPr>
                      <w:rFonts w:hint="default" w:ascii="Times New Roman" w:hAnsi="Times New Roman" w:cs="Times New Roman"/>
                      <w:color w:val="auto"/>
                      <w:sz w:val="21"/>
                      <w:szCs w:val="21"/>
                      <w:vertAlign w:val="subscript"/>
                    </w:rPr>
                    <w:t>2</w:t>
                  </w:r>
                </w:p>
              </w:tc>
              <w:tc>
                <w:tcPr>
                  <w:tcW w:w="1337" w:type="pct"/>
                  <w:noWrap w:val="0"/>
                  <w:vAlign w:val="center"/>
                </w:tcPr>
                <w:p w14:paraId="6FAB95F6">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年平均质量浓度</w:t>
                  </w:r>
                </w:p>
              </w:tc>
              <w:tc>
                <w:tcPr>
                  <w:tcW w:w="705" w:type="pct"/>
                  <w:noWrap w:val="0"/>
                  <w:vAlign w:val="center"/>
                </w:tcPr>
                <w:p w14:paraId="10C8DBD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w:t>
                  </w:r>
                </w:p>
              </w:tc>
              <w:tc>
                <w:tcPr>
                  <w:tcW w:w="871" w:type="pct"/>
                  <w:noWrap w:val="0"/>
                  <w:vAlign w:val="center"/>
                </w:tcPr>
                <w:p w14:paraId="7DF18442">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60</w:t>
                  </w:r>
                </w:p>
              </w:tc>
              <w:tc>
                <w:tcPr>
                  <w:tcW w:w="863" w:type="dxa"/>
                  <w:noWrap w:val="0"/>
                  <w:vAlign w:val="center"/>
                </w:tcPr>
                <w:p w14:paraId="1EB83393">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11.67</w:t>
                  </w:r>
                </w:p>
              </w:tc>
              <w:tc>
                <w:tcPr>
                  <w:tcW w:w="589" w:type="pct"/>
                  <w:noWrap w:val="0"/>
                  <w:vAlign w:val="center"/>
                </w:tcPr>
                <w:p w14:paraId="2DA9A24B">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达标</w:t>
                  </w:r>
                </w:p>
              </w:tc>
            </w:tr>
            <w:tr w14:paraId="3A7C7C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4D4CF569">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2</w:t>
                  </w:r>
                </w:p>
              </w:tc>
              <w:tc>
                <w:tcPr>
                  <w:tcW w:w="508" w:type="pct"/>
                  <w:noWrap w:val="0"/>
                  <w:vAlign w:val="center"/>
                </w:tcPr>
                <w:p w14:paraId="0E9B463E">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NO</w:t>
                  </w:r>
                  <w:r>
                    <w:rPr>
                      <w:rFonts w:hint="default" w:ascii="Times New Roman" w:hAnsi="Times New Roman" w:cs="Times New Roman"/>
                      <w:color w:val="auto"/>
                      <w:sz w:val="21"/>
                      <w:szCs w:val="21"/>
                      <w:vertAlign w:val="subscript"/>
                    </w:rPr>
                    <w:t>2</w:t>
                  </w:r>
                </w:p>
              </w:tc>
              <w:tc>
                <w:tcPr>
                  <w:tcW w:w="1337" w:type="pct"/>
                  <w:noWrap w:val="0"/>
                  <w:vAlign w:val="center"/>
                </w:tcPr>
                <w:p w14:paraId="33D0E4F3">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年平均质量浓度</w:t>
                  </w:r>
                </w:p>
              </w:tc>
              <w:tc>
                <w:tcPr>
                  <w:tcW w:w="705" w:type="pct"/>
                  <w:noWrap w:val="0"/>
                  <w:vAlign w:val="center"/>
                </w:tcPr>
                <w:p w14:paraId="2CD4FBE5">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18</w:t>
                  </w:r>
                </w:p>
              </w:tc>
              <w:tc>
                <w:tcPr>
                  <w:tcW w:w="871" w:type="pct"/>
                  <w:noWrap w:val="0"/>
                  <w:vAlign w:val="center"/>
                </w:tcPr>
                <w:p w14:paraId="309F3234">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40</w:t>
                  </w:r>
                </w:p>
              </w:tc>
              <w:tc>
                <w:tcPr>
                  <w:tcW w:w="863" w:type="dxa"/>
                  <w:noWrap w:val="0"/>
                  <w:vAlign w:val="center"/>
                </w:tcPr>
                <w:p w14:paraId="497AAA7F">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45</w:t>
                  </w:r>
                </w:p>
              </w:tc>
              <w:tc>
                <w:tcPr>
                  <w:tcW w:w="589" w:type="pct"/>
                  <w:noWrap w:val="0"/>
                  <w:vAlign w:val="center"/>
                </w:tcPr>
                <w:p w14:paraId="58F28663">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达标</w:t>
                  </w:r>
                </w:p>
              </w:tc>
            </w:tr>
            <w:tr w14:paraId="76621D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67033020">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3</w:t>
                  </w:r>
                </w:p>
              </w:tc>
              <w:tc>
                <w:tcPr>
                  <w:tcW w:w="508" w:type="pct"/>
                  <w:noWrap w:val="0"/>
                  <w:vAlign w:val="center"/>
                </w:tcPr>
                <w:p w14:paraId="4370FEA2">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PM</w:t>
                  </w:r>
                  <w:r>
                    <w:rPr>
                      <w:rFonts w:hint="default" w:ascii="Times New Roman" w:hAnsi="Times New Roman" w:cs="Times New Roman"/>
                      <w:color w:val="auto"/>
                      <w:sz w:val="21"/>
                      <w:szCs w:val="21"/>
                      <w:vertAlign w:val="subscript"/>
                    </w:rPr>
                    <w:t>10</w:t>
                  </w:r>
                </w:p>
              </w:tc>
              <w:tc>
                <w:tcPr>
                  <w:tcW w:w="1337" w:type="pct"/>
                  <w:noWrap w:val="0"/>
                  <w:vAlign w:val="center"/>
                </w:tcPr>
                <w:p w14:paraId="3E8E2122">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年平均质量浓度</w:t>
                  </w:r>
                </w:p>
              </w:tc>
              <w:tc>
                <w:tcPr>
                  <w:tcW w:w="705" w:type="pct"/>
                  <w:noWrap w:val="0"/>
                  <w:vAlign w:val="center"/>
                </w:tcPr>
                <w:p w14:paraId="5A561378">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61</w:t>
                  </w:r>
                </w:p>
              </w:tc>
              <w:tc>
                <w:tcPr>
                  <w:tcW w:w="871" w:type="pct"/>
                  <w:noWrap w:val="0"/>
                  <w:vAlign w:val="center"/>
                </w:tcPr>
                <w:p w14:paraId="70A15A8C">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60</w:t>
                  </w:r>
                </w:p>
              </w:tc>
              <w:tc>
                <w:tcPr>
                  <w:tcW w:w="863" w:type="dxa"/>
                  <w:noWrap w:val="0"/>
                  <w:vAlign w:val="center"/>
                </w:tcPr>
                <w:p w14:paraId="214B7E4E">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101.67</w:t>
                  </w:r>
                </w:p>
              </w:tc>
              <w:tc>
                <w:tcPr>
                  <w:tcW w:w="589" w:type="pct"/>
                  <w:noWrap w:val="0"/>
                  <w:vAlign w:val="center"/>
                </w:tcPr>
                <w:p w14:paraId="5487DBAC">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不达标</w:t>
                  </w:r>
                </w:p>
              </w:tc>
            </w:tr>
            <w:tr w14:paraId="46854D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6C6E3EBA">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4</w:t>
                  </w:r>
                </w:p>
              </w:tc>
              <w:tc>
                <w:tcPr>
                  <w:tcW w:w="508" w:type="pct"/>
                  <w:noWrap w:val="0"/>
                  <w:vAlign w:val="center"/>
                </w:tcPr>
                <w:p w14:paraId="403B5295">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PM</w:t>
                  </w:r>
                  <w:r>
                    <w:rPr>
                      <w:rFonts w:hint="default" w:ascii="Times New Roman" w:hAnsi="Times New Roman" w:cs="Times New Roman"/>
                      <w:color w:val="auto"/>
                      <w:sz w:val="21"/>
                      <w:szCs w:val="21"/>
                      <w:vertAlign w:val="subscript"/>
                    </w:rPr>
                    <w:t>2.5</w:t>
                  </w:r>
                </w:p>
              </w:tc>
              <w:tc>
                <w:tcPr>
                  <w:tcW w:w="1337" w:type="pct"/>
                  <w:noWrap w:val="0"/>
                  <w:vAlign w:val="center"/>
                </w:tcPr>
                <w:p w14:paraId="665B8236">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年平均质量浓度</w:t>
                  </w:r>
                </w:p>
              </w:tc>
              <w:tc>
                <w:tcPr>
                  <w:tcW w:w="705" w:type="pct"/>
                  <w:noWrap w:val="0"/>
                  <w:vAlign w:val="center"/>
                </w:tcPr>
                <w:p w14:paraId="6CC1840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37.1</w:t>
                  </w:r>
                </w:p>
              </w:tc>
              <w:tc>
                <w:tcPr>
                  <w:tcW w:w="871" w:type="pct"/>
                  <w:noWrap w:val="0"/>
                  <w:vAlign w:val="center"/>
                </w:tcPr>
                <w:p w14:paraId="3F7189B6">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30</w:t>
                  </w:r>
                </w:p>
              </w:tc>
              <w:tc>
                <w:tcPr>
                  <w:tcW w:w="863" w:type="dxa"/>
                  <w:noWrap w:val="0"/>
                  <w:vAlign w:val="center"/>
                </w:tcPr>
                <w:p w14:paraId="0AFAD5C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123.67</w:t>
                  </w:r>
                </w:p>
              </w:tc>
              <w:tc>
                <w:tcPr>
                  <w:tcW w:w="589" w:type="pct"/>
                  <w:noWrap w:val="0"/>
                  <w:vAlign w:val="center"/>
                </w:tcPr>
                <w:p w14:paraId="7A11AD7A">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不达标</w:t>
                  </w:r>
                </w:p>
              </w:tc>
            </w:tr>
            <w:tr w14:paraId="1B24AF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6A2F689B">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5</w:t>
                  </w:r>
                </w:p>
              </w:tc>
              <w:tc>
                <w:tcPr>
                  <w:tcW w:w="508" w:type="pct"/>
                  <w:noWrap w:val="0"/>
                  <w:vAlign w:val="center"/>
                </w:tcPr>
                <w:p w14:paraId="2691FA02">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CO</w:t>
                  </w:r>
                </w:p>
              </w:tc>
              <w:tc>
                <w:tcPr>
                  <w:tcW w:w="1337" w:type="pct"/>
                  <w:noWrap w:val="0"/>
                  <w:vAlign w:val="center"/>
                </w:tcPr>
                <w:p w14:paraId="1B81885A">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日均值第95百分位数</w:t>
                  </w:r>
                </w:p>
              </w:tc>
              <w:tc>
                <w:tcPr>
                  <w:tcW w:w="705" w:type="pct"/>
                  <w:noWrap w:val="0"/>
                  <w:vAlign w:val="center"/>
                </w:tcPr>
                <w:p w14:paraId="322A70FE">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800</w:t>
                  </w:r>
                </w:p>
              </w:tc>
              <w:tc>
                <w:tcPr>
                  <w:tcW w:w="871" w:type="pct"/>
                  <w:noWrap w:val="0"/>
                  <w:vAlign w:val="center"/>
                </w:tcPr>
                <w:p w14:paraId="1AF7B41D">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4000</w:t>
                  </w:r>
                </w:p>
              </w:tc>
              <w:tc>
                <w:tcPr>
                  <w:tcW w:w="863" w:type="dxa"/>
                  <w:noWrap w:val="0"/>
                  <w:vAlign w:val="center"/>
                </w:tcPr>
                <w:p w14:paraId="47884BB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589" w:type="pct"/>
                  <w:noWrap w:val="0"/>
                  <w:vAlign w:val="center"/>
                </w:tcPr>
                <w:p w14:paraId="47841D09">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达标</w:t>
                  </w:r>
                </w:p>
              </w:tc>
            </w:tr>
            <w:tr w14:paraId="619A84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3485B029">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6</w:t>
                  </w:r>
                </w:p>
              </w:tc>
              <w:tc>
                <w:tcPr>
                  <w:tcW w:w="508" w:type="pct"/>
                  <w:noWrap w:val="0"/>
                  <w:vAlign w:val="center"/>
                </w:tcPr>
                <w:p w14:paraId="593862C5">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O</w:t>
                  </w:r>
                  <w:r>
                    <w:rPr>
                      <w:rFonts w:hint="default" w:ascii="Times New Roman" w:hAnsi="Times New Roman" w:cs="Times New Roman"/>
                      <w:color w:val="auto"/>
                      <w:sz w:val="21"/>
                      <w:szCs w:val="21"/>
                      <w:vertAlign w:val="subscript"/>
                    </w:rPr>
                    <w:t>3</w:t>
                  </w:r>
                </w:p>
              </w:tc>
              <w:tc>
                <w:tcPr>
                  <w:tcW w:w="1337" w:type="pct"/>
                  <w:noWrap w:val="0"/>
                  <w:vAlign w:val="center"/>
                </w:tcPr>
                <w:p w14:paraId="7DD99313">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最大8小时平均值第90百分位数</w:t>
                  </w:r>
                </w:p>
              </w:tc>
              <w:tc>
                <w:tcPr>
                  <w:tcW w:w="705" w:type="pct"/>
                  <w:noWrap w:val="0"/>
                  <w:vAlign w:val="center"/>
                </w:tcPr>
                <w:p w14:paraId="4B14E680">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149</w:t>
                  </w:r>
                </w:p>
              </w:tc>
              <w:tc>
                <w:tcPr>
                  <w:tcW w:w="871" w:type="pct"/>
                  <w:noWrap w:val="0"/>
                  <w:vAlign w:val="center"/>
                </w:tcPr>
                <w:p w14:paraId="7A12816B">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160</w:t>
                  </w:r>
                </w:p>
              </w:tc>
              <w:tc>
                <w:tcPr>
                  <w:tcW w:w="863" w:type="dxa"/>
                  <w:noWrap w:val="0"/>
                  <w:vAlign w:val="center"/>
                </w:tcPr>
                <w:p w14:paraId="15EAF0AC">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93.13</w:t>
                  </w:r>
                </w:p>
              </w:tc>
              <w:tc>
                <w:tcPr>
                  <w:tcW w:w="589" w:type="pct"/>
                  <w:noWrap w:val="0"/>
                  <w:vAlign w:val="center"/>
                </w:tcPr>
                <w:p w14:paraId="10891D58">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达标</w:t>
                  </w:r>
                </w:p>
              </w:tc>
            </w:tr>
          </w:tbl>
          <w:p w14:paraId="6B132882">
            <w:pPr>
              <w:pStyle w:val="60"/>
              <w:keepNext w:val="0"/>
              <w:keepLines w:val="0"/>
              <w:pageBreakBefore w:val="0"/>
              <w:kinsoku/>
              <w:wordWrap/>
              <w:topLinePunct w:val="0"/>
              <w:bidi w:val="0"/>
              <w:adjustRightInd/>
              <w:snapToGrid/>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202</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年淮南市的</w:t>
            </w:r>
            <w:r>
              <w:rPr>
                <w:rFonts w:hint="default" w:ascii="Times New Roman" w:hAnsi="Times New Roman" w:cs="Times New Roman"/>
                <w:color w:val="auto"/>
                <w:sz w:val="24"/>
                <w:szCs w:val="24"/>
              </w:rPr>
              <w:t>PM</w:t>
            </w:r>
            <w:r>
              <w:rPr>
                <w:rFonts w:hint="default" w:ascii="Times New Roman" w:hAnsi="Times New Roman" w:cs="Times New Roman"/>
                <w:color w:val="auto"/>
                <w:sz w:val="24"/>
                <w:szCs w:val="24"/>
                <w:vertAlign w:val="subscript"/>
              </w:rPr>
              <w:t>10</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评价指标不能满足《环境空气质量标准》（</w:t>
            </w:r>
            <w:r>
              <w:rPr>
                <w:rFonts w:hint="default" w:ascii="Times New Roman" w:hAnsi="Times New Roman" w:eastAsia="宋体" w:cs="Times New Roman"/>
                <w:color w:val="auto"/>
                <w:sz w:val="24"/>
                <w:szCs w:val="24"/>
                <w:highlight w:val="none"/>
                <w:lang w:eastAsia="zh-CN"/>
              </w:rPr>
              <w:t>GB3095-2026</w:t>
            </w:r>
            <w:r>
              <w:rPr>
                <w:rFonts w:hint="default" w:ascii="Times New Roman" w:hAnsi="Times New Roman" w:eastAsia="宋体" w:cs="Times New Roman"/>
                <w:color w:val="auto"/>
                <w:sz w:val="24"/>
                <w:szCs w:val="24"/>
                <w:highlight w:val="none"/>
              </w:rPr>
              <w:t>）中</w:t>
            </w:r>
            <w:r>
              <w:rPr>
                <w:rFonts w:hint="default" w:ascii="Times New Roman" w:hAnsi="Times New Roman" w:eastAsia="宋体" w:cs="Times New Roman"/>
                <w:color w:val="auto"/>
                <w:sz w:val="24"/>
                <w:szCs w:val="24"/>
                <w:highlight w:val="none"/>
                <w:lang w:val="en-US" w:eastAsia="zh-CN"/>
              </w:rPr>
              <w:t>过渡阶段的</w:t>
            </w:r>
            <w:r>
              <w:rPr>
                <w:rFonts w:hint="default" w:ascii="Times New Roman" w:hAnsi="Times New Roman" w:eastAsia="宋体" w:cs="Times New Roman"/>
                <w:color w:val="auto"/>
                <w:sz w:val="24"/>
                <w:szCs w:val="24"/>
                <w:highlight w:val="none"/>
              </w:rPr>
              <w:t>二级标准限值要求，</w:t>
            </w:r>
            <w:r>
              <w:rPr>
                <w:rFonts w:hint="default" w:ascii="Times New Roman" w:hAnsi="Times New Roman" w:eastAsia="宋体" w:cs="Times New Roman"/>
                <w:b w:val="0"/>
                <w:bCs w:val="0"/>
                <w:color w:val="auto"/>
                <w:sz w:val="24"/>
                <w:highlight w:val="none"/>
              </w:rPr>
              <w:t>二氧化硫、二氧化氮、一氧化碳、臭氧</w:t>
            </w:r>
            <w:r>
              <w:rPr>
                <w:rFonts w:hint="default" w:ascii="Times New Roman" w:hAnsi="Times New Roman" w:eastAsia="宋体" w:cs="Times New Roman"/>
                <w:color w:val="auto"/>
                <w:sz w:val="24"/>
                <w:szCs w:val="24"/>
                <w:highlight w:val="none"/>
                <w:lang w:val="zh-CN" w:eastAsia="zh-CN"/>
              </w:rPr>
              <w:t>满足《环境空气质量标准》（GB3095-2026）中过渡阶段的二级标准限值要求</w:t>
            </w:r>
            <w:r>
              <w:rPr>
                <w:rFonts w:hint="default" w:ascii="Times New Roman" w:hAnsi="Times New Roman" w:eastAsia="宋体" w:cs="Times New Roman"/>
                <w:color w:val="auto"/>
                <w:sz w:val="24"/>
                <w:szCs w:val="24"/>
                <w:highlight w:val="none"/>
              </w:rPr>
              <w:t>。</w:t>
            </w:r>
          </w:p>
          <w:p w14:paraId="6B80FD6E">
            <w:pPr>
              <w:pStyle w:val="36"/>
              <w:keepNext w:val="0"/>
              <w:keepLines w:val="0"/>
              <w:pageBreakBefore w:val="0"/>
              <w:kinsoku/>
              <w:wordWrap/>
              <w:topLinePunct w:val="0"/>
              <w:bidi w:val="0"/>
              <w:adjustRightInd/>
              <w:snapToGrid/>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淮南市生态环境局就空气质量不达标提出一系列举措，淮南市通过集中专项整治“小散乱污”企业、企业清洁生产技术改造、小锅炉升级改造、燃煤机组超低排放改造，整治散装物料堆场，督促企业完成挥发性有机物整改任务，强化建筑施工扬尘监管，加强道路扬尘清理、责令餐饮油烟单位安装油烟净化装置，取缔室外露天烧烤点，开展秸秆禁烧，淘汰黄标车，禁限放烟花爆竹等措施改善环境空气质量。</w:t>
            </w:r>
          </w:p>
          <w:p w14:paraId="3B2D659C">
            <w:pPr>
              <w:keepNext w:val="0"/>
              <w:keepLines w:val="0"/>
              <w:pageBreakBefore w:val="0"/>
              <w:kinsoku/>
              <w:wordWrap/>
              <w:topLinePunct w:val="0"/>
              <w:bidi w:val="0"/>
              <w:adjustRightInd/>
              <w:snapToGrid/>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rPr>
              <w:t>2022年3月20日淮南市人民政府办公室印发了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淮南市大气环境质量限期达标规划</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通过加快调整能源结构，建设清洁低碳能源体系；调整优化产业结构，构建绿色低碳产业体系；深化工业行业污染治理，推动企业绿色升级；全面推行挥发性有机物整治，大幅削减VOCs排放；积极调整运输结构，完善绿色低碳交通体系；优化调整用地结构，推进面源污染治理；加强重污染天气应对，提升管控能力；加强环保能力建设，提高科技支撑能力等措施实现淮南市大气环境质量限期达标规划。在2020</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2025年第一阶段，PM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年均浓度达到39μg/m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年均浓度达到80μg/m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、CO浓度持续改善；2026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2030年第二阶段，PM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浓度基本达到国家环境空气质量二级标准要求，SO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、CO、NO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浓度持续改善。2031</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2035年第三阶段，六项污染物全部达到国家环境空气质量二级标准要求</w:t>
            </w:r>
            <w:r>
              <w:rPr>
                <w:rFonts w:hint="default" w:ascii="Times New Roman" w:hAnsi="Times New Roman" w:cs="Times New Roman"/>
                <w:color w:val="auto"/>
                <w:sz w:val="24"/>
                <w:szCs w:val="24"/>
                <w:highlight w:val="none"/>
              </w:rPr>
              <w:t>。</w:t>
            </w:r>
          </w:p>
          <w:p w14:paraId="243D4CF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特征污染物</w:t>
            </w:r>
          </w:p>
          <w:p w14:paraId="60EAF16B">
            <w:pPr>
              <w:keepNext w:val="0"/>
              <w:keepLines w:val="0"/>
              <w:pageBreakBefore w:val="0"/>
              <w:widowControl w:val="0"/>
              <w:kinsoku/>
              <w:wordWrap w:val="0"/>
              <w:overflowPunct/>
              <w:topLinePunct/>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项目</w:t>
            </w:r>
            <w:r>
              <w:rPr>
                <w:rFonts w:hint="default" w:ascii="Times New Roman" w:hAnsi="Times New Roman" w:cs="Times New Roman"/>
                <w:color w:val="auto"/>
                <w:sz w:val="24"/>
                <w:szCs w:val="24"/>
                <w:highlight w:val="none"/>
                <w:lang w:val="en-US" w:eastAsia="zh-CN"/>
              </w:rPr>
              <w:t>大气污染因子主要为非甲烷总烃和TSP。</w:t>
            </w:r>
          </w:p>
          <w:p w14:paraId="39E54C52">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color w:val="auto"/>
                <w:sz w:val="24"/>
                <w:highlight w:val="none"/>
              </w:rPr>
              <w:t>本次评价其他污染物</w:t>
            </w:r>
            <w:r>
              <w:rPr>
                <w:rFonts w:hint="default" w:ascii="Times New Roman" w:hAnsi="Times New Roman" w:cs="Times New Roman"/>
                <w:color w:val="auto"/>
                <w:sz w:val="24"/>
                <w:szCs w:val="24"/>
                <w:highlight w:val="none"/>
                <w:lang w:val="en-US" w:eastAsia="zh-CN"/>
              </w:rPr>
              <w:t>非甲烷总烃和TSP</w:t>
            </w:r>
            <w:r>
              <w:rPr>
                <w:rFonts w:hint="default" w:ascii="Times New Roman" w:hAnsi="Times New Roman" w:cs="Times New Roman"/>
                <w:color w:val="auto"/>
                <w:sz w:val="24"/>
                <w:highlight w:val="none"/>
              </w:rPr>
              <w:t>引用《</w:t>
            </w:r>
            <w:r>
              <w:rPr>
                <w:rFonts w:hint="default" w:ascii="Times New Roman" w:hAnsi="Times New Roman" w:cs="Times New Roman"/>
                <w:color w:val="auto"/>
                <w:sz w:val="24"/>
                <w:highlight w:val="none"/>
                <w:lang w:val="en-US" w:eastAsia="zh-CN"/>
              </w:rPr>
              <w:t>淮南高新技术产业开发区规划环评跟踪监测项目</w:t>
            </w:r>
            <w:r>
              <w:rPr>
                <w:rFonts w:hint="default" w:ascii="Times New Roman" w:hAnsi="Times New Roman" w:cs="Times New Roman"/>
                <w:color w:val="auto"/>
                <w:sz w:val="24"/>
                <w:highlight w:val="none"/>
              </w:rPr>
              <w:t>》中的监测数据，监测时间为202</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lang w:val="en-US" w:eastAsia="zh-CN"/>
              </w:rPr>
              <w:t>22</w:t>
            </w:r>
            <w:r>
              <w:rPr>
                <w:rFonts w:hint="default" w:ascii="Times New Roman" w:hAnsi="Times New Roman" w:cs="Times New Roman"/>
                <w:color w:val="auto"/>
                <w:sz w:val="24"/>
                <w:highlight w:val="none"/>
              </w:rPr>
              <w:t>日至</w:t>
            </w:r>
            <w:r>
              <w:rPr>
                <w:rFonts w:hint="default" w:ascii="Times New Roman" w:hAnsi="Times New Roman" w:cs="Times New Roman"/>
                <w:color w:val="auto"/>
                <w:sz w:val="24"/>
                <w:highlight w:val="none"/>
                <w:lang w:val="en-US" w:eastAsia="zh-CN"/>
              </w:rPr>
              <w:t>28</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引用监测点为淮南市</w:t>
            </w:r>
            <w:r>
              <w:rPr>
                <w:rFonts w:hint="default" w:ascii="Times New Roman" w:hAnsi="Times New Roman" w:cs="Times New Roman"/>
                <w:color w:val="auto"/>
                <w:sz w:val="24"/>
                <w:highlight w:val="none"/>
                <w:lang w:val="en-US" w:eastAsia="zh-CN"/>
              </w:rPr>
              <w:t>高新区居民区玉兰苑</w:t>
            </w:r>
            <w:r>
              <w:rPr>
                <w:rFonts w:hint="default" w:ascii="Times New Roman" w:hAnsi="Times New Roman" w:cs="Times New Roman"/>
                <w:color w:val="auto"/>
                <w:sz w:val="24"/>
                <w:highlight w:val="none"/>
              </w:rPr>
              <w:t>，位于项目</w:t>
            </w:r>
            <w:r>
              <w:rPr>
                <w:rFonts w:hint="default" w:ascii="Times New Roman" w:hAnsi="Times New Roman" w:cs="Times New Roman"/>
                <w:color w:val="auto"/>
                <w:sz w:val="24"/>
                <w:highlight w:val="none"/>
                <w:lang w:val="en-US" w:eastAsia="zh-CN"/>
              </w:rPr>
              <w:t>东南</w:t>
            </w:r>
            <w:r>
              <w:rPr>
                <w:rFonts w:hint="default" w:ascii="Times New Roman" w:hAnsi="Times New Roman" w:cs="Times New Roman"/>
                <w:color w:val="auto"/>
                <w:sz w:val="24"/>
                <w:highlight w:val="none"/>
              </w:rPr>
              <w:t>侧约</w:t>
            </w:r>
            <w:r>
              <w:rPr>
                <w:rFonts w:hint="default" w:ascii="Times New Roman" w:hAnsi="Times New Roman" w:cs="Times New Roman"/>
                <w:color w:val="auto"/>
                <w:sz w:val="24"/>
                <w:highlight w:val="none"/>
                <w:lang w:val="en-US" w:eastAsia="zh-CN"/>
              </w:rPr>
              <w:t>1.3</w:t>
            </w:r>
            <w:r>
              <w:rPr>
                <w:rFonts w:hint="default" w:ascii="Times New Roman" w:hAnsi="Times New Roman" w:cs="Times New Roman"/>
                <w:color w:val="auto"/>
                <w:sz w:val="24"/>
                <w:highlight w:val="none"/>
              </w:rPr>
              <w:t>km。</w:t>
            </w:r>
          </w:p>
          <w:p w14:paraId="61DABAB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表3-2 其他污染物环境质量现状（监测结果）表</w:t>
            </w:r>
          </w:p>
          <w:tbl>
            <w:tblPr>
              <w:tblStyle w:val="25"/>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043"/>
              <w:gridCol w:w="1101"/>
              <w:gridCol w:w="1310"/>
              <w:gridCol w:w="1277"/>
              <w:gridCol w:w="1277"/>
              <w:gridCol w:w="871"/>
              <w:gridCol w:w="661"/>
            </w:tblGrid>
            <w:tr w14:paraId="36462F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833" w:hRule="atLeast"/>
              </w:trPr>
              <w:tc>
                <w:tcPr>
                  <w:tcW w:w="692" w:type="pct"/>
                  <w:vMerge w:val="restart"/>
                  <w:noWrap w:val="0"/>
                  <w:vAlign w:val="center"/>
                </w:tcPr>
                <w:p w14:paraId="4FD302E8">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监测点位</w:t>
                  </w:r>
                </w:p>
              </w:tc>
              <w:tc>
                <w:tcPr>
                  <w:tcW w:w="730" w:type="pct"/>
                  <w:noWrap w:val="0"/>
                  <w:vAlign w:val="center"/>
                </w:tcPr>
                <w:p w14:paraId="720D8F75">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tc>
              <w:tc>
                <w:tcPr>
                  <w:tcW w:w="868" w:type="pct"/>
                  <w:noWrap w:val="0"/>
                  <w:vAlign w:val="center"/>
                </w:tcPr>
                <w:p w14:paraId="5845773C">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监测浓度范围（</w:t>
                  </w:r>
                  <w:r>
                    <w:rPr>
                      <w:rFonts w:hint="default" w:ascii="Times New Roman" w:hAnsi="Times New Roman" w:cs="Times New Roman"/>
                      <w:b/>
                      <w:bCs/>
                      <w:color w:val="auto"/>
                      <w:szCs w:val="21"/>
                      <w:highlight w:val="none"/>
                      <w:lang w:val="en-US" w:eastAsia="zh-CN"/>
                    </w:rPr>
                    <w:t>m</w:t>
                  </w:r>
                  <w:r>
                    <w:rPr>
                      <w:rFonts w:hint="default" w:ascii="Times New Roman" w:hAnsi="Times New Roman" w:cs="Times New Roman"/>
                      <w:b/>
                      <w:bCs/>
                      <w:color w:val="auto"/>
                      <w:szCs w:val="21"/>
                      <w:highlight w:val="none"/>
                    </w:rPr>
                    <w:t>g/m</w:t>
                  </w:r>
                  <w:r>
                    <w:rPr>
                      <w:rFonts w:hint="default" w:ascii="Times New Roman" w:hAnsi="Times New Roman" w:cs="Times New Roman"/>
                      <w:b/>
                      <w:bCs/>
                      <w:color w:val="auto"/>
                      <w:szCs w:val="21"/>
                      <w:highlight w:val="none"/>
                      <w:vertAlign w:val="superscript"/>
                    </w:rPr>
                    <w:t>3</w:t>
                  </w:r>
                  <w:r>
                    <w:rPr>
                      <w:rFonts w:hint="default" w:ascii="Times New Roman" w:hAnsi="Times New Roman" w:cs="Times New Roman"/>
                      <w:b/>
                      <w:bCs/>
                      <w:color w:val="auto"/>
                      <w:szCs w:val="21"/>
                      <w:highlight w:val="none"/>
                    </w:rPr>
                    <w:t>）</w:t>
                  </w:r>
                </w:p>
              </w:tc>
              <w:tc>
                <w:tcPr>
                  <w:tcW w:w="846" w:type="pct"/>
                  <w:noWrap w:val="0"/>
                  <w:vAlign w:val="center"/>
                </w:tcPr>
                <w:p w14:paraId="17A8E1D1">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b/>
                      <w:bCs/>
                      <w:color w:val="auto"/>
                      <w:szCs w:val="21"/>
                      <w:highlight w:val="none"/>
                      <w:lang w:val="en-US" w:eastAsia="zh-CN"/>
                    </w:rPr>
                  </w:pPr>
                  <w:r>
                    <w:rPr>
                      <w:rFonts w:hint="default" w:ascii="Times New Roman" w:hAnsi="Times New Roman" w:cs="Times New Roman"/>
                      <w:b/>
                      <w:bCs/>
                      <w:color w:val="auto"/>
                      <w:szCs w:val="21"/>
                      <w:highlight w:val="none"/>
                      <w:lang w:val="en-US" w:eastAsia="zh-CN"/>
                    </w:rPr>
                    <w:t>质量浓度参考限值（mg/m</w:t>
                  </w:r>
                  <w:r>
                    <w:rPr>
                      <w:rFonts w:hint="default" w:ascii="Times New Roman" w:hAnsi="Times New Roman" w:cs="Times New Roman"/>
                      <w:b/>
                      <w:bCs/>
                      <w:color w:val="auto"/>
                      <w:szCs w:val="21"/>
                      <w:highlight w:val="none"/>
                      <w:vertAlign w:val="superscript"/>
                      <w:lang w:val="en-US" w:eastAsia="zh-CN"/>
                    </w:rPr>
                    <w:t>3</w:t>
                  </w:r>
                  <w:r>
                    <w:rPr>
                      <w:rFonts w:hint="default" w:ascii="Times New Roman" w:hAnsi="Times New Roman" w:cs="Times New Roman"/>
                      <w:b/>
                      <w:bCs/>
                      <w:color w:val="auto"/>
                      <w:szCs w:val="21"/>
                      <w:highlight w:val="none"/>
                      <w:lang w:val="en-US" w:eastAsia="zh-CN"/>
                    </w:rPr>
                    <w:t>）</w:t>
                  </w:r>
                </w:p>
              </w:tc>
              <w:tc>
                <w:tcPr>
                  <w:tcW w:w="846" w:type="pct"/>
                  <w:noWrap w:val="0"/>
                  <w:vAlign w:val="center"/>
                </w:tcPr>
                <w:p w14:paraId="78FAEEB3">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b/>
                      <w:bCs/>
                      <w:color w:val="auto"/>
                      <w:szCs w:val="21"/>
                      <w:highlight w:val="none"/>
                      <w:lang w:val="en-US" w:eastAsia="zh-CN"/>
                    </w:rPr>
                  </w:pPr>
                  <w:r>
                    <w:rPr>
                      <w:rFonts w:hint="default" w:ascii="Times New Roman" w:hAnsi="Times New Roman" w:cs="Times New Roman"/>
                      <w:b/>
                      <w:bCs/>
                      <w:color w:val="auto"/>
                      <w:szCs w:val="21"/>
                      <w:highlight w:val="none"/>
                      <w:lang w:val="en-US" w:eastAsia="zh-CN"/>
                    </w:rPr>
                    <w:t>浓度指数范围</w:t>
                  </w:r>
                </w:p>
              </w:tc>
              <w:tc>
                <w:tcPr>
                  <w:tcW w:w="577" w:type="pct"/>
                  <w:noWrap w:val="0"/>
                  <w:vAlign w:val="center"/>
                </w:tcPr>
                <w:p w14:paraId="40B6B3A7">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超标</w:t>
                  </w:r>
                  <w:r>
                    <w:rPr>
                      <w:rFonts w:hint="default" w:ascii="Times New Roman" w:hAnsi="Times New Roman" w:cs="Times New Roman"/>
                      <w:b/>
                      <w:bCs/>
                      <w:color w:val="auto"/>
                      <w:szCs w:val="21"/>
                      <w:highlight w:val="none"/>
                      <w:lang w:val="en-US" w:eastAsia="zh-CN"/>
                    </w:rPr>
                    <w:t>倍数</w:t>
                  </w:r>
                </w:p>
                <w:p w14:paraId="565A441C">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w:t>
                  </w:r>
                </w:p>
              </w:tc>
              <w:tc>
                <w:tcPr>
                  <w:tcW w:w="438" w:type="pct"/>
                  <w:noWrap w:val="0"/>
                  <w:vAlign w:val="center"/>
                </w:tcPr>
                <w:p w14:paraId="23B1E065">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达标情况</w:t>
                  </w:r>
                </w:p>
              </w:tc>
            </w:tr>
            <w:tr w14:paraId="505BD2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692" w:type="pct"/>
                  <w:vMerge w:val="restart"/>
                  <w:noWrap w:val="0"/>
                  <w:vAlign w:val="center"/>
                </w:tcPr>
                <w:p w14:paraId="03A9BB4A">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玉兰苑</w:t>
                  </w:r>
                </w:p>
              </w:tc>
              <w:tc>
                <w:tcPr>
                  <w:tcW w:w="730" w:type="pct"/>
                  <w:noWrap w:val="0"/>
                  <w:vAlign w:val="center"/>
                </w:tcPr>
                <w:p w14:paraId="2BB6B657">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非甲烷总烃</w:t>
                  </w:r>
                </w:p>
              </w:tc>
              <w:tc>
                <w:tcPr>
                  <w:tcW w:w="868" w:type="pct"/>
                  <w:noWrap w:val="0"/>
                  <w:vAlign w:val="center"/>
                </w:tcPr>
                <w:p w14:paraId="7EE31414">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1.05~1.54</w:t>
                  </w:r>
                </w:p>
              </w:tc>
              <w:tc>
                <w:tcPr>
                  <w:tcW w:w="846" w:type="pct"/>
                  <w:noWrap w:val="0"/>
                  <w:vAlign w:val="center"/>
                </w:tcPr>
                <w:p w14:paraId="42167FBE">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w:t>
                  </w:r>
                </w:p>
              </w:tc>
              <w:tc>
                <w:tcPr>
                  <w:tcW w:w="846" w:type="pct"/>
                  <w:noWrap w:val="0"/>
                  <w:vAlign w:val="center"/>
                </w:tcPr>
                <w:p w14:paraId="04ADB829">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0.53~0.77</w:t>
                  </w:r>
                </w:p>
              </w:tc>
              <w:tc>
                <w:tcPr>
                  <w:tcW w:w="577" w:type="pct"/>
                  <w:noWrap w:val="0"/>
                  <w:vAlign w:val="center"/>
                </w:tcPr>
                <w:p w14:paraId="31BD2091">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w:t>
                  </w:r>
                </w:p>
              </w:tc>
              <w:tc>
                <w:tcPr>
                  <w:tcW w:w="438" w:type="pct"/>
                  <w:noWrap w:val="0"/>
                  <w:vAlign w:val="center"/>
                </w:tcPr>
                <w:p w14:paraId="4B8C41F3">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r>
            <w:tr w14:paraId="463B28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trPr>
              <w:tc>
                <w:tcPr>
                  <w:tcW w:w="692" w:type="pct"/>
                  <w:vMerge w:val="continue"/>
                  <w:noWrap w:val="0"/>
                  <w:vAlign w:val="center"/>
                </w:tcPr>
                <w:p w14:paraId="1C0DD526">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szCs w:val="21"/>
                      <w:highlight w:val="none"/>
                      <w:lang w:val="en-US" w:eastAsia="zh-CN"/>
                    </w:rPr>
                  </w:pPr>
                </w:p>
              </w:tc>
              <w:tc>
                <w:tcPr>
                  <w:tcW w:w="730" w:type="pct"/>
                  <w:noWrap w:val="0"/>
                  <w:vAlign w:val="center"/>
                </w:tcPr>
                <w:p w14:paraId="0BB7F1DA">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TSP</w:t>
                  </w:r>
                </w:p>
              </w:tc>
              <w:tc>
                <w:tcPr>
                  <w:tcW w:w="868" w:type="pct"/>
                  <w:noWrap w:val="0"/>
                  <w:vAlign w:val="center"/>
                </w:tcPr>
                <w:p w14:paraId="259C7F0F">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0.092~0.133</w:t>
                  </w:r>
                </w:p>
              </w:tc>
              <w:tc>
                <w:tcPr>
                  <w:tcW w:w="846" w:type="pct"/>
                  <w:noWrap w:val="0"/>
                  <w:vAlign w:val="center"/>
                </w:tcPr>
                <w:p w14:paraId="20E98B1C">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0.3</w:t>
                  </w:r>
                </w:p>
              </w:tc>
              <w:tc>
                <w:tcPr>
                  <w:tcW w:w="846" w:type="pct"/>
                  <w:noWrap w:val="0"/>
                  <w:vAlign w:val="center"/>
                </w:tcPr>
                <w:p w14:paraId="7D5F85B3">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0.31~0.44</w:t>
                  </w:r>
                </w:p>
              </w:tc>
              <w:tc>
                <w:tcPr>
                  <w:tcW w:w="577" w:type="pct"/>
                  <w:noWrap w:val="0"/>
                  <w:vAlign w:val="center"/>
                </w:tcPr>
                <w:p w14:paraId="1A96697F">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438" w:type="pct"/>
                  <w:noWrap w:val="0"/>
                  <w:vAlign w:val="center"/>
                </w:tcPr>
                <w:p w14:paraId="1F15858F">
                  <w:pPr>
                    <w:keepNext w:val="0"/>
                    <w:keepLines w:val="0"/>
                    <w:pageBreakBefore w:val="0"/>
                    <w:widowControl w:val="0"/>
                    <w:kinsoku/>
                    <w:wordWrap/>
                    <w:overflowPunct/>
                    <w:topLinePunct/>
                    <w:autoSpaceDE w:val="0"/>
                    <w:autoSpaceDN/>
                    <w:bidi w:val="0"/>
                    <w:adjustRightInd w:val="0"/>
                    <w:snapToGrid w:val="0"/>
                    <w:ind w:left="0" w:left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r>
          </w:tbl>
          <w:p w14:paraId="0C9450D7">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由上</w:t>
            </w:r>
            <w:r>
              <w:rPr>
                <w:rFonts w:hint="default" w:ascii="Times New Roman" w:hAnsi="Times New Roman" w:eastAsia="宋体" w:cs="Times New Roman"/>
                <w:color w:val="auto"/>
                <w:kern w:val="0"/>
                <w:sz w:val="24"/>
                <w:szCs w:val="24"/>
                <w:highlight w:val="none"/>
                <w:lang w:val="en-US" w:eastAsia="zh-CN" w:bidi="ar"/>
              </w:rPr>
              <w:t>表分析可知，监测点的TSP监测满足《环境空气质量标准》（GB3095-2026）过渡阶段二级标准限值</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非甲烷总烃</w:t>
            </w:r>
            <w:r>
              <w:rPr>
                <w:rFonts w:hint="default" w:ascii="Times New Roman" w:hAnsi="Times New Roman" w:cs="Times New Roman"/>
                <w:color w:val="auto"/>
                <w:kern w:val="0"/>
                <w:sz w:val="24"/>
                <w:szCs w:val="24"/>
                <w:highlight w:val="none"/>
                <w:lang w:val="en-US" w:eastAsia="zh-CN" w:bidi="ar"/>
              </w:rPr>
              <w:t>监测</w:t>
            </w:r>
            <w:r>
              <w:rPr>
                <w:rFonts w:hint="default" w:ascii="Times New Roman" w:hAnsi="Times New Roman" w:eastAsia="宋体" w:cs="Times New Roman"/>
                <w:color w:val="auto"/>
                <w:kern w:val="0"/>
                <w:sz w:val="24"/>
                <w:szCs w:val="24"/>
                <w:highlight w:val="none"/>
                <w:lang w:val="en-US" w:eastAsia="zh-CN" w:bidi="ar"/>
              </w:rPr>
              <w:t>可满足《大气污染物综合排放标准详解》中相应标准限值要求，</w:t>
            </w:r>
            <w:r>
              <w:rPr>
                <w:rFonts w:hint="default" w:ascii="Times New Roman" w:hAnsi="Times New Roman" w:cs="Times New Roman"/>
                <w:color w:val="auto"/>
                <w:sz w:val="24"/>
                <w:highlight w:val="none"/>
              </w:rPr>
              <w:t>环境空气质量现状良好。</w:t>
            </w:r>
          </w:p>
          <w:p w14:paraId="08C2613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数据引用合理性分析：</w:t>
            </w:r>
          </w:p>
          <w:p w14:paraId="4D5A764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rPr>
                <w:rFonts w:hint="default" w:ascii="Times New Roman" w:hAnsi="Times New Roman" w:cs="Times New Roman"/>
                <w:color w:val="auto"/>
                <w:highlight w:val="none"/>
                <w:lang w:eastAsia="zh-CN"/>
              </w:rPr>
            </w:pPr>
            <w:r>
              <w:rPr>
                <w:rFonts w:hint="default" w:ascii="Times New Roman" w:hAnsi="Times New Roman" w:cs="Times New Roman"/>
                <w:color w:val="auto"/>
                <w:sz w:val="24"/>
                <w:highlight w:val="none"/>
              </w:rPr>
              <w:t>引用监测点淮南市</w:t>
            </w:r>
            <w:r>
              <w:rPr>
                <w:rFonts w:hint="default" w:ascii="Times New Roman" w:hAnsi="Times New Roman" w:cs="Times New Roman"/>
                <w:color w:val="auto"/>
                <w:sz w:val="24"/>
                <w:highlight w:val="none"/>
                <w:lang w:val="en-US" w:eastAsia="zh-CN"/>
              </w:rPr>
              <w:t>高新区居民区玉兰苑</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lang w:val="en-US" w:eastAsia="zh-CN"/>
              </w:rPr>
              <w:t>东南</w:t>
            </w:r>
            <w:r>
              <w:rPr>
                <w:rFonts w:hint="default" w:ascii="Times New Roman" w:hAnsi="Times New Roman" w:cs="Times New Roman"/>
                <w:color w:val="auto"/>
                <w:sz w:val="24"/>
                <w:highlight w:val="none"/>
              </w:rPr>
              <w:t>侧约</w:t>
            </w:r>
            <w:r>
              <w:rPr>
                <w:rFonts w:hint="default" w:ascii="Times New Roman" w:hAnsi="Times New Roman" w:cs="Times New Roman"/>
                <w:color w:val="auto"/>
                <w:sz w:val="24"/>
                <w:highlight w:val="none"/>
                <w:lang w:val="en-US" w:eastAsia="zh-CN"/>
              </w:rPr>
              <w:t>1.3</w:t>
            </w:r>
            <w:r>
              <w:rPr>
                <w:rFonts w:hint="default" w:ascii="Times New Roman" w:hAnsi="Times New Roman" w:cs="Times New Roman"/>
                <w:color w:val="auto"/>
                <w:sz w:val="24"/>
                <w:highlight w:val="none"/>
              </w:rPr>
              <w:t>km，监测时间为202</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lang w:val="en-US" w:eastAsia="zh-CN"/>
              </w:rPr>
              <w:t>22</w:t>
            </w:r>
            <w:r>
              <w:rPr>
                <w:rFonts w:hint="default" w:ascii="Times New Roman" w:hAnsi="Times New Roman" w:cs="Times New Roman"/>
                <w:color w:val="auto"/>
                <w:sz w:val="24"/>
                <w:highlight w:val="none"/>
              </w:rPr>
              <w:t>日至</w:t>
            </w:r>
            <w:r>
              <w:rPr>
                <w:rFonts w:hint="default" w:ascii="Times New Roman" w:hAnsi="Times New Roman" w:cs="Times New Roman"/>
                <w:color w:val="auto"/>
                <w:sz w:val="24"/>
                <w:highlight w:val="none"/>
                <w:lang w:val="en-US" w:eastAsia="zh-CN"/>
              </w:rPr>
              <w:t>28</w:t>
            </w:r>
            <w:r>
              <w:rPr>
                <w:rFonts w:hint="default" w:ascii="Times New Roman" w:hAnsi="Times New Roman" w:cs="Times New Roman"/>
                <w:color w:val="auto"/>
                <w:sz w:val="24"/>
                <w:highlight w:val="none"/>
              </w:rPr>
              <w:t>日，满足</w:t>
            </w:r>
            <w:r>
              <w:rPr>
                <w:rFonts w:hint="default" w:ascii="Times New Roman" w:hAnsi="Times New Roman" w:cs="Times New Roman"/>
                <w:color w:val="auto"/>
                <w:kern w:val="0"/>
                <w:sz w:val="24"/>
                <w:highlight w:val="none"/>
              </w:rPr>
              <w:t>《建设项目环境影响报告表编制技术指南（污染影响类）（试行）》中“引用建设项目周边5千米范围内近3年的现有监测数据”要求。</w:t>
            </w:r>
          </w:p>
          <w:p w14:paraId="1DA420AA">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rPr>
                <w:rFonts w:hint="default" w:ascii="Times New Roman" w:hAnsi="Times New Roman" w:cs="Times New Roman"/>
                <w:color w:val="auto"/>
                <w:sz w:val="24"/>
                <w:highlight w:val="none"/>
                <w:lang w:val="en-US" w:eastAsia="zh-CN"/>
              </w:rPr>
            </w:pPr>
            <w:r>
              <w:rPr>
                <w:rFonts w:hint="default" w:ascii="Times New Roman" w:hAnsi="Times New Roman" w:cs="Times New Roman"/>
                <w:b/>
                <w:bCs/>
                <w:color w:val="auto"/>
                <w:kern w:val="0"/>
                <w:sz w:val="24"/>
                <w:highlight w:val="none"/>
              </w:rPr>
              <w:t>2.地表水环境</w:t>
            </w:r>
          </w:p>
          <w:p w14:paraId="4B08742B">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lang w:val="en-US" w:eastAsia="zh-CN"/>
              </w:rPr>
              <w:t>废水经预处理达标接入山南新区污水处理厂，尾水排入高塘湖。高塘湖执行《地表水环境质量标准》（GB3838-2002）Ⅳ类水质标准。本次评价引用淮南市生态环境局</w:t>
            </w:r>
            <w:r>
              <w:rPr>
                <w:rFonts w:hint="eastAsia" w:ascii="Times New Roman" w:hAnsi="Times New Roman" w:cs="Times New Roman"/>
                <w:color w:val="auto"/>
                <w:sz w:val="24"/>
                <w:highlight w:val="none"/>
                <w:lang w:val="en-US" w:eastAsia="zh-CN"/>
              </w:rPr>
              <w:t>发布的</w:t>
            </w:r>
            <w:r>
              <w:rPr>
                <w:rFonts w:hint="default" w:ascii="Times New Roman" w:hAnsi="Times New Roman" w:cs="Times New Roman"/>
                <w:color w:val="auto"/>
                <w:sz w:val="24"/>
                <w:highlight w:val="none"/>
                <w:lang w:val="en-US" w:eastAsia="zh-CN"/>
              </w:rPr>
              <w:t>《2025年淮南市生态环境质量状况公报》中的结论：</w:t>
            </w:r>
          </w:p>
          <w:p w14:paraId="4025CBCC">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根据淮南市生态环境局发布的《2025年淮南市生态环境质量状况公报》，2025年，全市地表水24个监测断面中优良水质比例为95.8%，Ⅳ类水质比例4.2%，总体水质状况优，比上年上升了4.1个百分点。</w:t>
            </w:r>
          </w:p>
          <w:p w14:paraId="2E26237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湖库：安丰塘、瓦埠湖和焦岗湖点位水质年均值符合Ⅲ类标准，水质状况为良好；高塘湖点位水质年均值符合Ⅳ类标准，水质轻度污染，主要污染指标为总磷。安丰塘营养状态为中营养，焦岗湖、高塘湖和瓦埠湖营养状态均为轻度富营养。与上年相比，安丰塘点位水质类别由Ⅳ类好转为Ⅲ类，瓦埠湖、高塘湖和焦岗湖点位水质类别保持稳定。</w:t>
            </w:r>
          </w:p>
          <w:p w14:paraId="1F7AAAE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3、声环境</w:t>
            </w:r>
          </w:p>
          <w:p w14:paraId="50DC4BC2">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left"/>
              <w:rPr>
                <w:rFonts w:hint="default" w:ascii="Times New Roman" w:hAnsi="Times New Roman" w:eastAsia="宋体" w:cs="Times New Roman"/>
                <w:color w:val="auto"/>
                <w:kern w:val="0"/>
                <w:sz w:val="24"/>
                <w:highlight w:val="none"/>
                <w:lang w:eastAsia="zh-CN"/>
              </w:rPr>
            </w:pPr>
            <w:r>
              <w:rPr>
                <w:rFonts w:hint="default" w:ascii="Times New Roman" w:hAnsi="Times New Roman" w:cs="Times New Roman"/>
                <w:color w:val="auto"/>
                <w:kern w:val="0"/>
                <w:sz w:val="24"/>
                <w:highlight w:val="none"/>
              </w:rPr>
              <w:t>根据《建设项目环境影响报告表编制技术指南（污染影响类）（试行）》“厂界外周边50米范围内存在声环境保护目标的建设项目，应监测保护目标声环境质量现状并评价达标情况”，经现场调查，</w:t>
            </w:r>
            <w:r>
              <w:rPr>
                <w:rFonts w:hint="eastAsia" w:ascii="Times New Roman" w:hAnsi="Times New Roman" w:cs="Times New Roman"/>
                <w:color w:val="auto"/>
                <w:kern w:val="0"/>
                <w:sz w:val="24"/>
                <w:highlight w:val="none"/>
                <w:lang w:eastAsia="zh-CN"/>
              </w:rPr>
              <w:t>项目</w:t>
            </w:r>
            <w:r>
              <w:rPr>
                <w:rFonts w:hint="default" w:ascii="Times New Roman" w:hAnsi="Times New Roman" w:cs="Times New Roman"/>
                <w:color w:val="auto"/>
                <w:kern w:val="0"/>
                <w:sz w:val="24"/>
                <w:highlight w:val="none"/>
              </w:rPr>
              <w:t>厂界外50米范围内无声环境保护目标，无需进行声环境质量现状监测</w:t>
            </w:r>
            <w:r>
              <w:rPr>
                <w:rFonts w:hint="default" w:ascii="Times New Roman" w:hAnsi="Times New Roman" w:cs="Times New Roman"/>
                <w:color w:val="auto"/>
                <w:kern w:val="0"/>
                <w:sz w:val="24"/>
                <w:highlight w:val="none"/>
                <w:lang w:eastAsia="zh-CN"/>
              </w:rPr>
              <w:t>。</w:t>
            </w:r>
          </w:p>
          <w:p w14:paraId="193C5F5D">
            <w:pPr>
              <w:keepNext w:val="0"/>
              <w:keepLines w:val="0"/>
              <w:pageBreakBefore w:val="0"/>
              <w:widowControl w:val="0"/>
              <w:numPr>
                <w:ilvl w:val="0"/>
                <w:numId w:val="5"/>
              </w:numPr>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土壤</w:t>
            </w: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lang w:val="en-US" w:eastAsia="zh-CN"/>
              </w:rPr>
              <w:t>地下水</w:t>
            </w:r>
          </w:p>
          <w:p w14:paraId="2E64ADF4">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left"/>
              <w:rPr>
                <w:rFonts w:hint="default" w:ascii="Times New Roman" w:hAnsi="Times New Roman" w:cs="Times New Roman"/>
                <w:b w:val="0"/>
                <w:bCs w:val="0"/>
                <w:color w:val="auto"/>
                <w:kern w:val="0"/>
                <w:sz w:val="24"/>
                <w:highlight w:val="none"/>
                <w:lang w:val="en-US" w:eastAsia="zh-CN"/>
              </w:rPr>
            </w:pPr>
            <w:r>
              <w:rPr>
                <w:rFonts w:hint="default" w:ascii="Times New Roman" w:hAnsi="Times New Roman" w:cs="Times New Roman"/>
                <w:b w:val="0"/>
                <w:bCs w:val="0"/>
                <w:color w:val="auto"/>
                <w:kern w:val="0"/>
                <w:sz w:val="24"/>
                <w:highlight w:val="none"/>
                <w:lang w:val="en-US" w:eastAsia="zh-CN"/>
              </w:rPr>
              <w:t>根据《</w:t>
            </w:r>
            <w:bookmarkStart w:id="11" w:name="建设项目环境影响报告表编制技术指南"/>
            <w:bookmarkEnd w:id="11"/>
            <w:r>
              <w:rPr>
                <w:rFonts w:hint="default" w:ascii="Times New Roman" w:hAnsi="Times New Roman" w:cs="Times New Roman"/>
                <w:b w:val="0"/>
                <w:bCs w:val="0"/>
                <w:color w:val="auto"/>
                <w:kern w:val="0"/>
                <w:sz w:val="24"/>
                <w:highlight w:val="none"/>
                <w:lang w:val="en-US" w:eastAsia="zh-CN"/>
              </w:rPr>
              <w:t>建设项目环境影响报告表编制技术指南</w:t>
            </w:r>
            <w:bookmarkStart w:id="12" w:name="（污染影响类）（试行）"/>
            <w:bookmarkEnd w:id="12"/>
            <w:r>
              <w:rPr>
                <w:rFonts w:hint="default" w:ascii="Times New Roman" w:hAnsi="Times New Roman" w:cs="Times New Roman"/>
                <w:b w:val="0"/>
                <w:bCs w:val="0"/>
                <w:color w:val="auto"/>
                <w:kern w:val="0"/>
                <w:sz w:val="24"/>
                <w:highlight w:val="none"/>
                <w:lang w:val="en-US" w:eastAsia="zh-CN"/>
              </w:rPr>
              <w:t>（污染影响类）（试行）》地下水、土壤环境原则上不开展环境质量现状调查。</w:t>
            </w:r>
          </w:p>
          <w:p w14:paraId="41403E74">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left"/>
              <w:rPr>
                <w:rFonts w:hint="default" w:ascii="Times New Roman" w:hAnsi="Times New Roman" w:cs="Times New Roman"/>
                <w:b/>
                <w:bCs/>
                <w:color w:val="auto"/>
                <w:kern w:val="0"/>
                <w:sz w:val="24"/>
                <w:highlight w:val="none"/>
                <w:lang w:val="en-US" w:eastAsia="zh-CN"/>
              </w:rPr>
            </w:pPr>
            <w:r>
              <w:rPr>
                <w:rFonts w:hint="default" w:ascii="Times New Roman" w:hAnsi="Times New Roman" w:cs="Times New Roman"/>
                <w:b w:val="0"/>
                <w:bCs w:val="0"/>
                <w:color w:val="auto"/>
                <w:kern w:val="0"/>
                <w:sz w:val="24"/>
                <w:highlight w:val="none"/>
                <w:lang w:val="en-US" w:eastAsia="zh-CN"/>
              </w:rPr>
              <w:t>本项目车间地面已硬化，不涉及重金属和持久性有机污染物的产排，正常情况下不存在影响地下水和土壤环境的途径，故不开展地下水、土壤环境现状调查。</w:t>
            </w:r>
          </w:p>
          <w:p w14:paraId="1D95EC0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lang w:val="en-US" w:eastAsia="zh-CN"/>
              </w:rPr>
              <w:t>5</w:t>
            </w:r>
            <w:r>
              <w:rPr>
                <w:rFonts w:hint="default" w:ascii="Times New Roman" w:hAnsi="Times New Roman" w:cs="Times New Roman"/>
                <w:b/>
                <w:bCs/>
                <w:color w:val="auto"/>
                <w:kern w:val="0"/>
                <w:sz w:val="24"/>
                <w:highlight w:val="none"/>
              </w:rPr>
              <w:t>、生态环境</w:t>
            </w:r>
          </w:p>
          <w:p w14:paraId="6079E188">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根据《建设项目环境影响报告表编制技术指南（污染影响类）（试行）》</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产业园区外建设项目新增用地且用地范围内含有生态环境保护目标时，应进行生态现状调查</w:t>
            </w:r>
            <w:r>
              <w:rPr>
                <w:rFonts w:hint="default" w:ascii="Times New Roman" w:hAnsi="Times New Roman" w:cs="Times New Roman"/>
                <w:color w:val="auto"/>
                <w:kern w:val="0"/>
                <w:sz w:val="24"/>
                <w:highlight w:val="none"/>
                <w:lang w:eastAsia="zh-CN"/>
              </w:rPr>
              <w:t>”。</w:t>
            </w:r>
          </w:p>
          <w:p w14:paraId="13769EA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left"/>
              <w:rPr>
                <w:rFonts w:hint="default" w:ascii="Times New Roman" w:hAnsi="Times New Roman" w:eastAsia="宋体" w:cs="Times New Roman"/>
                <w:color w:val="auto"/>
                <w:kern w:val="0"/>
                <w:sz w:val="24"/>
                <w:highlight w:val="none"/>
                <w:lang w:val="en-US" w:eastAsia="zh-CN"/>
              </w:rPr>
            </w:pPr>
            <w:r>
              <w:rPr>
                <w:rFonts w:hint="default" w:ascii="Times New Roman" w:hAnsi="Times New Roman" w:cs="Times New Roman"/>
                <w:color w:val="auto"/>
                <w:kern w:val="0"/>
                <w:sz w:val="24"/>
                <w:highlight w:val="none"/>
                <w:lang w:val="en-US" w:eastAsia="zh-CN"/>
              </w:rPr>
              <w:t>根据调查，</w:t>
            </w:r>
            <w:r>
              <w:rPr>
                <w:rFonts w:hint="eastAsia" w:ascii="Times New Roman" w:hAnsi="Times New Roman" w:cs="Times New Roman"/>
                <w:color w:val="auto"/>
                <w:kern w:val="0"/>
                <w:sz w:val="24"/>
                <w:highlight w:val="none"/>
                <w:lang w:eastAsia="zh-CN"/>
              </w:rPr>
              <w:t>项目</w:t>
            </w:r>
            <w:r>
              <w:rPr>
                <w:rFonts w:hint="default" w:ascii="Times New Roman" w:hAnsi="Times New Roman" w:cs="Times New Roman"/>
                <w:color w:val="auto"/>
                <w:kern w:val="0"/>
                <w:sz w:val="24"/>
                <w:highlight w:val="none"/>
              </w:rPr>
              <w:t>位于</w:t>
            </w:r>
            <w:r>
              <w:rPr>
                <w:rFonts w:hint="eastAsia" w:ascii="Times New Roman" w:hAnsi="Times New Roman" w:cs="Times New Roman"/>
                <w:color w:val="auto"/>
                <w:kern w:val="0"/>
                <w:sz w:val="24"/>
                <w:highlight w:val="none"/>
                <w:lang w:eastAsia="zh-CN"/>
              </w:rPr>
              <w:t>安徽省淮南市高新区合创产业园9号厂房</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项目地位于园区内，不进行生态调查</w:t>
            </w:r>
            <w:r>
              <w:rPr>
                <w:rFonts w:hint="default" w:ascii="Times New Roman" w:hAnsi="Times New Roman" w:cs="Times New Roman"/>
                <w:color w:val="auto"/>
                <w:kern w:val="0"/>
                <w:sz w:val="24"/>
                <w:highlight w:val="none"/>
                <w:lang w:eastAsia="zh-CN"/>
              </w:rPr>
              <w:t>。</w:t>
            </w:r>
          </w:p>
          <w:p w14:paraId="74B8A9A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jc w:val="left"/>
              <w:textAlignment w:val="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lang w:val="en-US" w:eastAsia="zh-CN"/>
              </w:rPr>
              <w:t>6</w:t>
            </w:r>
            <w:r>
              <w:rPr>
                <w:rFonts w:hint="default" w:ascii="Times New Roman" w:hAnsi="Times New Roman" w:cs="Times New Roman"/>
                <w:b/>
                <w:bCs/>
                <w:color w:val="auto"/>
                <w:kern w:val="0"/>
                <w:sz w:val="24"/>
                <w:highlight w:val="none"/>
              </w:rPr>
              <w:t>、电磁辐射</w:t>
            </w:r>
          </w:p>
          <w:p w14:paraId="28BD495D">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left"/>
              <w:rPr>
                <w:rFonts w:hint="default" w:ascii="Times New Roman" w:hAnsi="Times New Roman" w:eastAsia="宋体" w:cs="Times New Roman"/>
                <w:color w:val="auto"/>
                <w:kern w:val="0"/>
                <w:szCs w:val="21"/>
                <w:highlight w:val="none"/>
                <w:lang w:eastAsia="zh-CN"/>
              </w:rPr>
            </w:pPr>
            <w:r>
              <w:rPr>
                <w:rFonts w:hint="eastAsia" w:ascii="Times New Roman" w:hAnsi="Times New Roman" w:cs="Times New Roman"/>
                <w:color w:val="auto"/>
                <w:kern w:val="0"/>
                <w:sz w:val="24"/>
                <w:highlight w:val="none"/>
                <w:lang w:eastAsia="zh-CN"/>
              </w:rPr>
              <w:t>项目</w:t>
            </w:r>
            <w:r>
              <w:rPr>
                <w:rFonts w:hint="default" w:ascii="Times New Roman" w:hAnsi="Times New Roman" w:cs="Times New Roman"/>
                <w:color w:val="auto"/>
                <w:kern w:val="0"/>
                <w:sz w:val="24"/>
                <w:highlight w:val="none"/>
                <w:lang w:val="en-US" w:eastAsia="zh-CN"/>
              </w:rPr>
              <w:t>不涉及广播电台、差转台、电视塔台、卫星地球上行站、雷达等电磁辐射</w:t>
            </w:r>
            <w:r>
              <w:rPr>
                <w:rFonts w:hint="default" w:ascii="Times New Roman" w:hAnsi="Times New Roman" w:cs="Times New Roman"/>
                <w:color w:val="auto"/>
                <w:kern w:val="0"/>
                <w:sz w:val="24"/>
                <w:highlight w:val="none"/>
                <w:lang w:eastAsia="zh-CN"/>
              </w:rPr>
              <w:t>。</w:t>
            </w:r>
          </w:p>
        </w:tc>
      </w:tr>
      <w:tr w14:paraId="14AE6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3" w:type="pct"/>
            <w:noWrap w:val="0"/>
            <w:vAlign w:val="center"/>
          </w:tcPr>
          <w:p w14:paraId="7B84BEA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环境</w:t>
            </w:r>
          </w:p>
          <w:p w14:paraId="59EDB6B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保护</w:t>
            </w:r>
          </w:p>
          <w:p w14:paraId="0E2685B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kern w:val="0"/>
                <w:szCs w:val="21"/>
                <w:highlight w:val="none"/>
              </w:rPr>
            </w:pPr>
            <w:r>
              <w:rPr>
                <w:rFonts w:hint="default" w:ascii="Times New Roman" w:hAnsi="Times New Roman" w:cs="Times New Roman"/>
                <w:b/>
                <w:bCs/>
                <w:color w:val="auto"/>
                <w:kern w:val="0"/>
                <w:sz w:val="24"/>
                <w:szCs w:val="24"/>
                <w:highlight w:val="none"/>
              </w:rPr>
              <w:t>目标</w:t>
            </w:r>
          </w:p>
        </w:tc>
        <w:tc>
          <w:tcPr>
            <w:tcW w:w="4556" w:type="pct"/>
            <w:noWrap w:val="0"/>
            <w:vAlign w:val="center"/>
          </w:tcPr>
          <w:p w14:paraId="6EEF263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1、大气环境</w:t>
            </w:r>
          </w:p>
          <w:p w14:paraId="550B1BA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rPr>
              <w:t>，</w:t>
            </w:r>
            <w:r>
              <w:rPr>
                <w:rFonts w:hint="default" w:ascii="Times New Roman" w:hAnsi="Times New Roman" w:cs="Times New Roman"/>
                <w:snapToGrid w:val="0"/>
                <w:color w:val="auto"/>
                <w:kern w:val="0"/>
                <w:sz w:val="24"/>
                <w:highlight w:val="none"/>
              </w:rPr>
              <w:t>根据现场勘查，项目周边500m范围内大气环境保护目标见下表。</w:t>
            </w:r>
          </w:p>
          <w:p w14:paraId="40EFCD15">
            <w:pPr>
              <w:keepNext w:val="0"/>
              <w:keepLines w:val="0"/>
              <w:pageBreakBefore w:val="0"/>
              <w:widowControl w:val="0"/>
              <w:kinsoku/>
              <w:wordWrap/>
              <w:overflowPunct/>
              <w:topLinePunct/>
              <w:autoSpaceDE w:val="0"/>
              <w:autoSpaceDN/>
              <w:bidi w:val="0"/>
              <w:adjustRightInd w:val="0"/>
              <w:snapToGrid w:val="0"/>
              <w:spacing w:line="240" w:lineRule="auto"/>
              <w:ind w:left="0" w:leftChars="0" w:firstLine="422" w:firstLineChars="200"/>
              <w:jc w:val="center"/>
              <w:rPr>
                <w:rFonts w:hint="default" w:ascii="Times New Roman" w:hAnsi="Times New Roman" w:cs="Times New Roman"/>
                <w:b/>
                <w:snapToGrid w:val="0"/>
                <w:color w:val="auto"/>
                <w:kern w:val="0"/>
                <w:sz w:val="21"/>
                <w:szCs w:val="21"/>
                <w:highlight w:val="none"/>
              </w:rPr>
            </w:pPr>
            <w:bookmarkStart w:id="13" w:name="_Hlk45025584"/>
            <w:r>
              <w:rPr>
                <w:rFonts w:hint="default" w:ascii="Times New Roman" w:hAnsi="Times New Roman" w:cs="Times New Roman"/>
                <w:b/>
                <w:snapToGrid w:val="0"/>
                <w:color w:val="auto"/>
                <w:kern w:val="0"/>
                <w:sz w:val="21"/>
                <w:szCs w:val="21"/>
                <w:highlight w:val="none"/>
              </w:rPr>
              <w:t>表3-</w:t>
            </w:r>
            <w:r>
              <w:rPr>
                <w:rFonts w:hint="default" w:ascii="Times New Roman" w:hAnsi="Times New Roman" w:cs="Times New Roman"/>
                <w:b/>
                <w:snapToGrid w:val="0"/>
                <w:color w:val="auto"/>
                <w:kern w:val="0"/>
                <w:sz w:val="21"/>
                <w:szCs w:val="21"/>
                <w:highlight w:val="none"/>
                <w:lang w:val="en-US" w:eastAsia="zh-CN"/>
              </w:rPr>
              <w:t>3</w:t>
            </w:r>
            <w:r>
              <w:rPr>
                <w:rFonts w:hint="default" w:ascii="Times New Roman" w:hAnsi="Times New Roman" w:cs="Times New Roman"/>
                <w:b/>
                <w:snapToGrid w:val="0"/>
                <w:color w:val="auto"/>
                <w:kern w:val="0"/>
                <w:sz w:val="21"/>
                <w:szCs w:val="21"/>
                <w:highlight w:val="none"/>
              </w:rPr>
              <w:t xml:space="preserve"> 大气环境保护目标表</w:t>
            </w:r>
          </w:p>
          <w:tbl>
            <w:tblPr>
              <w:tblStyle w:val="25"/>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267"/>
              <w:gridCol w:w="756"/>
              <w:gridCol w:w="1046"/>
              <w:gridCol w:w="949"/>
              <w:gridCol w:w="538"/>
              <w:gridCol w:w="600"/>
              <w:gridCol w:w="976"/>
              <w:gridCol w:w="1573"/>
              <w:gridCol w:w="406"/>
              <w:gridCol w:w="426"/>
            </w:tblGrid>
            <w:tr w14:paraId="3D56A8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vMerge w:val="restart"/>
                  <w:noWrap w:val="0"/>
                  <w:vAlign w:val="center"/>
                </w:tcPr>
                <w:p w14:paraId="7C1D86A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序号</w:t>
                  </w:r>
                </w:p>
              </w:tc>
              <w:tc>
                <w:tcPr>
                  <w:tcW w:w="576" w:type="pct"/>
                  <w:vMerge w:val="restart"/>
                  <w:noWrap w:val="0"/>
                  <w:vAlign w:val="center"/>
                </w:tcPr>
                <w:p w14:paraId="6D21D8D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名称</w:t>
                  </w:r>
                </w:p>
              </w:tc>
              <w:tc>
                <w:tcPr>
                  <w:tcW w:w="1351" w:type="pct"/>
                  <w:gridSpan w:val="2"/>
                  <w:noWrap w:val="0"/>
                  <w:vAlign w:val="center"/>
                </w:tcPr>
                <w:p w14:paraId="46DBF72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经纬度坐标</w:t>
                  </w:r>
                </w:p>
              </w:tc>
              <w:tc>
                <w:tcPr>
                  <w:tcW w:w="447" w:type="pct"/>
                  <w:vMerge w:val="restart"/>
                  <w:noWrap w:val="0"/>
                  <w:vAlign w:val="center"/>
                </w:tcPr>
                <w:p w14:paraId="53B6CD97">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保护</w:t>
                  </w:r>
                </w:p>
                <w:p w14:paraId="39E57EF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对象</w:t>
                  </w:r>
                </w:p>
              </w:tc>
              <w:tc>
                <w:tcPr>
                  <w:tcW w:w="472" w:type="pct"/>
                  <w:vMerge w:val="restart"/>
                  <w:noWrap w:val="0"/>
                  <w:vAlign w:val="center"/>
                </w:tcPr>
                <w:p w14:paraId="60A606A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保护</w:t>
                  </w:r>
                </w:p>
                <w:p w14:paraId="7FE8E4F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内容</w:t>
                  </w:r>
                </w:p>
              </w:tc>
              <w:tc>
                <w:tcPr>
                  <w:tcW w:w="721" w:type="pct"/>
                  <w:vMerge w:val="restart"/>
                  <w:noWrap w:val="0"/>
                  <w:vAlign w:val="center"/>
                </w:tcPr>
                <w:p w14:paraId="2094A4E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
                      <w:snapToGrid w:val="0"/>
                      <w:color w:val="auto"/>
                      <w:kern w:val="0"/>
                      <w:sz w:val="21"/>
                      <w:szCs w:val="21"/>
                      <w:highlight w:val="none"/>
                      <w:lang w:val="en-US" w:eastAsia="zh-CN"/>
                    </w:rPr>
                  </w:pPr>
                  <w:r>
                    <w:rPr>
                      <w:rFonts w:hint="default" w:ascii="Times New Roman" w:hAnsi="Times New Roman" w:cs="Times New Roman"/>
                      <w:b/>
                      <w:snapToGrid w:val="0"/>
                      <w:color w:val="auto"/>
                      <w:kern w:val="0"/>
                      <w:sz w:val="21"/>
                      <w:szCs w:val="21"/>
                      <w:highlight w:val="none"/>
                      <w:lang w:val="en-US" w:eastAsia="zh-CN"/>
                    </w:rPr>
                    <w:t>规模</w:t>
                  </w:r>
                </w:p>
              </w:tc>
              <w:tc>
                <w:tcPr>
                  <w:tcW w:w="552" w:type="pct"/>
                  <w:vMerge w:val="restart"/>
                  <w:noWrap w:val="0"/>
                  <w:vAlign w:val="center"/>
                </w:tcPr>
                <w:p w14:paraId="1C89948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环境功能区</w:t>
                  </w:r>
                </w:p>
              </w:tc>
              <w:tc>
                <w:tcPr>
                  <w:tcW w:w="300" w:type="pct"/>
                  <w:vMerge w:val="restart"/>
                  <w:noWrap w:val="0"/>
                  <w:vAlign w:val="center"/>
                </w:tcPr>
                <w:p w14:paraId="19BA696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相对厂址方位</w:t>
                  </w:r>
                </w:p>
              </w:tc>
              <w:tc>
                <w:tcPr>
                  <w:tcW w:w="400" w:type="pct"/>
                  <w:vMerge w:val="restart"/>
                  <w:noWrap w:val="0"/>
                  <w:vAlign w:val="center"/>
                </w:tcPr>
                <w:p w14:paraId="594B1E1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相对厂界距离/m</w:t>
                  </w:r>
                </w:p>
              </w:tc>
            </w:tr>
            <w:tr w14:paraId="52E7FC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vMerge w:val="continue"/>
                  <w:noWrap w:val="0"/>
                  <w:vAlign w:val="center"/>
                </w:tcPr>
                <w:p w14:paraId="0B97AE07">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576" w:type="pct"/>
                  <w:vMerge w:val="continue"/>
                  <w:noWrap w:val="0"/>
                  <w:vAlign w:val="center"/>
                </w:tcPr>
                <w:p w14:paraId="7F24496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663" w:type="pct"/>
                  <w:noWrap w:val="0"/>
                  <w:vAlign w:val="center"/>
                </w:tcPr>
                <w:p w14:paraId="48315DB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
                      <w:snapToGrid w:val="0"/>
                      <w:color w:val="auto"/>
                      <w:kern w:val="0"/>
                      <w:sz w:val="21"/>
                      <w:szCs w:val="21"/>
                      <w:highlight w:val="none"/>
                      <w:lang w:val="en-US" w:eastAsia="zh-CN"/>
                    </w:rPr>
                  </w:pPr>
                  <w:r>
                    <w:rPr>
                      <w:rFonts w:hint="default" w:ascii="Times New Roman" w:hAnsi="Times New Roman" w:cs="Times New Roman"/>
                      <w:b/>
                      <w:snapToGrid w:val="0"/>
                      <w:color w:val="auto"/>
                      <w:kern w:val="0"/>
                      <w:sz w:val="21"/>
                      <w:szCs w:val="21"/>
                      <w:highlight w:val="none"/>
                    </w:rPr>
                    <w:t>经度</w:t>
                  </w:r>
                  <w:r>
                    <w:rPr>
                      <w:rFonts w:hint="default" w:ascii="Times New Roman" w:hAnsi="Times New Roman" w:cs="Times New Roman"/>
                      <w:b/>
                      <w:snapToGrid w:val="0"/>
                      <w:color w:val="auto"/>
                      <w:kern w:val="0"/>
                      <w:sz w:val="21"/>
                      <w:szCs w:val="21"/>
                      <w:highlight w:val="none"/>
                      <w:lang w:val="en-US" w:eastAsia="zh-CN"/>
                    </w:rPr>
                    <w:t>/°</w:t>
                  </w:r>
                </w:p>
              </w:tc>
              <w:tc>
                <w:tcPr>
                  <w:tcW w:w="687" w:type="pct"/>
                  <w:noWrap w:val="0"/>
                  <w:vAlign w:val="center"/>
                </w:tcPr>
                <w:p w14:paraId="550BD1F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
                      <w:snapToGrid w:val="0"/>
                      <w:color w:val="auto"/>
                      <w:kern w:val="0"/>
                      <w:sz w:val="21"/>
                      <w:szCs w:val="21"/>
                      <w:highlight w:val="none"/>
                      <w:lang w:val="en-US" w:eastAsia="zh-CN"/>
                    </w:rPr>
                  </w:pPr>
                  <w:r>
                    <w:rPr>
                      <w:rFonts w:hint="default" w:ascii="Times New Roman" w:hAnsi="Times New Roman" w:cs="Times New Roman"/>
                      <w:b/>
                      <w:snapToGrid w:val="0"/>
                      <w:color w:val="auto"/>
                      <w:kern w:val="0"/>
                      <w:sz w:val="21"/>
                      <w:szCs w:val="21"/>
                      <w:highlight w:val="none"/>
                    </w:rPr>
                    <w:t>纬度</w:t>
                  </w:r>
                  <w:r>
                    <w:rPr>
                      <w:rFonts w:hint="default" w:ascii="Times New Roman" w:hAnsi="Times New Roman" w:cs="Times New Roman"/>
                      <w:b/>
                      <w:snapToGrid w:val="0"/>
                      <w:color w:val="auto"/>
                      <w:kern w:val="0"/>
                      <w:sz w:val="21"/>
                      <w:szCs w:val="21"/>
                      <w:highlight w:val="none"/>
                      <w:lang w:val="en-US" w:eastAsia="zh-CN"/>
                    </w:rPr>
                    <w:t>/°</w:t>
                  </w:r>
                </w:p>
              </w:tc>
              <w:tc>
                <w:tcPr>
                  <w:tcW w:w="447" w:type="pct"/>
                  <w:vMerge w:val="continue"/>
                  <w:noWrap w:val="0"/>
                  <w:vAlign w:val="center"/>
                </w:tcPr>
                <w:p w14:paraId="7A5FA1D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472" w:type="pct"/>
                  <w:vMerge w:val="continue"/>
                  <w:noWrap w:val="0"/>
                  <w:vAlign w:val="center"/>
                </w:tcPr>
                <w:p w14:paraId="0FC31DB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721" w:type="pct"/>
                  <w:vMerge w:val="continue"/>
                  <w:noWrap w:val="0"/>
                  <w:vAlign w:val="center"/>
                </w:tcPr>
                <w:p w14:paraId="724CFD3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552" w:type="pct"/>
                  <w:vMerge w:val="continue"/>
                  <w:noWrap w:val="0"/>
                  <w:vAlign w:val="center"/>
                </w:tcPr>
                <w:p w14:paraId="07C839E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300" w:type="pct"/>
                  <w:vMerge w:val="continue"/>
                  <w:noWrap w:val="0"/>
                  <w:vAlign w:val="center"/>
                </w:tcPr>
                <w:p w14:paraId="129BB14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400" w:type="pct"/>
                  <w:vMerge w:val="continue"/>
                  <w:noWrap w:val="0"/>
                  <w:vAlign w:val="center"/>
                </w:tcPr>
                <w:p w14:paraId="17BAAFD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r>
            <w:tr w14:paraId="6AB5C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77" w:type="pct"/>
                  <w:noWrap w:val="0"/>
                  <w:vAlign w:val="center"/>
                </w:tcPr>
                <w:p w14:paraId="7F70C24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1</w:t>
                  </w:r>
                </w:p>
              </w:tc>
              <w:tc>
                <w:tcPr>
                  <w:tcW w:w="576" w:type="pct"/>
                  <w:noWrap w:val="0"/>
                  <w:vAlign w:val="center"/>
                </w:tcPr>
                <w:p w14:paraId="6E107CB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紫薇苑A区</w:t>
                  </w:r>
                </w:p>
              </w:tc>
              <w:tc>
                <w:tcPr>
                  <w:tcW w:w="663" w:type="pct"/>
                  <w:noWrap w:val="0"/>
                  <w:vAlign w:val="center"/>
                </w:tcPr>
                <w:p w14:paraId="31436DE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116.584165</w:t>
                  </w:r>
                </w:p>
              </w:tc>
              <w:tc>
                <w:tcPr>
                  <w:tcW w:w="687" w:type="pct"/>
                  <w:noWrap w:val="0"/>
                  <w:vAlign w:val="center"/>
                </w:tcPr>
                <w:p w14:paraId="4B9D047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32.342174</w:t>
                  </w:r>
                </w:p>
              </w:tc>
              <w:tc>
                <w:tcPr>
                  <w:tcW w:w="447" w:type="pct"/>
                  <w:noWrap w:val="0"/>
                  <w:vAlign w:val="center"/>
                </w:tcPr>
                <w:p w14:paraId="5B96958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52F2FB1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居住区</w:t>
                  </w:r>
                </w:p>
              </w:tc>
              <w:tc>
                <w:tcPr>
                  <w:tcW w:w="721" w:type="pct"/>
                  <w:noWrap w:val="0"/>
                  <w:vAlign w:val="center"/>
                </w:tcPr>
                <w:p w14:paraId="0D835BD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5400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1800户</w:t>
                  </w:r>
                </w:p>
              </w:tc>
              <w:tc>
                <w:tcPr>
                  <w:tcW w:w="552" w:type="pct"/>
                  <w:vMerge w:val="restart"/>
                  <w:noWrap w:val="0"/>
                  <w:vAlign w:val="center"/>
                </w:tcPr>
                <w:p w14:paraId="4B715B2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snapToGrid w:val="0"/>
                      <w:color w:val="auto"/>
                      <w:kern w:val="0"/>
                      <w:sz w:val="21"/>
                      <w:szCs w:val="21"/>
                      <w:highlight w:val="none"/>
                      <w:lang w:eastAsia="zh-CN"/>
                    </w:rPr>
                  </w:pPr>
                  <w:r>
                    <w:rPr>
                      <w:rFonts w:hint="default" w:ascii="Times New Roman" w:hAnsi="Times New Roman" w:cs="Times New Roman"/>
                      <w:snapToGrid w:val="0"/>
                      <w:color w:val="auto"/>
                      <w:kern w:val="0"/>
                      <w:sz w:val="21"/>
                      <w:szCs w:val="21"/>
                      <w:highlight w:val="none"/>
                    </w:rPr>
                    <w:t>《环境空气质量标准》（</w:t>
                  </w:r>
                  <w:r>
                    <w:rPr>
                      <w:rFonts w:hint="default" w:ascii="Times New Roman" w:hAnsi="Times New Roman" w:cs="Times New Roman"/>
                      <w:snapToGrid w:val="0"/>
                      <w:color w:val="auto"/>
                      <w:kern w:val="0"/>
                      <w:sz w:val="21"/>
                      <w:szCs w:val="21"/>
                      <w:highlight w:val="none"/>
                      <w:lang w:eastAsia="zh-CN"/>
                    </w:rPr>
                    <w:t>GB3095-2026</w:t>
                  </w:r>
                  <w:r>
                    <w:rPr>
                      <w:rFonts w:hint="default" w:ascii="Times New Roman" w:hAnsi="Times New Roman" w:cs="Times New Roman"/>
                      <w:snapToGrid w:val="0"/>
                      <w:color w:val="auto"/>
                      <w:kern w:val="0"/>
                      <w:sz w:val="21"/>
                      <w:szCs w:val="21"/>
                      <w:highlight w:val="none"/>
                    </w:rPr>
                    <w:t>）</w:t>
                  </w:r>
                  <w:r>
                    <w:rPr>
                      <w:rFonts w:hint="default" w:ascii="Times New Roman" w:hAnsi="Times New Roman" w:cs="Times New Roman"/>
                      <w:snapToGrid w:val="0"/>
                      <w:color w:val="auto"/>
                      <w:kern w:val="0"/>
                      <w:sz w:val="21"/>
                      <w:szCs w:val="21"/>
                      <w:highlight w:val="none"/>
                      <w:lang w:val="en-US" w:eastAsia="zh-CN"/>
                    </w:rPr>
                    <w:t>二类区</w:t>
                  </w:r>
                </w:p>
              </w:tc>
              <w:tc>
                <w:tcPr>
                  <w:tcW w:w="300" w:type="pct"/>
                  <w:noWrap w:val="0"/>
                  <w:vAlign w:val="center"/>
                </w:tcPr>
                <w:p w14:paraId="0B8BA11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w:t>
                  </w:r>
                </w:p>
              </w:tc>
              <w:tc>
                <w:tcPr>
                  <w:tcW w:w="400" w:type="pct"/>
                  <w:noWrap w:val="0"/>
                  <w:vAlign w:val="center"/>
                </w:tcPr>
                <w:p w14:paraId="47996BA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115</w:t>
                  </w:r>
                </w:p>
              </w:tc>
            </w:tr>
            <w:tr w14:paraId="622C37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9" w:hRule="atLeast"/>
                <w:jc w:val="center"/>
              </w:trPr>
              <w:tc>
                <w:tcPr>
                  <w:tcW w:w="177" w:type="pct"/>
                  <w:noWrap w:val="0"/>
                  <w:vAlign w:val="center"/>
                </w:tcPr>
                <w:p w14:paraId="2B51D5F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2</w:t>
                  </w:r>
                </w:p>
              </w:tc>
              <w:tc>
                <w:tcPr>
                  <w:tcW w:w="576" w:type="pct"/>
                  <w:noWrap w:val="0"/>
                  <w:vAlign w:val="center"/>
                </w:tcPr>
                <w:p w14:paraId="0799B3D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紫薇苑B区</w:t>
                  </w:r>
                </w:p>
              </w:tc>
              <w:tc>
                <w:tcPr>
                  <w:tcW w:w="663" w:type="pct"/>
                  <w:noWrap w:val="0"/>
                  <w:vAlign w:val="center"/>
                </w:tcPr>
                <w:p w14:paraId="4DE6A5C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116.584949</w:t>
                  </w:r>
                </w:p>
              </w:tc>
              <w:tc>
                <w:tcPr>
                  <w:tcW w:w="687" w:type="pct"/>
                  <w:noWrap w:val="0"/>
                  <w:vAlign w:val="center"/>
                </w:tcPr>
                <w:p w14:paraId="48808A7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32.342193</w:t>
                  </w:r>
                </w:p>
              </w:tc>
              <w:tc>
                <w:tcPr>
                  <w:tcW w:w="447" w:type="pct"/>
                  <w:noWrap w:val="0"/>
                  <w:vAlign w:val="center"/>
                </w:tcPr>
                <w:p w14:paraId="6B02C6E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3BBA32D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居住区</w:t>
                  </w:r>
                </w:p>
              </w:tc>
              <w:tc>
                <w:tcPr>
                  <w:tcW w:w="721" w:type="pct"/>
                  <w:noWrap w:val="0"/>
                  <w:vAlign w:val="center"/>
                </w:tcPr>
                <w:p w14:paraId="4EE3ACC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6600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2200户</w:t>
                  </w:r>
                </w:p>
              </w:tc>
              <w:tc>
                <w:tcPr>
                  <w:tcW w:w="552" w:type="pct"/>
                  <w:vMerge w:val="continue"/>
                  <w:noWrap w:val="0"/>
                  <w:vAlign w:val="center"/>
                </w:tcPr>
                <w:p w14:paraId="6342E1F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79A2DA2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t>
                  </w:r>
                </w:p>
              </w:tc>
              <w:tc>
                <w:tcPr>
                  <w:tcW w:w="400" w:type="pct"/>
                  <w:noWrap w:val="0"/>
                  <w:vAlign w:val="center"/>
                </w:tcPr>
                <w:p w14:paraId="6DF0A88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230</w:t>
                  </w:r>
                </w:p>
              </w:tc>
            </w:tr>
            <w:tr w14:paraId="51C64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noWrap w:val="0"/>
                  <w:vAlign w:val="center"/>
                </w:tcPr>
                <w:p w14:paraId="012DBBE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3</w:t>
                  </w:r>
                </w:p>
              </w:tc>
              <w:tc>
                <w:tcPr>
                  <w:tcW w:w="576" w:type="pct"/>
                  <w:noWrap w:val="0"/>
                  <w:vAlign w:val="center"/>
                </w:tcPr>
                <w:p w14:paraId="5678E77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紫薇苑C区</w:t>
                  </w:r>
                </w:p>
              </w:tc>
              <w:tc>
                <w:tcPr>
                  <w:tcW w:w="663" w:type="pct"/>
                  <w:noWrap w:val="0"/>
                  <w:vAlign w:val="center"/>
                </w:tcPr>
                <w:p w14:paraId="6F9461C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116.585988</w:t>
                  </w:r>
                </w:p>
              </w:tc>
              <w:tc>
                <w:tcPr>
                  <w:tcW w:w="687" w:type="pct"/>
                  <w:noWrap w:val="0"/>
                  <w:vAlign w:val="center"/>
                </w:tcPr>
                <w:p w14:paraId="2E37E3A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32.342139</w:t>
                  </w:r>
                </w:p>
              </w:tc>
              <w:tc>
                <w:tcPr>
                  <w:tcW w:w="447" w:type="pct"/>
                  <w:noWrap w:val="0"/>
                  <w:vAlign w:val="center"/>
                </w:tcPr>
                <w:p w14:paraId="5361AB3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3845851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居住区</w:t>
                  </w:r>
                </w:p>
              </w:tc>
              <w:tc>
                <w:tcPr>
                  <w:tcW w:w="721" w:type="pct"/>
                  <w:noWrap w:val="0"/>
                  <w:vAlign w:val="center"/>
                </w:tcPr>
                <w:p w14:paraId="6B9F887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7</w:t>
                  </w:r>
                  <w:r>
                    <w:rPr>
                      <w:rFonts w:hint="eastAsia"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val="en-US" w:eastAsia="zh-CN"/>
                    </w:rPr>
                    <w:t>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00户</w:t>
                  </w:r>
                </w:p>
              </w:tc>
              <w:tc>
                <w:tcPr>
                  <w:tcW w:w="552" w:type="pct"/>
                  <w:vMerge w:val="continue"/>
                  <w:noWrap w:val="0"/>
                  <w:vAlign w:val="center"/>
                </w:tcPr>
                <w:p w14:paraId="02C8606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43C660D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NE</w:t>
                  </w:r>
                </w:p>
              </w:tc>
              <w:tc>
                <w:tcPr>
                  <w:tcW w:w="400" w:type="pct"/>
                  <w:noWrap w:val="0"/>
                  <w:vAlign w:val="center"/>
                </w:tcPr>
                <w:p w14:paraId="66547D4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330</w:t>
                  </w:r>
                </w:p>
              </w:tc>
            </w:tr>
            <w:tr w14:paraId="70040D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noWrap w:val="0"/>
                  <w:vAlign w:val="center"/>
                </w:tcPr>
                <w:p w14:paraId="1EB7365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4</w:t>
                  </w:r>
                </w:p>
              </w:tc>
              <w:tc>
                <w:tcPr>
                  <w:tcW w:w="576" w:type="pct"/>
                  <w:noWrap w:val="0"/>
                  <w:vAlign w:val="center"/>
                </w:tcPr>
                <w:p w14:paraId="128D118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玫瑰苑</w:t>
                  </w:r>
                </w:p>
              </w:tc>
              <w:tc>
                <w:tcPr>
                  <w:tcW w:w="663" w:type="pct"/>
                  <w:noWrap w:val="0"/>
                  <w:vAlign w:val="center"/>
                </w:tcPr>
                <w:p w14:paraId="7ED2A76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116.584957</w:t>
                  </w:r>
                </w:p>
              </w:tc>
              <w:tc>
                <w:tcPr>
                  <w:tcW w:w="687" w:type="pct"/>
                  <w:noWrap w:val="0"/>
                  <w:vAlign w:val="center"/>
                </w:tcPr>
                <w:p w14:paraId="6D14B91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32.343147</w:t>
                  </w:r>
                </w:p>
              </w:tc>
              <w:tc>
                <w:tcPr>
                  <w:tcW w:w="447" w:type="pct"/>
                  <w:noWrap w:val="0"/>
                  <w:vAlign w:val="center"/>
                </w:tcPr>
                <w:p w14:paraId="5D2B63A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0435C07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居住区</w:t>
                  </w:r>
                </w:p>
              </w:tc>
              <w:tc>
                <w:tcPr>
                  <w:tcW w:w="721" w:type="pct"/>
                  <w:noWrap w:val="0"/>
                  <w:vAlign w:val="center"/>
                </w:tcPr>
                <w:p w14:paraId="57B98B3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7500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2500户</w:t>
                  </w:r>
                </w:p>
              </w:tc>
              <w:tc>
                <w:tcPr>
                  <w:tcW w:w="552" w:type="pct"/>
                  <w:vMerge w:val="continue"/>
                  <w:noWrap w:val="0"/>
                  <w:vAlign w:val="center"/>
                </w:tcPr>
                <w:p w14:paraId="1FD91AB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304CB45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t>
                  </w:r>
                </w:p>
              </w:tc>
              <w:tc>
                <w:tcPr>
                  <w:tcW w:w="400" w:type="pct"/>
                  <w:noWrap w:val="0"/>
                  <w:vAlign w:val="center"/>
                </w:tcPr>
                <w:p w14:paraId="06DC570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449</w:t>
                  </w:r>
                </w:p>
              </w:tc>
            </w:tr>
            <w:tr w14:paraId="461A82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noWrap w:val="0"/>
                  <w:vAlign w:val="center"/>
                </w:tcPr>
                <w:p w14:paraId="1E054C0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5</w:t>
                  </w:r>
                </w:p>
              </w:tc>
              <w:tc>
                <w:tcPr>
                  <w:tcW w:w="576" w:type="pct"/>
                  <w:noWrap w:val="0"/>
                  <w:vAlign w:val="center"/>
                </w:tcPr>
                <w:p w14:paraId="319B56D7">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青桐苑</w:t>
                  </w:r>
                </w:p>
              </w:tc>
              <w:tc>
                <w:tcPr>
                  <w:tcW w:w="663" w:type="pct"/>
                  <w:noWrap w:val="0"/>
                  <w:vAlign w:val="center"/>
                </w:tcPr>
                <w:p w14:paraId="20508A5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116.584153</w:t>
                  </w:r>
                </w:p>
              </w:tc>
              <w:tc>
                <w:tcPr>
                  <w:tcW w:w="687" w:type="pct"/>
                  <w:noWrap w:val="0"/>
                  <w:vAlign w:val="center"/>
                </w:tcPr>
                <w:p w14:paraId="059A704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32.343178</w:t>
                  </w:r>
                </w:p>
              </w:tc>
              <w:tc>
                <w:tcPr>
                  <w:tcW w:w="447" w:type="pct"/>
                  <w:noWrap w:val="0"/>
                  <w:vAlign w:val="center"/>
                </w:tcPr>
                <w:p w14:paraId="297A41D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13239B8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Cs w:val="24"/>
                      <w:highlight w:val="none"/>
                    </w:rPr>
                  </w:pPr>
                  <w:r>
                    <w:rPr>
                      <w:rFonts w:hint="default" w:ascii="Times New Roman" w:hAnsi="Times New Roman" w:cs="Times New Roman"/>
                      <w:color w:val="auto"/>
                      <w:sz w:val="21"/>
                      <w:szCs w:val="21"/>
                      <w:highlight w:val="none"/>
                    </w:rPr>
                    <w:t>居住区</w:t>
                  </w:r>
                </w:p>
              </w:tc>
              <w:tc>
                <w:tcPr>
                  <w:tcW w:w="721" w:type="pct"/>
                  <w:noWrap w:val="0"/>
                  <w:vAlign w:val="center"/>
                </w:tcPr>
                <w:p w14:paraId="0A45BE5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8400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2800户</w:t>
                  </w:r>
                </w:p>
              </w:tc>
              <w:tc>
                <w:tcPr>
                  <w:tcW w:w="552" w:type="pct"/>
                  <w:vMerge w:val="continue"/>
                  <w:noWrap w:val="0"/>
                  <w:vAlign w:val="center"/>
                </w:tcPr>
                <w:p w14:paraId="551E2F6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5473CF7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w:t>
                  </w:r>
                </w:p>
              </w:tc>
              <w:tc>
                <w:tcPr>
                  <w:tcW w:w="400" w:type="pct"/>
                  <w:noWrap w:val="0"/>
                  <w:vAlign w:val="center"/>
                </w:tcPr>
                <w:p w14:paraId="5A3A84D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451</w:t>
                  </w:r>
                </w:p>
              </w:tc>
            </w:tr>
            <w:tr w14:paraId="034A2A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noWrap w:val="0"/>
                  <w:vAlign w:val="center"/>
                </w:tcPr>
                <w:p w14:paraId="70CB79E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6</w:t>
                  </w:r>
                </w:p>
              </w:tc>
              <w:tc>
                <w:tcPr>
                  <w:tcW w:w="576" w:type="pct"/>
                  <w:noWrap w:val="0"/>
                  <w:vAlign w:val="center"/>
                </w:tcPr>
                <w:p w14:paraId="6DC7777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安徽省淮南卫生学校</w:t>
                  </w:r>
                </w:p>
              </w:tc>
              <w:tc>
                <w:tcPr>
                  <w:tcW w:w="663" w:type="pct"/>
                  <w:noWrap w:val="0"/>
                  <w:vAlign w:val="center"/>
                </w:tcPr>
                <w:p w14:paraId="177B6B4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116.582191</w:t>
                  </w:r>
                </w:p>
              </w:tc>
              <w:tc>
                <w:tcPr>
                  <w:tcW w:w="687" w:type="pct"/>
                  <w:noWrap w:val="0"/>
                  <w:vAlign w:val="center"/>
                </w:tcPr>
                <w:p w14:paraId="51FED1F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32.342560</w:t>
                  </w:r>
                </w:p>
              </w:tc>
              <w:tc>
                <w:tcPr>
                  <w:tcW w:w="447" w:type="pct"/>
                  <w:noWrap w:val="0"/>
                  <w:vAlign w:val="center"/>
                </w:tcPr>
                <w:p w14:paraId="0C0D3F7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师生</w:t>
                  </w:r>
                </w:p>
              </w:tc>
              <w:tc>
                <w:tcPr>
                  <w:tcW w:w="472" w:type="pct"/>
                  <w:noWrap w:val="0"/>
                  <w:vAlign w:val="center"/>
                </w:tcPr>
                <w:p w14:paraId="544EFE0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Cs w:val="24"/>
                      <w:highlight w:val="none"/>
                      <w:lang w:val="en-US" w:eastAsia="zh-CN"/>
                    </w:rPr>
                  </w:pPr>
                  <w:r>
                    <w:rPr>
                      <w:rFonts w:hint="default" w:ascii="Times New Roman" w:hAnsi="Times New Roman" w:cs="Times New Roman"/>
                      <w:color w:val="auto"/>
                      <w:szCs w:val="24"/>
                      <w:highlight w:val="none"/>
                      <w:lang w:val="en-US" w:eastAsia="zh-CN"/>
                    </w:rPr>
                    <w:t>学校</w:t>
                  </w:r>
                </w:p>
              </w:tc>
              <w:tc>
                <w:tcPr>
                  <w:tcW w:w="721" w:type="pct"/>
                  <w:noWrap w:val="0"/>
                  <w:vAlign w:val="center"/>
                </w:tcPr>
                <w:p w14:paraId="12FC2F8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4200</w:t>
                  </w:r>
                  <w:r>
                    <w:rPr>
                      <w:rFonts w:hint="default" w:ascii="Times New Roman" w:hAnsi="Times New Roman" w:cs="Times New Roman"/>
                      <w:color w:val="auto"/>
                      <w:sz w:val="21"/>
                      <w:szCs w:val="21"/>
                      <w:highlight w:val="none"/>
                      <w:lang w:eastAsia="zh-CN"/>
                    </w:rPr>
                    <w:t>人</w:t>
                  </w:r>
                </w:p>
              </w:tc>
              <w:tc>
                <w:tcPr>
                  <w:tcW w:w="552" w:type="pct"/>
                  <w:vMerge w:val="continue"/>
                  <w:noWrap w:val="0"/>
                  <w:vAlign w:val="center"/>
                </w:tcPr>
                <w:p w14:paraId="717B0B9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2D9532A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w:t>
                  </w:r>
                </w:p>
              </w:tc>
              <w:tc>
                <w:tcPr>
                  <w:tcW w:w="400" w:type="pct"/>
                  <w:noWrap w:val="0"/>
                  <w:vAlign w:val="center"/>
                </w:tcPr>
                <w:p w14:paraId="52A159C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368</w:t>
                  </w:r>
                </w:p>
              </w:tc>
            </w:tr>
            <w:bookmarkEnd w:id="13"/>
          </w:tbl>
          <w:p w14:paraId="517BDE1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2、声环境</w:t>
            </w:r>
          </w:p>
          <w:p w14:paraId="10A4C4AB">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color w:val="auto"/>
                <w:kern w:val="0"/>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rPr>
              <w:t>，项目周边50米范围内无声环境敏感目标。</w:t>
            </w:r>
          </w:p>
          <w:p w14:paraId="3E8664C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3、地下水环境</w:t>
            </w:r>
          </w:p>
          <w:p w14:paraId="0C00484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厂界外500米范围内</w:t>
            </w:r>
            <w:r>
              <w:rPr>
                <w:rFonts w:hint="default" w:ascii="Times New Roman" w:hAnsi="Times New Roman" w:cs="Times New Roman"/>
                <w:snapToGrid w:val="0"/>
                <w:color w:val="auto"/>
                <w:kern w:val="0"/>
                <w:sz w:val="24"/>
                <w:highlight w:val="none"/>
                <w:lang w:val="en-US" w:eastAsia="zh-CN"/>
              </w:rPr>
              <w:t>居民均使用自来水，</w:t>
            </w:r>
            <w:r>
              <w:rPr>
                <w:rFonts w:hint="default" w:ascii="Times New Roman" w:hAnsi="Times New Roman" w:cs="Times New Roman"/>
                <w:snapToGrid w:val="0"/>
                <w:color w:val="auto"/>
                <w:kern w:val="0"/>
                <w:sz w:val="24"/>
                <w:highlight w:val="none"/>
              </w:rPr>
              <w:t>无地下水集中式饮用水水源和热水、矿泉水、温泉等特殊地下水资源。</w:t>
            </w:r>
          </w:p>
          <w:p w14:paraId="635FC0EA">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snapToGrid w:val="0"/>
                <w:color w:val="auto"/>
                <w:kern w:val="0"/>
                <w:szCs w:val="21"/>
                <w:highlight w:val="none"/>
              </w:rPr>
            </w:pPr>
            <w:r>
              <w:rPr>
                <w:rFonts w:hint="default" w:ascii="Times New Roman" w:hAnsi="Times New Roman" w:cs="Times New Roman"/>
                <w:b/>
                <w:bCs/>
                <w:color w:val="auto"/>
                <w:kern w:val="0"/>
                <w:sz w:val="24"/>
                <w:highlight w:val="none"/>
              </w:rPr>
              <w:t>4、生态环境</w:t>
            </w:r>
          </w:p>
          <w:p w14:paraId="5075210A">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Cs w:val="21"/>
                <w:highlight w:val="none"/>
              </w:rPr>
            </w:pPr>
            <w:r>
              <w:rPr>
                <w:rFonts w:hint="eastAsia" w:ascii="Times New Roman" w:hAnsi="Times New Roman" w:cs="Times New Roman"/>
                <w:snapToGrid w:val="0"/>
                <w:color w:val="auto"/>
                <w:kern w:val="0"/>
                <w:sz w:val="24"/>
                <w:highlight w:val="none"/>
                <w:lang w:eastAsia="zh-CN"/>
              </w:rPr>
              <w:t>项目</w:t>
            </w:r>
            <w:r>
              <w:rPr>
                <w:rFonts w:hint="default" w:ascii="Times New Roman" w:hAnsi="Times New Roman" w:cs="Times New Roman"/>
                <w:snapToGrid w:val="0"/>
                <w:color w:val="auto"/>
                <w:kern w:val="0"/>
                <w:sz w:val="24"/>
                <w:highlight w:val="none"/>
              </w:rPr>
              <w:t>位于</w:t>
            </w:r>
            <w:r>
              <w:rPr>
                <w:rFonts w:hint="eastAsia" w:ascii="Times New Roman" w:hAnsi="Times New Roman" w:cs="Times New Roman"/>
                <w:snapToGrid w:val="0"/>
                <w:color w:val="auto"/>
                <w:kern w:val="0"/>
                <w:sz w:val="24"/>
                <w:highlight w:val="none"/>
                <w:lang w:eastAsia="zh-CN"/>
              </w:rPr>
              <w:t>安徽省淮南市高新区合创产业园9号厂房</w:t>
            </w:r>
            <w:r>
              <w:rPr>
                <w:rFonts w:hint="default" w:ascii="Times New Roman" w:hAnsi="Times New Roman" w:cs="Times New Roman"/>
                <w:snapToGrid w:val="0"/>
                <w:color w:val="auto"/>
                <w:kern w:val="0"/>
                <w:sz w:val="24"/>
                <w:highlight w:val="none"/>
              </w:rPr>
              <w:t>，</w:t>
            </w:r>
            <w:r>
              <w:rPr>
                <w:rFonts w:hint="eastAsia" w:ascii="Times New Roman" w:hAnsi="Times New Roman" w:cs="Times New Roman"/>
                <w:snapToGrid w:val="0"/>
                <w:color w:val="auto"/>
                <w:kern w:val="0"/>
                <w:sz w:val="24"/>
                <w:highlight w:val="none"/>
                <w:lang w:eastAsia="zh-CN"/>
              </w:rPr>
              <w:t>项目</w:t>
            </w:r>
            <w:r>
              <w:rPr>
                <w:rFonts w:hint="default" w:ascii="Times New Roman" w:hAnsi="Times New Roman" w:cs="Times New Roman"/>
                <w:color w:val="auto"/>
                <w:kern w:val="0"/>
                <w:sz w:val="24"/>
                <w:highlight w:val="none"/>
                <w:lang w:val="en-US" w:eastAsia="zh-CN"/>
              </w:rPr>
              <w:t>位于园区内，不进行生态调查</w:t>
            </w:r>
            <w:r>
              <w:rPr>
                <w:rFonts w:hint="default" w:ascii="Times New Roman" w:hAnsi="Times New Roman" w:cs="Times New Roman"/>
                <w:snapToGrid w:val="0"/>
                <w:color w:val="auto"/>
                <w:kern w:val="0"/>
                <w:sz w:val="24"/>
                <w:highlight w:val="none"/>
              </w:rPr>
              <w:t>。</w:t>
            </w:r>
          </w:p>
        </w:tc>
      </w:tr>
      <w:tr w14:paraId="6D41D8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pct"/>
            <w:noWrap w:val="0"/>
            <w:tcMar>
              <w:left w:w="28" w:type="dxa"/>
              <w:right w:w="28" w:type="dxa"/>
            </w:tcMar>
            <w:vAlign w:val="center"/>
          </w:tcPr>
          <w:p w14:paraId="7676902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污染</w:t>
            </w:r>
          </w:p>
          <w:p w14:paraId="589A016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物排</w:t>
            </w:r>
          </w:p>
          <w:p w14:paraId="64B9E8D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放控</w:t>
            </w:r>
          </w:p>
          <w:p w14:paraId="1F52343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制标</w:t>
            </w:r>
          </w:p>
          <w:p w14:paraId="5AC4063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kern w:val="0"/>
                <w:szCs w:val="21"/>
                <w:highlight w:val="none"/>
              </w:rPr>
            </w:pPr>
            <w:r>
              <w:rPr>
                <w:rFonts w:hint="default" w:ascii="Times New Roman" w:hAnsi="Times New Roman" w:cs="Times New Roman"/>
                <w:b/>
                <w:bCs/>
                <w:color w:val="auto"/>
                <w:kern w:val="0"/>
                <w:sz w:val="24"/>
                <w:szCs w:val="24"/>
                <w:highlight w:val="none"/>
              </w:rPr>
              <w:t>准</w:t>
            </w:r>
          </w:p>
        </w:tc>
        <w:tc>
          <w:tcPr>
            <w:tcW w:w="4556" w:type="pct"/>
            <w:noWrap w:val="0"/>
            <w:vAlign w:val="center"/>
          </w:tcPr>
          <w:p w14:paraId="06637894">
            <w:pPr>
              <w:keepNext w:val="0"/>
              <w:keepLines w:val="0"/>
              <w:pageBreakBefore w:val="0"/>
              <w:widowControl w:val="0"/>
              <w:numPr>
                <w:ilvl w:val="0"/>
                <w:numId w:val="6"/>
              </w:numPr>
              <w:tabs>
                <w:tab w:val="left" w:pos="514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snapToGrid w:val="0"/>
                <w:color w:val="auto"/>
                <w:kern w:val="0"/>
                <w:sz w:val="24"/>
                <w:highlight w:val="none"/>
              </w:rPr>
            </w:pPr>
            <w:r>
              <w:rPr>
                <w:rFonts w:hint="default" w:ascii="Times New Roman" w:hAnsi="Times New Roman" w:cs="Times New Roman"/>
                <w:b/>
                <w:snapToGrid w:val="0"/>
                <w:color w:val="auto"/>
                <w:kern w:val="0"/>
                <w:sz w:val="24"/>
                <w:highlight w:val="none"/>
              </w:rPr>
              <w:t>大气污染物排放标准</w:t>
            </w:r>
          </w:p>
          <w:p w14:paraId="25CA9719">
            <w:pPr>
              <w:keepNext w:val="0"/>
              <w:keepLines w:val="0"/>
              <w:pageBreakBefore w:val="0"/>
              <w:widowControl w:val="0"/>
              <w:tabs>
                <w:tab w:val="left" w:pos="514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rPr>
              <w:t>营运期，</w:t>
            </w:r>
            <w:r>
              <w:rPr>
                <w:rFonts w:hint="eastAsia" w:ascii="Times New Roman" w:hAnsi="Times New Roman" w:cs="Times New Roman"/>
                <w:bCs/>
                <w:color w:val="auto"/>
                <w:sz w:val="24"/>
                <w:highlight w:val="none"/>
                <w:lang w:val="en-US" w:eastAsia="zh-CN"/>
              </w:rPr>
              <w:t>涂胶、热压、烘干、固化过程产生的</w:t>
            </w:r>
            <w:r>
              <w:rPr>
                <w:rFonts w:hint="default" w:ascii="Times New Roman" w:hAnsi="Times New Roman" w:cs="Times New Roman"/>
                <w:bCs/>
                <w:color w:val="auto"/>
                <w:sz w:val="24"/>
                <w:highlight w:val="none"/>
                <w:lang w:val="en-US" w:eastAsia="zh-CN"/>
              </w:rPr>
              <w:t>废气</w:t>
            </w:r>
            <w:r>
              <w:rPr>
                <w:rFonts w:hint="eastAsia" w:ascii="Times New Roman" w:hAnsi="Times New Roman" w:cs="Times New Roman"/>
                <w:bCs/>
                <w:color w:val="auto"/>
                <w:sz w:val="24"/>
                <w:highlight w:val="none"/>
                <w:lang w:val="en-US" w:eastAsia="zh-CN"/>
              </w:rPr>
              <w:t>非甲烷总烃有组织排放执行</w:t>
            </w:r>
            <w:r>
              <w:rPr>
                <w:rFonts w:hint="default" w:ascii="Times New Roman" w:hAnsi="Times New Roman" w:cs="Times New Roman"/>
                <w:bCs/>
                <w:color w:val="auto"/>
                <w:sz w:val="24"/>
                <w:highlight w:val="none"/>
                <w:lang w:val="en-US" w:eastAsia="zh-CN"/>
              </w:rPr>
              <w:t>《固定源挥发性有机物综合排放标准第6部分：其他行业》（DB34/4812.6-2024）标准限值，甲醛、酚类执行《大气污染物综合排放标准》（GB16297-1996）表2中二级标准限值</w:t>
            </w:r>
            <w:r>
              <w:rPr>
                <w:rFonts w:hint="eastAsia" w:ascii="Times New Roman" w:hAnsi="Times New Roman" w:cs="Times New Roman"/>
                <w:bCs/>
                <w:color w:val="auto"/>
                <w:sz w:val="24"/>
                <w:highlight w:val="none"/>
                <w:lang w:val="en-US" w:eastAsia="zh-CN"/>
              </w:rPr>
              <w:t>；抛光、混料、打磨过程产生的废气颗粒物有组织排放执行</w:t>
            </w:r>
            <w:r>
              <w:rPr>
                <w:rFonts w:hint="default" w:ascii="Times New Roman" w:hAnsi="Times New Roman" w:cs="Times New Roman"/>
                <w:bCs/>
                <w:color w:val="auto"/>
                <w:sz w:val="24"/>
                <w:highlight w:val="none"/>
                <w:lang w:val="en-US" w:eastAsia="zh-CN"/>
              </w:rPr>
              <w:t>《大气污染物综合排放标准》（GB16297-1996）表2中二级标准限值</w:t>
            </w:r>
            <w:r>
              <w:rPr>
                <w:rFonts w:hint="eastAsia" w:ascii="Times New Roman" w:hAnsi="Times New Roman" w:cs="Times New Roman"/>
                <w:bCs/>
                <w:color w:val="auto"/>
                <w:sz w:val="24"/>
                <w:highlight w:val="none"/>
                <w:lang w:val="en-US" w:eastAsia="zh-CN"/>
              </w:rPr>
              <w:t>；喷塑过程产生的废气颗粒物排放有组织执行《合成树脂工业污染物排放标准》（GB31572-2015，含2024年修改单）中的</w:t>
            </w:r>
            <w:r>
              <w:rPr>
                <w:rFonts w:hint="default" w:ascii="Times New Roman" w:hAnsi="Times New Roman" w:cs="Times New Roman"/>
                <w:bCs/>
                <w:color w:val="auto"/>
                <w:sz w:val="24"/>
                <w:highlight w:val="none"/>
                <w:lang w:val="en-US" w:eastAsia="zh-CN"/>
              </w:rPr>
              <w:t>表</w:t>
            </w:r>
            <w:r>
              <w:rPr>
                <w:rFonts w:hint="eastAsia"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lang w:val="en-US" w:eastAsia="zh-CN"/>
              </w:rPr>
              <w:t>标准限值。</w:t>
            </w:r>
          </w:p>
          <w:p w14:paraId="2DB6AD25">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 3-4项目大气污染物</w:t>
            </w:r>
            <w:r>
              <w:rPr>
                <w:rFonts w:hint="eastAsia" w:ascii="Times New Roman" w:hAnsi="Times New Roman" w:eastAsia="宋体" w:cs="Times New Roman"/>
                <w:b/>
                <w:bCs/>
                <w:color w:val="auto"/>
                <w:kern w:val="0"/>
                <w:sz w:val="21"/>
                <w:szCs w:val="21"/>
                <w:lang w:val="en-US" w:eastAsia="zh-CN" w:bidi="ar"/>
              </w:rPr>
              <w:t>有组织</w:t>
            </w:r>
            <w:r>
              <w:rPr>
                <w:rFonts w:hint="default" w:ascii="Times New Roman" w:hAnsi="Times New Roman" w:eastAsia="宋体" w:cs="Times New Roman"/>
                <w:b/>
                <w:bCs/>
                <w:color w:val="auto"/>
                <w:kern w:val="0"/>
                <w:sz w:val="21"/>
                <w:szCs w:val="21"/>
                <w:lang w:val="en-US" w:eastAsia="zh-CN" w:bidi="ar"/>
              </w:rPr>
              <w:t>排放标准</w:t>
            </w:r>
          </w:p>
          <w:tbl>
            <w:tblPr>
              <w:tblStyle w:val="26"/>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18"/>
              <w:gridCol w:w="1319"/>
              <w:gridCol w:w="1319"/>
              <w:gridCol w:w="1319"/>
              <w:gridCol w:w="2265"/>
            </w:tblGrid>
            <w:tr w14:paraId="27A728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74" w:type="pct"/>
                  <w:vMerge w:val="restart"/>
                  <w:noWrap w:val="0"/>
                  <w:vAlign w:val="center"/>
                </w:tcPr>
                <w:p w14:paraId="4AC0FB9E">
                  <w:pPr>
                    <w:widowControl/>
                    <w:adjustRightInd w:val="0"/>
                    <w:snapToGrid w:val="0"/>
                    <w:spacing w:line="240" w:lineRule="auto"/>
                    <w:ind w:firstLine="0" w:firstLineChars="0"/>
                    <w:jc w:val="center"/>
                    <w:rPr>
                      <w:rFonts w:hint="eastAsia" w:ascii="Times New Roman" w:hAnsi="Times New Roman" w:eastAsia="宋体" w:cs="Times New Roman"/>
                      <w:b/>
                      <w:color w:val="auto"/>
                      <w:lang w:eastAsia="zh-CN"/>
                    </w:rPr>
                  </w:pPr>
                  <w:r>
                    <w:rPr>
                      <w:rFonts w:hint="eastAsia" w:ascii="Times New Roman" w:hAnsi="Times New Roman" w:cs="Times New Roman"/>
                      <w:b/>
                      <w:color w:val="auto"/>
                      <w:sz w:val="21"/>
                      <w:szCs w:val="22"/>
                      <w:lang w:val="en-US" w:eastAsia="zh-CN"/>
                    </w:rPr>
                    <w:t>工艺</w:t>
                  </w:r>
                </w:p>
              </w:tc>
              <w:tc>
                <w:tcPr>
                  <w:tcW w:w="874" w:type="pct"/>
                  <w:vMerge w:val="restart"/>
                  <w:noWrap w:val="0"/>
                  <w:vAlign w:val="center"/>
                </w:tcPr>
                <w:p w14:paraId="6046BAC3">
                  <w:pPr>
                    <w:widowControl/>
                    <w:adjustRightInd w:val="0"/>
                    <w:snapToGrid w:val="0"/>
                    <w:spacing w:line="240" w:lineRule="auto"/>
                    <w:ind w:firstLine="0" w:firstLineChars="0"/>
                    <w:jc w:val="center"/>
                    <w:rPr>
                      <w:rFonts w:hint="default" w:ascii="Times New Roman" w:hAnsi="Times New Roman" w:cs="Times New Roman"/>
                      <w:b/>
                      <w:color w:val="auto"/>
                      <w:sz w:val="21"/>
                      <w:szCs w:val="22"/>
                    </w:rPr>
                  </w:pPr>
                  <w:r>
                    <w:rPr>
                      <w:rFonts w:hint="default" w:ascii="Times New Roman" w:hAnsi="Times New Roman" w:cs="Times New Roman"/>
                      <w:b/>
                      <w:color w:val="auto"/>
                      <w:sz w:val="21"/>
                      <w:szCs w:val="22"/>
                    </w:rPr>
                    <w:t>污染物</w:t>
                  </w:r>
                </w:p>
              </w:tc>
              <w:tc>
                <w:tcPr>
                  <w:tcW w:w="874" w:type="pct"/>
                  <w:vMerge w:val="restart"/>
                  <w:noWrap w:val="0"/>
                  <w:vAlign w:val="center"/>
                </w:tcPr>
                <w:p w14:paraId="1E27CB3A">
                  <w:pPr>
                    <w:widowControl/>
                    <w:adjustRightInd w:val="0"/>
                    <w:snapToGrid w:val="0"/>
                    <w:spacing w:line="240" w:lineRule="auto"/>
                    <w:ind w:firstLine="0" w:firstLineChars="0"/>
                    <w:jc w:val="center"/>
                    <w:rPr>
                      <w:rFonts w:hint="default" w:ascii="Times New Roman" w:hAnsi="Times New Roman" w:cs="Times New Roman"/>
                      <w:b/>
                      <w:color w:val="auto"/>
                    </w:rPr>
                  </w:pPr>
                  <w:r>
                    <w:rPr>
                      <w:rFonts w:hint="default" w:ascii="Times New Roman" w:hAnsi="Times New Roman" w:cs="Times New Roman"/>
                      <w:b/>
                      <w:color w:val="auto"/>
                      <w:sz w:val="21"/>
                      <w:szCs w:val="22"/>
                    </w:rPr>
                    <w:t>最高允许排放浓度（mg/m</w:t>
                  </w:r>
                  <w:r>
                    <w:rPr>
                      <w:rFonts w:hint="default" w:ascii="Times New Roman" w:hAnsi="Times New Roman" w:cs="Times New Roman"/>
                      <w:b/>
                      <w:color w:val="auto"/>
                      <w:sz w:val="21"/>
                      <w:szCs w:val="22"/>
                      <w:vertAlign w:val="superscript"/>
                    </w:rPr>
                    <w:t>3</w:t>
                  </w:r>
                  <w:r>
                    <w:rPr>
                      <w:rFonts w:hint="default" w:ascii="Times New Roman" w:hAnsi="Times New Roman" w:cs="Times New Roman"/>
                      <w:b/>
                      <w:color w:val="auto"/>
                      <w:sz w:val="21"/>
                      <w:szCs w:val="22"/>
                    </w:rPr>
                    <w:t>）</w:t>
                  </w:r>
                </w:p>
              </w:tc>
              <w:tc>
                <w:tcPr>
                  <w:tcW w:w="874" w:type="pct"/>
                  <w:vMerge w:val="restart"/>
                  <w:noWrap w:val="0"/>
                  <w:vAlign w:val="center"/>
                </w:tcPr>
                <w:p w14:paraId="3668ECBC">
                  <w:pPr>
                    <w:widowControl/>
                    <w:adjustRightInd w:val="0"/>
                    <w:snapToGrid w:val="0"/>
                    <w:spacing w:line="240" w:lineRule="auto"/>
                    <w:ind w:firstLine="0" w:firstLineChars="0"/>
                    <w:jc w:val="center"/>
                    <w:rPr>
                      <w:rFonts w:hint="default" w:ascii="Times New Roman" w:hAnsi="Times New Roman" w:cs="Times New Roman"/>
                      <w:b/>
                      <w:color w:val="auto"/>
                    </w:rPr>
                  </w:pPr>
                  <w:r>
                    <w:rPr>
                      <w:rFonts w:hint="default" w:ascii="Times New Roman" w:hAnsi="Times New Roman" w:cs="Times New Roman"/>
                      <w:b/>
                      <w:color w:val="auto"/>
                      <w:sz w:val="21"/>
                      <w:szCs w:val="22"/>
                    </w:rPr>
                    <w:t>最高允许排放速率（kg/h）</w:t>
                  </w:r>
                </w:p>
              </w:tc>
              <w:tc>
                <w:tcPr>
                  <w:tcW w:w="1501" w:type="pct"/>
                  <w:vMerge w:val="restart"/>
                  <w:noWrap w:val="0"/>
                  <w:vAlign w:val="center"/>
                </w:tcPr>
                <w:p w14:paraId="2B9DEA6D">
                  <w:pPr>
                    <w:widowControl/>
                    <w:adjustRightInd w:val="0"/>
                    <w:snapToGrid w:val="0"/>
                    <w:spacing w:line="240" w:lineRule="auto"/>
                    <w:ind w:firstLine="0" w:firstLineChars="0"/>
                    <w:jc w:val="center"/>
                    <w:rPr>
                      <w:rFonts w:hint="default" w:ascii="Times New Roman" w:hAnsi="Times New Roman" w:cs="Times New Roman"/>
                      <w:b/>
                      <w:color w:val="auto"/>
                    </w:rPr>
                  </w:pPr>
                  <w:r>
                    <w:rPr>
                      <w:rFonts w:hint="default" w:ascii="Times New Roman" w:hAnsi="Times New Roman" w:cs="Times New Roman"/>
                      <w:b/>
                      <w:color w:val="auto"/>
                      <w:sz w:val="21"/>
                      <w:szCs w:val="22"/>
                    </w:rPr>
                    <w:t>执行标准</w:t>
                  </w:r>
                </w:p>
              </w:tc>
            </w:tr>
            <w:tr w14:paraId="7C0782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74" w:type="pct"/>
                  <w:vMerge w:val="continue"/>
                  <w:noWrap w:val="0"/>
                  <w:vAlign w:val="center"/>
                </w:tcPr>
                <w:p w14:paraId="2BE7B18E">
                  <w:pPr>
                    <w:widowControl/>
                    <w:adjustRightInd w:val="0"/>
                    <w:snapToGrid w:val="0"/>
                    <w:spacing w:line="240" w:lineRule="auto"/>
                    <w:ind w:firstLine="0" w:firstLineChars="0"/>
                    <w:jc w:val="center"/>
                    <w:rPr>
                      <w:rFonts w:hint="default" w:ascii="Times New Roman" w:hAnsi="Times New Roman" w:cs="Times New Roman"/>
                      <w:color w:val="auto"/>
                    </w:rPr>
                  </w:pPr>
                </w:p>
              </w:tc>
              <w:tc>
                <w:tcPr>
                  <w:tcW w:w="874" w:type="pct"/>
                  <w:vMerge w:val="continue"/>
                  <w:noWrap w:val="0"/>
                  <w:vAlign w:val="center"/>
                </w:tcPr>
                <w:p w14:paraId="6BB88592">
                  <w:pPr>
                    <w:widowControl/>
                    <w:adjustRightInd w:val="0"/>
                    <w:snapToGrid w:val="0"/>
                    <w:spacing w:line="240" w:lineRule="auto"/>
                    <w:ind w:firstLine="0" w:firstLineChars="0"/>
                    <w:jc w:val="center"/>
                    <w:rPr>
                      <w:rFonts w:hint="default" w:ascii="Times New Roman" w:hAnsi="Times New Roman" w:cs="Times New Roman"/>
                      <w:color w:val="auto"/>
                    </w:rPr>
                  </w:pPr>
                </w:p>
              </w:tc>
              <w:tc>
                <w:tcPr>
                  <w:tcW w:w="874" w:type="pct"/>
                  <w:vMerge w:val="continue"/>
                  <w:noWrap w:val="0"/>
                  <w:vAlign w:val="center"/>
                </w:tcPr>
                <w:p w14:paraId="37E7774B">
                  <w:pPr>
                    <w:widowControl/>
                    <w:adjustRightInd w:val="0"/>
                    <w:snapToGrid w:val="0"/>
                    <w:spacing w:line="240" w:lineRule="auto"/>
                    <w:ind w:firstLine="0" w:firstLineChars="0"/>
                    <w:jc w:val="center"/>
                    <w:rPr>
                      <w:rFonts w:hint="default" w:ascii="Times New Roman" w:hAnsi="Times New Roman" w:cs="Times New Roman"/>
                      <w:color w:val="auto"/>
                    </w:rPr>
                  </w:pPr>
                </w:p>
              </w:tc>
              <w:tc>
                <w:tcPr>
                  <w:tcW w:w="874" w:type="pct"/>
                  <w:vMerge w:val="continue"/>
                  <w:noWrap w:val="0"/>
                  <w:vAlign w:val="center"/>
                </w:tcPr>
                <w:p w14:paraId="35B4D63A">
                  <w:pPr>
                    <w:widowControl/>
                    <w:adjustRightInd w:val="0"/>
                    <w:snapToGrid w:val="0"/>
                    <w:spacing w:line="240" w:lineRule="auto"/>
                    <w:ind w:firstLine="0" w:firstLineChars="0"/>
                    <w:jc w:val="center"/>
                    <w:rPr>
                      <w:rFonts w:hint="default" w:ascii="Times New Roman" w:hAnsi="Times New Roman" w:cs="Times New Roman"/>
                      <w:color w:val="auto"/>
                    </w:rPr>
                  </w:pPr>
                </w:p>
              </w:tc>
              <w:tc>
                <w:tcPr>
                  <w:tcW w:w="1501" w:type="pct"/>
                  <w:vMerge w:val="continue"/>
                  <w:noWrap w:val="0"/>
                  <w:vAlign w:val="center"/>
                </w:tcPr>
                <w:p w14:paraId="7C9E6599">
                  <w:pPr>
                    <w:widowControl/>
                    <w:adjustRightInd w:val="0"/>
                    <w:snapToGrid w:val="0"/>
                    <w:spacing w:line="240" w:lineRule="auto"/>
                    <w:ind w:firstLine="0" w:firstLineChars="0"/>
                    <w:jc w:val="center"/>
                    <w:rPr>
                      <w:rFonts w:hint="default" w:ascii="Times New Roman" w:hAnsi="Times New Roman" w:cs="Times New Roman"/>
                      <w:color w:val="auto"/>
                    </w:rPr>
                  </w:pPr>
                </w:p>
              </w:tc>
            </w:tr>
            <w:tr w14:paraId="5B5A28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pct"/>
                  <w:vMerge w:val="restart"/>
                  <w:noWrap w:val="0"/>
                  <w:vAlign w:val="center"/>
                </w:tcPr>
                <w:p w14:paraId="6F645D7B">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涂胶、热压、烘干、固化</w:t>
                  </w:r>
                </w:p>
              </w:tc>
              <w:tc>
                <w:tcPr>
                  <w:tcW w:w="874" w:type="pct"/>
                  <w:noWrap w:val="0"/>
                  <w:vAlign w:val="center"/>
                </w:tcPr>
                <w:p w14:paraId="2E39740D">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非甲烷总烃</w:t>
                  </w:r>
                </w:p>
              </w:tc>
              <w:tc>
                <w:tcPr>
                  <w:tcW w:w="874" w:type="pct"/>
                  <w:noWrap w:val="0"/>
                  <w:vAlign w:val="center"/>
                </w:tcPr>
                <w:p w14:paraId="1876687A">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60</w:t>
                  </w:r>
                </w:p>
              </w:tc>
              <w:tc>
                <w:tcPr>
                  <w:tcW w:w="874" w:type="pct"/>
                  <w:noWrap w:val="0"/>
                  <w:vAlign w:val="center"/>
                </w:tcPr>
                <w:p w14:paraId="08C13FC0">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2.0</w:t>
                  </w:r>
                </w:p>
              </w:tc>
              <w:tc>
                <w:tcPr>
                  <w:tcW w:w="1501" w:type="pct"/>
                  <w:noWrap w:val="0"/>
                  <w:vAlign w:val="center"/>
                </w:tcPr>
                <w:p w14:paraId="7E2F32F1">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《固定源挥发性有机物综合排放标准第6部分：其他行业》（DB34/4812.6-2024）</w:t>
                  </w:r>
                </w:p>
              </w:tc>
            </w:tr>
            <w:tr w14:paraId="5AD5D9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pct"/>
                  <w:vMerge w:val="continue"/>
                  <w:noWrap w:val="0"/>
                  <w:vAlign w:val="center"/>
                </w:tcPr>
                <w:p w14:paraId="27E379A4">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874" w:type="pct"/>
                  <w:noWrap w:val="0"/>
                  <w:vAlign w:val="center"/>
                </w:tcPr>
                <w:p w14:paraId="7B634ABA">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bCs/>
                      <w:color w:val="auto"/>
                      <w:sz w:val="21"/>
                      <w:szCs w:val="21"/>
                      <w:highlight w:val="none"/>
                      <w:lang w:val="en-US" w:eastAsia="zh-CN"/>
                    </w:rPr>
                    <w:t>甲醛</w:t>
                  </w:r>
                </w:p>
              </w:tc>
              <w:tc>
                <w:tcPr>
                  <w:tcW w:w="874" w:type="pct"/>
                  <w:noWrap w:val="0"/>
                  <w:vAlign w:val="center"/>
                </w:tcPr>
                <w:p w14:paraId="167B98FE">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25</w:t>
                  </w:r>
                </w:p>
              </w:tc>
              <w:tc>
                <w:tcPr>
                  <w:tcW w:w="874" w:type="pct"/>
                  <w:noWrap w:val="0"/>
                  <w:vAlign w:val="center"/>
                </w:tcPr>
                <w:p w14:paraId="258B6A3A">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0.43（20m）</w:t>
                  </w:r>
                </w:p>
              </w:tc>
              <w:tc>
                <w:tcPr>
                  <w:tcW w:w="1501" w:type="pct"/>
                  <w:vMerge w:val="restart"/>
                  <w:noWrap w:val="0"/>
                  <w:vAlign w:val="center"/>
                </w:tcPr>
                <w:p w14:paraId="52A465D1">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《大气污染物综合排放标准》</w:t>
                  </w:r>
                </w:p>
              </w:tc>
            </w:tr>
            <w:tr w14:paraId="5DDEC5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pct"/>
                  <w:vMerge w:val="continue"/>
                  <w:noWrap w:val="0"/>
                  <w:vAlign w:val="center"/>
                </w:tcPr>
                <w:p w14:paraId="54360285">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874" w:type="pct"/>
                  <w:noWrap w:val="0"/>
                  <w:vAlign w:val="center"/>
                </w:tcPr>
                <w:p w14:paraId="58EC749F">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bCs/>
                      <w:color w:val="auto"/>
                      <w:sz w:val="21"/>
                      <w:szCs w:val="21"/>
                      <w:highlight w:val="none"/>
                      <w:lang w:val="en-US" w:eastAsia="zh-CN"/>
                    </w:rPr>
                    <w:t>酚类</w:t>
                  </w:r>
                </w:p>
              </w:tc>
              <w:tc>
                <w:tcPr>
                  <w:tcW w:w="874" w:type="pct"/>
                  <w:noWrap w:val="0"/>
                  <w:vAlign w:val="center"/>
                </w:tcPr>
                <w:p w14:paraId="50A9391C">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100</w:t>
                  </w:r>
                </w:p>
              </w:tc>
              <w:tc>
                <w:tcPr>
                  <w:tcW w:w="874" w:type="pct"/>
                  <w:noWrap w:val="0"/>
                  <w:vAlign w:val="center"/>
                </w:tcPr>
                <w:p w14:paraId="3CE87672">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0.17（20m）</w:t>
                  </w:r>
                </w:p>
              </w:tc>
              <w:tc>
                <w:tcPr>
                  <w:tcW w:w="1501" w:type="pct"/>
                  <w:vMerge w:val="continue"/>
                  <w:noWrap w:val="0"/>
                  <w:vAlign w:val="center"/>
                </w:tcPr>
                <w:p w14:paraId="412E0BDA">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r>
            <w:tr w14:paraId="00CDB7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pct"/>
                  <w:noWrap w:val="0"/>
                  <w:vAlign w:val="center"/>
                </w:tcPr>
                <w:p w14:paraId="5124E9B2">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抛光、混料、打磨</w:t>
                  </w:r>
                </w:p>
              </w:tc>
              <w:tc>
                <w:tcPr>
                  <w:tcW w:w="874" w:type="pct"/>
                  <w:noWrap w:val="0"/>
                  <w:vAlign w:val="center"/>
                </w:tcPr>
                <w:p w14:paraId="0D10BD94">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颗粒物</w:t>
                  </w:r>
                </w:p>
              </w:tc>
              <w:tc>
                <w:tcPr>
                  <w:tcW w:w="874" w:type="pct"/>
                  <w:noWrap w:val="0"/>
                  <w:vAlign w:val="center"/>
                </w:tcPr>
                <w:p w14:paraId="063CA5B2">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120</w:t>
                  </w:r>
                </w:p>
              </w:tc>
              <w:tc>
                <w:tcPr>
                  <w:tcW w:w="874" w:type="pct"/>
                  <w:noWrap w:val="0"/>
                  <w:vAlign w:val="center"/>
                </w:tcPr>
                <w:p w14:paraId="78C2B774">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5.9（20m）</w:t>
                  </w:r>
                </w:p>
              </w:tc>
              <w:tc>
                <w:tcPr>
                  <w:tcW w:w="1501" w:type="pct"/>
                  <w:vMerge w:val="continue"/>
                  <w:noWrap w:val="0"/>
                  <w:vAlign w:val="center"/>
                </w:tcPr>
                <w:p w14:paraId="5EBC2B3F">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r>
            <w:tr w14:paraId="2C1C7D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pct"/>
                  <w:noWrap w:val="0"/>
                  <w:vAlign w:val="center"/>
                </w:tcPr>
                <w:p w14:paraId="298B6114">
                  <w:pPr>
                    <w:adjustRightInd w:val="0"/>
                    <w:snapToGrid w:val="0"/>
                    <w:spacing w:line="240" w:lineRule="auto"/>
                    <w:ind w:firstLine="0" w:firstLineChars="0"/>
                    <w:jc w:val="center"/>
                    <w:textAlignment w:val="baseline"/>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喷塑</w:t>
                  </w:r>
                </w:p>
              </w:tc>
              <w:tc>
                <w:tcPr>
                  <w:tcW w:w="874" w:type="pct"/>
                  <w:noWrap w:val="0"/>
                  <w:vAlign w:val="center"/>
                </w:tcPr>
                <w:p w14:paraId="12505A85">
                  <w:pPr>
                    <w:adjustRightInd w:val="0"/>
                    <w:snapToGrid w:val="0"/>
                    <w:spacing w:line="240" w:lineRule="auto"/>
                    <w:ind w:firstLine="0" w:firstLineChars="0"/>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颗粒物</w:t>
                  </w:r>
                </w:p>
              </w:tc>
              <w:tc>
                <w:tcPr>
                  <w:tcW w:w="874" w:type="pct"/>
                  <w:noWrap w:val="0"/>
                  <w:vAlign w:val="center"/>
                </w:tcPr>
                <w:p w14:paraId="2B96FA5C">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w:t>
                  </w:r>
                </w:p>
              </w:tc>
              <w:tc>
                <w:tcPr>
                  <w:tcW w:w="874" w:type="pct"/>
                  <w:noWrap w:val="0"/>
                  <w:vAlign w:val="center"/>
                </w:tcPr>
                <w:p w14:paraId="3D41298C">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c>
                <w:tcPr>
                  <w:tcW w:w="1501" w:type="pct"/>
                  <w:noWrap w:val="0"/>
                  <w:vAlign w:val="center"/>
                </w:tcPr>
                <w:p w14:paraId="3CD5FD42">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《合成树脂工业污染物排放标准》（GB31572-2015，含2024年修改单）</w:t>
                  </w:r>
                </w:p>
              </w:tc>
            </w:tr>
          </w:tbl>
          <w:p w14:paraId="6B2B8002">
            <w:pPr>
              <w:keepNext w:val="0"/>
              <w:keepLines w:val="0"/>
              <w:pageBreakBefore w:val="0"/>
              <w:widowControl w:val="0"/>
              <w:tabs>
                <w:tab w:val="left" w:pos="5142"/>
              </w:tabs>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厂界废气</w:t>
            </w:r>
            <w:r>
              <w:rPr>
                <w:rFonts w:hint="eastAsia" w:ascii="Times New Roman" w:hAnsi="Times New Roman" w:cs="Times New Roman"/>
                <w:bCs/>
                <w:color w:val="auto"/>
                <w:sz w:val="24"/>
                <w:highlight w:val="none"/>
                <w:lang w:val="en-US" w:eastAsia="zh-CN"/>
              </w:rPr>
              <w:t>非甲烷总烃和</w:t>
            </w:r>
            <w:r>
              <w:rPr>
                <w:rFonts w:hint="eastAsia" w:ascii="Times New Roman" w:hAnsi="Times New Roman" w:eastAsia="宋体" w:cs="Times New Roman"/>
                <w:bCs/>
                <w:color w:val="auto"/>
                <w:sz w:val="24"/>
                <w:highlight w:val="none"/>
                <w:lang w:val="en-US" w:eastAsia="zh-CN"/>
              </w:rPr>
              <w:t>颗粒物无组织排放执行《</w:t>
            </w:r>
            <w:r>
              <w:rPr>
                <w:rFonts w:hint="eastAsia" w:ascii="Times New Roman" w:hAnsi="Times New Roman" w:cs="Times New Roman"/>
                <w:bCs/>
                <w:color w:val="auto"/>
                <w:sz w:val="24"/>
                <w:highlight w:val="none"/>
                <w:lang w:val="en-US" w:eastAsia="zh-CN"/>
              </w:rPr>
              <w:t>合成树脂工业污染物排放标准》（GB31572-2015，含2024年修改单）中的</w:t>
            </w:r>
            <w:r>
              <w:rPr>
                <w:rFonts w:hint="default" w:ascii="Times New Roman" w:hAnsi="Times New Roman" w:cs="Times New Roman"/>
                <w:bCs/>
                <w:color w:val="auto"/>
                <w:sz w:val="24"/>
                <w:highlight w:val="none"/>
                <w:lang w:val="en-US" w:eastAsia="zh-CN"/>
              </w:rPr>
              <w:t>标准限值</w:t>
            </w:r>
            <w:r>
              <w:rPr>
                <w:rFonts w:hint="eastAsia" w:ascii="Times New Roman" w:hAnsi="Times New Roman" w:cs="Times New Roman"/>
                <w:bCs/>
                <w:color w:val="auto"/>
                <w:sz w:val="24"/>
                <w:highlight w:val="none"/>
                <w:lang w:val="en-US" w:eastAsia="zh-CN"/>
              </w:rPr>
              <w:t>；</w:t>
            </w:r>
            <w:r>
              <w:rPr>
                <w:rFonts w:hint="default" w:ascii="Times New Roman" w:hAnsi="Times New Roman" w:cs="Times New Roman"/>
                <w:bCs/>
                <w:color w:val="auto"/>
                <w:sz w:val="24"/>
                <w:highlight w:val="none"/>
                <w:lang w:val="en-US" w:eastAsia="zh-CN"/>
              </w:rPr>
              <w:t>甲醛、酚类执行《大气污染物综合排放标准》（GB16297-1996）表2中二级标准限值</w:t>
            </w:r>
            <w:r>
              <w:rPr>
                <w:rFonts w:hint="eastAsia" w:ascii="Times New Roman" w:hAnsi="Times New Roman" w:cs="Times New Roman"/>
                <w:bCs/>
                <w:color w:val="auto"/>
                <w:sz w:val="24"/>
                <w:highlight w:val="none"/>
                <w:lang w:val="en-US" w:eastAsia="zh-CN"/>
              </w:rPr>
              <w:t>；厂区</w:t>
            </w:r>
            <w:r>
              <w:rPr>
                <w:rFonts w:hint="eastAsia" w:ascii="Times New Roman" w:hAnsi="Times New Roman" w:eastAsia="宋体" w:cs="Times New Roman"/>
                <w:bCs/>
                <w:color w:val="auto"/>
                <w:sz w:val="24"/>
                <w:highlight w:val="none"/>
                <w:lang w:val="en-US" w:eastAsia="zh-CN"/>
              </w:rPr>
              <w:t>废气</w:t>
            </w:r>
            <w:r>
              <w:rPr>
                <w:rFonts w:hint="eastAsia" w:ascii="Times New Roman" w:hAnsi="Times New Roman" w:cs="Times New Roman"/>
                <w:bCs/>
                <w:color w:val="auto"/>
                <w:sz w:val="24"/>
                <w:highlight w:val="none"/>
                <w:lang w:val="en-US" w:eastAsia="zh-CN"/>
              </w:rPr>
              <w:t>非甲烷总烃排放执行</w:t>
            </w:r>
            <w:r>
              <w:rPr>
                <w:rFonts w:hint="default" w:ascii="Times New Roman" w:hAnsi="Times New Roman" w:cs="Times New Roman"/>
                <w:bCs/>
                <w:color w:val="auto"/>
                <w:sz w:val="24"/>
                <w:highlight w:val="none"/>
                <w:lang w:val="en-US" w:eastAsia="zh-CN"/>
              </w:rPr>
              <w:t>《固定源挥发性有机物综合排放标准第6部分：其他行业》（DB34/4812.6-2024）中标准限值</w:t>
            </w:r>
            <w:r>
              <w:rPr>
                <w:rFonts w:hint="eastAsia" w:ascii="Times New Roman" w:hAnsi="Times New Roman" w:cs="Times New Roman"/>
                <w:bCs/>
                <w:color w:val="auto"/>
                <w:sz w:val="24"/>
                <w:highlight w:val="none"/>
                <w:lang w:val="en-US" w:eastAsia="zh-CN"/>
              </w:rPr>
              <w:t>。</w:t>
            </w:r>
          </w:p>
          <w:p w14:paraId="56035D18">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 3-</w:t>
            </w:r>
            <w:r>
              <w:rPr>
                <w:rFonts w:hint="eastAsia" w:ascii="Times New Roman" w:hAnsi="Times New Roman" w:eastAsia="宋体" w:cs="Times New Roman"/>
                <w:b/>
                <w:bCs/>
                <w:color w:val="auto"/>
                <w:kern w:val="0"/>
                <w:sz w:val="21"/>
                <w:szCs w:val="21"/>
                <w:lang w:val="en-US" w:eastAsia="zh-CN" w:bidi="ar"/>
              </w:rPr>
              <w:t>5</w:t>
            </w:r>
            <w:r>
              <w:rPr>
                <w:rFonts w:hint="default" w:ascii="Times New Roman" w:hAnsi="Times New Roman" w:eastAsia="宋体" w:cs="Times New Roman"/>
                <w:b/>
                <w:bCs/>
                <w:color w:val="auto"/>
                <w:kern w:val="0"/>
                <w:sz w:val="21"/>
                <w:szCs w:val="21"/>
                <w:lang w:val="en-US" w:eastAsia="zh-CN" w:bidi="ar"/>
              </w:rPr>
              <w:t>项目大气污染物</w:t>
            </w:r>
            <w:r>
              <w:rPr>
                <w:rFonts w:hint="eastAsia" w:ascii="Times New Roman" w:hAnsi="Times New Roman" w:eastAsia="宋体" w:cs="Times New Roman"/>
                <w:b/>
                <w:bCs/>
                <w:color w:val="auto"/>
                <w:kern w:val="0"/>
                <w:sz w:val="21"/>
                <w:szCs w:val="21"/>
                <w:lang w:val="en-US" w:eastAsia="zh-CN" w:bidi="ar"/>
              </w:rPr>
              <w:t>无组织</w:t>
            </w:r>
            <w:r>
              <w:rPr>
                <w:rFonts w:hint="default" w:ascii="Times New Roman" w:hAnsi="Times New Roman" w:eastAsia="宋体" w:cs="Times New Roman"/>
                <w:b/>
                <w:bCs/>
                <w:color w:val="auto"/>
                <w:kern w:val="0"/>
                <w:sz w:val="21"/>
                <w:szCs w:val="21"/>
                <w:lang w:val="en-US" w:eastAsia="zh-CN" w:bidi="ar"/>
              </w:rPr>
              <w:t>排放标准</w:t>
            </w:r>
          </w:p>
          <w:tbl>
            <w:tblPr>
              <w:tblStyle w:val="26"/>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05"/>
              <w:gridCol w:w="1555"/>
              <w:gridCol w:w="1472"/>
              <w:gridCol w:w="3008"/>
            </w:tblGrid>
            <w:tr w14:paraId="391313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98" w:type="pct"/>
                  <w:vMerge w:val="restart"/>
                  <w:noWrap w:val="0"/>
                  <w:vAlign w:val="center"/>
                </w:tcPr>
                <w:p w14:paraId="0C71AAF2">
                  <w:pPr>
                    <w:widowControl/>
                    <w:adjustRightInd w:val="0"/>
                    <w:snapToGrid w:val="0"/>
                    <w:spacing w:line="240" w:lineRule="auto"/>
                    <w:ind w:firstLine="0" w:firstLineChars="0"/>
                    <w:jc w:val="center"/>
                    <w:rPr>
                      <w:rFonts w:hint="eastAsia" w:ascii="Times New Roman" w:hAnsi="Times New Roman" w:eastAsia="宋体" w:cs="Times New Roman"/>
                      <w:b/>
                      <w:color w:val="auto"/>
                      <w:sz w:val="21"/>
                      <w:szCs w:val="21"/>
                      <w:lang w:eastAsia="zh-CN"/>
                    </w:rPr>
                  </w:pPr>
                  <w:r>
                    <w:rPr>
                      <w:rFonts w:hint="eastAsia" w:ascii="Times New Roman" w:hAnsi="Times New Roman" w:cs="Times New Roman"/>
                      <w:b/>
                      <w:color w:val="auto"/>
                      <w:sz w:val="21"/>
                      <w:szCs w:val="21"/>
                      <w:lang w:val="en-US" w:eastAsia="zh-CN"/>
                    </w:rPr>
                    <w:t>类型</w:t>
                  </w:r>
                </w:p>
              </w:tc>
              <w:tc>
                <w:tcPr>
                  <w:tcW w:w="1031" w:type="pct"/>
                  <w:vMerge w:val="restart"/>
                  <w:noWrap w:val="0"/>
                  <w:vAlign w:val="center"/>
                </w:tcPr>
                <w:p w14:paraId="3FC7754B">
                  <w:pPr>
                    <w:widowControl/>
                    <w:adjustRightInd w:val="0"/>
                    <w:snapToGrid w:val="0"/>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污染物</w:t>
                  </w:r>
                </w:p>
              </w:tc>
              <w:tc>
                <w:tcPr>
                  <w:tcW w:w="976" w:type="pct"/>
                  <w:vMerge w:val="restart"/>
                  <w:noWrap w:val="0"/>
                  <w:vAlign w:val="center"/>
                </w:tcPr>
                <w:p w14:paraId="5B50F9FC">
                  <w:pPr>
                    <w:widowControl/>
                    <w:adjustRightInd w:val="0"/>
                    <w:snapToGrid w:val="0"/>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最高允许排放浓度（mg/m</w:t>
                  </w:r>
                  <w:r>
                    <w:rPr>
                      <w:rFonts w:hint="default" w:ascii="Times New Roman" w:hAnsi="Times New Roman" w:cs="Times New Roman"/>
                      <w:b/>
                      <w:color w:val="auto"/>
                      <w:sz w:val="21"/>
                      <w:szCs w:val="21"/>
                      <w:vertAlign w:val="superscript"/>
                    </w:rPr>
                    <w:t>3</w:t>
                  </w:r>
                  <w:r>
                    <w:rPr>
                      <w:rFonts w:hint="default" w:ascii="Times New Roman" w:hAnsi="Times New Roman" w:cs="Times New Roman"/>
                      <w:b/>
                      <w:color w:val="auto"/>
                      <w:sz w:val="21"/>
                      <w:szCs w:val="21"/>
                    </w:rPr>
                    <w:t>）</w:t>
                  </w:r>
                </w:p>
              </w:tc>
              <w:tc>
                <w:tcPr>
                  <w:tcW w:w="1994" w:type="pct"/>
                  <w:vMerge w:val="restart"/>
                  <w:noWrap w:val="0"/>
                  <w:vAlign w:val="center"/>
                </w:tcPr>
                <w:p w14:paraId="2A53E752">
                  <w:pPr>
                    <w:widowControl/>
                    <w:adjustRightInd w:val="0"/>
                    <w:snapToGrid w:val="0"/>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执行标准</w:t>
                  </w:r>
                </w:p>
              </w:tc>
            </w:tr>
            <w:tr w14:paraId="1BE82B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98" w:type="pct"/>
                  <w:vMerge w:val="continue"/>
                  <w:noWrap w:val="0"/>
                  <w:vAlign w:val="center"/>
                </w:tcPr>
                <w:p w14:paraId="5B457FE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1031" w:type="pct"/>
                  <w:vMerge w:val="continue"/>
                  <w:noWrap w:val="0"/>
                  <w:vAlign w:val="center"/>
                </w:tcPr>
                <w:p w14:paraId="5B8DE84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976" w:type="pct"/>
                  <w:vMerge w:val="continue"/>
                  <w:noWrap w:val="0"/>
                  <w:vAlign w:val="center"/>
                </w:tcPr>
                <w:p w14:paraId="57CAB50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1994" w:type="pct"/>
                  <w:vMerge w:val="continue"/>
                  <w:noWrap w:val="0"/>
                  <w:vAlign w:val="center"/>
                </w:tcPr>
                <w:p w14:paraId="5C2FA74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r>
            <w:tr w14:paraId="39E33F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pct"/>
                  <w:vMerge w:val="restart"/>
                  <w:noWrap w:val="0"/>
                  <w:vAlign w:val="center"/>
                </w:tcPr>
                <w:p w14:paraId="44FBB4A1">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厂界</w:t>
                  </w:r>
                </w:p>
              </w:tc>
              <w:tc>
                <w:tcPr>
                  <w:tcW w:w="1031" w:type="pct"/>
                  <w:noWrap w:val="0"/>
                  <w:vAlign w:val="center"/>
                </w:tcPr>
                <w:p w14:paraId="4AE84EE2">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非甲烷总烃</w:t>
                  </w:r>
                </w:p>
              </w:tc>
              <w:tc>
                <w:tcPr>
                  <w:tcW w:w="976" w:type="pct"/>
                  <w:noWrap w:val="0"/>
                  <w:vAlign w:val="center"/>
                </w:tcPr>
                <w:p w14:paraId="05F00E72">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4</w:t>
                  </w:r>
                </w:p>
              </w:tc>
              <w:tc>
                <w:tcPr>
                  <w:tcW w:w="1994" w:type="pct"/>
                  <w:vMerge w:val="restart"/>
                  <w:noWrap w:val="0"/>
                  <w:vAlign w:val="center"/>
                </w:tcPr>
                <w:p w14:paraId="02C709EB">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《合成树脂工业污染物排放标准》（GB31572-2015，含2024年修改单）</w:t>
                  </w:r>
                </w:p>
              </w:tc>
            </w:tr>
            <w:tr w14:paraId="273836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pct"/>
                  <w:vMerge w:val="continue"/>
                  <w:noWrap w:val="0"/>
                  <w:vAlign w:val="center"/>
                </w:tcPr>
                <w:p w14:paraId="2C62E41E">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p>
              </w:tc>
              <w:tc>
                <w:tcPr>
                  <w:tcW w:w="1031" w:type="pct"/>
                  <w:noWrap w:val="0"/>
                  <w:vAlign w:val="center"/>
                </w:tcPr>
                <w:p w14:paraId="1D4F96BB">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颗粒物</w:t>
                  </w:r>
                </w:p>
              </w:tc>
              <w:tc>
                <w:tcPr>
                  <w:tcW w:w="976" w:type="pct"/>
                  <w:noWrap w:val="0"/>
                  <w:vAlign w:val="center"/>
                </w:tcPr>
                <w:p w14:paraId="52BE446E">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1994" w:type="pct"/>
                  <w:vMerge w:val="continue"/>
                  <w:noWrap w:val="0"/>
                  <w:vAlign w:val="center"/>
                </w:tcPr>
                <w:p w14:paraId="10FA1D9F">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r>
            <w:tr w14:paraId="413870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pct"/>
                  <w:vMerge w:val="continue"/>
                  <w:noWrap w:val="0"/>
                  <w:vAlign w:val="center"/>
                </w:tcPr>
                <w:p w14:paraId="1C773891">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1031" w:type="pct"/>
                  <w:noWrap w:val="0"/>
                  <w:vAlign w:val="center"/>
                </w:tcPr>
                <w:p w14:paraId="20955969">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bCs/>
                      <w:color w:val="auto"/>
                      <w:sz w:val="21"/>
                      <w:szCs w:val="21"/>
                      <w:highlight w:val="none"/>
                      <w:lang w:val="en-US" w:eastAsia="zh-CN"/>
                    </w:rPr>
                    <w:t>甲醛</w:t>
                  </w:r>
                </w:p>
              </w:tc>
              <w:tc>
                <w:tcPr>
                  <w:tcW w:w="976" w:type="pct"/>
                  <w:noWrap w:val="0"/>
                  <w:vAlign w:val="center"/>
                </w:tcPr>
                <w:p w14:paraId="3720A721">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0.2</w:t>
                  </w:r>
                </w:p>
              </w:tc>
              <w:tc>
                <w:tcPr>
                  <w:tcW w:w="1994" w:type="pct"/>
                  <w:vMerge w:val="restart"/>
                  <w:noWrap w:val="0"/>
                  <w:vAlign w:val="center"/>
                </w:tcPr>
                <w:p w14:paraId="1CA0C15C">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《大气污染物综合排放标准》</w:t>
                  </w:r>
                </w:p>
              </w:tc>
            </w:tr>
            <w:tr w14:paraId="6EC4E0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pct"/>
                  <w:vMerge w:val="continue"/>
                  <w:noWrap w:val="0"/>
                  <w:vAlign w:val="center"/>
                </w:tcPr>
                <w:p w14:paraId="545BACA3">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1031" w:type="pct"/>
                  <w:noWrap w:val="0"/>
                  <w:vAlign w:val="center"/>
                </w:tcPr>
                <w:p w14:paraId="12C11739">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bCs/>
                      <w:color w:val="auto"/>
                      <w:sz w:val="21"/>
                      <w:szCs w:val="21"/>
                      <w:highlight w:val="none"/>
                      <w:lang w:val="en-US" w:eastAsia="zh-CN"/>
                    </w:rPr>
                    <w:t>酚类</w:t>
                  </w:r>
                </w:p>
              </w:tc>
              <w:tc>
                <w:tcPr>
                  <w:tcW w:w="976" w:type="pct"/>
                  <w:noWrap w:val="0"/>
                  <w:vAlign w:val="center"/>
                </w:tcPr>
                <w:p w14:paraId="730494ED">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0.08</w:t>
                  </w:r>
                </w:p>
              </w:tc>
              <w:tc>
                <w:tcPr>
                  <w:tcW w:w="1994" w:type="pct"/>
                  <w:vMerge w:val="continue"/>
                  <w:noWrap w:val="0"/>
                  <w:vAlign w:val="center"/>
                </w:tcPr>
                <w:p w14:paraId="0DE504E1">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r>
          </w:tbl>
          <w:p w14:paraId="1FC1422A">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p>
          <w:p w14:paraId="2AF6D269">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 3-</w:t>
            </w:r>
            <w:r>
              <w:rPr>
                <w:rFonts w:hint="eastAsia" w:ascii="Times New Roman" w:hAnsi="Times New Roman" w:eastAsia="宋体" w:cs="Times New Roman"/>
                <w:b/>
                <w:bCs/>
                <w:color w:val="auto"/>
                <w:kern w:val="0"/>
                <w:sz w:val="21"/>
                <w:szCs w:val="21"/>
                <w:lang w:val="en-US" w:eastAsia="zh-CN" w:bidi="ar"/>
              </w:rPr>
              <w:t>6</w:t>
            </w:r>
            <w:r>
              <w:rPr>
                <w:rFonts w:hint="default" w:ascii="Times New Roman" w:hAnsi="Times New Roman" w:eastAsia="宋体" w:cs="Times New Roman"/>
                <w:b/>
                <w:bCs/>
                <w:color w:val="auto"/>
                <w:kern w:val="0"/>
                <w:sz w:val="21"/>
                <w:szCs w:val="21"/>
                <w:lang w:val="en-US" w:eastAsia="zh-CN" w:bidi="ar"/>
              </w:rPr>
              <w:t>挥发性有机物无组织排放控制标准</w:t>
            </w:r>
          </w:p>
          <w:tbl>
            <w:tblPr>
              <w:tblStyle w:val="37"/>
              <w:tblW w:w="4995" w:type="pct"/>
              <w:tblInd w:w="2" w:type="dxa"/>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Layout w:type="autofit"/>
              <w:tblCellMar>
                <w:top w:w="0" w:type="dxa"/>
                <w:left w:w="0" w:type="dxa"/>
                <w:bottom w:w="0" w:type="dxa"/>
                <w:right w:w="0" w:type="dxa"/>
              </w:tblCellMar>
            </w:tblPr>
            <w:tblGrid>
              <w:gridCol w:w="1045"/>
              <w:gridCol w:w="1108"/>
              <w:gridCol w:w="1999"/>
              <w:gridCol w:w="1043"/>
              <w:gridCol w:w="2340"/>
            </w:tblGrid>
            <w:tr w14:paraId="0D252B95">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93" w:type="pct"/>
                  <w:tcBorders>
                    <w:bottom w:val="single" w:color="auto" w:sz="4" w:space="0"/>
                  </w:tcBorders>
                  <w:noWrap w:val="0"/>
                  <w:vAlign w:val="center"/>
                </w:tcPr>
                <w:p w14:paraId="0012FDD6">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污染物</w:t>
                  </w:r>
                  <w:r>
                    <w:rPr>
                      <w:rFonts w:hint="default" w:ascii="Times New Roman" w:hAnsi="Times New Roman" w:eastAsia="宋体" w:cs="Times New Roman"/>
                      <w:color w:val="auto"/>
                      <w:spacing w:val="0"/>
                      <w:position w:val="0"/>
                      <w:sz w:val="21"/>
                      <w:szCs w:val="21"/>
                    </w:rPr>
                    <w:t xml:space="preserve"> </w:t>
                  </w:r>
                  <w:r>
                    <w:rPr>
                      <w:rFonts w:hint="default" w:ascii="Times New Roman" w:hAnsi="Times New Roman" w:eastAsia="宋体" w:cs="Times New Roman"/>
                      <w:b/>
                      <w:bCs/>
                      <w:color w:val="auto"/>
                      <w:spacing w:val="0"/>
                      <w:position w:val="0"/>
                      <w:sz w:val="21"/>
                      <w:szCs w:val="21"/>
                    </w:rPr>
                    <w:t>名称</w:t>
                  </w:r>
                </w:p>
              </w:tc>
              <w:tc>
                <w:tcPr>
                  <w:tcW w:w="735" w:type="pct"/>
                  <w:tcBorders>
                    <w:bottom w:val="single" w:color="auto" w:sz="4" w:space="0"/>
                  </w:tcBorders>
                  <w:noWrap w:val="0"/>
                  <w:vAlign w:val="center"/>
                </w:tcPr>
                <w:p w14:paraId="5128EE0C">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最高允许排</w:t>
                  </w:r>
                </w:p>
                <w:p w14:paraId="1795E9B3">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放浓度</w:t>
                  </w:r>
                </w:p>
                <w:p w14:paraId="7F1C3311">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（mg/m</w:t>
                  </w:r>
                  <w:r>
                    <w:rPr>
                      <w:rFonts w:hint="default" w:ascii="Times New Roman" w:hAnsi="Times New Roman" w:eastAsia="宋体" w:cs="Times New Roman"/>
                      <w:b/>
                      <w:bCs/>
                      <w:color w:val="auto"/>
                      <w:spacing w:val="0"/>
                      <w:position w:val="0"/>
                      <w:sz w:val="21"/>
                      <w:szCs w:val="21"/>
                      <w:vertAlign w:val="superscript"/>
                    </w:rPr>
                    <w:t>3</w:t>
                  </w:r>
                  <w:r>
                    <w:rPr>
                      <w:rFonts w:hint="default" w:ascii="Times New Roman" w:hAnsi="Times New Roman" w:eastAsia="宋体" w:cs="Times New Roman"/>
                      <w:b/>
                      <w:bCs/>
                      <w:color w:val="auto"/>
                      <w:spacing w:val="0"/>
                      <w:position w:val="0"/>
                      <w:sz w:val="21"/>
                      <w:szCs w:val="21"/>
                    </w:rPr>
                    <w:t>）</w:t>
                  </w:r>
                </w:p>
              </w:tc>
              <w:tc>
                <w:tcPr>
                  <w:tcW w:w="1326" w:type="pct"/>
                  <w:tcBorders>
                    <w:bottom w:val="single" w:color="auto" w:sz="4" w:space="0"/>
                  </w:tcBorders>
                  <w:noWrap w:val="0"/>
                  <w:vAlign w:val="center"/>
                </w:tcPr>
                <w:p w14:paraId="2BDB0E1B">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排放限值含义</w:t>
                  </w:r>
                </w:p>
              </w:tc>
              <w:tc>
                <w:tcPr>
                  <w:tcW w:w="692" w:type="pct"/>
                  <w:tcBorders>
                    <w:bottom w:val="single" w:color="auto" w:sz="4" w:space="0"/>
                  </w:tcBorders>
                  <w:noWrap w:val="0"/>
                  <w:vAlign w:val="center"/>
                </w:tcPr>
                <w:p w14:paraId="7B40ADB0">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无组织排放监控位置</w:t>
                  </w:r>
                </w:p>
              </w:tc>
              <w:tc>
                <w:tcPr>
                  <w:tcW w:w="1552" w:type="pct"/>
                  <w:tcBorders>
                    <w:bottom w:val="single" w:color="auto" w:sz="4" w:space="0"/>
                  </w:tcBorders>
                  <w:noWrap w:val="0"/>
                  <w:vAlign w:val="center"/>
                </w:tcPr>
                <w:p w14:paraId="1C0AA59A">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执行标准</w:t>
                  </w:r>
                </w:p>
              </w:tc>
            </w:tr>
            <w:tr w14:paraId="05B8BE9E">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93" w:type="pct"/>
                  <w:vMerge w:val="restart"/>
                  <w:tcBorders>
                    <w:top w:val="single" w:color="auto" w:sz="4" w:space="0"/>
                    <w:bottom w:val="single" w:color="auto" w:sz="4" w:space="0"/>
                    <w:right w:val="single" w:color="auto" w:sz="4" w:space="0"/>
                  </w:tcBorders>
                  <w:noWrap w:val="0"/>
                  <w:vAlign w:val="center"/>
                </w:tcPr>
                <w:p w14:paraId="1A794D0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cs="Times New Roman"/>
                      <w:color w:val="auto"/>
                      <w:sz w:val="21"/>
                      <w:szCs w:val="21"/>
                    </w:rPr>
                    <w:t>非甲烷总烃</w:t>
                  </w:r>
                </w:p>
              </w:tc>
              <w:tc>
                <w:tcPr>
                  <w:tcW w:w="735" w:type="pct"/>
                  <w:tcBorders>
                    <w:top w:val="single" w:color="auto" w:sz="4" w:space="0"/>
                    <w:left w:val="single" w:color="auto" w:sz="4" w:space="0"/>
                    <w:bottom w:val="single" w:color="auto" w:sz="4" w:space="0"/>
                    <w:right w:val="single" w:color="auto" w:sz="4" w:space="0"/>
                  </w:tcBorders>
                  <w:noWrap w:val="0"/>
                  <w:vAlign w:val="center"/>
                </w:tcPr>
                <w:p w14:paraId="644A850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6</w:t>
                  </w:r>
                </w:p>
              </w:tc>
              <w:tc>
                <w:tcPr>
                  <w:tcW w:w="1326" w:type="pct"/>
                  <w:tcBorders>
                    <w:top w:val="single" w:color="auto" w:sz="4" w:space="0"/>
                    <w:left w:val="single" w:color="auto" w:sz="4" w:space="0"/>
                    <w:bottom w:val="single" w:color="auto" w:sz="4" w:space="0"/>
                    <w:right w:val="single" w:color="auto" w:sz="4" w:space="0"/>
                  </w:tcBorders>
                  <w:noWrap w:val="0"/>
                  <w:vAlign w:val="center"/>
                </w:tcPr>
                <w:p w14:paraId="6E5487C0">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监控点处1h平均浓度</w:t>
                  </w:r>
                </w:p>
              </w:tc>
              <w:tc>
                <w:tcPr>
                  <w:tcW w:w="692" w:type="pct"/>
                  <w:vMerge w:val="restart"/>
                  <w:tcBorders>
                    <w:top w:val="single" w:color="auto" w:sz="4" w:space="0"/>
                    <w:left w:val="single" w:color="auto" w:sz="4" w:space="0"/>
                    <w:bottom w:val="single" w:color="auto" w:sz="4" w:space="0"/>
                    <w:right w:val="single" w:color="auto" w:sz="4" w:space="0"/>
                  </w:tcBorders>
                  <w:noWrap w:val="0"/>
                  <w:vAlign w:val="center"/>
                </w:tcPr>
                <w:p w14:paraId="45E5D894">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在厂房外设置监控点</w:t>
                  </w:r>
                </w:p>
              </w:tc>
              <w:tc>
                <w:tcPr>
                  <w:tcW w:w="1552" w:type="pct"/>
                  <w:vMerge w:val="restart"/>
                  <w:tcBorders>
                    <w:top w:val="single" w:color="auto" w:sz="4" w:space="0"/>
                    <w:left w:val="single" w:color="auto" w:sz="4" w:space="0"/>
                    <w:bottom w:val="single" w:color="auto" w:sz="4" w:space="0"/>
                  </w:tcBorders>
                  <w:noWrap w:val="0"/>
                  <w:vAlign w:val="center"/>
                </w:tcPr>
                <w:p w14:paraId="1549BA21">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z w:val="21"/>
                      <w:szCs w:val="21"/>
                      <w:lang w:val="en-US" w:eastAsia="zh-CN"/>
                    </w:rPr>
                    <w:t>《固定源挥发性有机物综合排放标准第6部分：其他行业》（DB34/4812.6-2024）</w:t>
                  </w:r>
                </w:p>
              </w:tc>
            </w:tr>
            <w:tr w14:paraId="515CB924">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693" w:type="pct"/>
                  <w:vMerge w:val="continue"/>
                  <w:tcBorders>
                    <w:top w:val="single" w:color="auto" w:sz="4" w:space="0"/>
                  </w:tcBorders>
                  <w:noWrap w:val="0"/>
                  <w:vAlign w:val="center"/>
                </w:tcPr>
                <w:p w14:paraId="40EEBFB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p>
              </w:tc>
              <w:tc>
                <w:tcPr>
                  <w:tcW w:w="735" w:type="pct"/>
                  <w:tcBorders>
                    <w:top w:val="single" w:color="auto" w:sz="4" w:space="0"/>
                  </w:tcBorders>
                  <w:noWrap w:val="0"/>
                  <w:vAlign w:val="center"/>
                </w:tcPr>
                <w:p w14:paraId="1D11BEC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20</w:t>
                  </w:r>
                </w:p>
              </w:tc>
              <w:tc>
                <w:tcPr>
                  <w:tcW w:w="1326" w:type="pct"/>
                  <w:tcBorders>
                    <w:top w:val="single" w:color="auto" w:sz="4" w:space="0"/>
                  </w:tcBorders>
                  <w:noWrap w:val="0"/>
                  <w:vAlign w:val="center"/>
                </w:tcPr>
                <w:p w14:paraId="38226A5B">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监控点处任意一次浓度值</w:t>
                  </w:r>
                </w:p>
              </w:tc>
              <w:tc>
                <w:tcPr>
                  <w:tcW w:w="692" w:type="pct"/>
                  <w:vMerge w:val="continue"/>
                  <w:tcBorders>
                    <w:top w:val="single" w:color="auto" w:sz="4" w:space="0"/>
                  </w:tcBorders>
                  <w:noWrap w:val="0"/>
                  <w:vAlign w:val="center"/>
                </w:tcPr>
                <w:p w14:paraId="10BCE50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p>
              </w:tc>
              <w:tc>
                <w:tcPr>
                  <w:tcW w:w="1552" w:type="pct"/>
                  <w:vMerge w:val="continue"/>
                  <w:tcBorders>
                    <w:top w:val="single" w:color="auto" w:sz="4" w:space="0"/>
                  </w:tcBorders>
                  <w:noWrap w:val="0"/>
                  <w:vAlign w:val="center"/>
                </w:tcPr>
                <w:p w14:paraId="43F4EC0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p>
              </w:tc>
            </w:tr>
          </w:tbl>
          <w:p w14:paraId="42C8EED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2" w:firstLineChars="200"/>
              <w:textAlignment w:val="auto"/>
              <w:rPr>
                <w:rFonts w:hint="default" w:ascii="Times New Roman" w:hAnsi="Times New Roman" w:cs="Times New Roman"/>
                <w:b/>
                <w:bCs/>
                <w:snapToGrid w:val="0"/>
                <w:color w:val="auto"/>
                <w:kern w:val="0"/>
                <w:sz w:val="24"/>
                <w:highlight w:val="none"/>
              </w:rPr>
            </w:pPr>
            <w:r>
              <w:rPr>
                <w:rFonts w:hint="default" w:ascii="Times New Roman" w:hAnsi="Times New Roman" w:cs="Times New Roman"/>
                <w:b/>
                <w:bCs/>
                <w:snapToGrid w:val="0"/>
                <w:color w:val="auto"/>
                <w:kern w:val="0"/>
                <w:sz w:val="24"/>
                <w:highlight w:val="none"/>
              </w:rPr>
              <w:t>2、废水排放标准</w:t>
            </w:r>
          </w:p>
          <w:p w14:paraId="1BBDFE6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color w:val="auto"/>
                <w:sz w:val="24"/>
                <w:highlight w:val="none"/>
              </w:rPr>
            </w:pPr>
            <w:r>
              <w:rPr>
                <w:rFonts w:hint="default" w:ascii="Times New Roman" w:hAnsi="Times New Roman" w:eastAsia="宋体" w:cs="Times New Roman"/>
                <w:b w:val="0"/>
                <w:bCs w:val="0"/>
                <w:color w:val="auto"/>
                <w:sz w:val="24"/>
                <w:szCs w:val="24"/>
                <w:highlight w:val="none"/>
              </w:rPr>
              <w:t>本项目营运期外排废水为生活污水</w:t>
            </w:r>
            <w:r>
              <w:rPr>
                <w:rFonts w:hint="default" w:ascii="Times New Roman" w:hAnsi="Times New Roman" w:cs="Times New Roman"/>
                <w:b w:val="0"/>
                <w:bCs w:val="0"/>
                <w:color w:val="auto"/>
                <w:sz w:val="24"/>
                <w:szCs w:val="24"/>
                <w:highlight w:val="none"/>
                <w:lang w:val="en-US" w:eastAsia="zh-CN"/>
              </w:rPr>
              <w:t>及</w:t>
            </w:r>
            <w:r>
              <w:rPr>
                <w:rFonts w:hint="default" w:ascii="Times New Roman" w:hAnsi="Times New Roman" w:cs="Times New Roman"/>
                <w:color w:val="auto"/>
                <w:sz w:val="24"/>
                <w:szCs w:val="24"/>
                <w:highlight w:val="none"/>
                <w:lang w:val="en-US" w:eastAsia="zh-CN"/>
              </w:rPr>
              <w:t>车间保洁排水</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车间保洁排水与</w:t>
            </w:r>
            <w:r>
              <w:rPr>
                <w:rFonts w:hint="default" w:ascii="Times New Roman" w:hAnsi="Times New Roman" w:eastAsia="宋体" w:cs="Times New Roman"/>
                <w:b w:val="0"/>
                <w:bCs w:val="0"/>
                <w:color w:val="auto"/>
                <w:sz w:val="24"/>
                <w:szCs w:val="24"/>
                <w:highlight w:val="none"/>
              </w:rPr>
              <w:t>生活污水经化粪池预处理</w:t>
            </w:r>
            <w:r>
              <w:rPr>
                <w:rFonts w:hint="default" w:ascii="Times New Roman" w:hAnsi="Times New Roman" w:cs="Times New Roman"/>
                <w:b w:val="0"/>
                <w:bCs w:val="0"/>
                <w:color w:val="auto"/>
                <w:sz w:val="24"/>
                <w:szCs w:val="24"/>
                <w:highlight w:val="none"/>
                <w:lang w:val="en-US" w:eastAsia="zh-CN"/>
              </w:rPr>
              <w:t>后</w:t>
            </w:r>
            <w:r>
              <w:rPr>
                <w:rFonts w:hint="default" w:ascii="Times New Roman" w:hAnsi="Times New Roman" w:eastAsia="宋体" w:cs="Times New Roman"/>
                <w:b w:val="0"/>
                <w:bCs w:val="0"/>
                <w:color w:val="auto"/>
                <w:sz w:val="24"/>
                <w:szCs w:val="24"/>
                <w:highlight w:val="none"/>
              </w:rPr>
              <w:t>达到《污水综合排放标准》</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TimesNewRomanPSMT" w:cs="Times New Roman"/>
                <w:b w:val="0"/>
                <w:bCs w:val="0"/>
                <w:color w:val="auto"/>
                <w:sz w:val="24"/>
                <w:szCs w:val="24"/>
                <w:highlight w:val="none"/>
              </w:rPr>
              <w:t>GB8978-1996</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中</w:t>
            </w:r>
            <w:r>
              <w:rPr>
                <w:rFonts w:hint="default" w:ascii="Times New Roman" w:hAnsi="Times New Roman" w:eastAsia="宋体" w:cs="Times New Roman"/>
                <w:b w:val="0"/>
                <w:bCs w:val="0"/>
                <w:color w:val="auto"/>
                <w:sz w:val="24"/>
                <w:szCs w:val="24"/>
                <w:highlight w:val="none"/>
                <w:lang w:val="en-US" w:eastAsia="zh-CN"/>
              </w:rPr>
              <w:t>表4</w:t>
            </w:r>
            <w:r>
              <w:rPr>
                <w:rFonts w:hint="default" w:ascii="Times New Roman" w:hAnsi="Times New Roman" w:eastAsia="宋体" w:cs="Times New Roman"/>
                <w:b w:val="0"/>
                <w:bCs w:val="0"/>
                <w:color w:val="auto"/>
                <w:sz w:val="24"/>
                <w:szCs w:val="24"/>
                <w:highlight w:val="none"/>
              </w:rPr>
              <w:t>三级标准</w:t>
            </w:r>
            <w:r>
              <w:rPr>
                <w:rFonts w:hint="default" w:ascii="Times New Roman" w:hAnsi="Times New Roman" w:eastAsia="宋体" w:cs="Times New Roman"/>
                <w:b w:val="0"/>
                <w:bCs w:val="0"/>
                <w:color w:val="auto"/>
                <w:sz w:val="24"/>
                <w:szCs w:val="24"/>
                <w:highlight w:val="none"/>
                <w:lang w:val="en-US" w:eastAsia="zh-CN"/>
              </w:rPr>
              <w:t>及</w:t>
            </w:r>
            <w:r>
              <w:rPr>
                <w:rFonts w:hint="default" w:ascii="Times New Roman" w:hAnsi="Times New Roman" w:cs="Times New Roman"/>
                <w:bCs/>
                <w:color w:val="auto"/>
                <w:sz w:val="24"/>
                <w:highlight w:val="none"/>
                <w:lang w:eastAsia="zh-CN"/>
              </w:rPr>
              <w:t>山南新区污水处理厂</w:t>
            </w:r>
            <w:r>
              <w:rPr>
                <w:rFonts w:hint="default" w:ascii="Times New Roman" w:hAnsi="Times New Roman" w:cs="Times New Roman"/>
                <w:bCs/>
                <w:color w:val="auto"/>
                <w:sz w:val="24"/>
                <w:highlight w:val="none"/>
                <w:lang w:val="en-US" w:eastAsia="zh-CN"/>
              </w:rPr>
              <w:t>接管标准</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具体见下表。</w:t>
            </w:r>
          </w:p>
          <w:p w14:paraId="482402CA">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表3-</w:t>
            </w:r>
            <w:r>
              <w:rPr>
                <w:rFonts w:hint="eastAsia" w:ascii="Times New Roman" w:hAnsi="Times New Roman" w:eastAsia="宋体" w:cs="Times New Roman"/>
                <w:b/>
                <w:bCs/>
                <w:color w:val="auto"/>
                <w:kern w:val="0"/>
                <w:sz w:val="21"/>
                <w:szCs w:val="21"/>
                <w:lang w:val="en-US" w:eastAsia="zh-CN" w:bidi="ar"/>
              </w:rPr>
              <w:t>7</w:t>
            </w:r>
            <w:r>
              <w:rPr>
                <w:rFonts w:hint="default" w:ascii="Times New Roman" w:hAnsi="Times New Roman" w:eastAsia="宋体" w:cs="Times New Roman"/>
                <w:b/>
                <w:bCs/>
                <w:color w:val="auto"/>
                <w:kern w:val="0"/>
                <w:sz w:val="21"/>
                <w:szCs w:val="21"/>
                <w:lang w:val="en-US" w:eastAsia="zh-CN" w:bidi="ar"/>
              </w:rPr>
              <w:t xml:space="preserve"> 项目废水排放标准 （单位：mg/L，除pH外）</w:t>
            </w:r>
          </w:p>
          <w:tbl>
            <w:tblPr>
              <w:tblStyle w:val="26"/>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679"/>
              <w:gridCol w:w="786"/>
              <w:gridCol w:w="776"/>
              <w:gridCol w:w="797"/>
              <w:gridCol w:w="822"/>
              <w:gridCol w:w="680"/>
            </w:tblGrid>
            <w:tr w14:paraId="7F653F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442" w:type="pct"/>
                  <w:tcBorders>
                    <w:tl2br w:val="single" w:color="auto" w:sz="4" w:space="0"/>
                  </w:tcBorders>
                  <w:noWrap w:val="0"/>
                  <w:vAlign w:val="center"/>
                </w:tcPr>
                <w:p w14:paraId="2E89CC68">
                  <w:pPr>
                    <w:keepNext w:val="0"/>
                    <w:keepLines w:val="0"/>
                    <w:pageBreakBefore w:val="0"/>
                    <w:widowControl w:val="0"/>
                    <w:kinsoku/>
                    <w:wordWrap/>
                    <w:overflowPunct/>
                    <w:topLinePunct/>
                    <w:autoSpaceDE w:val="0"/>
                    <w:autoSpaceDN/>
                    <w:bidi w:val="0"/>
                    <w:adjustRightInd w:val="0"/>
                    <w:snapToGrid w:val="0"/>
                    <w:spacing w:line="240" w:lineRule="auto"/>
                    <w:jc w:val="right"/>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污染因子</w:t>
                  </w:r>
                </w:p>
                <w:p w14:paraId="3D861D0F">
                  <w:pPr>
                    <w:keepNext w:val="0"/>
                    <w:keepLines w:val="0"/>
                    <w:pageBreakBefore w:val="0"/>
                    <w:widowControl w:val="0"/>
                    <w:kinsoku/>
                    <w:wordWrap/>
                    <w:overflowPunct/>
                    <w:topLinePunct/>
                    <w:autoSpaceDE w:val="0"/>
                    <w:autoSpaceDN/>
                    <w:bidi w:val="0"/>
                    <w:adjustRightInd w:val="0"/>
                    <w:snapToGrid w:val="0"/>
                    <w:spacing w:line="240" w:lineRule="auto"/>
                    <w:jc w:val="both"/>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执行标准</w:t>
                  </w:r>
                </w:p>
              </w:tc>
              <w:tc>
                <w:tcPr>
                  <w:tcW w:w="525" w:type="pct"/>
                  <w:tcBorders>
                    <w:tl2br w:val="nil"/>
                    <w:tr2bl w:val="nil"/>
                  </w:tcBorders>
                  <w:noWrap w:val="0"/>
                  <w:vAlign w:val="center"/>
                </w:tcPr>
                <w:p w14:paraId="0079D79A">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pH</w:t>
                  </w:r>
                </w:p>
              </w:tc>
              <w:tc>
                <w:tcPr>
                  <w:tcW w:w="518" w:type="pct"/>
                  <w:tcBorders>
                    <w:tl2br w:val="nil"/>
                    <w:tr2bl w:val="nil"/>
                  </w:tcBorders>
                  <w:noWrap w:val="0"/>
                  <w:vAlign w:val="center"/>
                </w:tcPr>
                <w:p w14:paraId="4CF050BF">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COD</w:t>
                  </w:r>
                </w:p>
              </w:tc>
              <w:tc>
                <w:tcPr>
                  <w:tcW w:w="532" w:type="pct"/>
                  <w:tcBorders>
                    <w:tl2br w:val="nil"/>
                    <w:tr2bl w:val="nil"/>
                  </w:tcBorders>
                  <w:noWrap w:val="0"/>
                  <w:vAlign w:val="center"/>
                </w:tcPr>
                <w:p w14:paraId="4CF03F90">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BOD</w:t>
                  </w:r>
                  <w:r>
                    <w:rPr>
                      <w:rFonts w:hint="default" w:ascii="Times New Roman" w:hAnsi="Times New Roman" w:cs="Times New Roman"/>
                      <w:b/>
                      <w:color w:val="auto"/>
                      <w:sz w:val="21"/>
                      <w:highlight w:val="none"/>
                      <w:vertAlign w:val="subscript"/>
                      <w:lang w:eastAsia="zh-CN"/>
                    </w:rPr>
                    <w:t>5</w:t>
                  </w:r>
                </w:p>
              </w:tc>
              <w:tc>
                <w:tcPr>
                  <w:tcW w:w="525" w:type="pct"/>
                  <w:tcBorders>
                    <w:tl2br w:val="nil"/>
                    <w:tr2bl w:val="nil"/>
                  </w:tcBorders>
                  <w:noWrap w:val="0"/>
                  <w:vAlign w:val="center"/>
                </w:tcPr>
                <w:p w14:paraId="5491BC8F">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NH</w:t>
                  </w:r>
                  <w:r>
                    <w:rPr>
                      <w:rFonts w:hint="default" w:ascii="Times New Roman" w:hAnsi="Times New Roman" w:cs="Times New Roman"/>
                      <w:b/>
                      <w:color w:val="auto"/>
                      <w:sz w:val="21"/>
                      <w:highlight w:val="none"/>
                      <w:vertAlign w:val="subscript"/>
                      <w:lang w:eastAsia="zh-CN"/>
                    </w:rPr>
                    <w:t>3</w:t>
                  </w:r>
                  <w:r>
                    <w:rPr>
                      <w:rFonts w:hint="default" w:ascii="Times New Roman" w:hAnsi="Times New Roman" w:cs="Times New Roman"/>
                      <w:b/>
                      <w:color w:val="auto"/>
                      <w:sz w:val="21"/>
                      <w:highlight w:val="none"/>
                      <w:lang w:eastAsia="zh-CN"/>
                    </w:rPr>
                    <w:t>-N</w:t>
                  </w:r>
                </w:p>
              </w:tc>
              <w:tc>
                <w:tcPr>
                  <w:tcW w:w="454" w:type="pct"/>
                  <w:tcBorders>
                    <w:tl2br w:val="nil"/>
                    <w:tr2bl w:val="nil"/>
                  </w:tcBorders>
                  <w:noWrap w:val="0"/>
                  <w:vAlign w:val="center"/>
                </w:tcPr>
                <w:p w14:paraId="40B10A8D">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SS</w:t>
                  </w:r>
                </w:p>
              </w:tc>
            </w:tr>
            <w:tr w14:paraId="20D0D1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42" w:type="pct"/>
                  <w:tcBorders>
                    <w:tl2br w:val="nil"/>
                    <w:tr2bl w:val="nil"/>
                  </w:tcBorders>
                  <w:noWrap w:val="0"/>
                  <w:vAlign w:val="center"/>
                </w:tcPr>
                <w:p w14:paraId="0DD9514F">
                  <w:pPr>
                    <w:keepNext w:val="0"/>
                    <w:keepLines w:val="0"/>
                    <w:pageBreakBefore w:val="0"/>
                    <w:widowControl w:val="0"/>
                    <w:kinsoku/>
                    <w:wordWrap/>
                    <w:overflowPunct/>
                    <w:topLinePunct/>
                    <w:autoSpaceDE w:val="0"/>
                    <w:autoSpaceDN/>
                    <w:bidi w:val="0"/>
                    <w:adjustRightInd w:val="0"/>
                    <w:snapToGrid w:val="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lang w:eastAsia="zh-CN"/>
                    </w:rPr>
                    <w:t>山南新区污水处理厂接管标准</w:t>
                  </w:r>
                </w:p>
              </w:tc>
              <w:tc>
                <w:tcPr>
                  <w:tcW w:w="525" w:type="pct"/>
                  <w:tcBorders>
                    <w:tl2br w:val="nil"/>
                    <w:tr2bl w:val="nil"/>
                  </w:tcBorders>
                  <w:noWrap w:val="0"/>
                  <w:vAlign w:val="center"/>
                </w:tcPr>
                <w:p w14:paraId="4BA96566">
                  <w:pPr>
                    <w:pStyle w:val="5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rPr>
                    <w:t>6-9</w:t>
                  </w:r>
                </w:p>
              </w:tc>
              <w:tc>
                <w:tcPr>
                  <w:tcW w:w="518" w:type="pct"/>
                  <w:tcBorders>
                    <w:tl2br w:val="nil"/>
                    <w:tr2bl w:val="nil"/>
                  </w:tcBorders>
                  <w:noWrap w:val="0"/>
                  <w:vAlign w:val="center"/>
                </w:tcPr>
                <w:p w14:paraId="64695AA2">
                  <w:pPr>
                    <w:pStyle w:val="5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lang w:eastAsia="zh-CN"/>
                    </w:rPr>
                    <w:t>400</w:t>
                  </w:r>
                </w:p>
              </w:tc>
              <w:tc>
                <w:tcPr>
                  <w:tcW w:w="532" w:type="pct"/>
                  <w:tcBorders>
                    <w:tl2br w:val="nil"/>
                    <w:tr2bl w:val="nil"/>
                  </w:tcBorders>
                  <w:noWrap w:val="0"/>
                  <w:vAlign w:val="center"/>
                </w:tcPr>
                <w:p w14:paraId="7FA66C1B">
                  <w:pPr>
                    <w:pStyle w:val="5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lang w:eastAsia="zh-CN"/>
                    </w:rPr>
                    <w:t>180</w:t>
                  </w:r>
                </w:p>
              </w:tc>
              <w:tc>
                <w:tcPr>
                  <w:tcW w:w="525" w:type="pct"/>
                  <w:tcBorders>
                    <w:tl2br w:val="nil"/>
                    <w:tr2bl w:val="nil"/>
                  </w:tcBorders>
                  <w:noWrap w:val="0"/>
                  <w:vAlign w:val="center"/>
                </w:tcPr>
                <w:p w14:paraId="1F5EAAE1">
                  <w:pPr>
                    <w:pStyle w:val="5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lang w:eastAsia="zh-CN"/>
                    </w:rPr>
                    <w:t>35</w:t>
                  </w:r>
                </w:p>
              </w:tc>
              <w:tc>
                <w:tcPr>
                  <w:tcW w:w="454" w:type="pct"/>
                  <w:tcBorders>
                    <w:tl2br w:val="nil"/>
                    <w:tr2bl w:val="nil"/>
                  </w:tcBorders>
                  <w:noWrap w:val="0"/>
                  <w:vAlign w:val="center"/>
                </w:tcPr>
                <w:p w14:paraId="2965DD7C">
                  <w:pPr>
                    <w:pStyle w:val="5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lang w:eastAsia="zh-CN"/>
                    </w:rPr>
                    <w:t>200</w:t>
                  </w:r>
                </w:p>
              </w:tc>
            </w:tr>
            <w:tr w14:paraId="56F83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42" w:type="pct"/>
                  <w:tcBorders>
                    <w:tl2br w:val="nil"/>
                    <w:tr2bl w:val="nil"/>
                  </w:tcBorders>
                  <w:noWrap w:val="0"/>
                  <w:vAlign w:val="center"/>
                </w:tcPr>
                <w:p w14:paraId="10D547EE">
                  <w:pPr>
                    <w:keepNext w:val="0"/>
                    <w:keepLines w:val="0"/>
                    <w:pageBreakBefore w:val="0"/>
                    <w:widowControl w:val="0"/>
                    <w:kinsoku/>
                    <w:wordWrap/>
                    <w:overflowPunct/>
                    <w:topLinePunct/>
                    <w:autoSpaceDE w:val="0"/>
                    <w:autoSpaceDN/>
                    <w:bidi w:val="0"/>
                    <w:adjustRightInd w:val="0"/>
                    <w:snapToGrid w:val="0"/>
                    <w:spacing w:line="240" w:lineRule="auto"/>
                    <w:jc w:val="center"/>
                    <w:rPr>
                      <w:rFonts w:hint="default" w:ascii="Times New Roman" w:hAnsi="Times New Roman" w:cs="Times New Roman"/>
                      <w:b w:val="0"/>
                      <w:bCs w:val="0"/>
                      <w:color w:val="auto"/>
                      <w:szCs w:val="21"/>
                      <w:highlight w:val="none"/>
                    </w:rPr>
                  </w:pPr>
                  <w:r>
                    <w:rPr>
                      <w:rFonts w:hint="default" w:ascii="Times New Roman" w:hAnsi="Times New Roman" w:cs="Times New Roman"/>
                      <w:color w:val="auto"/>
                      <w:highlight w:val="none"/>
                    </w:rPr>
                    <w:t>《污水综合排放标准》（GB8978-1996）表4</w:t>
                  </w:r>
                </w:p>
              </w:tc>
              <w:tc>
                <w:tcPr>
                  <w:tcW w:w="525" w:type="pct"/>
                  <w:tcBorders>
                    <w:tl2br w:val="nil"/>
                    <w:tr2bl w:val="nil"/>
                  </w:tcBorders>
                  <w:noWrap w:val="0"/>
                  <w:vAlign w:val="center"/>
                </w:tcPr>
                <w:p w14:paraId="7E0B20EB">
                  <w:pPr>
                    <w:pStyle w:val="5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lang w:eastAsia="zh-CN"/>
                    </w:rPr>
                    <w:t>6-9</w:t>
                  </w:r>
                </w:p>
              </w:tc>
              <w:tc>
                <w:tcPr>
                  <w:tcW w:w="518" w:type="pct"/>
                  <w:tcBorders>
                    <w:tl2br w:val="nil"/>
                    <w:tr2bl w:val="nil"/>
                  </w:tcBorders>
                  <w:noWrap w:val="0"/>
                  <w:vAlign w:val="center"/>
                </w:tcPr>
                <w:p w14:paraId="4C00D0BF">
                  <w:pPr>
                    <w:pStyle w:val="5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lang w:eastAsia="zh-CN"/>
                    </w:rPr>
                    <w:t>500</w:t>
                  </w:r>
                </w:p>
              </w:tc>
              <w:tc>
                <w:tcPr>
                  <w:tcW w:w="532" w:type="pct"/>
                  <w:tcBorders>
                    <w:tl2br w:val="nil"/>
                    <w:tr2bl w:val="nil"/>
                  </w:tcBorders>
                  <w:noWrap w:val="0"/>
                  <w:vAlign w:val="center"/>
                </w:tcPr>
                <w:p w14:paraId="50BC6AD2">
                  <w:pPr>
                    <w:pStyle w:val="5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lang w:eastAsia="zh-CN"/>
                    </w:rPr>
                    <w:t>300</w:t>
                  </w:r>
                </w:p>
              </w:tc>
              <w:tc>
                <w:tcPr>
                  <w:tcW w:w="525" w:type="pct"/>
                  <w:tcBorders>
                    <w:tl2br w:val="nil"/>
                    <w:tr2bl w:val="nil"/>
                  </w:tcBorders>
                  <w:noWrap w:val="0"/>
                  <w:vAlign w:val="center"/>
                </w:tcPr>
                <w:p w14:paraId="6EB92089">
                  <w:pPr>
                    <w:pStyle w:val="50"/>
                    <w:spacing w:line="240" w:lineRule="auto"/>
                    <w:jc w:val="center"/>
                    <w:rPr>
                      <w:rFonts w:hint="default" w:ascii="Times New Roman" w:hAnsi="Times New Roman" w:cs="Times New Roman"/>
                      <w:b w:val="0"/>
                      <w:bCs w:val="0"/>
                      <w:color w:val="auto"/>
                      <w:sz w:val="21"/>
                      <w:szCs w:val="21"/>
                      <w:highlight w:val="none"/>
                      <w:vertAlign w:val="baseline"/>
                    </w:rPr>
                  </w:pPr>
                  <w:r>
                    <w:rPr>
                      <w:rFonts w:hint="default" w:ascii="Times New Roman" w:hAnsi="Times New Roman" w:cs="Times New Roman"/>
                      <w:bCs/>
                      <w:color w:val="auto"/>
                      <w:sz w:val="21"/>
                      <w:highlight w:val="none"/>
                      <w:lang w:eastAsia="zh-CN"/>
                    </w:rPr>
                    <w:t>/</w:t>
                  </w:r>
                </w:p>
              </w:tc>
              <w:tc>
                <w:tcPr>
                  <w:tcW w:w="454" w:type="pct"/>
                  <w:tcBorders>
                    <w:tl2br w:val="nil"/>
                    <w:tr2bl w:val="nil"/>
                  </w:tcBorders>
                  <w:noWrap w:val="0"/>
                  <w:vAlign w:val="center"/>
                </w:tcPr>
                <w:p w14:paraId="6A9E97CB">
                  <w:pPr>
                    <w:pStyle w:val="5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Cs/>
                      <w:color w:val="auto"/>
                      <w:sz w:val="21"/>
                      <w:highlight w:val="none"/>
                      <w:lang w:eastAsia="zh-CN"/>
                    </w:rPr>
                    <w:t>400</w:t>
                  </w:r>
                </w:p>
              </w:tc>
            </w:tr>
            <w:tr w14:paraId="2EF578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42" w:type="pct"/>
                  <w:tcBorders>
                    <w:tl2br w:val="nil"/>
                    <w:tr2bl w:val="nil"/>
                  </w:tcBorders>
                  <w:noWrap w:val="0"/>
                  <w:vAlign w:val="center"/>
                </w:tcPr>
                <w:p w14:paraId="739D5600">
                  <w:pPr>
                    <w:keepNext w:val="0"/>
                    <w:keepLines w:val="0"/>
                    <w:pageBreakBefore w:val="0"/>
                    <w:widowControl w:val="0"/>
                    <w:kinsoku/>
                    <w:wordWrap/>
                    <w:overflowPunct/>
                    <w:topLinePunct/>
                    <w:autoSpaceDE w:val="0"/>
                    <w:autoSpaceDN/>
                    <w:bidi w:val="0"/>
                    <w:adjustRightInd w:val="0"/>
                    <w:snapToGrid w:val="0"/>
                    <w:spacing w:line="240" w:lineRule="auto"/>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最终执行标准</w:t>
                  </w:r>
                </w:p>
              </w:tc>
              <w:tc>
                <w:tcPr>
                  <w:tcW w:w="525" w:type="pct"/>
                  <w:tcBorders>
                    <w:tl2br w:val="nil"/>
                    <w:tr2bl w:val="nil"/>
                  </w:tcBorders>
                  <w:noWrap w:val="0"/>
                  <w:vAlign w:val="center"/>
                </w:tcPr>
                <w:p w14:paraId="09FFFB8B">
                  <w:pPr>
                    <w:pStyle w:val="50"/>
                    <w:spacing w:line="240" w:lineRule="auto"/>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highlight w:val="none"/>
                      <w:lang w:eastAsia="zh-CN"/>
                    </w:rPr>
                    <w:t>6-9</w:t>
                  </w:r>
                </w:p>
              </w:tc>
              <w:tc>
                <w:tcPr>
                  <w:tcW w:w="518" w:type="pct"/>
                  <w:tcBorders>
                    <w:tl2br w:val="nil"/>
                    <w:tr2bl w:val="nil"/>
                  </w:tcBorders>
                  <w:noWrap w:val="0"/>
                  <w:vAlign w:val="center"/>
                </w:tcPr>
                <w:p w14:paraId="620B2EED">
                  <w:pPr>
                    <w:pStyle w:val="50"/>
                    <w:spacing w:line="240" w:lineRule="auto"/>
                    <w:jc w:val="center"/>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highlight w:val="none"/>
                      <w:lang w:eastAsia="zh-CN"/>
                    </w:rPr>
                    <w:t>400</w:t>
                  </w:r>
                </w:p>
              </w:tc>
              <w:tc>
                <w:tcPr>
                  <w:tcW w:w="532" w:type="pct"/>
                  <w:tcBorders>
                    <w:tl2br w:val="nil"/>
                    <w:tr2bl w:val="nil"/>
                  </w:tcBorders>
                  <w:noWrap w:val="0"/>
                  <w:vAlign w:val="center"/>
                </w:tcPr>
                <w:p w14:paraId="7FD084A2">
                  <w:pPr>
                    <w:pStyle w:val="50"/>
                    <w:spacing w:line="240" w:lineRule="auto"/>
                    <w:jc w:val="center"/>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highlight w:val="none"/>
                      <w:lang w:eastAsia="zh-CN"/>
                    </w:rPr>
                    <w:t>180</w:t>
                  </w:r>
                </w:p>
              </w:tc>
              <w:tc>
                <w:tcPr>
                  <w:tcW w:w="525" w:type="pct"/>
                  <w:tcBorders>
                    <w:tl2br w:val="nil"/>
                    <w:tr2bl w:val="nil"/>
                  </w:tcBorders>
                  <w:noWrap w:val="0"/>
                  <w:vAlign w:val="center"/>
                </w:tcPr>
                <w:p w14:paraId="47DAD00F">
                  <w:pPr>
                    <w:pStyle w:val="50"/>
                    <w:spacing w:line="240" w:lineRule="auto"/>
                    <w:jc w:val="center"/>
                    <w:rPr>
                      <w:rFonts w:hint="default" w:ascii="Times New Roman" w:hAnsi="Times New Roman" w:cs="Times New Roman"/>
                      <w:b/>
                      <w:bCs w:val="0"/>
                      <w:color w:val="auto"/>
                      <w:szCs w:val="21"/>
                      <w:highlight w:val="none"/>
                    </w:rPr>
                  </w:pPr>
                  <w:r>
                    <w:rPr>
                      <w:rFonts w:hint="default" w:ascii="Times New Roman" w:hAnsi="Times New Roman" w:cs="Times New Roman"/>
                      <w:b/>
                      <w:bCs w:val="0"/>
                      <w:color w:val="auto"/>
                      <w:sz w:val="21"/>
                      <w:highlight w:val="none"/>
                      <w:lang w:eastAsia="zh-CN"/>
                    </w:rPr>
                    <w:t>35</w:t>
                  </w:r>
                </w:p>
              </w:tc>
              <w:tc>
                <w:tcPr>
                  <w:tcW w:w="454" w:type="pct"/>
                  <w:tcBorders>
                    <w:tl2br w:val="nil"/>
                    <w:tr2bl w:val="nil"/>
                  </w:tcBorders>
                  <w:noWrap w:val="0"/>
                  <w:vAlign w:val="center"/>
                </w:tcPr>
                <w:p w14:paraId="676C2F4A">
                  <w:pPr>
                    <w:pStyle w:val="50"/>
                    <w:spacing w:line="240" w:lineRule="auto"/>
                    <w:jc w:val="center"/>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highlight w:val="none"/>
                      <w:lang w:eastAsia="zh-CN"/>
                    </w:rPr>
                    <w:t>200</w:t>
                  </w:r>
                </w:p>
              </w:tc>
            </w:tr>
          </w:tbl>
          <w:p w14:paraId="48E97047">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eastAsia="zh-CN"/>
              </w:rPr>
              <w:t>山南新区</w:t>
            </w:r>
            <w:r>
              <w:rPr>
                <w:rFonts w:hint="default" w:ascii="Times New Roman" w:hAnsi="Times New Roman" w:eastAsia="宋体" w:cs="Times New Roman"/>
                <w:b w:val="0"/>
                <w:bCs w:val="0"/>
                <w:color w:val="auto"/>
                <w:sz w:val="24"/>
                <w:szCs w:val="24"/>
                <w:highlight w:val="none"/>
              </w:rPr>
              <w:t>污水处理厂尾水排放执行《城镇污水处理厂污染物排放标准》（GB18918-2002）</w:t>
            </w:r>
            <w:r>
              <w:rPr>
                <w:rFonts w:hint="eastAsia" w:ascii="Times New Roman" w:hAnsi="Times New Roman" w:eastAsia="宋体" w:cs="Times New Roman"/>
                <w:b w:val="0"/>
                <w:bCs w:val="0"/>
                <w:color w:val="auto"/>
                <w:sz w:val="24"/>
                <w:szCs w:val="24"/>
                <w:highlight w:val="none"/>
                <w:lang w:val="en-US" w:eastAsia="zh-CN"/>
              </w:rPr>
              <w:t>及修改单</w:t>
            </w:r>
            <w:r>
              <w:rPr>
                <w:rFonts w:hint="default" w:ascii="Times New Roman" w:hAnsi="Times New Roman" w:eastAsia="宋体" w:cs="Times New Roman"/>
                <w:b w:val="0"/>
                <w:bCs w:val="0"/>
                <w:color w:val="auto"/>
                <w:sz w:val="24"/>
                <w:szCs w:val="24"/>
                <w:highlight w:val="none"/>
              </w:rPr>
              <w:t>一级A标准。标准值如下表所示</w:t>
            </w:r>
            <w:r>
              <w:rPr>
                <w:rFonts w:hint="default" w:ascii="Times New Roman" w:hAnsi="Times New Roman" w:eastAsia="宋体" w:cs="Times New Roman"/>
                <w:b w:val="0"/>
                <w:bCs w:val="0"/>
                <w:color w:val="auto"/>
                <w:sz w:val="24"/>
                <w:szCs w:val="24"/>
                <w:highlight w:val="none"/>
                <w:lang w:val="en-US" w:eastAsia="zh-CN"/>
              </w:rPr>
              <w:t>。具体见下表。</w:t>
            </w:r>
          </w:p>
          <w:p w14:paraId="2D4BC336">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表3-</w:t>
            </w:r>
            <w:r>
              <w:rPr>
                <w:rFonts w:hint="eastAsia" w:ascii="Times New Roman" w:hAnsi="Times New Roman" w:eastAsia="宋体" w:cs="Times New Roman"/>
                <w:b/>
                <w:bCs/>
                <w:color w:val="auto"/>
                <w:kern w:val="0"/>
                <w:sz w:val="21"/>
                <w:szCs w:val="21"/>
                <w:lang w:val="en-US" w:eastAsia="zh-CN" w:bidi="ar"/>
              </w:rPr>
              <w:t>8</w:t>
            </w:r>
            <w:r>
              <w:rPr>
                <w:rFonts w:hint="default" w:ascii="Times New Roman" w:hAnsi="Times New Roman" w:eastAsia="宋体" w:cs="Times New Roman"/>
                <w:b/>
                <w:bCs/>
                <w:color w:val="auto"/>
                <w:kern w:val="0"/>
                <w:sz w:val="21"/>
                <w:szCs w:val="21"/>
                <w:lang w:val="en-US" w:eastAsia="zh-CN" w:bidi="ar"/>
              </w:rPr>
              <w:t xml:space="preserve"> 山南新区污水处理厂尾水标准限值 （单位：mg/L，除pH外）</w:t>
            </w:r>
          </w:p>
          <w:tbl>
            <w:tblPr>
              <w:tblStyle w:val="2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51"/>
              <w:gridCol w:w="1138"/>
              <w:gridCol w:w="852"/>
              <w:gridCol w:w="996"/>
              <w:gridCol w:w="880"/>
              <w:gridCol w:w="626"/>
            </w:tblGrid>
            <w:tr w14:paraId="0DF376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021" w:type="pct"/>
                  <w:tcBorders>
                    <w:tl2br w:val="single" w:color="auto" w:sz="4" w:space="0"/>
                  </w:tcBorders>
                  <w:noWrap w:val="0"/>
                  <w:vAlign w:val="center"/>
                </w:tcPr>
                <w:p w14:paraId="0C18FF5B">
                  <w:pPr>
                    <w:keepNext w:val="0"/>
                    <w:keepLines w:val="0"/>
                    <w:pageBreakBefore w:val="0"/>
                    <w:widowControl w:val="0"/>
                    <w:kinsoku/>
                    <w:wordWrap/>
                    <w:overflowPunct/>
                    <w:topLinePunct/>
                    <w:autoSpaceDE w:val="0"/>
                    <w:autoSpaceDN/>
                    <w:bidi w:val="0"/>
                    <w:adjustRightInd w:val="0"/>
                    <w:snapToGrid w:val="0"/>
                    <w:spacing w:line="240" w:lineRule="auto"/>
                    <w:jc w:val="right"/>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污染因子</w:t>
                  </w:r>
                </w:p>
                <w:p w14:paraId="71A53291">
                  <w:pPr>
                    <w:keepNext w:val="0"/>
                    <w:keepLines w:val="0"/>
                    <w:pageBreakBefore w:val="0"/>
                    <w:widowControl w:val="0"/>
                    <w:kinsoku/>
                    <w:wordWrap/>
                    <w:overflowPunct/>
                    <w:topLinePunct/>
                    <w:autoSpaceDE w:val="0"/>
                    <w:autoSpaceDN/>
                    <w:bidi w:val="0"/>
                    <w:adjustRightInd w:val="0"/>
                    <w:snapToGrid w:val="0"/>
                    <w:spacing w:line="240" w:lineRule="auto"/>
                    <w:jc w:val="both"/>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执行标准</w:t>
                  </w:r>
                </w:p>
              </w:tc>
              <w:tc>
                <w:tcPr>
                  <w:tcW w:w="754" w:type="pct"/>
                  <w:tcBorders>
                    <w:tl2br w:val="nil"/>
                    <w:tr2bl w:val="nil"/>
                  </w:tcBorders>
                  <w:noWrap w:val="0"/>
                  <w:vAlign w:val="center"/>
                </w:tcPr>
                <w:p w14:paraId="0EBC4002">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pH</w:t>
                  </w:r>
                </w:p>
              </w:tc>
              <w:tc>
                <w:tcPr>
                  <w:tcW w:w="564" w:type="pct"/>
                  <w:tcBorders>
                    <w:tl2br w:val="nil"/>
                    <w:tr2bl w:val="nil"/>
                  </w:tcBorders>
                  <w:noWrap w:val="0"/>
                  <w:vAlign w:val="center"/>
                </w:tcPr>
                <w:p w14:paraId="14419375">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COD</w:t>
                  </w:r>
                </w:p>
              </w:tc>
              <w:tc>
                <w:tcPr>
                  <w:tcW w:w="660" w:type="pct"/>
                  <w:tcBorders>
                    <w:tl2br w:val="nil"/>
                    <w:tr2bl w:val="nil"/>
                  </w:tcBorders>
                  <w:noWrap w:val="0"/>
                  <w:vAlign w:val="center"/>
                </w:tcPr>
                <w:p w14:paraId="16431C44">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BOD</w:t>
                  </w:r>
                  <w:r>
                    <w:rPr>
                      <w:rFonts w:hint="default" w:ascii="Times New Roman" w:hAnsi="Times New Roman" w:cs="Times New Roman"/>
                      <w:b/>
                      <w:color w:val="auto"/>
                      <w:sz w:val="21"/>
                      <w:highlight w:val="none"/>
                      <w:vertAlign w:val="subscript"/>
                      <w:lang w:eastAsia="zh-CN"/>
                    </w:rPr>
                    <w:t>5</w:t>
                  </w:r>
                </w:p>
              </w:tc>
              <w:tc>
                <w:tcPr>
                  <w:tcW w:w="583" w:type="pct"/>
                  <w:tcBorders>
                    <w:tl2br w:val="nil"/>
                    <w:tr2bl w:val="nil"/>
                  </w:tcBorders>
                  <w:noWrap w:val="0"/>
                  <w:vAlign w:val="center"/>
                </w:tcPr>
                <w:p w14:paraId="54B4DED7">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NH</w:t>
                  </w:r>
                  <w:r>
                    <w:rPr>
                      <w:rFonts w:hint="default" w:ascii="Times New Roman" w:hAnsi="Times New Roman" w:cs="Times New Roman"/>
                      <w:b/>
                      <w:color w:val="auto"/>
                      <w:sz w:val="21"/>
                      <w:highlight w:val="none"/>
                      <w:vertAlign w:val="subscript"/>
                      <w:lang w:eastAsia="zh-CN"/>
                    </w:rPr>
                    <w:t>3</w:t>
                  </w:r>
                  <w:r>
                    <w:rPr>
                      <w:rFonts w:hint="default" w:ascii="Times New Roman" w:hAnsi="Times New Roman" w:cs="Times New Roman"/>
                      <w:b/>
                      <w:color w:val="auto"/>
                      <w:sz w:val="21"/>
                      <w:highlight w:val="none"/>
                      <w:lang w:eastAsia="zh-CN"/>
                    </w:rPr>
                    <w:t>-N</w:t>
                  </w:r>
                </w:p>
              </w:tc>
              <w:tc>
                <w:tcPr>
                  <w:tcW w:w="414" w:type="pct"/>
                  <w:tcBorders>
                    <w:tl2br w:val="nil"/>
                    <w:tr2bl w:val="nil"/>
                  </w:tcBorders>
                  <w:noWrap w:val="0"/>
                  <w:vAlign w:val="center"/>
                </w:tcPr>
                <w:p w14:paraId="126FD339">
                  <w:pPr>
                    <w:pStyle w:val="50"/>
                    <w:spacing w:line="240" w:lineRule="auto"/>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color w:val="auto"/>
                      <w:sz w:val="21"/>
                      <w:highlight w:val="none"/>
                      <w:lang w:eastAsia="zh-CN"/>
                    </w:rPr>
                    <w:t>SS</w:t>
                  </w:r>
                </w:p>
              </w:tc>
            </w:tr>
            <w:tr w14:paraId="73544B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2021" w:type="pct"/>
                  <w:tcBorders>
                    <w:tl2br w:val="nil"/>
                    <w:tr2bl w:val="nil"/>
                  </w:tcBorders>
                  <w:noWrap w:val="0"/>
                  <w:vAlign w:val="center"/>
                </w:tcPr>
                <w:p w14:paraId="5AFBC32B">
                  <w:pPr>
                    <w:keepNext w:val="0"/>
                    <w:keepLines w:val="0"/>
                    <w:pageBreakBefore w:val="0"/>
                    <w:widowControl w:val="0"/>
                    <w:kinsoku/>
                    <w:wordWrap/>
                    <w:overflowPunct/>
                    <w:topLinePunct/>
                    <w:autoSpaceDE w:val="0"/>
                    <w:autoSpaceDN/>
                    <w:bidi w:val="0"/>
                    <w:adjustRightInd w:val="0"/>
                    <w:snapToGrid w:val="0"/>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color w:val="auto"/>
                      <w:highlight w:val="none"/>
                    </w:rPr>
                    <w:t>《城镇污水处理厂污染物排放标准》（GB18918-2002）及修改单一级A标准</w:t>
                  </w:r>
                </w:p>
              </w:tc>
              <w:tc>
                <w:tcPr>
                  <w:tcW w:w="754" w:type="pct"/>
                  <w:tcBorders>
                    <w:tl2br w:val="nil"/>
                    <w:tr2bl w:val="nil"/>
                  </w:tcBorders>
                  <w:noWrap w:val="0"/>
                  <w:vAlign w:val="center"/>
                </w:tcPr>
                <w:p w14:paraId="54B782E0">
                  <w:pPr>
                    <w:pStyle w:val="50"/>
                    <w:spacing w:line="240" w:lineRule="auto"/>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highlight w:val="none"/>
                    </w:rPr>
                    <w:t>6-9</w:t>
                  </w:r>
                </w:p>
              </w:tc>
              <w:tc>
                <w:tcPr>
                  <w:tcW w:w="564" w:type="pct"/>
                  <w:tcBorders>
                    <w:tl2br w:val="nil"/>
                    <w:tr2bl w:val="nil"/>
                  </w:tcBorders>
                  <w:noWrap w:val="0"/>
                  <w:vAlign w:val="center"/>
                </w:tcPr>
                <w:p w14:paraId="7AE367E6">
                  <w:pPr>
                    <w:pStyle w:val="50"/>
                    <w:spacing w:line="240" w:lineRule="auto"/>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highlight w:val="none"/>
                      <w:lang w:eastAsia="zh-CN"/>
                    </w:rPr>
                    <w:t>50</w:t>
                  </w:r>
                </w:p>
              </w:tc>
              <w:tc>
                <w:tcPr>
                  <w:tcW w:w="660" w:type="pct"/>
                  <w:tcBorders>
                    <w:tl2br w:val="nil"/>
                    <w:tr2bl w:val="nil"/>
                  </w:tcBorders>
                  <w:noWrap w:val="0"/>
                  <w:vAlign w:val="center"/>
                </w:tcPr>
                <w:p w14:paraId="4A86BFF7">
                  <w:pPr>
                    <w:pStyle w:val="50"/>
                    <w:spacing w:line="240" w:lineRule="auto"/>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highlight w:val="none"/>
                      <w:lang w:eastAsia="zh-CN"/>
                    </w:rPr>
                    <w:t>10</w:t>
                  </w:r>
                </w:p>
              </w:tc>
              <w:tc>
                <w:tcPr>
                  <w:tcW w:w="583" w:type="pct"/>
                  <w:tcBorders>
                    <w:tl2br w:val="nil"/>
                    <w:tr2bl w:val="nil"/>
                  </w:tcBorders>
                  <w:noWrap w:val="0"/>
                  <w:vAlign w:val="center"/>
                </w:tcPr>
                <w:p w14:paraId="067E8BB2">
                  <w:pPr>
                    <w:pStyle w:val="50"/>
                    <w:spacing w:line="240" w:lineRule="auto"/>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highlight w:val="none"/>
                      <w:lang w:eastAsia="zh-CN"/>
                    </w:rPr>
                    <w:t>5</w:t>
                  </w:r>
                </w:p>
              </w:tc>
              <w:tc>
                <w:tcPr>
                  <w:tcW w:w="414" w:type="pct"/>
                  <w:tcBorders>
                    <w:tl2br w:val="nil"/>
                    <w:tr2bl w:val="nil"/>
                  </w:tcBorders>
                  <w:noWrap w:val="0"/>
                  <w:vAlign w:val="center"/>
                </w:tcPr>
                <w:p w14:paraId="7A37A985">
                  <w:pPr>
                    <w:pStyle w:val="50"/>
                    <w:spacing w:line="240" w:lineRule="auto"/>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highlight w:val="none"/>
                      <w:lang w:eastAsia="zh-CN"/>
                    </w:rPr>
                    <w:t>10</w:t>
                  </w:r>
                </w:p>
              </w:tc>
            </w:tr>
          </w:tbl>
          <w:p w14:paraId="077416A4">
            <w:pPr>
              <w:keepNext w:val="0"/>
              <w:keepLines w:val="0"/>
              <w:pageBreakBefore w:val="0"/>
              <w:widowControl w:val="0"/>
              <w:tabs>
                <w:tab w:val="left" w:pos="5142"/>
              </w:tabs>
              <w:kinsoku/>
              <w:wordWrap/>
              <w:overflowPunct/>
              <w:topLinePunct/>
              <w:autoSpaceDE w:val="0"/>
              <w:autoSpaceDN/>
              <w:bidi w:val="0"/>
              <w:adjustRightInd w:val="0"/>
              <w:snapToGrid w:val="0"/>
              <w:spacing w:line="360" w:lineRule="auto"/>
              <w:ind w:left="0" w:leftChars="0" w:firstLine="482" w:firstLineChars="200"/>
              <w:rPr>
                <w:rFonts w:hint="default" w:ascii="Times New Roman" w:hAnsi="Times New Roman" w:cs="Times New Roman"/>
                <w:b/>
                <w:bCs/>
                <w:snapToGrid w:val="0"/>
                <w:color w:val="auto"/>
                <w:kern w:val="0"/>
                <w:sz w:val="24"/>
                <w:highlight w:val="none"/>
              </w:rPr>
            </w:pPr>
            <w:r>
              <w:rPr>
                <w:rFonts w:hint="default" w:ascii="Times New Roman" w:hAnsi="Times New Roman" w:cs="Times New Roman"/>
                <w:b/>
                <w:bCs/>
                <w:snapToGrid w:val="0"/>
                <w:color w:val="auto"/>
                <w:kern w:val="0"/>
                <w:sz w:val="24"/>
                <w:highlight w:val="none"/>
              </w:rPr>
              <w:t>3、厂界噪声排放标准</w:t>
            </w:r>
          </w:p>
          <w:p w14:paraId="14FF1E15">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default" w:ascii="Times New Roman" w:hAnsi="Times New Roman" w:eastAsia="宋体" w:cs="Times New Roman"/>
                <w:b/>
                <w:bCs/>
                <w:color w:val="auto"/>
                <w:kern w:val="0"/>
                <w:sz w:val="21"/>
                <w:szCs w:val="21"/>
                <w:lang w:val="zh-CN" w:eastAsia="zh-CN" w:bidi="ar"/>
              </w:rPr>
            </w:pPr>
            <w:r>
              <w:rPr>
                <w:rFonts w:hint="default" w:ascii="Times New Roman" w:hAnsi="Times New Roman" w:cs="Times New Roman"/>
                <w:color w:val="auto"/>
                <w:sz w:val="24"/>
                <w:highlight w:val="none"/>
                <w:lang w:val="en-US" w:eastAsia="zh-CN"/>
              </w:rPr>
              <w:t>根据</w:t>
            </w:r>
            <w:r>
              <w:rPr>
                <w:rFonts w:hint="default" w:ascii="Times New Roman" w:hAnsi="Times New Roman" w:cs="Times New Roman"/>
                <w:color w:val="auto"/>
                <w:sz w:val="24"/>
                <w:highlight w:val="none"/>
              </w:rPr>
              <w:t>《淮南市中心城区声环境功能区划分方案》</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项目周界噪声排放执行《工业企业厂界环境噪声排放标准》（GB12348-2008）中</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lang w:val="en-US" w:eastAsia="zh-CN"/>
              </w:rPr>
              <w:t>区</w:t>
            </w:r>
            <w:r>
              <w:rPr>
                <w:rFonts w:hint="default" w:ascii="Times New Roman" w:hAnsi="Times New Roman" w:cs="Times New Roman"/>
                <w:color w:val="auto"/>
                <w:sz w:val="24"/>
                <w:highlight w:val="none"/>
              </w:rPr>
              <w:t>标准。具体标准值见</w:t>
            </w:r>
            <w:r>
              <w:rPr>
                <w:rFonts w:hint="default" w:ascii="Times New Roman" w:hAnsi="Times New Roman" w:cs="Times New Roman"/>
                <w:color w:val="auto"/>
                <w:sz w:val="24"/>
                <w:highlight w:val="none"/>
                <w:lang w:eastAsia="zh-CN"/>
              </w:rPr>
              <w:t>下表</w:t>
            </w:r>
            <w:r>
              <w:rPr>
                <w:rFonts w:hint="default" w:ascii="Times New Roman" w:hAnsi="Times New Roman" w:cs="Times New Roman"/>
                <w:color w:val="auto"/>
                <w:sz w:val="24"/>
                <w:highlight w:val="none"/>
              </w:rPr>
              <w:t>。</w:t>
            </w:r>
          </w:p>
          <w:p w14:paraId="018590FE">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zh-CN" w:eastAsia="zh-CN" w:bidi="ar"/>
              </w:rPr>
            </w:pPr>
            <w:r>
              <w:rPr>
                <w:rFonts w:hint="default" w:ascii="Times New Roman" w:hAnsi="Times New Roman" w:eastAsia="宋体" w:cs="Times New Roman"/>
                <w:b/>
                <w:bCs/>
                <w:color w:val="auto"/>
                <w:kern w:val="0"/>
                <w:sz w:val="21"/>
                <w:szCs w:val="21"/>
                <w:lang w:val="zh-CN" w:eastAsia="zh-CN" w:bidi="ar"/>
              </w:rPr>
              <w:t>表</w:t>
            </w:r>
            <w:r>
              <w:rPr>
                <w:rFonts w:hint="default" w:ascii="Times New Roman" w:hAnsi="Times New Roman" w:eastAsia="宋体" w:cs="Times New Roman"/>
                <w:b/>
                <w:bCs/>
                <w:color w:val="auto"/>
                <w:kern w:val="0"/>
                <w:sz w:val="21"/>
                <w:szCs w:val="21"/>
                <w:lang w:val="en-US" w:eastAsia="zh-CN" w:bidi="ar"/>
              </w:rPr>
              <w:t>3-</w:t>
            </w:r>
            <w:r>
              <w:rPr>
                <w:rFonts w:hint="eastAsia" w:ascii="Times New Roman" w:hAnsi="Times New Roman" w:eastAsia="宋体" w:cs="Times New Roman"/>
                <w:b/>
                <w:bCs/>
                <w:color w:val="auto"/>
                <w:kern w:val="0"/>
                <w:sz w:val="21"/>
                <w:szCs w:val="21"/>
                <w:lang w:val="en-US" w:eastAsia="zh-CN" w:bidi="ar"/>
              </w:rPr>
              <w:t>9</w:t>
            </w:r>
            <w:r>
              <w:rPr>
                <w:rFonts w:hint="default" w:ascii="Times New Roman" w:hAnsi="Times New Roman" w:eastAsia="宋体" w:cs="Times New Roman"/>
                <w:b/>
                <w:bCs/>
                <w:color w:val="auto"/>
                <w:kern w:val="0"/>
                <w:sz w:val="21"/>
                <w:szCs w:val="21"/>
                <w:lang w:val="en-US" w:eastAsia="zh-CN" w:bidi="ar"/>
              </w:rPr>
              <w:t xml:space="preserve"> </w:t>
            </w:r>
            <w:r>
              <w:rPr>
                <w:rFonts w:hint="default" w:ascii="Times New Roman" w:hAnsi="Times New Roman" w:eastAsia="宋体" w:cs="Times New Roman"/>
                <w:b/>
                <w:bCs/>
                <w:color w:val="auto"/>
                <w:kern w:val="0"/>
                <w:sz w:val="21"/>
                <w:szCs w:val="21"/>
                <w:lang w:val="zh-CN" w:eastAsia="zh-CN" w:bidi="ar"/>
              </w:rPr>
              <w:t>噪声排放标准 单位：dB（A）</w:t>
            </w:r>
          </w:p>
          <w:tbl>
            <w:tblPr>
              <w:tblStyle w:val="2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autofit"/>
              <w:tblCellMar>
                <w:top w:w="0" w:type="dxa"/>
                <w:left w:w="108" w:type="dxa"/>
                <w:bottom w:w="0" w:type="dxa"/>
                <w:right w:w="108" w:type="dxa"/>
              </w:tblCellMar>
            </w:tblPr>
            <w:tblGrid>
              <w:gridCol w:w="841"/>
              <w:gridCol w:w="844"/>
              <w:gridCol w:w="844"/>
              <w:gridCol w:w="5011"/>
            </w:tblGrid>
            <w:tr w14:paraId="66A6D2F2">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283" w:hRule="atLeast"/>
              </w:trPr>
              <w:tc>
                <w:tcPr>
                  <w:tcW w:w="558" w:type="pct"/>
                  <w:noWrap w:val="0"/>
                  <w:vAlign w:val="center"/>
                </w:tcPr>
                <w:p w14:paraId="2824A4E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类别</w:t>
                  </w:r>
                </w:p>
              </w:tc>
              <w:tc>
                <w:tcPr>
                  <w:tcW w:w="559" w:type="pct"/>
                  <w:noWrap w:val="0"/>
                  <w:vAlign w:val="center"/>
                </w:tcPr>
                <w:p w14:paraId="1F64A78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昼间</w:t>
                  </w:r>
                </w:p>
              </w:tc>
              <w:tc>
                <w:tcPr>
                  <w:tcW w:w="559" w:type="pct"/>
                  <w:noWrap w:val="0"/>
                  <w:vAlign w:val="center"/>
                </w:tcPr>
                <w:p w14:paraId="007846E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夜间</w:t>
                  </w:r>
                </w:p>
              </w:tc>
              <w:tc>
                <w:tcPr>
                  <w:tcW w:w="3321" w:type="pct"/>
                  <w:noWrap w:val="0"/>
                  <w:vAlign w:val="center"/>
                </w:tcPr>
                <w:p w14:paraId="16A6E39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标准来源</w:t>
                  </w:r>
                </w:p>
              </w:tc>
            </w:tr>
            <w:tr w14:paraId="4A8D7E70">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283" w:hRule="atLeast"/>
              </w:trPr>
              <w:tc>
                <w:tcPr>
                  <w:tcW w:w="558" w:type="pct"/>
                  <w:noWrap w:val="0"/>
                  <w:vAlign w:val="center"/>
                </w:tcPr>
                <w:p w14:paraId="6E027A5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3类区</w:t>
                  </w:r>
                </w:p>
              </w:tc>
              <w:tc>
                <w:tcPr>
                  <w:tcW w:w="559" w:type="pct"/>
                  <w:noWrap w:val="0"/>
                  <w:vAlign w:val="center"/>
                </w:tcPr>
                <w:p w14:paraId="7A525C5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65</w:t>
                  </w:r>
                </w:p>
              </w:tc>
              <w:tc>
                <w:tcPr>
                  <w:tcW w:w="559" w:type="pct"/>
                  <w:noWrap w:val="0"/>
                  <w:vAlign w:val="center"/>
                </w:tcPr>
                <w:p w14:paraId="0A6F149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55</w:t>
                  </w:r>
                </w:p>
              </w:tc>
              <w:tc>
                <w:tcPr>
                  <w:tcW w:w="3321" w:type="pct"/>
                  <w:noWrap w:val="0"/>
                  <w:vAlign w:val="center"/>
                </w:tcPr>
                <w:p w14:paraId="16B03AE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《工业企业厂界环境噪声排放标准》（GB12348-2008）</w:t>
                  </w:r>
                </w:p>
              </w:tc>
            </w:tr>
          </w:tbl>
          <w:p w14:paraId="7D5D2C8D">
            <w:pPr>
              <w:keepNext w:val="0"/>
              <w:keepLines w:val="0"/>
              <w:pageBreakBefore w:val="0"/>
              <w:widowControl w:val="0"/>
              <w:tabs>
                <w:tab w:val="left" w:pos="5142"/>
              </w:tabs>
              <w:kinsoku/>
              <w:wordWrap/>
              <w:overflowPunct/>
              <w:topLinePunct/>
              <w:autoSpaceDE w:val="0"/>
              <w:autoSpaceDN/>
              <w:bidi w:val="0"/>
              <w:adjustRightInd w:val="0"/>
              <w:snapToGrid w:val="0"/>
              <w:spacing w:line="360" w:lineRule="auto"/>
              <w:ind w:left="0" w:leftChars="0" w:firstLine="482" w:firstLineChars="200"/>
              <w:textAlignment w:val="auto"/>
              <w:rPr>
                <w:rFonts w:hint="default" w:ascii="Times New Roman" w:hAnsi="Times New Roman" w:cs="Times New Roman"/>
                <w:b/>
                <w:bCs/>
                <w:snapToGrid w:val="0"/>
                <w:color w:val="auto"/>
                <w:kern w:val="0"/>
                <w:sz w:val="24"/>
                <w:highlight w:val="none"/>
              </w:rPr>
            </w:pPr>
            <w:r>
              <w:rPr>
                <w:rFonts w:hint="default" w:ascii="Times New Roman" w:hAnsi="Times New Roman" w:cs="Times New Roman"/>
                <w:b/>
                <w:bCs/>
                <w:snapToGrid w:val="0"/>
                <w:color w:val="auto"/>
                <w:kern w:val="0"/>
                <w:sz w:val="24"/>
                <w:highlight w:val="none"/>
              </w:rPr>
              <w:t>4、固废控制标准</w:t>
            </w:r>
          </w:p>
          <w:p w14:paraId="51CD866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eastAsia="宋体" w:cs="Times New Roman"/>
                <w:color w:val="auto"/>
                <w:kern w:val="0"/>
                <w:szCs w:val="21"/>
                <w:highlight w:val="none"/>
                <w:lang w:eastAsia="zh-CN"/>
              </w:rPr>
            </w:pPr>
            <w:r>
              <w:rPr>
                <w:rFonts w:hint="eastAsia"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危险废物的暂存执行《危险废物贮存污染控制标准》（GB18597-2023）</w:t>
            </w:r>
            <w:r>
              <w:rPr>
                <w:rFonts w:hint="default" w:ascii="Times New Roman" w:hAnsi="Times New Roman" w:cs="Times New Roman"/>
                <w:color w:val="auto"/>
                <w:sz w:val="24"/>
                <w:highlight w:val="none"/>
                <w:lang w:eastAsia="zh-CN"/>
              </w:rPr>
              <w:t>；贮存一般工业固体废物采用库房，需满足防渗漏、防雨淋、防扬尘等环境保护要求</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按照</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中华人民共和国固体废物污染环境防治法</w:t>
            </w:r>
            <w:r>
              <w:rPr>
                <w:rFonts w:hint="default" w:ascii="Times New Roman" w:hAnsi="Times New Roman" w:cs="Times New Roman"/>
                <w:color w:val="auto"/>
                <w:sz w:val="24"/>
                <w:highlight w:val="none"/>
                <w:lang w:val="en-US" w:eastAsia="zh-CN"/>
              </w:rPr>
              <w:t>》规范建设。</w:t>
            </w:r>
          </w:p>
        </w:tc>
      </w:tr>
      <w:tr w14:paraId="3A86D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3" w:type="pct"/>
            <w:noWrap w:val="0"/>
            <w:vAlign w:val="center"/>
          </w:tcPr>
          <w:p w14:paraId="09CF11B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总量</w:t>
            </w:r>
          </w:p>
          <w:p w14:paraId="2814D02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控制</w:t>
            </w:r>
          </w:p>
          <w:p w14:paraId="50F1B91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kern w:val="0"/>
                <w:sz w:val="24"/>
                <w:highlight w:val="none"/>
              </w:rPr>
            </w:pPr>
            <w:r>
              <w:rPr>
                <w:rFonts w:hint="default" w:ascii="Times New Roman" w:hAnsi="Times New Roman" w:cs="Times New Roman"/>
                <w:b/>
                <w:bCs/>
                <w:color w:val="auto"/>
                <w:kern w:val="0"/>
                <w:sz w:val="24"/>
                <w:highlight w:val="none"/>
              </w:rPr>
              <w:t>指标</w:t>
            </w:r>
          </w:p>
        </w:tc>
        <w:tc>
          <w:tcPr>
            <w:tcW w:w="4556" w:type="pct"/>
            <w:noWrap w:val="0"/>
            <w:vAlign w:val="center"/>
          </w:tcPr>
          <w:p w14:paraId="60B475C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szCs w:val="24"/>
                <w:highlight w:val="none"/>
              </w:rPr>
            </w:pPr>
          </w:p>
          <w:p w14:paraId="6F5B30F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szCs w:val="24"/>
                <w:highlight w:val="none"/>
              </w:rPr>
            </w:pPr>
          </w:p>
          <w:p w14:paraId="6F6E1044">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szCs w:val="24"/>
                <w:highlight w:val="none"/>
              </w:rPr>
            </w:pPr>
          </w:p>
          <w:p w14:paraId="24761BF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szCs w:val="24"/>
                <w:highlight w:val="none"/>
              </w:rPr>
            </w:pPr>
          </w:p>
          <w:p w14:paraId="7568967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szCs w:val="24"/>
                <w:highlight w:val="none"/>
              </w:rPr>
            </w:pPr>
          </w:p>
          <w:p w14:paraId="7330C117">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根据《安徽省环保厅关于进一步加强</w:t>
            </w:r>
            <w:r>
              <w:rPr>
                <w:rFonts w:hint="eastAsia" w:ascii="Times New Roman" w:hAnsi="Times New Roman" w:cs="Times New Roman"/>
                <w:color w:val="auto"/>
                <w:kern w:val="0"/>
                <w:sz w:val="24"/>
                <w:szCs w:val="24"/>
                <w:highlight w:val="none"/>
                <w:lang w:eastAsia="zh-CN"/>
              </w:rPr>
              <w:t>项目</w:t>
            </w:r>
            <w:r>
              <w:rPr>
                <w:rFonts w:hint="default" w:ascii="Times New Roman" w:hAnsi="Times New Roman" w:cs="Times New Roman"/>
                <w:color w:val="auto"/>
                <w:kern w:val="0"/>
                <w:sz w:val="24"/>
                <w:szCs w:val="24"/>
                <w:highlight w:val="none"/>
              </w:rPr>
              <w:t>新增大气主要污染物总量指标管理工作的通知》（皖环发〔2017〕19号）及《安徽省“十四五”生态环境保护规划》（皖环发</w:t>
            </w:r>
            <w:r>
              <w:rPr>
                <w:rFonts w:hint="eastAsia" w:ascii="Times New Roman" w:hAnsi="Times New Roman" w:cs="Times New Roman"/>
                <w:color w:val="auto"/>
                <w:kern w:val="0"/>
                <w:sz w:val="24"/>
                <w:szCs w:val="24"/>
                <w:highlight w:val="none"/>
                <w:lang w:eastAsia="zh-CN"/>
              </w:rPr>
              <w:t>〔2022〕8号</w:t>
            </w:r>
            <w:r>
              <w:rPr>
                <w:rFonts w:hint="default" w:ascii="Times New Roman" w:hAnsi="Times New Roman" w:cs="Times New Roman"/>
                <w:color w:val="auto"/>
                <w:kern w:val="0"/>
                <w:sz w:val="24"/>
                <w:szCs w:val="24"/>
                <w:highlight w:val="none"/>
              </w:rPr>
              <w:t>）文件要求，大气污染物总量指标为：挥发性有机物、烟（粉）尘、二氧化硫、氮氧化物。</w:t>
            </w:r>
          </w:p>
          <w:p w14:paraId="4F1A6FF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kern w:val="0"/>
                <w:sz w:val="24"/>
                <w:szCs w:val="24"/>
                <w:highlight w:val="none"/>
              </w:rPr>
              <w:t>根据《安徽省“十四五”生态环境保护规划》（皖环发</w:t>
            </w:r>
            <w:r>
              <w:rPr>
                <w:rFonts w:hint="eastAsia" w:ascii="Times New Roman" w:hAnsi="Times New Roman" w:cs="Times New Roman"/>
                <w:color w:val="auto"/>
                <w:kern w:val="0"/>
                <w:sz w:val="24"/>
                <w:szCs w:val="24"/>
                <w:highlight w:val="none"/>
                <w:lang w:eastAsia="zh-CN"/>
              </w:rPr>
              <w:t>〔2022〕8号</w:t>
            </w:r>
            <w:r>
              <w:rPr>
                <w:rFonts w:hint="default" w:ascii="Times New Roman" w:hAnsi="Times New Roman" w:cs="Times New Roman"/>
                <w:color w:val="auto"/>
                <w:kern w:val="0"/>
                <w:sz w:val="24"/>
                <w:szCs w:val="24"/>
                <w:highlight w:val="none"/>
              </w:rPr>
              <w:t>）要求，水污染物总量指标为：COD、氨氮。</w:t>
            </w:r>
          </w:p>
          <w:p w14:paraId="571976F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kern w:val="0"/>
                <w:sz w:val="24"/>
                <w:szCs w:val="24"/>
                <w:highlight w:val="none"/>
              </w:rPr>
            </w:pPr>
            <w:r>
              <w:rPr>
                <w:rFonts w:hint="eastAsia" w:ascii="Times New Roman" w:hAnsi="Times New Roman" w:cs="Times New Roman"/>
                <w:color w:val="auto"/>
                <w:kern w:val="0"/>
                <w:sz w:val="24"/>
                <w:szCs w:val="24"/>
                <w:highlight w:val="none"/>
                <w:lang w:eastAsia="zh-CN"/>
              </w:rPr>
              <w:t>项目</w:t>
            </w:r>
            <w:r>
              <w:rPr>
                <w:rFonts w:hint="default" w:ascii="Times New Roman" w:hAnsi="Times New Roman" w:cs="Times New Roman"/>
                <w:color w:val="auto"/>
                <w:kern w:val="0"/>
                <w:sz w:val="24"/>
                <w:szCs w:val="24"/>
                <w:highlight w:val="none"/>
              </w:rPr>
              <w:t>新增有组织大气污染物总量指标</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lang w:val="en-US" w:eastAsia="zh-CN"/>
              </w:rPr>
              <w:t>颗粒物</w:t>
            </w:r>
            <w:r>
              <w:rPr>
                <w:rFonts w:hint="eastAsia" w:cs="Times New Roman"/>
                <w:color w:val="auto"/>
                <w:sz w:val="24"/>
                <w:szCs w:val="24"/>
                <w:highlight w:val="none"/>
                <w:lang w:val="en-US" w:eastAsia="zh-CN"/>
              </w:rPr>
              <w:t>0.0422</w:t>
            </w:r>
            <w:r>
              <w:rPr>
                <w:rFonts w:hint="default" w:ascii="Times New Roman" w:hAnsi="Times New Roman" w:cs="Times New Roman"/>
                <w:color w:val="auto"/>
                <w:kern w:val="0"/>
                <w:sz w:val="24"/>
                <w:szCs w:val="24"/>
                <w:highlight w:val="none"/>
              </w:rPr>
              <w:t>t/a</w:t>
            </w:r>
            <w:r>
              <w:rPr>
                <w:rFonts w:hint="eastAsia" w:ascii="Times New Roman" w:hAnsi="Times New Roman" w:cs="Times New Roman"/>
                <w:color w:val="auto"/>
                <w:kern w:val="0"/>
                <w:sz w:val="24"/>
                <w:szCs w:val="24"/>
                <w:highlight w:val="none"/>
                <w:lang w:eastAsia="zh-CN"/>
              </w:rPr>
              <w:t>，</w:t>
            </w:r>
            <w:r>
              <w:rPr>
                <w:rFonts w:hint="eastAsia" w:ascii="Times New Roman" w:hAnsi="Times New Roman" w:cs="Times New Roman"/>
                <w:color w:val="auto"/>
                <w:kern w:val="0"/>
                <w:sz w:val="24"/>
                <w:szCs w:val="24"/>
                <w:highlight w:val="none"/>
                <w:lang w:val="en-US" w:eastAsia="zh-CN"/>
              </w:rPr>
              <w:t>VOCs</w:t>
            </w:r>
            <w:r>
              <w:rPr>
                <w:rFonts w:hint="eastAsia" w:cs="Times New Roman"/>
                <w:color w:val="auto"/>
                <w:kern w:val="0"/>
                <w:sz w:val="24"/>
                <w:szCs w:val="24"/>
                <w:highlight w:val="none"/>
                <w:lang w:val="en-US" w:eastAsia="zh-CN"/>
              </w:rPr>
              <w:t>0.5023</w:t>
            </w:r>
            <w:r>
              <w:rPr>
                <w:rFonts w:hint="default" w:ascii="Times New Roman" w:hAnsi="Times New Roman" w:cs="Times New Roman"/>
                <w:color w:val="auto"/>
                <w:kern w:val="0"/>
                <w:sz w:val="24"/>
                <w:szCs w:val="24"/>
                <w:highlight w:val="none"/>
              </w:rPr>
              <w:t>t/a</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rPr>
              <w:t>项目实行大气总量控制的污染物及指标值由</w:t>
            </w:r>
            <w:r>
              <w:rPr>
                <w:rFonts w:hint="default" w:ascii="Times New Roman" w:hAnsi="Times New Roman" w:cs="Times New Roman"/>
                <w:color w:val="auto"/>
                <w:kern w:val="0"/>
                <w:sz w:val="24"/>
                <w:szCs w:val="24"/>
                <w:highlight w:val="none"/>
                <w:lang w:val="en-US" w:eastAsia="zh-CN"/>
              </w:rPr>
              <w:t>淮南市</w:t>
            </w:r>
            <w:r>
              <w:rPr>
                <w:rFonts w:hint="default" w:ascii="Times New Roman" w:hAnsi="Times New Roman" w:cs="Times New Roman"/>
                <w:color w:val="auto"/>
                <w:kern w:val="0"/>
                <w:sz w:val="24"/>
                <w:szCs w:val="24"/>
                <w:highlight w:val="none"/>
              </w:rPr>
              <w:t>生态环境局审核确定。</w:t>
            </w:r>
          </w:p>
          <w:p w14:paraId="5CA1466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cs="Times New Roman"/>
                <w:color w:val="auto"/>
                <w:kern w:val="0"/>
                <w:sz w:val="24"/>
                <w:szCs w:val="24"/>
                <w:highlight w:val="none"/>
                <w:lang w:val="en-US" w:eastAsia="zh-CN"/>
              </w:rPr>
              <w:t>项目</w:t>
            </w:r>
            <w:r>
              <w:rPr>
                <w:rFonts w:hint="default" w:ascii="Times New Roman" w:hAnsi="Times New Roman" w:cs="Times New Roman"/>
                <w:color w:val="auto"/>
                <w:kern w:val="0"/>
                <w:sz w:val="24"/>
                <w:szCs w:val="24"/>
                <w:highlight w:val="none"/>
              </w:rPr>
              <w:t>员工</w:t>
            </w:r>
            <w:r>
              <w:rPr>
                <w:rFonts w:hint="default" w:ascii="Times New Roman" w:hAnsi="Times New Roman" w:cs="Times New Roman"/>
                <w:color w:val="auto"/>
                <w:sz w:val="24"/>
                <w:szCs w:val="24"/>
                <w:highlight w:val="none"/>
                <w:lang w:val="en-US" w:eastAsia="zh-CN"/>
              </w:rPr>
              <w:t>车间保洁排水、</w:t>
            </w:r>
            <w:r>
              <w:rPr>
                <w:rFonts w:hint="default" w:ascii="Times New Roman" w:hAnsi="Times New Roman" w:cs="Times New Roman"/>
                <w:color w:val="auto"/>
                <w:kern w:val="0"/>
                <w:sz w:val="24"/>
                <w:szCs w:val="24"/>
                <w:highlight w:val="none"/>
              </w:rPr>
              <w:t>生活污水排入</w:t>
            </w:r>
            <w:r>
              <w:rPr>
                <w:rFonts w:hint="default" w:ascii="Times New Roman" w:hAnsi="Times New Roman" w:cs="Times New Roman"/>
                <w:color w:val="auto"/>
                <w:kern w:val="0"/>
                <w:sz w:val="24"/>
                <w:szCs w:val="24"/>
                <w:highlight w:val="none"/>
                <w:lang w:eastAsia="zh-CN"/>
              </w:rPr>
              <w:t>山南新区污水处理厂</w:t>
            </w:r>
            <w:r>
              <w:rPr>
                <w:rFonts w:hint="default" w:ascii="Times New Roman" w:hAnsi="Times New Roman" w:cs="Times New Roman"/>
                <w:color w:val="auto"/>
                <w:kern w:val="0"/>
                <w:sz w:val="24"/>
                <w:szCs w:val="24"/>
                <w:highlight w:val="none"/>
              </w:rPr>
              <w:t>集中处理。COD、氨氮排放总量纳入</w:t>
            </w:r>
            <w:r>
              <w:rPr>
                <w:rFonts w:hint="default" w:ascii="Times New Roman" w:hAnsi="Times New Roman" w:cs="Times New Roman"/>
                <w:color w:val="auto"/>
                <w:kern w:val="0"/>
                <w:sz w:val="24"/>
                <w:szCs w:val="24"/>
                <w:highlight w:val="none"/>
                <w:lang w:eastAsia="zh-CN"/>
              </w:rPr>
              <w:t>山南新区污水处理厂</w:t>
            </w:r>
            <w:r>
              <w:rPr>
                <w:rFonts w:hint="default" w:ascii="Times New Roman" w:hAnsi="Times New Roman" w:cs="Times New Roman"/>
                <w:color w:val="auto"/>
                <w:kern w:val="0"/>
                <w:sz w:val="24"/>
                <w:szCs w:val="24"/>
                <w:highlight w:val="none"/>
              </w:rPr>
              <w:t>总量控制指标内</w:t>
            </w:r>
            <w:r>
              <w:rPr>
                <w:rFonts w:hint="eastAsia" w:ascii="Times New Roman" w:hAnsi="Times New Roman" w:cs="Times New Roman"/>
                <w:color w:val="auto"/>
                <w:kern w:val="0"/>
                <w:sz w:val="24"/>
                <w:szCs w:val="24"/>
                <w:highlight w:val="none"/>
                <w:lang w:eastAsia="zh-CN"/>
              </w:rPr>
              <w:t>。</w:t>
            </w:r>
          </w:p>
          <w:p w14:paraId="427CDF42">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both"/>
              <w:textAlignment w:val="auto"/>
              <w:rPr>
                <w:rFonts w:hint="default" w:ascii="Times New Roman" w:hAnsi="Times New Roman" w:cs="Times New Roman"/>
                <w:color w:val="auto"/>
                <w:kern w:val="0"/>
                <w:sz w:val="24"/>
                <w:szCs w:val="24"/>
                <w:highlight w:val="none"/>
              </w:rPr>
            </w:pPr>
          </w:p>
          <w:p w14:paraId="353E668A">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both"/>
              <w:textAlignment w:val="auto"/>
              <w:rPr>
                <w:rFonts w:hint="default" w:ascii="Times New Roman" w:hAnsi="Times New Roman" w:cs="Times New Roman"/>
                <w:color w:val="auto"/>
                <w:kern w:val="0"/>
                <w:sz w:val="24"/>
                <w:szCs w:val="24"/>
                <w:highlight w:val="none"/>
              </w:rPr>
            </w:pPr>
          </w:p>
          <w:p w14:paraId="24EDD9E8">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both"/>
              <w:textAlignment w:val="auto"/>
              <w:rPr>
                <w:rFonts w:hint="default" w:ascii="Times New Roman" w:hAnsi="Times New Roman" w:cs="Times New Roman"/>
                <w:color w:val="auto"/>
                <w:kern w:val="0"/>
                <w:sz w:val="24"/>
                <w:szCs w:val="24"/>
                <w:highlight w:val="none"/>
              </w:rPr>
            </w:pPr>
          </w:p>
          <w:p w14:paraId="1BA63874">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both"/>
              <w:textAlignment w:val="auto"/>
              <w:rPr>
                <w:rFonts w:hint="default" w:ascii="Times New Roman" w:hAnsi="Times New Roman" w:cs="Times New Roman"/>
                <w:color w:val="auto"/>
                <w:kern w:val="0"/>
                <w:sz w:val="24"/>
                <w:szCs w:val="24"/>
                <w:highlight w:val="none"/>
              </w:rPr>
            </w:pPr>
          </w:p>
          <w:p w14:paraId="56F9A0E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both"/>
              <w:textAlignment w:val="auto"/>
              <w:rPr>
                <w:rFonts w:hint="default" w:ascii="Times New Roman" w:hAnsi="Times New Roman" w:cs="Times New Roman"/>
                <w:color w:val="auto"/>
                <w:kern w:val="0"/>
                <w:sz w:val="24"/>
                <w:szCs w:val="24"/>
                <w:highlight w:val="none"/>
              </w:rPr>
            </w:pPr>
          </w:p>
          <w:p w14:paraId="0A21510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kern w:val="0"/>
                <w:sz w:val="24"/>
                <w:highlight w:val="none"/>
                <w:lang w:eastAsia="zh-CN"/>
              </w:rPr>
            </w:pPr>
          </w:p>
        </w:tc>
      </w:tr>
    </w:tbl>
    <w:p w14:paraId="232D838F">
      <w:pPr>
        <w:keepNext w:val="0"/>
        <w:keepLines w:val="0"/>
        <w:pageBreakBefore w:val="0"/>
        <w:widowControl w:val="0"/>
        <w:numPr>
          <w:ilvl w:val="0"/>
          <w:numId w:val="7"/>
        </w:numPr>
        <w:kinsoku/>
        <w:wordWrap/>
        <w:overflowPunct/>
        <w:topLinePunct/>
        <w:autoSpaceDE w:val="0"/>
        <w:autoSpaceDN/>
        <w:bidi w:val="0"/>
        <w:adjustRightInd w:val="0"/>
        <w:snapToGrid w:val="0"/>
        <w:ind w:left="0" w:leftChars="0"/>
        <w:jc w:val="center"/>
        <w:outlineLvl w:val="0"/>
        <w:rPr>
          <w:rFonts w:hint="default" w:ascii="Times New Roman" w:hAnsi="Times New Roman" w:eastAsia="黑体" w:cs="Times New Roman"/>
          <w:b/>
          <w:bCs/>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bookmarkStart w:id="14" w:name="_Toc23248"/>
      <w:r>
        <w:rPr>
          <w:rFonts w:hint="default" w:ascii="Times New Roman" w:hAnsi="Times New Roman" w:eastAsia="黑体" w:cs="Times New Roman"/>
          <w:b/>
          <w:bCs/>
          <w:snapToGrid w:val="0"/>
          <w:color w:val="auto"/>
          <w:sz w:val="30"/>
          <w:szCs w:val="30"/>
          <w:highlight w:val="none"/>
        </w:rPr>
        <w:t>主要环境影响和保护措施</w:t>
      </w:r>
      <w:bookmarkEnd w:id="14"/>
    </w:p>
    <w:tbl>
      <w:tblPr>
        <w:tblStyle w:val="25"/>
        <w:tblW w:w="516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8049"/>
      </w:tblGrid>
      <w:tr w14:paraId="3C8F0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1" w:type="pct"/>
            <w:noWrap w:val="0"/>
            <w:tcMar>
              <w:left w:w="28" w:type="dxa"/>
              <w:right w:w="28" w:type="dxa"/>
            </w:tcMar>
            <w:vAlign w:val="center"/>
          </w:tcPr>
          <w:p w14:paraId="4ABD0C8B">
            <w:pPr>
              <w:topLinePunct/>
              <w:autoSpaceDE w:val="0"/>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施工</w:t>
            </w:r>
          </w:p>
          <w:p w14:paraId="4883A797">
            <w:pPr>
              <w:topLinePunct/>
              <w:autoSpaceDE w:val="0"/>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期环</w:t>
            </w:r>
          </w:p>
          <w:p w14:paraId="22E97AA3">
            <w:pPr>
              <w:topLinePunct/>
              <w:autoSpaceDE w:val="0"/>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境保</w:t>
            </w:r>
          </w:p>
          <w:p w14:paraId="3CF2D180">
            <w:pPr>
              <w:topLinePunct/>
              <w:autoSpaceDE w:val="0"/>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护措</w:t>
            </w:r>
          </w:p>
          <w:p w14:paraId="77EE249B">
            <w:pPr>
              <w:topLinePunct/>
              <w:autoSpaceDE w:val="0"/>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
                <w:bCs/>
                <w:color w:val="auto"/>
                <w:sz w:val="24"/>
                <w:szCs w:val="24"/>
                <w:highlight w:val="none"/>
              </w:rPr>
              <w:t>施</w:t>
            </w:r>
          </w:p>
        </w:tc>
        <w:tc>
          <w:tcPr>
            <w:tcW w:w="4618" w:type="pct"/>
            <w:noWrap w:val="0"/>
            <w:vAlign w:val="center"/>
          </w:tcPr>
          <w:p w14:paraId="01FAD0F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 w:val="0"/>
                <w:bCs w:val="0"/>
                <w:color w:val="auto"/>
                <w:sz w:val="24"/>
                <w:highlight w:val="none"/>
                <w:lang w:val="en-US" w:eastAsia="zh-CN"/>
              </w:rPr>
            </w:pPr>
          </w:p>
          <w:p w14:paraId="26F526F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 w:val="0"/>
                <w:bCs w:val="0"/>
                <w:color w:val="auto"/>
                <w:sz w:val="24"/>
                <w:highlight w:val="none"/>
                <w:lang w:val="en-US" w:eastAsia="zh-CN"/>
              </w:rPr>
            </w:pPr>
          </w:p>
          <w:p w14:paraId="6821D10B">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 w:val="0"/>
                <w:bCs w:val="0"/>
                <w:color w:val="auto"/>
                <w:sz w:val="24"/>
                <w:highlight w:val="none"/>
                <w:lang w:val="en-US" w:eastAsia="zh-CN"/>
              </w:rPr>
            </w:pPr>
          </w:p>
          <w:p w14:paraId="79E3401B">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 w:val="0"/>
                <w:bCs w:val="0"/>
                <w:color w:val="auto"/>
                <w:sz w:val="24"/>
                <w:highlight w:val="none"/>
                <w:lang w:val="en-US" w:eastAsia="zh-CN"/>
              </w:rPr>
            </w:pPr>
          </w:p>
          <w:p w14:paraId="17DE2E1D">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 w:val="0"/>
                <w:bCs w:val="0"/>
                <w:color w:val="auto"/>
                <w:sz w:val="24"/>
                <w:highlight w:val="none"/>
                <w:lang w:val="en-US" w:eastAsia="zh-CN"/>
              </w:rPr>
            </w:pPr>
          </w:p>
          <w:p w14:paraId="1074E6C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eastAsia" w:ascii="Times New Roman" w:hAnsi="Times New Roman" w:cs="Times New Roman"/>
                <w:b w:val="0"/>
                <w:bCs w:val="0"/>
                <w:color w:val="auto"/>
                <w:sz w:val="24"/>
                <w:highlight w:val="none"/>
                <w:lang w:val="en-US" w:eastAsia="zh-CN"/>
              </w:rPr>
            </w:pPr>
          </w:p>
          <w:p w14:paraId="14E0F377">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b/>
                <w:bCs/>
                <w:color w:val="auto"/>
                <w:sz w:val="24"/>
                <w:highlight w:val="none"/>
              </w:rPr>
            </w:pPr>
            <w:r>
              <w:rPr>
                <w:rFonts w:hint="eastAsia" w:ascii="Times New Roman" w:hAnsi="Times New Roman" w:cs="Times New Roman"/>
                <w:b w:val="0"/>
                <w:bCs w:val="0"/>
                <w:color w:val="auto"/>
                <w:sz w:val="24"/>
                <w:highlight w:val="none"/>
                <w:lang w:val="en-US" w:eastAsia="zh-CN"/>
              </w:rPr>
              <w:t>项目</w:t>
            </w:r>
            <w:r>
              <w:rPr>
                <w:rFonts w:hint="default" w:ascii="Times New Roman" w:hAnsi="Times New Roman" w:cs="Times New Roman"/>
                <w:b w:val="0"/>
                <w:bCs w:val="0"/>
                <w:color w:val="auto"/>
                <w:sz w:val="24"/>
                <w:highlight w:val="none"/>
              </w:rPr>
              <w:t>所用厂房为</w:t>
            </w:r>
            <w:r>
              <w:rPr>
                <w:rFonts w:hint="default" w:ascii="Times New Roman" w:hAnsi="Times New Roman" w:cs="Times New Roman"/>
                <w:b w:val="0"/>
                <w:bCs w:val="0"/>
                <w:color w:val="auto"/>
                <w:sz w:val="24"/>
                <w:highlight w:val="none"/>
                <w:lang w:val="en-US" w:eastAsia="zh-CN"/>
              </w:rPr>
              <w:t>租赁厂房</w:t>
            </w:r>
            <w:r>
              <w:rPr>
                <w:rFonts w:hint="default" w:ascii="Times New Roman" w:hAnsi="Times New Roman" w:cs="Times New Roman"/>
                <w:b w:val="0"/>
                <w:bCs w:val="0"/>
                <w:color w:val="auto"/>
                <w:sz w:val="24"/>
                <w:highlight w:val="none"/>
              </w:rPr>
              <w:t>，施工期主要进行区域划分、分区防渗及设备安置等。由于施工期较短，产生的影响随施工的结束而结束，对环境产生的影响较小。</w:t>
            </w:r>
          </w:p>
          <w:p w14:paraId="1FCA8A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highlight w:val="none"/>
              </w:rPr>
            </w:pPr>
          </w:p>
          <w:p w14:paraId="6535B4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highlight w:val="none"/>
              </w:rPr>
            </w:pPr>
          </w:p>
          <w:p w14:paraId="4DEB7B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highlight w:val="none"/>
              </w:rPr>
            </w:pPr>
          </w:p>
          <w:p w14:paraId="4AD9F9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highlight w:val="none"/>
              </w:rPr>
            </w:pPr>
          </w:p>
          <w:p w14:paraId="2673B4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highlight w:val="none"/>
              </w:rPr>
            </w:pPr>
          </w:p>
          <w:p w14:paraId="1C3B2C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highlight w:val="none"/>
              </w:rPr>
            </w:pPr>
          </w:p>
          <w:p w14:paraId="7671C1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highlight w:val="none"/>
              </w:rPr>
            </w:pPr>
          </w:p>
          <w:p w14:paraId="3614E3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highlight w:val="none"/>
              </w:rPr>
            </w:pPr>
          </w:p>
        </w:tc>
      </w:tr>
      <w:tr w14:paraId="4D071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1" w:type="pct"/>
            <w:noWrap w:val="0"/>
            <w:tcMar>
              <w:left w:w="28" w:type="dxa"/>
              <w:right w:w="28" w:type="dxa"/>
            </w:tcMar>
            <w:vAlign w:val="center"/>
          </w:tcPr>
          <w:p w14:paraId="5917B2A0">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运营</w:t>
            </w:r>
          </w:p>
          <w:p w14:paraId="3B80790E">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期环</w:t>
            </w:r>
          </w:p>
          <w:p w14:paraId="1D499BB1">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境影</w:t>
            </w:r>
          </w:p>
          <w:p w14:paraId="32CE3146">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响和</w:t>
            </w:r>
          </w:p>
          <w:p w14:paraId="2963A6D7">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保护</w:t>
            </w:r>
          </w:p>
          <w:p w14:paraId="3EE2C967">
            <w:pPr>
              <w:topLinePunct/>
              <w:autoSpaceDE w:val="0"/>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
                <w:bCs w:val="0"/>
                <w:color w:val="auto"/>
                <w:sz w:val="24"/>
                <w:szCs w:val="24"/>
                <w:highlight w:val="none"/>
              </w:rPr>
              <w:t>措施</w:t>
            </w:r>
          </w:p>
        </w:tc>
        <w:tc>
          <w:tcPr>
            <w:tcW w:w="4618" w:type="pct"/>
            <w:noWrap w:val="0"/>
            <w:vAlign w:val="center"/>
          </w:tcPr>
          <w:p w14:paraId="0B9F0C00">
            <w:pPr>
              <w:topLinePunct/>
              <w:autoSpaceDE w:val="0"/>
              <w:adjustRightInd w:val="0"/>
              <w:snapToGrid w:val="0"/>
              <w:spacing w:line="360" w:lineRule="auto"/>
              <w:ind w:firstLine="482" w:firstLineChars="200"/>
              <w:rPr>
                <w:rFonts w:hint="default" w:ascii="Times New Roman" w:hAnsi="Times New Roman" w:cs="Times New Roman"/>
                <w:b/>
                <w:bCs/>
                <w:color w:val="auto"/>
                <w:kern w:val="0"/>
                <w:sz w:val="24"/>
                <w:highlight w:val="none"/>
              </w:rPr>
            </w:pPr>
          </w:p>
          <w:p w14:paraId="50028842">
            <w:pPr>
              <w:topLinePunct/>
              <w:autoSpaceDE w:val="0"/>
              <w:adjustRightInd w:val="0"/>
              <w:snapToGrid w:val="0"/>
              <w:spacing w:line="360" w:lineRule="auto"/>
              <w:ind w:firstLine="482" w:firstLineChars="200"/>
              <w:rPr>
                <w:rFonts w:hint="default" w:ascii="Times New Roman" w:hAnsi="Times New Roman" w:cs="Times New Roman"/>
                <w:b/>
                <w:bCs/>
                <w:color w:val="auto"/>
                <w:kern w:val="0"/>
                <w:sz w:val="24"/>
                <w:highlight w:val="none"/>
              </w:rPr>
            </w:pPr>
          </w:p>
          <w:p w14:paraId="7E5FB602">
            <w:pPr>
              <w:topLinePunct/>
              <w:autoSpaceDE w:val="0"/>
              <w:adjustRightInd w:val="0"/>
              <w:snapToGrid w:val="0"/>
              <w:spacing w:line="360" w:lineRule="auto"/>
              <w:ind w:firstLine="482" w:firstLineChars="200"/>
              <w:rPr>
                <w:rFonts w:hint="default" w:ascii="Times New Roman" w:hAnsi="Times New Roman" w:cs="Times New Roman"/>
                <w:b/>
                <w:bCs/>
                <w:color w:val="auto"/>
                <w:kern w:val="0"/>
                <w:sz w:val="24"/>
                <w:highlight w:val="none"/>
              </w:rPr>
            </w:pPr>
          </w:p>
          <w:p w14:paraId="578B75FF">
            <w:pPr>
              <w:topLinePunct/>
              <w:autoSpaceDE w:val="0"/>
              <w:adjustRightInd w:val="0"/>
              <w:snapToGrid w:val="0"/>
              <w:spacing w:line="360" w:lineRule="auto"/>
              <w:ind w:firstLine="482" w:firstLineChars="200"/>
              <w:rPr>
                <w:rFonts w:hint="default" w:ascii="Times New Roman" w:hAnsi="Times New Roman" w:cs="Times New Roman"/>
                <w:b/>
                <w:bCs/>
                <w:color w:val="auto"/>
                <w:kern w:val="0"/>
                <w:sz w:val="24"/>
                <w:highlight w:val="none"/>
              </w:rPr>
            </w:pPr>
          </w:p>
          <w:p w14:paraId="3AB4A157">
            <w:pPr>
              <w:topLinePunct/>
              <w:autoSpaceDE w:val="0"/>
              <w:adjustRightInd w:val="0"/>
              <w:snapToGrid w:val="0"/>
              <w:spacing w:line="360" w:lineRule="auto"/>
              <w:ind w:firstLine="482" w:firstLineChars="200"/>
              <w:rPr>
                <w:rFonts w:hint="default" w:ascii="Times New Roman" w:hAnsi="Times New Roman" w:cs="Times New Roman"/>
                <w:b/>
                <w:bCs/>
                <w:color w:val="auto"/>
                <w:kern w:val="0"/>
                <w:sz w:val="24"/>
                <w:highlight w:val="none"/>
              </w:rPr>
            </w:pPr>
          </w:p>
          <w:p w14:paraId="4E50ABC9">
            <w:pPr>
              <w:topLinePunct/>
              <w:autoSpaceDE w:val="0"/>
              <w:adjustRightInd w:val="0"/>
              <w:snapToGrid w:val="0"/>
              <w:spacing w:line="360" w:lineRule="auto"/>
              <w:ind w:firstLine="482" w:firstLineChars="200"/>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一、废气环境影响和保护措施</w:t>
            </w:r>
          </w:p>
          <w:p w14:paraId="59819EEF">
            <w:pPr>
              <w:tabs>
                <w:tab w:val="left" w:pos="2940"/>
              </w:tabs>
              <w:spacing w:line="360" w:lineRule="auto"/>
              <w:ind w:firstLine="480" w:firstLineChars="200"/>
              <w:rPr>
                <w:rFonts w:hint="eastAsia"/>
                <w:color w:val="auto"/>
                <w:sz w:val="24"/>
              </w:rPr>
            </w:pPr>
            <w:r>
              <w:rPr>
                <w:rFonts w:hint="eastAsia"/>
                <w:color w:val="auto"/>
                <w:sz w:val="24"/>
              </w:rPr>
              <w:t>本项目区域为城市环境空气质量</w:t>
            </w:r>
            <w:r>
              <w:rPr>
                <w:rFonts w:hint="eastAsia"/>
                <w:color w:val="auto"/>
                <w:sz w:val="24"/>
                <w:lang w:val="en-US" w:eastAsia="zh-CN"/>
              </w:rPr>
              <w:t>不</w:t>
            </w:r>
            <w:r>
              <w:rPr>
                <w:rFonts w:hint="eastAsia"/>
                <w:color w:val="auto"/>
                <w:sz w:val="24"/>
              </w:rPr>
              <w:t>达标区域。根据估算模式，项目污染源正常排放下污染物短期浓度贡献值的最大浓度占标率为</w:t>
            </w:r>
            <w:r>
              <w:rPr>
                <w:rFonts w:hint="eastAsia"/>
                <w:color w:val="auto"/>
                <w:sz w:val="24"/>
                <w:lang w:val="en-US" w:eastAsia="zh-CN"/>
              </w:rPr>
              <w:t>0.81</w:t>
            </w:r>
            <w:r>
              <w:rPr>
                <w:rFonts w:hint="eastAsia"/>
                <w:color w:val="auto"/>
                <w:sz w:val="24"/>
              </w:rPr>
              <w:t>%，小于</w:t>
            </w:r>
            <w:r>
              <w:rPr>
                <w:rFonts w:hint="eastAsia"/>
                <w:color w:val="auto"/>
                <w:sz w:val="24"/>
                <w:lang w:val="en-US" w:eastAsia="zh-CN"/>
              </w:rPr>
              <w:t>1</w:t>
            </w:r>
            <w:r>
              <w:rPr>
                <w:rFonts w:hint="eastAsia"/>
                <w:color w:val="auto"/>
                <w:sz w:val="24"/>
              </w:rPr>
              <w:t>%，项目大气环境影响符合环境功能区划的要求。综上，本项目污染物在切实落实废气处理措施的基础上，对大气环境的影响是可接受的。</w:t>
            </w:r>
          </w:p>
          <w:p w14:paraId="002ACE1A">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olor w:val="auto"/>
                <w:sz w:val="24"/>
              </w:rPr>
              <w:t>项目具体废气产生、治理措施及排放情况等见大气专项评价章节</w:t>
            </w:r>
            <w:r>
              <w:rPr>
                <w:rFonts w:hint="default" w:ascii="Times New Roman" w:hAnsi="Times New Roman" w:cs="Times New Roman"/>
                <w:color w:val="auto"/>
                <w:sz w:val="24"/>
                <w:szCs w:val="24"/>
                <w:highlight w:val="none"/>
                <w:lang w:val="en-US" w:eastAsia="zh-CN"/>
              </w:rPr>
              <w:t>。</w:t>
            </w:r>
          </w:p>
          <w:p w14:paraId="5310D662">
            <w:pPr>
              <w:keepNext w:val="0"/>
              <w:keepLines w:val="0"/>
              <w:pageBreakBefore w:val="0"/>
              <w:widowControl w:val="0"/>
              <w:kinsoku/>
              <w:wordWrap/>
              <w:overflowPunct/>
              <w:topLinePunct/>
              <w:autoSpaceDE w:val="0"/>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lang w:val="en-US" w:eastAsia="zh-CN"/>
              </w:rPr>
            </w:pPr>
          </w:p>
          <w:p w14:paraId="70A73178">
            <w:pPr>
              <w:keepNext w:val="0"/>
              <w:keepLines w:val="0"/>
              <w:pageBreakBefore w:val="0"/>
              <w:widowControl w:val="0"/>
              <w:kinsoku/>
              <w:wordWrap/>
              <w:overflowPunct/>
              <w:topLinePunct/>
              <w:autoSpaceDE w:val="0"/>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lang w:val="en-US" w:eastAsia="zh-CN"/>
              </w:rPr>
            </w:pPr>
          </w:p>
          <w:p w14:paraId="3DD5F832">
            <w:pPr>
              <w:keepNext w:val="0"/>
              <w:keepLines w:val="0"/>
              <w:pageBreakBefore w:val="0"/>
              <w:widowControl w:val="0"/>
              <w:kinsoku/>
              <w:wordWrap/>
              <w:overflowPunct/>
              <w:topLinePunct/>
              <w:autoSpaceDE w:val="0"/>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lang w:val="en-US" w:eastAsia="zh-CN"/>
              </w:rPr>
            </w:pPr>
          </w:p>
          <w:p w14:paraId="77FD2217">
            <w:pPr>
              <w:keepNext w:val="0"/>
              <w:keepLines w:val="0"/>
              <w:pageBreakBefore w:val="0"/>
              <w:widowControl w:val="0"/>
              <w:kinsoku/>
              <w:wordWrap/>
              <w:overflowPunct/>
              <w:topLinePunct/>
              <w:autoSpaceDE w:val="0"/>
              <w:autoSpaceDN/>
              <w:bidi w:val="0"/>
              <w:adjustRightInd w:val="0"/>
              <w:snapToGrid w:val="0"/>
              <w:spacing w:line="360" w:lineRule="auto"/>
              <w:textAlignment w:val="auto"/>
              <w:rPr>
                <w:rFonts w:hint="default" w:ascii="Times New Roman" w:hAnsi="Times New Roman" w:eastAsia="宋体" w:cs="Times New Roman"/>
                <w:color w:val="auto"/>
                <w:szCs w:val="21"/>
                <w:highlight w:val="none"/>
                <w:lang w:val="en-US" w:eastAsia="zh-CN"/>
              </w:rPr>
            </w:pPr>
          </w:p>
        </w:tc>
      </w:tr>
    </w:tbl>
    <w:p w14:paraId="05163709">
      <w:pPr>
        <w:pStyle w:val="24"/>
        <w:widowControl w:val="0"/>
        <w:numPr>
          <w:ilvl w:val="0"/>
          <w:numId w:val="0"/>
        </w:numPr>
        <w:spacing w:after="120" w:afterLines="0" w:afterAutospacing="0"/>
        <w:jc w:val="both"/>
        <w:rPr>
          <w:rFonts w:hint="default" w:ascii="Times New Roman" w:hAnsi="Times New Roman" w:cs="Times New Roman"/>
          <w:color w:val="auto"/>
          <w:highlight w:val="none"/>
        </w:rPr>
        <w:sectPr>
          <w:pgSz w:w="11905" w:h="16838"/>
          <w:pgMar w:top="1440" w:right="1803" w:bottom="1440" w:left="1803"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tbl>
      <w:tblPr>
        <w:tblStyle w:val="2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8056"/>
      </w:tblGrid>
      <w:tr w14:paraId="0B4E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2" w:hRule="atLeast"/>
        </w:trPr>
        <w:tc>
          <w:tcPr>
            <w:tcW w:w="231" w:type="pct"/>
            <w:noWrap w:val="0"/>
            <w:vAlign w:val="center"/>
          </w:tcPr>
          <w:p w14:paraId="2231D781">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运营</w:t>
            </w:r>
          </w:p>
          <w:p w14:paraId="5EE77FA5">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期环</w:t>
            </w:r>
          </w:p>
          <w:p w14:paraId="53388693">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境影</w:t>
            </w:r>
          </w:p>
          <w:p w14:paraId="1EB16B00">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响和</w:t>
            </w:r>
          </w:p>
          <w:p w14:paraId="26BF19C9">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保护</w:t>
            </w:r>
          </w:p>
          <w:p w14:paraId="1F5996CA">
            <w:pPr>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措施</w:t>
            </w:r>
          </w:p>
          <w:p w14:paraId="1BE646E3">
            <w:pPr>
              <w:topLinePunct/>
              <w:autoSpaceDE w:val="0"/>
              <w:adjustRightInd w:val="0"/>
              <w:snapToGrid w:val="0"/>
              <w:jc w:val="center"/>
              <w:outlineLvl w:val="9"/>
              <w:rPr>
                <w:rFonts w:hint="default" w:ascii="Times New Roman" w:hAnsi="Times New Roman" w:cs="Times New Roman"/>
                <w:b/>
                <w:bCs/>
                <w:snapToGrid w:val="0"/>
                <w:color w:val="auto"/>
                <w:sz w:val="30"/>
                <w:szCs w:val="30"/>
                <w:highlight w:val="none"/>
              </w:rPr>
            </w:pPr>
          </w:p>
        </w:tc>
        <w:tc>
          <w:tcPr>
            <w:tcW w:w="4768" w:type="pct"/>
            <w:noWrap w:val="0"/>
            <w:vAlign w:val="top"/>
          </w:tcPr>
          <w:p w14:paraId="054C7909">
            <w:pPr>
              <w:keepNext w:val="0"/>
              <w:keepLines w:val="0"/>
              <w:pageBreakBefore w:val="0"/>
              <w:widowControl w:val="0"/>
              <w:kinsoku/>
              <w:wordWrap/>
              <w:overflowPunct/>
              <w:topLinePunct/>
              <w:autoSpaceDE w:val="0"/>
              <w:autoSpaceDN/>
              <w:bidi w:val="0"/>
              <w:adjustRightInd w:val="0"/>
              <w:snapToGrid w:val="0"/>
              <w:spacing w:line="348" w:lineRule="auto"/>
              <w:ind w:left="0" w:leftChars="0" w:right="0" w:firstLine="482" w:firstLineChars="200"/>
              <w:textAlignment w:val="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二、废水环境影响和保护措施</w:t>
            </w:r>
          </w:p>
          <w:p w14:paraId="0BB176FF">
            <w:pPr>
              <w:keepNext w:val="0"/>
              <w:keepLines w:val="0"/>
              <w:pageBreakBefore w:val="0"/>
              <w:widowControl w:val="0"/>
              <w:kinsoku/>
              <w:wordWrap/>
              <w:overflowPunct/>
              <w:topLinePunct/>
              <w:autoSpaceDE w:val="0"/>
              <w:autoSpaceDN/>
              <w:bidi w:val="0"/>
              <w:adjustRightInd w:val="0"/>
              <w:snapToGrid w:val="0"/>
              <w:spacing w:line="348" w:lineRule="auto"/>
              <w:ind w:leftChars="0" w:firstLine="482" w:firstLineChars="200"/>
              <w:textAlignment w:val="auto"/>
              <w:outlineLvl w:val="9"/>
              <w:rPr>
                <w:rFonts w:hint="default" w:ascii="Times New Roman" w:hAnsi="Times New Roman" w:eastAsia="宋体" w:cs="Times New Roman"/>
                <w:b/>
                <w:bCs/>
                <w:snapToGrid w:val="0"/>
                <w:color w:val="auto"/>
                <w:sz w:val="24"/>
                <w:szCs w:val="24"/>
                <w:highlight w:val="none"/>
                <w:lang w:val="en-US" w:eastAsia="zh-CN"/>
              </w:rPr>
            </w:pPr>
            <w:r>
              <w:rPr>
                <w:rFonts w:hint="default" w:ascii="Times New Roman" w:hAnsi="Times New Roman" w:cs="Times New Roman"/>
                <w:b/>
                <w:bCs/>
                <w:snapToGrid w:val="0"/>
                <w:color w:val="auto"/>
                <w:sz w:val="24"/>
                <w:szCs w:val="24"/>
                <w:highlight w:val="none"/>
                <w:lang w:val="en-US" w:eastAsia="zh-CN"/>
              </w:rPr>
              <w:t>1、废水产生及排放情况</w:t>
            </w:r>
          </w:p>
          <w:p w14:paraId="65CAD392">
            <w:pPr>
              <w:keepNext w:val="0"/>
              <w:keepLines w:val="0"/>
              <w:pageBreakBefore w:val="0"/>
              <w:widowControl w:val="0"/>
              <w:kinsoku/>
              <w:wordWrap/>
              <w:overflowPunct/>
              <w:topLinePunct/>
              <w:autoSpaceDE w:val="0"/>
              <w:autoSpaceDN/>
              <w:bidi w:val="0"/>
              <w:adjustRightInd w:val="0"/>
              <w:snapToGrid w:val="0"/>
              <w:spacing w:line="348" w:lineRule="auto"/>
              <w:ind w:leftChars="0" w:firstLine="480" w:firstLineChars="200"/>
              <w:textAlignment w:val="auto"/>
              <w:outlineLvl w:val="9"/>
              <w:rPr>
                <w:rFonts w:hint="default" w:ascii="Times New Roman" w:hAnsi="Times New Roman" w:cs="Times New Roman"/>
                <w:b w:val="0"/>
                <w:bCs w:val="0"/>
                <w:snapToGrid w:val="0"/>
                <w:color w:val="auto"/>
                <w:sz w:val="24"/>
                <w:szCs w:val="24"/>
                <w:highlight w:val="none"/>
                <w:lang w:val="en-US" w:eastAsia="zh-CN"/>
              </w:rPr>
            </w:pPr>
            <w:r>
              <w:rPr>
                <w:rFonts w:hint="eastAsia" w:ascii="Times New Roman" w:hAnsi="Times New Roman" w:cs="Times New Roman"/>
                <w:b w:val="0"/>
                <w:bCs w:val="0"/>
                <w:snapToGrid w:val="0"/>
                <w:color w:val="auto"/>
                <w:sz w:val="24"/>
                <w:szCs w:val="24"/>
                <w:highlight w:val="none"/>
                <w:lang w:eastAsia="zh-CN"/>
              </w:rPr>
              <w:t>项目</w:t>
            </w:r>
            <w:r>
              <w:rPr>
                <w:rFonts w:hint="default" w:ascii="Times New Roman" w:hAnsi="Times New Roman" w:cs="Times New Roman"/>
                <w:b w:val="0"/>
                <w:bCs w:val="0"/>
                <w:snapToGrid w:val="0"/>
                <w:color w:val="auto"/>
                <w:sz w:val="24"/>
                <w:szCs w:val="24"/>
                <w:highlight w:val="none"/>
              </w:rPr>
              <w:t>运营</w:t>
            </w:r>
            <w:r>
              <w:rPr>
                <w:rFonts w:hint="default" w:ascii="Times New Roman" w:hAnsi="Times New Roman" w:cs="Times New Roman"/>
                <w:b w:val="0"/>
                <w:bCs w:val="0"/>
                <w:snapToGrid w:val="0"/>
                <w:color w:val="auto"/>
                <w:sz w:val="24"/>
                <w:szCs w:val="24"/>
                <w:highlight w:val="none"/>
                <w:lang w:val="en-US" w:eastAsia="zh-CN"/>
              </w:rPr>
              <w:t>期废水主要为生活污水和车间保洁</w:t>
            </w:r>
            <w:r>
              <w:rPr>
                <w:rFonts w:hint="eastAsia" w:ascii="Times New Roman" w:hAnsi="Times New Roman" w:cs="Times New Roman"/>
                <w:b w:val="0"/>
                <w:bCs w:val="0"/>
                <w:snapToGrid w:val="0"/>
                <w:color w:val="auto"/>
                <w:sz w:val="24"/>
                <w:szCs w:val="24"/>
                <w:highlight w:val="none"/>
                <w:lang w:val="en-US" w:eastAsia="zh-CN"/>
              </w:rPr>
              <w:t>污水</w:t>
            </w:r>
            <w:r>
              <w:rPr>
                <w:rFonts w:hint="default" w:ascii="Times New Roman" w:hAnsi="Times New Roman" w:cs="Times New Roman"/>
                <w:b w:val="0"/>
                <w:bCs w:val="0"/>
                <w:snapToGrid w:val="0"/>
                <w:color w:val="auto"/>
                <w:sz w:val="24"/>
                <w:szCs w:val="24"/>
                <w:highlight w:val="none"/>
                <w:lang w:val="en-US" w:eastAsia="zh-CN"/>
              </w:rPr>
              <w:t>。</w:t>
            </w:r>
          </w:p>
          <w:p w14:paraId="19E4981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①</w:t>
            </w:r>
            <w:r>
              <w:rPr>
                <w:rFonts w:hint="default" w:ascii="Times New Roman" w:hAnsi="Times New Roman" w:cs="Times New Roman"/>
                <w:color w:val="auto"/>
                <w:kern w:val="2"/>
                <w:sz w:val="24"/>
                <w:szCs w:val="24"/>
                <w:highlight w:val="none"/>
                <w:lang w:val="en-US" w:eastAsia="zh-CN" w:bidi="ar-SA"/>
              </w:rPr>
              <w:t>职工</w:t>
            </w:r>
            <w:r>
              <w:rPr>
                <w:rFonts w:hint="default" w:ascii="Times New Roman" w:hAnsi="Times New Roman" w:eastAsia="宋体" w:cs="Times New Roman"/>
                <w:color w:val="auto"/>
                <w:kern w:val="2"/>
                <w:sz w:val="24"/>
                <w:szCs w:val="24"/>
                <w:highlight w:val="none"/>
                <w:lang w:val="en-US" w:eastAsia="zh-CN" w:bidi="ar-SA"/>
              </w:rPr>
              <w:t>生活</w:t>
            </w:r>
            <w:r>
              <w:rPr>
                <w:rFonts w:hint="default" w:ascii="Times New Roman" w:hAnsi="Times New Roman" w:eastAsia="宋体" w:cs="Times New Roman"/>
                <w:color w:val="auto"/>
                <w:sz w:val="24"/>
                <w:highlight w:val="none"/>
                <w:lang w:val="en-US" w:eastAsia="zh-CN"/>
              </w:rPr>
              <w:t>用</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排水</w:t>
            </w:r>
          </w:p>
          <w:p w14:paraId="2E8E37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val="en-US" w:eastAsia="zh-CN"/>
              </w:rPr>
              <w:t>职工定员40人，不提供食、宿，用水标准参考《安徽省行业用水定额》（DB34/T679-20</w:t>
            </w:r>
            <w:r>
              <w:rPr>
                <w:rFonts w:hint="default" w:ascii="Times New Roman" w:hAnsi="Times New Roman"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cs="Times New Roman"/>
                <w:color w:val="auto"/>
                <w:sz w:val="24"/>
                <w:szCs w:val="24"/>
                <w:highlight w:val="none"/>
                <w:lang w:val="en-US" w:eastAsia="zh-CN"/>
              </w:rPr>
              <w:t>S922国家行政机构</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先进</w:t>
            </w:r>
            <w:r>
              <w:rPr>
                <w:rFonts w:hint="default" w:ascii="Times New Roman" w:hAnsi="Times New Roman" w:eastAsia="宋体" w:cs="Times New Roman"/>
                <w:color w:val="auto"/>
                <w:sz w:val="24"/>
                <w:szCs w:val="24"/>
                <w:highlight w:val="none"/>
                <w:lang w:val="en-US" w:eastAsia="zh-CN"/>
              </w:rPr>
              <w:t>定额</w:t>
            </w:r>
            <w:r>
              <w:rPr>
                <w:rFonts w:hint="default" w:ascii="Times New Roman" w:hAnsi="Times New Roman" w:cs="Times New Roman"/>
                <w:color w:val="auto"/>
                <w:sz w:val="24"/>
                <w:szCs w:val="24"/>
                <w:highlight w:val="none"/>
                <w:lang w:val="en-US" w:eastAsia="zh-CN"/>
              </w:rPr>
              <w:t>15t</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人•</w:t>
            </w:r>
            <w:r>
              <w:rPr>
                <w:rFonts w:hint="default" w:ascii="Times New Roman" w:hAnsi="Times New Roman" w:cs="Times New Roman"/>
                <w:color w:val="auto"/>
                <w:sz w:val="24"/>
                <w:szCs w:val="24"/>
                <w:highlight w:val="none"/>
                <w:lang w:val="en-US" w:eastAsia="zh-CN"/>
              </w:rPr>
              <w:t>a），折算后为50L/人</w:t>
            </w:r>
            <w:r>
              <w:rPr>
                <w:rFonts w:hint="default" w:ascii="Times New Roman" w:hAnsi="Times New Roman" w:eastAsia="宋体" w:cs="Times New Roman"/>
                <w:color w:val="auto"/>
                <w:sz w:val="24"/>
                <w:szCs w:val="24"/>
                <w:highlight w:val="none"/>
                <w:lang w:val="en-US" w:eastAsia="zh-CN"/>
              </w:rPr>
              <w:t>•d，年工作</w:t>
            </w:r>
            <w:r>
              <w:rPr>
                <w:rFonts w:hint="eastAsia" w:ascii="Times New Roman" w:hAnsi="Times New Roman"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lang w:val="en-US" w:eastAsia="zh-CN"/>
              </w:rPr>
              <w:t>天，则生活用水量为</w:t>
            </w:r>
            <w:r>
              <w:rPr>
                <w:rFonts w:hint="eastAsia" w:ascii="Times New Roman" w:hAnsi="Times New Roman" w:cs="Times New Roman"/>
                <w:color w:val="auto"/>
                <w:sz w:val="24"/>
                <w:szCs w:val="24"/>
                <w:highlight w:val="none"/>
                <w:lang w:val="en-US" w:eastAsia="zh-CN"/>
              </w:rPr>
              <w:t>600</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t/d），产排污系数按0.8计算，则生活污水排放量约</w:t>
            </w:r>
            <w:r>
              <w:rPr>
                <w:rFonts w:hint="eastAsia" w:ascii="Times New Roman" w:hAnsi="Times New Roman" w:cs="Times New Roman"/>
                <w:color w:val="auto"/>
                <w:sz w:val="24"/>
                <w:szCs w:val="24"/>
                <w:highlight w:val="none"/>
                <w:lang w:val="en-US" w:eastAsia="zh-CN"/>
              </w:rPr>
              <w:t>480</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cs="Times New Roman"/>
                <w:color w:val="auto"/>
                <w:sz w:val="24"/>
                <w:szCs w:val="24"/>
                <w:highlight w:val="none"/>
                <w:lang w:val="en-US" w:eastAsia="zh-CN"/>
              </w:rPr>
              <w:t>1.6</w:t>
            </w:r>
            <w:r>
              <w:rPr>
                <w:rFonts w:hint="default" w:ascii="Times New Roman" w:hAnsi="Times New Roman" w:eastAsia="宋体" w:cs="Times New Roman"/>
                <w:color w:val="auto"/>
                <w:sz w:val="24"/>
                <w:szCs w:val="24"/>
                <w:highlight w:val="none"/>
                <w:lang w:val="en-US" w:eastAsia="zh-CN"/>
              </w:rPr>
              <w:t>t/d）</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员工</w:t>
            </w:r>
            <w:r>
              <w:rPr>
                <w:rFonts w:hint="default" w:ascii="Times New Roman" w:hAnsi="Times New Roman" w:eastAsia="宋体" w:cs="Times New Roman"/>
                <w:color w:val="auto"/>
                <w:sz w:val="24"/>
                <w:szCs w:val="24"/>
                <w:highlight w:val="none"/>
              </w:rPr>
              <w:t>生活污水依托产业园现有生活污水排水系统收集、化粪池预处理，达标后依托产业园现有污水排放口</w:t>
            </w:r>
            <w:r>
              <w:rPr>
                <w:rFonts w:hint="default" w:ascii="Times New Roman" w:hAnsi="Times New Roman" w:eastAsia="宋体" w:cs="Times New Roman"/>
                <w:color w:val="auto"/>
                <w:sz w:val="24"/>
                <w:highlight w:val="none"/>
              </w:rPr>
              <w:t>接入淮南市高新区山南新区污水处理厂处理</w:t>
            </w:r>
            <w:r>
              <w:rPr>
                <w:rFonts w:hint="default" w:ascii="Times New Roman" w:hAnsi="Times New Roman" w:eastAsia="宋体" w:cs="Times New Roman"/>
                <w:color w:val="auto"/>
                <w:sz w:val="24"/>
                <w:szCs w:val="24"/>
                <w:highlight w:val="none"/>
              </w:rPr>
              <w:t>。</w:t>
            </w:r>
          </w:p>
          <w:p w14:paraId="782FD0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kern w:val="2"/>
                <w:sz w:val="24"/>
                <w:szCs w:val="24"/>
                <w:highlight w:val="none"/>
                <w:lang w:val="en-US" w:eastAsia="zh-CN" w:bidi="ar-SA"/>
              </w:rPr>
              <w:t>②</w:t>
            </w:r>
            <w:r>
              <w:rPr>
                <w:rFonts w:hint="default" w:ascii="Times New Roman" w:hAnsi="Times New Roman" w:cs="Times New Roman"/>
                <w:color w:val="auto"/>
                <w:sz w:val="24"/>
                <w:szCs w:val="24"/>
                <w:highlight w:val="none"/>
                <w:lang w:val="en-US" w:eastAsia="zh-CN"/>
              </w:rPr>
              <w:t>车间保洁用水、排水</w:t>
            </w:r>
          </w:p>
          <w:p w14:paraId="16587A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highlight w:val="none"/>
              </w:rPr>
              <w:t>项目车间地面采取每</w:t>
            </w:r>
            <w:r>
              <w:rPr>
                <w:rFonts w:hint="default" w:ascii="Times New Roman" w:hAnsi="Times New Roman" w:cs="Times New Roman"/>
                <w:color w:val="auto"/>
                <w:sz w:val="24"/>
                <w:highlight w:val="none"/>
                <w:lang w:eastAsia="zh-CN"/>
              </w:rPr>
              <w:t>天</w:t>
            </w:r>
            <w:r>
              <w:rPr>
                <w:rFonts w:hint="default" w:ascii="Times New Roman" w:hAnsi="Times New Roman" w:cs="Times New Roman"/>
                <w:color w:val="auto"/>
                <w:sz w:val="24"/>
                <w:highlight w:val="none"/>
              </w:rPr>
              <w:t>清扫制</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参照</w:t>
            </w:r>
            <w:r>
              <w:rPr>
                <w:rFonts w:hint="eastAsia" w:ascii="Times New Roman" w:hAnsi="Times New Roman" w:eastAsia="宋体" w:cs="Times New Roman"/>
                <w:color w:val="auto"/>
                <w:sz w:val="24"/>
                <w:highlight w:val="none"/>
                <w:lang w:val="en-US" w:eastAsia="zh-CN"/>
              </w:rPr>
              <w:t>《建筑给水排水设计标准》（GB50015-2019）</w:t>
            </w:r>
            <w:r>
              <w:rPr>
                <w:rFonts w:hint="default" w:ascii="Times New Roman" w:hAnsi="Times New Roman" w:eastAsia="宋体" w:cs="Times New Roman"/>
                <w:color w:val="auto"/>
                <w:sz w:val="24"/>
                <w:highlight w:val="none"/>
                <w:lang w:val="en-US" w:eastAsia="zh-CN"/>
              </w:rPr>
              <w:t>，地面冲洗用水量为2-3</w:t>
            </w:r>
            <w:r>
              <w:rPr>
                <w:rFonts w:hint="default" w:ascii="Times New Roman" w:hAnsi="Times New Roman" w:cs="Times New Roman"/>
                <w:color w:val="auto"/>
                <w:sz w:val="24"/>
                <w:highlight w:val="none"/>
              </w:rPr>
              <w:t>L/m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vertAlign w:val="baseline"/>
                <w:lang w:val="en-US" w:eastAsia="zh-CN"/>
              </w:rPr>
              <w:t>.次，项目地面</w:t>
            </w:r>
            <w:r>
              <w:rPr>
                <w:rFonts w:hint="default" w:ascii="Times New Roman" w:hAnsi="Times New Roman" w:cs="Times New Roman"/>
                <w:color w:val="auto"/>
                <w:sz w:val="24"/>
                <w:highlight w:val="none"/>
              </w:rPr>
              <w:t>使用</w:t>
            </w:r>
            <w:r>
              <w:rPr>
                <w:rFonts w:hint="default" w:ascii="Times New Roman" w:hAnsi="Times New Roman" w:cs="Times New Roman"/>
                <w:color w:val="auto"/>
                <w:sz w:val="24"/>
                <w:highlight w:val="none"/>
                <w:lang w:eastAsia="zh-CN"/>
              </w:rPr>
              <w:t>尘推车</w:t>
            </w:r>
            <w:r>
              <w:rPr>
                <w:rFonts w:hint="default" w:ascii="Times New Roman" w:hAnsi="Times New Roman" w:cs="Times New Roman"/>
                <w:color w:val="auto"/>
                <w:sz w:val="24"/>
                <w:highlight w:val="none"/>
              </w:rPr>
              <w:t>清理</w:t>
            </w:r>
            <w:r>
              <w:rPr>
                <w:rFonts w:hint="default" w:ascii="Times New Roman" w:hAnsi="Times New Roman" w:cs="Times New Roman"/>
                <w:color w:val="auto"/>
                <w:sz w:val="24"/>
                <w:highlight w:val="none"/>
                <w:lang w:eastAsia="zh-CN"/>
              </w:rPr>
              <w:t>或拖把清理，</w:t>
            </w:r>
            <w:r>
              <w:rPr>
                <w:rFonts w:hint="default" w:ascii="Times New Roman" w:hAnsi="Times New Roman" w:cs="Times New Roman"/>
                <w:color w:val="auto"/>
                <w:sz w:val="24"/>
                <w:highlight w:val="none"/>
              </w:rPr>
              <w:t>按</w:t>
            </w:r>
            <w:r>
              <w:rPr>
                <w:rFonts w:hint="default" w:ascii="Times New Roman" w:hAnsi="Times New Roman" w:cs="Times New Roman"/>
                <w:color w:val="auto"/>
                <w:sz w:val="24"/>
                <w:highlight w:val="none"/>
                <w:lang w:eastAsia="zh-CN"/>
              </w:rPr>
              <w:t>冲洗用水量</w:t>
            </w:r>
            <w:r>
              <w:rPr>
                <w:rFonts w:hint="default" w:ascii="Times New Roman" w:hAnsi="Times New Roman" w:cs="Times New Roman"/>
                <w:color w:val="auto"/>
                <w:sz w:val="24"/>
                <w:highlight w:val="none"/>
                <w:lang w:val="en-US" w:eastAsia="zh-CN"/>
              </w:rPr>
              <w:t>30%计，取0.9</w:t>
            </w:r>
            <w:r>
              <w:rPr>
                <w:rFonts w:hint="default" w:ascii="Times New Roman" w:hAnsi="Times New Roman" w:cs="Times New Roman"/>
                <w:color w:val="auto"/>
                <w:sz w:val="24"/>
                <w:highlight w:val="none"/>
              </w:rPr>
              <w:t>L/m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lang w:val="en-US" w:eastAsia="zh-CN"/>
              </w:rPr>
              <w:t>.次。</w:t>
            </w:r>
            <w:r>
              <w:rPr>
                <w:rFonts w:hint="default" w:ascii="Times New Roman" w:hAnsi="Times New Roman" w:cs="Times New Roman"/>
                <w:color w:val="auto"/>
                <w:sz w:val="24"/>
                <w:highlight w:val="none"/>
              </w:rPr>
              <w:t>项目</w:t>
            </w:r>
            <w:r>
              <w:rPr>
                <w:rFonts w:hint="default" w:ascii="Times New Roman" w:hAnsi="Times New Roman" w:cs="Times New Roman"/>
                <w:color w:val="auto"/>
                <w:sz w:val="24"/>
                <w:highlight w:val="none"/>
                <w:lang w:val="en-US" w:eastAsia="zh-CN"/>
              </w:rPr>
              <w:t>1F</w:t>
            </w:r>
            <w:r>
              <w:rPr>
                <w:rFonts w:hint="default" w:ascii="Times New Roman" w:hAnsi="Times New Roman" w:cs="Times New Roman"/>
                <w:color w:val="auto"/>
                <w:sz w:val="24"/>
                <w:highlight w:val="none"/>
              </w:rPr>
              <w:t>建筑面积约</w:t>
            </w:r>
            <w:r>
              <w:rPr>
                <w:rFonts w:hint="default" w:ascii="Times New Roman" w:hAnsi="Times New Roman" w:cs="Times New Roman"/>
                <w:color w:val="auto"/>
                <w:sz w:val="24"/>
                <w:highlight w:val="none"/>
                <w:lang w:val="en-US" w:eastAsia="zh-CN"/>
              </w:rPr>
              <w:t>5000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设备、隔断、物料</w:t>
            </w:r>
            <w:r>
              <w:rPr>
                <w:rFonts w:hint="default" w:ascii="Times New Roman" w:hAnsi="Times New Roman" w:cs="Times New Roman"/>
                <w:color w:val="auto"/>
                <w:sz w:val="24"/>
                <w:highlight w:val="none"/>
                <w:lang w:val="en-US" w:eastAsia="zh-CN"/>
              </w:rPr>
              <w:t>及预留区域</w:t>
            </w:r>
            <w:r>
              <w:rPr>
                <w:rFonts w:hint="default" w:ascii="Times New Roman" w:hAnsi="Times New Roman" w:cs="Times New Roman"/>
                <w:color w:val="auto"/>
                <w:sz w:val="24"/>
                <w:highlight w:val="none"/>
                <w:lang w:eastAsia="zh-CN"/>
              </w:rPr>
              <w:t>等约</w:t>
            </w:r>
            <w:r>
              <w:rPr>
                <w:rFonts w:hint="default" w:ascii="Times New Roman" w:hAnsi="Times New Roman" w:cs="Times New Roman"/>
                <w:color w:val="auto"/>
                <w:sz w:val="24"/>
                <w:highlight w:val="none"/>
                <w:lang w:val="en-US" w:eastAsia="zh-CN"/>
              </w:rPr>
              <w:t>占80%</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需要每天保洁的面积约</w:t>
            </w:r>
            <w:r>
              <w:rPr>
                <w:rFonts w:hint="default" w:ascii="Times New Roman" w:hAnsi="Times New Roman" w:cs="Times New Roman"/>
                <w:color w:val="auto"/>
                <w:sz w:val="24"/>
                <w:highlight w:val="none"/>
                <w:lang w:val="en-US" w:eastAsia="zh-CN"/>
              </w:rPr>
              <w:t>1000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车间</w:t>
            </w:r>
            <w:r>
              <w:rPr>
                <w:rFonts w:hint="default" w:ascii="Times New Roman" w:hAnsi="Times New Roman" w:cs="Times New Roman"/>
                <w:color w:val="auto"/>
                <w:sz w:val="24"/>
                <w:highlight w:val="none"/>
              </w:rPr>
              <w:t>保洁</w:t>
            </w:r>
            <w:r>
              <w:rPr>
                <w:rFonts w:hint="default" w:ascii="Times New Roman" w:hAnsi="Times New Roman" w:cs="Times New Roman"/>
                <w:color w:val="auto"/>
                <w:sz w:val="24"/>
                <w:highlight w:val="none"/>
                <w:lang w:val="en-US" w:eastAsia="zh-CN"/>
              </w:rPr>
              <w:t>年</w:t>
            </w:r>
            <w:r>
              <w:rPr>
                <w:rFonts w:hint="default" w:ascii="Times New Roman" w:hAnsi="Times New Roman" w:cs="Times New Roman"/>
                <w:color w:val="auto"/>
                <w:sz w:val="24"/>
                <w:highlight w:val="none"/>
              </w:rPr>
              <w:t>用水量约</w:t>
            </w:r>
            <w:r>
              <w:rPr>
                <w:rFonts w:hint="default" w:ascii="Times New Roman" w:hAnsi="Times New Roman" w:cs="Times New Roman"/>
                <w:color w:val="auto"/>
                <w:sz w:val="24"/>
                <w:highlight w:val="none"/>
                <w:lang w:val="en-US" w:eastAsia="zh-CN"/>
              </w:rPr>
              <w:t>280.8</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a</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0.9</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eastAsia="zh-CN"/>
              </w:rPr>
              <w:t>），保洁用水</w:t>
            </w:r>
            <w:r>
              <w:rPr>
                <w:rFonts w:hint="default" w:ascii="Times New Roman" w:hAnsi="Times New Roman" w:cs="Times New Roman"/>
                <w:color w:val="auto"/>
                <w:sz w:val="24"/>
                <w:highlight w:val="none"/>
              </w:rPr>
              <w:t>随地面蒸发，</w:t>
            </w:r>
            <w:r>
              <w:rPr>
                <w:rFonts w:hint="default" w:ascii="Times New Roman" w:hAnsi="Times New Roman" w:cs="Times New Roman"/>
                <w:color w:val="auto"/>
                <w:sz w:val="24"/>
                <w:highlight w:val="none"/>
                <w:lang w:eastAsia="zh-CN"/>
              </w:rPr>
              <w:t>清扫结束需对保洁工具进行清洗，清洗废水量产生系数约占保洁用水量的</w:t>
            </w:r>
            <w:r>
              <w:rPr>
                <w:rFonts w:hint="default"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lang w:eastAsia="zh-CN"/>
              </w:rPr>
              <w:t>% ，即</w:t>
            </w:r>
            <w:r>
              <w:rPr>
                <w:rFonts w:hint="default" w:ascii="Times New Roman" w:hAnsi="Times New Roman" w:cs="Times New Roman"/>
                <w:color w:val="auto"/>
                <w:sz w:val="24"/>
                <w:highlight w:val="none"/>
                <w:lang w:val="en-US" w:eastAsia="zh-CN"/>
              </w:rPr>
              <w:t>年</w:t>
            </w:r>
            <w:r>
              <w:rPr>
                <w:rFonts w:hint="default" w:ascii="Times New Roman" w:hAnsi="Times New Roman" w:cs="Times New Roman"/>
                <w:color w:val="auto"/>
                <w:sz w:val="24"/>
                <w:highlight w:val="none"/>
                <w:lang w:eastAsia="zh-CN"/>
              </w:rPr>
              <w:t>产生保洁废水</w:t>
            </w:r>
            <w:r>
              <w:rPr>
                <w:rFonts w:hint="default" w:ascii="Times New Roman" w:hAnsi="Times New Roman" w:cs="Times New Roman"/>
                <w:color w:val="auto"/>
                <w:sz w:val="24"/>
                <w:highlight w:val="none"/>
                <w:lang w:val="en-US" w:eastAsia="zh-CN"/>
              </w:rPr>
              <w:t>224.64</w:t>
            </w:r>
            <w:r>
              <w:rPr>
                <w:rFonts w:hint="default" w:ascii="Times New Roman" w:hAnsi="Times New Roman" w:cs="Times New Roman"/>
                <w:color w:val="auto"/>
                <w:sz w:val="24"/>
                <w:highlight w:val="none"/>
                <w:lang w:eastAsia="zh-CN"/>
              </w:rPr>
              <w:t>m</w:t>
            </w:r>
            <w:r>
              <w:rPr>
                <w:rFonts w:hint="default" w:ascii="Times New Roman" w:hAnsi="Times New Roman" w:cs="Times New Roman"/>
                <w:color w:val="auto"/>
                <w:sz w:val="24"/>
                <w:highlight w:val="none"/>
                <w:vertAlign w:val="superscript"/>
                <w:lang w:eastAsia="zh-CN"/>
              </w:rPr>
              <w:t>3</w:t>
            </w: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a</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0.72</w:t>
            </w:r>
            <w:r>
              <w:rPr>
                <w:rFonts w:hint="default" w:ascii="Times New Roman" w:hAnsi="Times New Roman" w:cs="Times New Roman"/>
                <w:color w:val="auto"/>
                <w:sz w:val="24"/>
                <w:highlight w:val="none"/>
                <w:lang w:eastAsia="zh-CN"/>
              </w:rPr>
              <w:t>m</w:t>
            </w:r>
            <w:r>
              <w:rPr>
                <w:rFonts w:hint="default" w:ascii="Times New Roman" w:hAnsi="Times New Roman" w:cs="Times New Roman"/>
                <w:color w:val="auto"/>
                <w:sz w:val="24"/>
                <w:highlight w:val="none"/>
                <w:vertAlign w:val="superscript"/>
                <w:lang w:eastAsia="zh-CN"/>
              </w:rPr>
              <w:t>3</w:t>
            </w:r>
            <w:r>
              <w:rPr>
                <w:rFonts w:hint="default" w:ascii="Times New Roman" w:hAnsi="Times New Roman" w:cs="Times New Roman"/>
                <w:color w:val="auto"/>
                <w:sz w:val="24"/>
                <w:highlight w:val="none"/>
                <w:lang w:eastAsia="zh-CN"/>
              </w:rPr>
              <w:t>/d）</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highlight w:val="none"/>
                <w:lang w:val="en-US" w:eastAsia="zh-CN"/>
              </w:rPr>
              <w:t>保洁从卫生间取排水，故保洁废水进入化粪池后，与生活污水一并</w:t>
            </w:r>
            <w:r>
              <w:rPr>
                <w:rFonts w:hint="default" w:ascii="Times New Roman" w:hAnsi="Times New Roman" w:eastAsia="宋体" w:cs="Times New Roman"/>
                <w:color w:val="auto"/>
                <w:sz w:val="24"/>
                <w:highlight w:val="none"/>
              </w:rPr>
              <w:t>接入淮南市高新区山南新区污水处理厂处理</w:t>
            </w:r>
            <w:r>
              <w:rPr>
                <w:rFonts w:hint="default" w:ascii="Times New Roman" w:hAnsi="Times New Roman" w:cs="Times New Roman"/>
                <w:b w:val="0"/>
                <w:bCs w:val="0"/>
                <w:snapToGrid w:val="0"/>
                <w:color w:val="auto"/>
                <w:sz w:val="24"/>
                <w:szCs w:val="24"/>
                <w:highlight w:val="none"/>
              </w:rPr>
              <w:t>。</w:t>
            </w:r>
          </w:p>
        </w:tc>
      </w:tr>
    </w:tbl>
    <w:p w14:paraId="692E0789">
      <w:pPr>
        <w:pStyle w:val="24"/>
        <w:widowControl w:val="0"/>
        <w:numPr>
          <w:ilvl w:val="0"/>
          <w:numId w:val="0"/>
        </w:numPr>
        <w:spacing w:after="120" w:afterLines="0" w:afterAutospacing="0"/>
        <w:jc w:val="both"/>
        <w:rPr>
          <w:rFonts w:hint="default" w:ascii="Times New Roman" w:hAnsi="Times New Roman" w:cs="Times New Roman"/>
          <w:color w:val="auto"/>
          <w:highlight w:val="none"/>
        </w:rPr>
        <w:sectPr>
          <w:pgSz w:w="11905" w:h="16838"/>
          <w:pgMar w:top="1440" w:right="1803" w:bottom="1440" w:left="1803"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14328"/>
      </w:tblGrid>
      <w:tr w14:paraId="2B25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noWrap w:val="0"/>
            <w:vAlign w:val="center"/>
          </w:tcPr>
          <w:p w14:paraId="6F7BEF37">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运营</w:t>
            </w:r>
          </w:p>
          <w:p w14:paraId="0314F3BA">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期环</w:t>
            </w:r>
          </w:p>
          <w:p w14:paraId="28807344">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境影</w:t>
            </w:r>
          </w:p>
          <w:p w14:paraId="577CA682">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响和</w:t>
            </w:r>
          </w:p>
          <w:p w14:paraId="71BD61E3">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保护</w:t>
            </w:r>
          </w:p>
          <w:p w14:paraId="0B14E97D">
            <w:pPr>
              <w:jc w:val="center"/>
              <w:rPr>
                <w:rFonts w:hint="default" w:ascii="Times New Roman" w:hAnsi="Times New Roman" w:cs="Times New Roman"/>
                <w:color w:val="auto"/>
                <w:highlight w:val="none"/>
                <w:vertAlign w:val="baseline"/>
              </w:rPr>
            </w:pPr>
            <w:r>
              <w:rPr>
                <w:rFonts w:hint="default" w:ascii="Times New Roman" w:hAnsi="Times New Roman" w:cs="Times New Roman"/>
                <w:b/>
                <w:bCs w:val="0"/>
                <w:color w:val="auto"/>
                <w:sz w:val="24"/>
                <w:szCs w:val="24"/>
                <w:highlight w:val="none"/>
              </w:rPr>
              <w:t>措施</w:t>
            </w:r>
          </w:p>
        </w:tc>
        <w:tc>
          <w:tcPr>
            <w:tcW w:w="14328" w:type="dxa"/>
            <w:noWrap w:val="0"/>
            <w:vAlign w:val="top"/>
          </w:tcPr>
          <w:p w14:paraId="47D6F31A">
            <w:pPr>
              <w:keepNext w:val="0"/>
              <w:keepLines w:val="0"/>
              <w:pageBreakBefore w:val="0"/>
              <w:widowControl w:val="0"/>
              <w:kinsoku/>
              <w:wordWrap/>
              <w:overflowPunct/>
              <w:topLinePunct/>
              <w:autoSpaceDE w:val="0"/>
              <w:autoSpaceDN/>
              <w:bidi w:val="0"/>
              <w:adjustRightInd w:val="0"/>
              <w:snapToGrid w:val="0"/>
              <w:spacing w:line="240" w:lineRule="auto"/>
              <w:ind w:left="0" w:right="0" w:firstLine="482"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b/>
                <w:bCs/>
                <w:color w:val="auto"/>
                <w:kern w:val="0"/>
                <w:sz w:val="24"/>
                <w:highlight w:val="none"/>
              </w:rPr>
              <w:t>表4-</w:t>
            </w:r>
            <w:r>
              <w:rPr>
                <w:rFonts w:hint="eastAsia" w:ascii="Times New Roman" w:hAnsi="Times New Roman" w:cs="Times New Roman"/>
                <w:b/>
                <w:bCs/>
                <w:color w:val="auto"/>
                <w:kern w:val="0"/>
                <w:sz w:val="24"/>
                <w:highlight w:val="none"/>
                <w:lang w:val="en-US" w:eastAsia="zh-CN"/>
              </w:rPr>
              <w:t>5项目废水</w:t>
            </w:r>
            <w:r>
              <w:rPr>
                <w:rFonts w:hint="default" w:ascii="Times New Roman" w:hAnsi="Times New Roman" w:cs="Times New Roman"/>
                <w:b/>
                <w:bCs/>
                <w:color w:val="auto"/>
                <w:kern w:val="0"/>
                <w:sz w:val="24"/>
                <w:highlight w:val="none"/>
                <w:lang w:eastAsia="zh-CN"/>
              </w:rPr>
              <w:t>产生及排放情况</w:t>
            </w:r>
            <w:r>
              <w:rPr>
                <w:rFonts w:hint="default" w:ascii="Times New Roman" w:hAnsi="Times New Roman" w:cs="Times New Roman"/>
                <w:b/>
                <w:bCs/>
                <w:color w:val="auto"/>
                <w:kern w:val="0"/>
                <w:sz w:val="24"/>
                <w:highlight w:val="none"/>
              </w:rPr>
              <w:t>一览表</w:t>
            </w:r>
          </w:p>
          <w:tbl>
            <w:tblPr>
              <w:tblStyle w:val="25"/>
              <w:tblW w:w="1409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8"/>
              <w:gridCol w:w="720"/>
              <w:gridCol w:w="813"/>
              <w:gridCol w:w="720"/>
              <w:gridCol w:w="880"/>
              <w:gridCol w:w="507"/>
              <w:gridCol w:w="746"/>
              <w:gridCol w:w="480"/>
              <w:gridCol w:w="654"/>
              <w:gridCol w:w="832"/>
              <w:gridCol w:w="870"/>
              <w:gridCol w:w="645"/>
              <w:gridCol w:w="777"/>
              <w:gridCol w:w="832"/>
              <w:gridCol w:w="775"/>
              <w:gridCol w:w="616"/>
              <w:gridCol w:w="515"/>
              <w:gridCol w:w="1077"/>
              <w:gridCol w:w="906"/>
            </w:tblGrid>
            <w:tr w14:paraId="1B5205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728" w:type="dxa"/>
                  <w:vMerge w:val="restart"/>
                  <w:noWrap w:val="0"/>
                  <w:vAlign w:val="center"/>
                </w:tcPr>
                <w:p w14:paraId="5CCEB5F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类别</w:t>
                  </w:r>
                </w:p>
              </w:tc>
              <w:tc>
                <w:tcPr>
                  <w:tcW w:w="720" w:type="dxa"/>
                  <w:vMerge w:val="restart"/>
                  <w:noWrap w:val="0"/>
                  <w:vAlign w:val="center"/>
                </w:tcPr>
                <w:p w14:paraId="33C76326">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废水产生量t/a</w:t>
                  </w:r>
                </w:p>
              </w:tc>
              <w:tc>
                <w:tcPr>
                  <w:tcW w:w="813" w:type="dxa"/>
                  <w:vMerge w:val="restart"/>
                  <w:noWrap w:val="0"/>
                  <w:vAlign w:val="center"/>
                </w:tcPr>
                <w:p w14:paraId="2D31982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污染物种类</w:t>
                  </w:r>
                </w:p>
              </w:tc>
              <w:tc>
                <w:tcPr>
                  <w:tcW w:w="720" w:type="dxa"/>
                  <w:vMerge w:val="restart"/>
                  <w:noWrap w:val="0"/>
                  <w:vAlign w:val="center"/>
                </w:tcPr>
                <w:p w14:paraId="53C1D20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污染物产生浓度mg/L</w:t>
                  </w:r>
                </w:p>
              </w:tc>
              <w:tc>
                <w:tcPr>
                  <w:tcW w:w="880" w:type="dxa"/>
                  <w:vMerge w:val="restart"/>
                  <w:noWrap w:val="0"/>
                  <w:vAlign w:val="center"/>
                </w:tcPr>
                <w:p w14:paraId="404DFAE9">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污染物产生量t/a</w:t>
                  </w:r>
                </w:p>
              </w:tc>
              <w:tc>
                <w:tcPr>
                  <w:tcW w:w="507" w:type="dxa"/>
                  <w:vMerge w:val="restart"/>
                  <w:noWrap w:val="0"/>
                  <w:vAlign w:val="center"/>
                </w:tcPr>
                <w:p w14:paraId="7ADCC40F">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治理设施</w:t>
                  </w:r>
                </w:p>
              </w:tc>
              <w:tc>
                <w:tcPr>
                  <w:tcW w:w="746" w:type="dxa"/>
                  <w:vMerge w:val="restart"/>
                  <w:noWrap w:val="0"/>
                  <w:vAlign w:val="center"/>
                </w:tcPr>
                <w:p w14:paraId="5727FFF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废水排放量</w:t>
                  </w:r>
                  <w:r>
                    <w:rPr>
                      <w:rFonts w:hint="default" w:ascii="Times New Roman" w:hAnsi="Times New Roman" w:cs="Times New Roman"/>
                      <w:b/>
                      <w:bCs/>
                      <w:color w:val="auto"/>
                      <w:sz w:val="21"/>
                      <w:szCs w:val="21"/>
                      <w:highlight w:val="none"/>
                    </w:rPr>
                    <w:t>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/a</w:t>
                  </w:r>
                </w:p>
              </w:tc>
              <w:tc>
                <w:tcPr>
                  <w:tcW w:w="480" w:type="dxa"/>
                  <w:vMerge w:val="restart"/>
                  <w:noWrap w:val="0"/>
                  <w:vAlign w:val="center"/>
                </w:tcPr>
                <w:p w14:paraId="1E5439F7">
                  <w:pPr>
                    <w:keepNext w:val="0"/>
                    <w:keepLines w:val="0"/>
                    <w:pageBreakBefore w:val="0"/>
                    <w:kinsoku/>
                    <w:wordWrap/>
                    <w:overflowPunct/>
                    <w:topLinePunct/>
                    <w:autoSpaceDE w:val="0"/>
                    <w:bidi w:val="0"/>
                    <w:adjustRightInd w:val="0"/>
                    <w:snapToGrid w:val="0"/>
                    <w:ind w:left="0" w:right="0"/>
                    <w:jc w:val="center"/>
                    <w:rPr>
                      <w:rFonts w:hint="eastAsia" w:ascii="Times New Roman" w:hAnsi="Times New Roman" w:eastAsia="宋体" w:cs="Times New Roman"/>
                      <w:b/>
                      <w:bCs/>
                      <w:color w:val="auto"/>
                      <w:kern w:val="0"/>
                      <w:sz w:val="21"/>
                      <w:szCs w:val="21"/>
                      <w:highlight w:val="none"/>
                      <w:lang w:eastAsia="zh-CN"/>
                    </w:rPr>
                  </w:pPr>
                  <w:r>
                    <w:rPr>
                      <w:rFonts w:hint="eastAsia" w:ascii="Times New Roman" w:hAnsi="Times New Roman" w:cs="Times New Roman"/>
                      <w:b/>
                      <w:bCs/>
                      <w:color w:val="auto"/>
                      <w:kern w:val="0"/>
                      <w:sz w:val="21"/>
                      <w:szCs w:val="21"/>
                      <w:highlight w:val="none"/>
                      <w:lang w:val="en-US" w:eastAsia="zh-CN"/>
                    </w:rPr>
                    <w:t>处理效率</w:t>
                  </w:r>
                </w:p>
              </w:tc>
              <w:tc>
                <w:tcPr>
                  <w:tcW w:w="654" w:type="dxa"/>
                  <w:vMerge w:val="restart"/>
                  <w:noWrap w:val="0"/>
                  <w:vAlign w:val="center"/>
                </w:tcPr>
                <w:p w14:paraId="203E2EF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污染物</w:t>
                  </w:r>
                </w:p>
              </w:tc>
              <w:tc>
                <w:tcPr>
                  <w:tcW w:w="832" w:type="dxa"/>
                  <w:vMerge w:val="restart"/>
                  <w:noWrap w:val="0"/>
                  <w:vAlign w:val="center"/>
                </w:tcPr>
                <w:p w14:paraId="45209909">
                  <w:pPr>
                    <w:keepNext w:val="0"/>
                    <w:keepLines w:val="0"/>
                    <w:pageBreakBefore w:val="0"/>
                    <w:kinsoku/>
                    <w:wordWrap/>
                    <w:overflowPunct/>
                    <w:bidi w:val="0"/>
                    <w:adjustRightInd w:val="0"/>
                    <w:snapToGrid w:val="0"/>
                    <w:ind w:left="0" w:right="0"/>
                    <w:jc w:val="center"/>
                    <w:textAlignment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color w:val="auto"/>
                      <w:kern w:val="0"/>
                      <w:sz w:val="21"/>
                      <w:szCs w:val="21"/>
                      <w:highlight w:val="none"/>
                      <w:lang w:bidi="ar"/>
                    </w:rPr>
                    <w:t>污染物排放浓度mg/L</w:t>
                  </w:r>
                </w:p>
              </w:tc>
              <w:tc>
                <w:tcPr>
                  <w:tcW w:w="870" w:type="dxa"/>
                  <w:vMerge w:val="restart"/>
                  <w:noWrap w:val="0"/>
                  <w:vAlign w:val="center"/>
                </w:tcPr>
                <w:p w14:paraId="290E59E0">
                  <w:pPr>
                    <w:keepNext w:val="0"/>
                    <w:keepLines w:val="0"/>
                    <w:pageBreakBefore w:val="0"/>
                    <w:kinsoku/>
                    <w:wordWrap/>
                    <w:overflowPunct/>
                    <w:bidi w:val="0"/>
                    <w:adjustRightInd w:val="0"/>
                    <w:snapToGrid w:val="0"/>
                    <w:ind w:left="0" w:right="0"/>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污染物排放量</w:t>
                  </w:r>
                </w:p>
                <w:p w14:paraId="06BBC38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color w:val="auto"/>
                      <w:kern w:val="0"/>
                      <w:sz w:val="21"/>
                      <w:szCs w:val="21"/>
                      <w:highlight w:val="none"/>
                      <w:lang w:bidi="ar"/>
                    </w:rPr>
                    <w:t>t/a</w:t>
                  </w:r>
                </w:p>
              </w:tc>
              <w:tc>
                <w:tcPr>
                  <w:tcW w:w="645" w:type="dxa"/>
                  <w:vMerge w:val="restart"/>
                  <w:noWrap w:val="0"/>
                  <w:vAlign w:val="center"/>
                </w:tcPr>
                <w:p w14:paraId="09ABBCCB">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排放方式</w:t>
                  </w:r>
                </w:p>
              </w:tc>
              <w:tc>
                <w:tcPr>
                  <w:tcW w:w="777" w:type="dxa"/>
                  <w:vMerge w:val="restart"/>
                  <w:noWrap w:val="0"/>
                  <w:vAlign w:val="center"/>
                </w:tcPr>
                <w:p w14:paraId="19AAB8DE">
                  <w:pPr>
                    <w:keepNext w:val="0"/>
                    <w:keepLines w:val="0"/>
                    <w:pageBreakBefore w:val="0"/>
                    <w:kinsoku/>
                    <w:wordWrap/>
                    <w:overflowPunct/>
                    <w:bidi w:val="0"/>
                    <w:adjustRightInd w:val="0"/>
                    <w:snapToGrid w:val="0"/>
                    <w:ind w:left="0" w:right="0"/>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排放标准限值</w:t>
                  </w:r>
                </w:p>
                <w:p w14:paraId="2E3D43F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color w:val="auto"/>
                      <w:kern w:val="0"/>
                      <w:sz w:val="21"/>
                      <w:szCs w:val="21"/>
                      <w:highlight w:val="none"/>
                      <w:lang w:bidi="ar"/>
                    </w:rPr>
                    <w:t>mg/L</w:t>
                  </w:r>
                </w:p>
              </w:tc>
              <w:tc>
                <w:tcPr>
                  <w:tcW w:w="832" w:type="dxa"/>
                  <w:vMerge w:val="restart"/>
                  <w:noWrap w:val="0"/>
                  <w:vAlign w:val="center"/>
                </w:tcPr>
                <w:p w14:paraId="409E27B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排放去向</w:t>
                  </w:r>
                </w:p>
              </w:tc>
              <w:tc>
                <w:tcPr>
                  <w:tcW w:w="775" w:type="dxa"/>
                  <w:vMerge w:val="restart"/>
                  <w:noWrap w:val="0"/>
                  <w:vAlign w:val="center"/>
                </w:tcPr>
                <w:p w14:paraId="0E33D3C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排放规律</w:t>
                  </w:r>
                </w:p>
              </w:tc>
              <w:tc>
                <w:tcPr>
                  <w:tcW w:w="3114" w:type="dxa"/>
                  <w:gridSpan w:val="4"/>
                  <w:noWrap w:val="0"/>
                  <w:vAlign w:val="center"/>
                </w:tcPr>
                <w:p w14:paraId="0A65AF40">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排放口基本情况</w:t>
                  </w:r>
                </w:p>
              </w:tc>
            </w:tr>
            <w:tr w14:paraId="3A0772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28" w:type="dxa"/>
                  <w:vMerge w:val="continue"/>
                  <w:noWrap w:val="0"/>
                  <w:vAlign w:val="center"/>
                </w:tcPr>
                <w:p w14:paraId="3543663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720" w:type="dxa"/>
                  <w:vMerge w:val="continue"/>
                  <w:noWrap w:val="0"/>
                  <w:vAlign w:val="center"/>
                </w:tcPr>
                <w:p w14:paraId="0B880D5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813" w:type="dxa"/>
                  <w:vMerge w:val="continue"/>
                  <w:noWrap w:val="0"/>
                  <w:vAlign w:val="center"/>
                </w:tcPr>
                <w:p w14:paraId="0C48F07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720" w:type="dxa"/>
                  <w:vMerge w:val="continue"/>
                  <w:noWrap w:val="0"/>
                  <w:vAlign w:val="center"/>
                </w:tcPr>
                <w:p w14:paraId="5CE45D39">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880" w:type="dxa"/>
                  <w:vMerge w:val="continue"/>
                  <w:noWrap w:val="0"/>
                  <w:vAlign w:val="center"/>
                </w:tcPr>
                <w:p w14:paraId="111F37BE">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507" w:type="dxa"/>
                  <w:vMerge w:val="continue"/>
                  <w:noWrap w:val="0"/>
                  <w:vAlign w:val="center"/>
                </w:tcPr>
                <w:p w14:paraId="21D91F6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746" w:type="dxa"/>
                  <w:vMerge w:val="continue"/>
                  <w:noWrap w:val="0"/>
                  <w:vAlign w:val="center"/>
                </w:tcPr>
                <w:p w14:paraId="295A450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480" w:type="dxa"/>
                  <w:vMerge w:val="continue"/>
                  <w:noWrap w:val="0"/>
                  <w:vAlign w:val="center"/>
                </w:tcPr>
                <w:p w14:paraId="54E83B9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654" w:type="dxa"/>
                  <w:vMerge w:val="continue"/>
                  <w:noWrap w:val="0"/>
                  <w:vAlign w:val="center"/>
                </w:tcPr>
                <w:p w14:paraId="681236C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832" w:type="dxa"/>
                  <w:vMerge w:val="continue"/>
                  <w:noWrap w:val="0"/>
                  <w:vAlign w:val="center"/>
                </w:tcPr>
                <w:p w14:paraId="76C44456">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870" w:type="dxa"/>
                  <w:vMerge w:val="continue"/>
                  <w:noWrap w:val="0"/>
                  <w:vAlign w:val="center"/>
                </w:tcPr>
                <w:p w14:paraId="7BEEB19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645" w:type="dxa"/>
                  <w:vMerge w:val="continue"/>
                  <w:noWrap w:val="0"/>
                  <w:vAlign w:val="center"/>
                </w:tcPr>
                <w:p w14:paraId="6FCF30B9">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777" w:type="dxa"/>
                  <w:vMerge w:val="continue"/>
                  <w:noWrap w:val="0"/>
                  <w:vAlign w:val="center"/>
                </w:tcPr>
                <w:p w14:paraId="6C81871E">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832" w:type="dxa"/>
                  <w:vMerge w:val="continue"/>
                  <w:noWrap w:val="0"/>
                  <w:vAlign w:val="center"/>
                </w:tcPr>
                <w:p w14:paraId="6B55AEB6">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775" w:type="dxa"/>
                  <w:vMerge w:val="continue"/>
                  <w:noWrap w:val="0"/>
                  <w:vAlign w:val="center"/>
                </w:tcPr>
                <w:p w14:paraId="33CEC3B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616" w:type="dxa"/>
                  <w:vMerge w:val="restart"/>
                  <w:noWrap w:val="0"/>
                  <w:vAlign w:val="center"/>
                </w:tcPr>
                <w:p w14:paraId="40310EEC">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编号</w:t>
                  </w:r>
                </w:p>
              </w:tc>
              <w:tc>
                <w:tcPr>
                  <w:tcW w:w="515" w:type="dxa"/>
                  <w:vMerge w:val="restart"/>
                  <w:noWrap w:val="0"/>
                  <w:vAlign w:val="center"/>
                </w:tcPr>
                <w:p w14:paraId="1358B2E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类型</w:t>
                  </w:r>
                </w:p>
              </w:tc>
              <w:tc>
                <w:tcPr>
                  <w:tcW w:w="1983" w:type="dxa"/>
                  <w:gridSpan w:val="2"/>
                  <w:noWrap w:val="0"/>
                  <w:vAlign w:val="center"/>
                </w:tcPr>
                <w:p w14:paraId="344D234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地理坐标</w:t>
                  </w:r>
                </w:p>
              </w:tc>
            </w:tr>
            <w:tr w14:paraId="54FC38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28" w:type="dxa"/>
                  <w:vMerge w:val="continue"/>
                  <w:noWrap w:val="0"/>
                  <w:vAlign w:val="center"/>
                </w:tcPr>
                <w:p w14:paraId="24EB6DC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720" w:type="dxa"/>
                  <w:vMerge w:val="continue"/>
                  <w:noWrap w:val="0"/>
                  <w:vAlign w:val="center"/>
                </w:tcPr>
                <w:p w14:paraId="267EAA9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813" w:type="dxa"/>
                  <w:vMerge w:val="continue"/>
                  <w:noWrap w:val="0"/>
                  <w:vAlign w:val="center"/>
                </w:tcPr>
                <w:p w14:paraId="0E7D4FF9">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720" w:type="dxa"/>
                  <w:vMerge w:val="continue"/>
                  <w:noWrap w:val="0"/>
                  <w:vAlign w:val="center"/>
                </w:tcPr>
                <w:p w14:paraId="5232C62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880" w:type="dxa"/>
                  <w:vMerge w:val="continue"/>
                  <w:noWrap w:val="0"/>
                  <w:vAlign w:val="center"/>
                </w:tcPr>
                <w:p w14:paraId="3BAFB400">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507" w:type="dxa"/>
                  <w:vMerge w:val="continue"/>
                  <w:noWrap w:val="0"/>
                  <w:vAlign w:val="center"/>
                </w:tcPr>
                <w:p w14:paraId="7F3D5729">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bCs/>
                      <w:color w:val="auto"/>
                      <w:kern w:val="0"/>
                      <w:sz w:val="21"/>
                      <w:szCs w:val="21"/>
                      <w:highlight w:val="none"/>
                    </w:rPr>
                  </w:pPr>
                </w:p>
              </w:tc>
              <w:tc>
                <w:tcPr>
                  <w:tcW w:w="746" w:type="dxa"/>
                  <w:vMerge w:val="continue"/>
                  <w:noWrap w:val="0"/>
                  <w:vAlign w:val="center"/>
                </w:tcPr>
                <w:p w14:paraId="60ECD340">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480" w:type="dxa"/>
                  <w:vMerge w:val="continue"/>
                  <w:noWrap w:val="0"/>
                  <w:vAlign w:val="center"/>
                </w:tcPr>
                <w:p w14:paraId="68A2FE6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654" w:type="dxa"/>
                  <w:vMerge w:val="continue"/>
                  <w:noWrap w:val="0"/>
                  <w:vAlign w:val="center"/>
                </w:tcPr>
                <w:p w14:paraId="1C4E7C6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832" w:type="dxa"/>
                  <w:vMerge w:val="continue"/>
                  <w:noWrap w:val="0"/>
                  <w:vAlign w:val="center"/>
                </w:tcPr>
                <w:p w14:paraId="4E7DF6B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870" w:type="dxa"/>
                  <w:vMerge w:val="continue"/>
                  <w:noWrap w:val="0"/>
                  <w:vAlign w:val="center"/>
                </w:tcPr>
                <w:p w14:paraId="515832A6">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645" w:type="dxa"/>
                  <w:vMerge w:val="continue"/>
                  <w:noWrap w:val="0"/>
                  <w:vAlign w:val="center"/>
                </w:tcPr>
                <w:p w14:paraId="783A0BEE">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777" w:type="dxa"/>
                  <w:vMerge w:val="continue"/>
                  <w:noWrap w:val="0"/>
                  <w:vAlign w:val="center"/>
                </w:tcPr>
                <w:p w14:paraId="67BA1F6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832" w:type="dxa"/>
                  <w:vMerge w:val="continue"/>
                  <w:noWrap w:val="0"/>
                  <w:vAlign w:val="center"/>
                </w:tcPr>
                <w:p w14:paraId="25391D2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775" w:type="dxa"/>
                  <w:vMerge w:val="continue"/>
                  <w:noWrap w:val="0"/>
                  <w:vAlign w:val="center"/>
                </w:tcPr>
                <w:p w14:paraId="5AB75D6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616" w:type="dxa"/>
                  <w:vMerge w:val="continue"/>
                  <w:noWrap w:val="0"/>
                  <w:vAlign w:val="center"/>
                </w:tcPr>
                <w:p w14:paraId="09D01B1E">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515" w:type="dxa"/>
                  <w:vMerge w:val="continue"/>
                  <w:noWrap w:val="0"/>
                  <w:vAlign w:val="center"/>
                </w:tcPr>
                <w:p w14:paraId="4BFF52D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sz w:val="21"/>
                      <w:szCs w:val="21"/>
                      <w:highlight w:val="none"/>
                    </w:rPr>
                  </w:pPr>
                </w:p>
              </w:tc>
              <w:tc>
                <w:tcPr>
                  <w:tcW w:w="1077" w:type="dxa"/>
                  <w:noWrap w:val="0"/>
                  <w:vAlign w:val="center"/>
                </w:tcPr>
                <w:p w14:paraId="23AD1452">
                  <w:pPr>
                    <w:keepNext w:val="0"/>
                    <w:keepLines w:val="0"/>
                    <w:pageBreakBefore w:val="0"/>
                    <w:kinsoku/>
                    <w:wordWrap/>
                    <w:overflowPunct/>
                    <w:autoSpaceDE w:val="0"/>
                    <w:autoSpaceDN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sz w:val="21"/>
                      <w:szCs w:val="21"/>
                      <w:highlight w:val="none"/>
                    </w:rPr>
                    <w:t>经度/°</w:t>
                  </w:r>
                </w:p>
              </w:tc>
              <w:tc>
                <w:tcPr>
                  <w:tcW w:w="906" w:type="dxa"/>
                  <w:noWrap w:val="0"/>
                  <w:vAlign w:val="center"/>
                </w:tcPr>
                <w:p w14:paraId="1E000B7F">
                  <w:pPr>
                    <w:keepNext w:val="0"/>
                    <w:keepLines w:val="0"/>
                    <w:pageBreakBefore w:val="0"/>
                    <w:kinsoku/>
                    <w:wordWrap/>
                    <w:overflowPunct/>
                    <w:autoSpaceDE w:val="0"/>
                    <w:autoSpaceDN w:val="0"/>
                    <w:bidi w:val="0"/>
                    <w:adjustRightInd w:val="0"/>
                    <w:snapToGrid w:val="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sz w:val="21"/>
                      <w:szCs w:val="21"/>
                      <w:highlight w:val="none"/>
                    </w:rPr>
                    <w:t>纬度/°</w:t>
                  </w:r>
                </w:p>
              </w:tc>
            </w:tr>
            <w:tr w14:paraId="2C4222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28" w:type="dxa"/>
                  <w:vMerge w:val="restart"/>
                  <w:noWrap w:val="0"/>
                  <w:vAlign w:val="center"/>
                </w:tcPr>
                <w:p w14:paraId="162A90AC">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生活</w:t>
                  </w:r>
                </w:p>
                <w:p w14:paraId="634C47A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污水</w:t>
                  </w:r>
                </w:p>
              </w:tc>
              <w:tc>
                <w:tcPr>
                  <w:tcW w:w="720" w:type="dxa"/>
                  <w:vMerge w:val="restart"/>
                  <w:noWrap w:val="0"/>
                  <w:vAlign w:val="center"/>
                </w:tcPr>
                <w:p w14:paraId="3BC1EA1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lang w:val="en-US"/>
                    </w:rPr>
                  </w:pPr>
                  <w:r>
                    <w:rPr>
                      <w:rFonts w:hint="eastAsia" w:ascii="Times New Roman" w:hAnsi="Times New Roman" w:cs="Times New Roman"/>
                      <w:color w:val="auto"/>
                      <w:kern w:val="0"/>
                      <w:sz w:val="21"/>
                      <w:szCs w:val="21"/>
                      <w:highlight w:val="none"/>
                      <w:lang w:val="en-US" w:eastAsia="zh-CN"/>
                    </w:rPr>
                    <w:t>480</w:t>
                  </w:r>
                </w:p>
              </w:tc>
              <w:tc>
                <w:tcPr>
                  <w:tcW w:w="813" w:type="dxa"/>
                  <w:noWrap w:val="0"/>
                  <w:vAlign w:val="center"/>
                </w:tcPr>
                <w:p w14:paraId="7B87E35B">
                  <w:pPr>
                    <w:keepNext w:val="0"/>
                    <w:keepLines w:val="0"/>
                    <w:pageBreakBefore w:val="0"/>
                    <w:kinsoku/>
                    <w:wordWrap/>
                    <w:overflowPunct/>
                    <w:bidi w:val="0"/>
                    <w:adjustRightInd w:val="0"/>
                    <w:snapToGrid w:val="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kern w:val="0"/>
                      <w:sz w:val="21"/>
                      <w:szCs w:val="21"/>
                      <w:highlight w:val="none"/>
                      <w:lang w:val="en-US" w:eastAsia="zh-CN" w:bidi="ar"/>
                    </w:rPr>
                    <w:t>pH</w:t>
                  </w:r>
                </w:p>
              </w:tc>
              <w:tc>
                <w:tcPr>
                  <w:tcW w:w="720" w:type="dxa"/>
                  <w:noWrap w:val="0"/>
                  <w:vAlign w:val="center"/>
                </w:tcPr>
                <w:p w14:paraId="1F3BC92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6-9</w:t>
                  </w:r>
                </w:p>
              </w:tc>
              <w:tc>
                <w:tcPr>
                  <w:tcW w:w="880" w:type="dxa"/>
                  <w:noWrap w:val="0"/>
                  <w:vAlign w:val="center"/>
                </w:tcPr>
                <w:p w14:paraId="3DDFD3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507" w:type="dxa"/>
                  <w:vMerge w:val="restart"/>
                  <w:noWrap w:val="0"/>
                  <w:vAlign w:val="center"/>
                </w:tcPr>
                <w:p w14:paraId="15D61E2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val="0"/>
                      <w:bCs w:val="0"/>
                      <w:color w:val="auto"/>
                      <w:kern w:val="0"/>
                      <w:sz w:val="21"/>
                      <w:szCs w:val="21"/>
                      <w:highlight w:val="none"/>
                    </w:rPr>
                  </w:pPr>
                  <w:r>
                    <w:rPr>
                      <w:rFonts w:hint="default" w:ascii="Times New Roman" w:hAnsi="Times New Roman" w:cs="Times New Roman"/>
                      <w:b w:val="0"/>
                      <w:bCs w:val="0"/>
                      <w:color w:val="auto"/>
                      <w:kern w:val="0"/>
                      <w:sz w:val="21"/>
                      <w:szCs w:val="21"/>
                      <w:highlight w:val="none"/>
                      <w:lang w:val="en-US" w:eastAsia="zh-CN"/>
                    </w:rPr>
                    <w:t>2</w:t>
                  </w:r>
                  <w:r>
                    <w:rPr>
                      <w:rFonts w:hint="eastAsia" w:ascii="Times New Roman" w:hAnsi="Times New Roman" w:cs="Times New Roman"/>
                      <w:b w:val="0"/>
                      <w:bCs w:val="0"/>
                      <w:color w:val="auto"/>
                      <w:kern w:val="0"/>
                      <w:sz w:val="21"/>
                      <w:szCs w:val="21"/>
                      <w:highlight w:val="none"/>
                      <w:lang w:val="en-US" w:eastAsia="zh-CN"/>
                    </w:rPr>
                    <w:t>座</w:t>
                  </w:r>
                  <w:r>
                    <w:rPr>
                      <w:rFonts w:hint="default" w:ascii="Times New Roman" w:hAnsi="Times New Roman" w:cs="Times New Roman"/>
                      <w:b w:val="0"/>
                      <w:bCs w:val="0"/>
                      <w:color w:val="auto"/>
                      <w:kern w:val="0"/>
                      <w:sz w:val="21"/>
                      <w:szCs w:val="21"/>
                      <w:highlight w:val="none"/>
                      <w:lang w:val="en-US" w:eastAsia="zh-CN"/>
                    </w:rPr>
                    <w:t>50m</w:t>
                  </w:r>
                  <w:r>
                    <w:rPr>
                      <w:rFonts w:hint="default" w:ascii="Times New Roman" w:hAnsi="Times New Roman" w:cs="Times New Roman"/>
                      <w:b w:val="0"/>
                      <w:bCs w:val="0"/>
                      <w:color w:val="auto"/>
                      <w:kern w:val="0"/>
                      <w:sz w:val="21"/>
                      <w:szCs w:val="21"/>
                      <w:highlight w:val="none"/>
                      <w:vertAlign w:val="superscript"/>
                      <w:lang w:val="en-US" w:eastAsia="zh-CN"/>
                    </w:rPr>
                    <w:t>3</w:t>
                  </w:r>
                  <w:r>
                    <w:rPr>
                      <w:rFonts w:hint="default" w:ascii="Times New Roman" w:hAnsi="Times New Roman" w:cs="Times New Roman"/>
                      <w:b w:val="0"/>
                      <w:bCs w:val="0"/>
                      <w:color w:val="auto"/>
                      <w:kern w:val="0"/>
                      <w:sz w:val="21"/>
                      <w:szCs w:val="21"/>
                      <w:highlight w:val="none"/>
                      <w:lang w:val="en-US" w:eastAsia="zh-CN"/>
                    </w:rPr>
                    <w:t>化粪池</w:t>
                  </w:r>
                </w:p>
              </w:tc>
              <w:tc>
                <w:tcPr>
                  <w:tcW w:w="746" w:type="dxa"/>
                  <w:vMerge w:val="restart"/>
                  <w:noWrap w:val="0"/>
                  <w:vAlign w:val="center"/>
                </w:tcPr>
                <w:p w14:paraId="1155341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704.64</w:t>
                  </w:r>
                </w:p>
              </w:tc>
              <w:tc>
                <w:tcPr>
                  <w:tcW w:w="480" w:type="dxa"/>
                  <w:noWrap w:val="0"/>
                  <w:vAlign w:val="center"/>
                </w:tcPr>
                <w:p w14:paraId="5ED68468">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kern w:val="0"/>
                      <w:sz w:val="21"/>
                      <w:szCs w:val="21"/>
                      <w:highlight w:val="none"/>
                      <w:vertAlign w:val="subscript"/>
                      <w:lang w:val="en-US" w:eastAsia="zh-CN"/>
                    </w:rPr>
                  </w:pPr>
                  <w:r>
                    <w:rPr>
                      <w:rFonts w:hint="eastAsia" w:ascii="Times New Roman" w:hAnsi="Times New Roman" w:cs="Times New Roman"/>
                      <w:color w:val="auto"/>
                      <w:kern w:val="0"/>
                      <w:sz w:val="21"/>
                      <w:szCs w:val="21"/>
                      <w:highlight w:val="none"/>
                      <w:lang w:val="en-US" w:eastAsia="zh-CN" w:bidi="ar"/>
                    </w:rPr>
                    <w:t>/</w:t>
                  </w:r>
                </w:p>
              </w:tc>
              <w:tc>
                <w:tcPr>
                  <w:tcW w:w="654" w:type="dxa"/>
                  <w:noWrap w:val="0"/>
                  <w:vAlign w:val="center"/>
                </w:tcPr>
                <w:p w14:paraId="2C790117">
                  <w:pPr>
                    <w:keepNext w:val="0"/>
                    <w:keepLines w:val="0"/>
                    <w:pageBreakBefore w:val="0"/>
                    <w:kinsoku/>
                    <w:wordWrap/>
                    <w:overflowPunct/>
                    <w:bidi w:val="0"/>
                    <w:adjustRightInd w:val="0"/>
                    <w:snapToGrid w:val="0"/>
                    <w:ind w:left="0" w:leftChars="0" w:right="0" w:rightChars="0"/>
                    <w:jc w:val="center"/>
                    <w:textAlignment w:val="center"/>
                    <w:rPr>
                      <w:rFonts w:hint="eastAsia"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pH</w:t>
                  </w:r>
                </w:p>
              </w:tc>
              <w:tc>
                <w:tcPr>
                  <w:tcW w:w="832" w:type="dxa"/>
                  <w:noWrap w:val="0"/>
                  <w:vAlign w:val="center"/>
                </w:tcPr>
                <w:p w14:paraId="16D47D47">
                  <w:pPr>
                    <w:keepNext w:val="0"/>
                    <w:keepLines w:val="0"/>
                    <w:widowControl/>
                    <w:suppressLineNumbers w:val="0"/>
                    <w:jc w:val="center"/>
                    <w:textAlignment w:val="center"/>
                    <w:rPr>
                      <w:rFonts w:hint="default" w:ascii="Times New Roman" w:hAnsi="Times New Roman" w:cs="Times New Roman"/>
                      <w:b w:val="0"/>
                      <w:bCs w:val="0"/>
                      <w:color w:val="auto"/>
                      <w:highlight w:val="none"/>
                      <w:lang w:val="en-US" w:eastAsia="zh-CN"/>
                    </w:rPr>
                  </w:pPr>
                  <w:r>
                    <w:rPr>
                      <w:rFonts w:hint="eastAsia" w:ascii="Times New Roman" w:hAnsi="Times New Roman" w:cs="Times New Roman"/>
                      <w:i w:val="0"/>
                      <w:iCs w:val="0"/>
                      <w:color w:val="auto"/>
                      <w:kern w:val="0"/>
                      <w:sz w:val="21"/>
                      <w:szCs w:val="21"/>
                      <w:highlight w:val="none"/>
                      <w:u w:val="none"/>
                      <w:lang w:val="en-US" w:eastAsia="zh-CN" w:bidi="ar"/>
                    </w:rPr>
                    <w:t>6-9</w:t>
                  </w:r>
                </w:p>
              </w:tc>
              <w:tc>
                <w:tcPr>
                  <w:tcW w:w="870" w:type="dxa"/>
                  <w:noWrap w:val="0"/>
                  <w:vAlign w:val="center"/>
                </w:tcPr>
                <w:p w14:paraId="643D8A5F">
                  <w:pPr>
                    <w:keepNext w:val="0"/>
                    <w:keepLines w:val="0"/>
                    <w:widowControl/>
                    <w:suppressLineNumbers w:val="0"/>
                    <w:jc w:val="center"/>
                    <w:textAlignment w:val="center"/>
                    <w:rPr>
                      <w:rFonts w:hint="default" w:ascii="Times New Roman" w:hAnsi="Times New Roman" w:cs="Times New Roman"/>
                      <w:b w:val="0"/>
                      <w:bCs w:val="0"/>
                      <w:color w:val="auto"/>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645" w:type="dxa"/>
                  <w:vMerge w:val="restart"/>
                  <w:noWrap w:val="0"/>
                  <w:vAlign w:val="center"/>
                </w:tcPr>
                <w:p w14:paraId="0FB9F2A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间接排放</w:t>
                  </w:r>
                </w:p>
              </w:tc>
              <w:tc>
                <w:tcPr>
                  <w:tcW w:w="777" w:type="dxa"/>
                  <w:noWrap w:val="0"/>
                  <w:vAlign w:val="center"/>
                </w:tcPr>
                <w:p w14:paraId="5CA7092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6-9</w:t>
                  </w:r>
                </w:p>
              </w:tc>
              <w:tc>
                <w:tcPr>
                  <w:tcW w:w="832" w:type="dxa"/>
                  <w:vMerge w:val="restart"/>
                  <w:noWrap w:val="0"/>
                  <w:vAlign w:val="center"/>
                </w:tcPr>
                <w:p w14:paraId="0FFD08EF">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eastAsia="zh-CN"/>
                    </w:rPr>
                    <w:t>山南新区污水处理厂</w:t>
                  </w:r>
                </w:p>
              </w:tc>
              <w:tc>
                <w:tcPr>
                  <w:tcW w:w="775" w:type="dxa"/>
                  <w:vMerge w:val="restart"/>
                  <w:noWrap w:val="0"/>
                  <w:vAlign w:val="center"/>
                </w:tcPr>
                <w:p w14:paraId="2FE0A15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间断</w:t>
                  </w:r>
                  <w:r>
                    <w:rPr>
                      <w:rFonts w:hint="default" w:ascii="Times New Roman" w:hAnsi="Times New Roman" w:cs="Times New Roman"/>
                      <w:color w:val="auto"/>
                      <w:kern w:val="0"/>
                      <w:sz w:val="21"/>
                      <w:szCs w:val="21"/>
                      <w:highlight w:val="none"/>
                    </w:rPr>
                    <w:t>排放</w:t>
                  </w:r>
                </w:p>
              </w:tc>
              <w:tc>
                <w:tcPr>
                  <w:tcW w:w="616" w:type="dxa"/>
                  <w:vMerge w:val="restart"/>
                  <w:noWrap w:val="0"/>
                  <w:vAlign w:val="center"/>
                </w:tcPr>
                <w:p w14:paraId="2930BB26">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DW001</w:t>
                  </w:r>
                </w:p>
              </w:tc>
              <w:tc>
                <w:tcPr>
                  <w:tcW w:w="515" w:type="dxa"/>
                  <w:vMerge w:val="restart"/>
                  <w:noWrap w:val="0"/>
                  <w:vAlign w:val="center"/>
                </w:tcPr>
                <w:p w14:paraId="67B1F8E4">
                  <w:pPr>
                    <w:keepNext w:val="0"/>
                    <w:keepLines w:val="0"/>
                    <w:pageBreakBefore w:val="0"/>
                    <w:kinsoku/>
                    <w:wordWrap/>
                    <w:overflowPunct/>
                    <w:topLinePunct/>
                    <w:autoSpaceDE w:val="0"/>
                    <w:bidi w:val="0"/>
                    <w:adjustRightInd w:val="0"/>
                    <w:snapToGrid w:val="0"/>
                    <w:ind w:left="0" w:right="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一般排口</w:t>
                  </w:r>
                </w:p>
              </w:tc>
              <w:tc>
                <w:tcPr>
                  <w:tcW w:w="1077" w:type="dxa"/>
                  <w:vMerge w:val="restart"/>
                  <w:noWrap w:val="0"/>
                  <w:vAlign w:val="center"/>
                </w:tcPr>
                <w:p w14:paraId="5513D95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116.98312</w:t>
                  </w:r>
                  <w:r>
                    <w:rPr>
                      <w:rFonts w:hint="default" w:ascii="Times New Roman" w:hAnsi="Times New Roman" w:cs="Times New Roman"/>
                      <w:color w:val="auto"/>
                      <w:kern w:val="0"/>
                      <w:sz w:val="21"/>
                      <w:szCs w:val="21"/>
                      <w:highlight w:val="none"/>
                      <w:lang w:val="en-US" w:eastAsia="zh-CN"/>
                    </w:rPr>
                    <w:t>6</w:t>
                  </w:r>
                </w:p>
              </w:tc>
              <w:tc>
                <w:tcPr>
                  <w:tcW w:w="906" w:type="dxa"/>
                  <w:vMerge w:val="restart"/>
                  <w:noWrap w:val="0"/>
                  <w:vAlign w:val="center"/>
                </w:tcPr>
                <w:p w14:paraId="6756E56C">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32.55563</w:t>
                  </w:r>
                  <w:r>
                    <w:rPr>
                      <w:rFonts w:hint="default" w:ascii="Times New Roman" w:hAnsi="Times New Roman" w:cs="Times New Roman"/>
                      <w:color w:val="auto"/>
                      <w:kern w:val="0"/>
                      <w:sz w:val="21"/>
                      <w:szCs w:val="21"/>
                      <w:highlight w:val="none"/>
                      <w:lang w:val="en-US" w:eastAsia="zh-CN"/>
                    </w:rPr>
                    <w:t>3</w:t>
                  </w:r>
                </w:p>
              </w:tc>
            </w:tr>
            <w:tr w14:paraId="2CE0E0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8" w:type="dxa"/>
                  <w:vMerge w:val="continue"/>
                  <w:noWrap w:val="0"/>
                  <w:vAlign w:val="center"/>
                </w:tcPr>
                <w:p w14:paraId="6C8BC35F">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20" w:type="dxa"/>
                  <w:vMerge w:val="continue"/>
                  <w:noWrap w:val="0"/>
                  <w:vAlign w:val="center"/>
                </w:tcPr>
                <w:p w14:paraId="4FE9C72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813" w:type="dxa"/>
                  <w:noWrap w:val="0"/>
                  <w:vAlign w:val="center"/>
                </w:tcPr>
                <w:p w14:paraId="236B6D1F">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COD</w:t>
                  </w:r>
                </w:p>
              </w:tc>
              <w:tc>
                <w:tcPr>
                  <w:tcW w:w="720" w:type="dxa"/>
                  <w:noWrap w:val="0"/>
                  <w:vAlign w:val="center"/>
                </w:tcPr>
                <w:p w14:paraId="29FBF8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400</w:t>
                  </w:r>
                </w:p>
              </w:tc>
              <w:tc>
                <w:tcPr>
                  <w:tcW w:w="880" w:type="dxa"/>
                  <w:noWrap w:val="0"/>
                  <w:vAlign w:val="center"/>
                </w:tcPr>
                <w:p w14:paraId="67F272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0.192</w:t>
                  </w:r>
                </w:p>
              </w:tc>
              <w:tc>
                <w:tcPr>
                  <w:tcW w:w="507" w:type="dxa"/>
                  <w:vMerge w:val="continue"/>
                  <w:noWrap w:val="0"/>
                  <w:vAlign w:val="center"/>
                </w:tcPr>
                <w:p w14:paraId="68CBE74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b w:val="0"/>
                      <w:bCs w:val="0"/>
                      <w:color w:val="auto"/>
                      <w:kern w:val="0"/>
                      <w:sz w:val="21"/>
                      <w:szCs w:val="21"/>
                      <w:highlight w:val="none"/>
                    </w:rPr>
                  </w:pPr>
                </w:p>
              </w:tc>
              <w:tc>
                <w:tcPr>
                  <w:tcW w:w="746" w:type="dxa"/>
                  <w:vMerge w:val="continue"/>
                  <w:noWrap w:val="0"/>
                  <w:vAlign w:val="center"/>
                </w:tcPr>
                <w:p w14:paraId="09CB35C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480" w:type="dxa"/>
                  <w:noWrap w:val="0"/>
                  <w:vAlign w:val="center"/>
                </w:tcPr>
                <w:p w14:paraId="743A7B58">
                  <w:pPr>
                    <w:keepNext w:val="0"/>
                    <w:keepLines w:val="0"/>
                    <w:pageBreakBefore w:val="0"/>
                    <w:kinsoku/>
                    <w:wordWrap/>
                    <w:overflowPunct/>
                    <w:bidi w:val="0"/>
                    <w:adjustRightInd w:val="0"/>
                    <w:snapToGrid w:val="0"/>
                    <w:ind w:left="0" w:leftChars="0" w:right="0" w:rightChars="0"/>
                    <w:jc w:val="center"/>
                    <w:textAlignment w:val="center"/>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cs="Times New Roman"/>
                      <w:color w:val="auto"/>
                      <w:kern w:val="0"/>
                      <w:sz w:val="21"/>
                      <w:szCs w:val="21"/>
                      <w:highlight w:val="none"/>
                      <w:lang w:val="en-US" w:eastAsia="zh-CN" w:bidi="ar"/>
                    </w:rPr>
                    <w:t>/</w:t>
                  </w:r>
                </w:p>
              </w:tc>
              <w:tc>
                <w:tcPr>
                  <w:tcW w:w="654" w:type="dxa"/>
                  <w:noWrap w:val="0"/>
                  <w:vAlign w:val="center"/>
                </w:tcPr>
                <w:p w14:paraId="6BA7019C">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COD</w:t>
                  </w:r>
                </w:p>
              </w:tc>
              <w:tc>
                <w:tcPr>
                  <w:tcW w:w="832" w:type="dxa"/>
                  <w:noWrap w:val="0"/>
                  <w:vAlign w:val="center"/>
                </w:tcPr>
                <w:p w14:paraId="18DB9DEC">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336.20 </w:t>
                  </w:r>
                </w:p>
              </w:tc>
              <w:tc>
                <w:tcPr>
                  <w:tcW w:w="870" w:type="dxa"/>
                  <w:noWrap w:val="0"/>
                  <w:vAlign w:val="center"/>
                </w:tcPr>
                <w:p w14:paraId="4BDDA79E">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0.2369</w:t>
                  </w:r>
                </w:p>
              </w:tc>
              <w:tc>
                <w:tcPr>
                  <w:tcW w:w="645" w:type="dxa"/>
                  <w:vMerge w:val="continue"/>
                  <w:noWrap w:val="0"/>
                  <w:vAlign w:val="center"/>
                </w:tcPr>
                <w:p w14:paraId="4888B8B6">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7" w:type="dxa"/>
                  <w:noWrap w:val="0"/>
                  <w:vAlign w:val="center"/>
                </w:tcPr>
                <w:p w14:paraId="178FB2F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400</w:t>
                  </w:r>
                </w:p>
              </w:tc>
              <w:tc>
                <w:tcPr>
                  <w:tcW w:w="832" w:type="dxa"/>
                  <w:vMerge w:val="continue"/>
                  <w:noWrap w:val="0"/>
                  <w:vAlign w:val="center"/>
                </w:tcPr>
                <w:p w14:paraId="576E60E0">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5" w:type="dxa"/>
                  <w:vMerge w:val="continue"/>
                  <w:noWrap w:val="0"/>
                  <w:vAlign w:val="center"/>
                </w:tcPr>
                <w:p w14:paraId="4F88A41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616" w:type="dxa"/>
                  <w:vMerge w:val="continue"/>
                  <w:noWrap w:val="0"/>
                  <w:vAlign w:val="center"/>
                </w:tcPr>
                <w:p w14:paraId="01FA231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515" w:type="dxa"/>
                  <w:vMerge w:val="continue"/>
                  <w:noWrap w:val="0"/>
                  <w:vAlign w:val="center"/>
                </w:tcPr>
                <w:p w14:paraId="463F68DF">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1077" w:type="dxa"/>
                  <w:vMerge w:val="continue"/>
                  <w:noWrap w:val="0"/>
                  <w:vAlign w:val="center"/>
                </w:tcPr>
                <w:p w14:paraId="35D6294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906" w:type="dxa"/>
                  <w:vMerge w:val="continue"/>
                  <w:noWrap w:val="0"/>
                  <w:vAlign w:val="center"/>
                </w:tcPr>
                <w:p w14:paraId="4A1F9050">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r>
            <w:tr w14:paraId="0A15C5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28" w:type="dxa"/>
                  <w:vMerge w:val="continue"/>
                  <w:noWrap w:val="0"/>
                  <w:vAlign w:val="center"/>
                </w:tcPr>
                <w:p w14:paraId="4C6093D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20" w:type="dxa"/>
                  <w:vMerge w:val="continue"/>
                  <w:noWrap w:val="0"/>
                  <w:vAlign w:val="center"/>
                </w:tcPr>
                <w:p w14:paraId="4C491716">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813" w:type="dxa"/>
                  <w:noWrap w:val="0"/>
                  <w:vAlign w:val="center"/>
                </w:tcPr>
                <w:p w14:paraId="24B57C01">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SS</w:t>
                  </w:r>
                </w:p>
              </w:tc>
              <w:tc>
                <w:tcPr>
                  <w:tcW w:w="720" w:type="dxa"/>
                  <w:noWrap w:val="0"/>
                  <w:vAlign w:val="center"/>
                </w:tcPr>
                <w:p w14:paraId="2E4A2FD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200</w:t>
                  </w:r>
                </w:p>
              </w:tc>
              <w:tc>
                <w:tcPr>
                  <w:tcW w:w="880" w:type="dxa"/>
                  <w:noWrap w:val="0"/>
                  <w:vAlign w:val="center"/>
                </w:tcPr>
                <w:p w14:paraId="3F84D4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0.096</w:t>
                  </w:r>
                </w:p>
              </w:tc>
              <w:tc>
                <w:tcPr>
                  <w:tcW w:w="507" w:type="dxa"/>
                  <w:vMerge w:val="continue"/>
                  <w:noWrap w:val="0"/>
                  <w:vAlign w:val="center"/>
                </w:tcPr>
                <w:p w14:paraId="6E1F1C3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46" w:type="dxa"/>
                  <w:vMerge w:val="continue"/>
                  <w:noWrap w:val="0"/>
                  <w:vAlign w:val="center"/>
                </w:tcPr>
                <w:p w14:paraId="422CCBA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480" w:type="dxa"/>
                  <w:vMerge w:val="restart"/>
                  <w:noWrap w:val="0"/>
                  <w:vAlign w:val="center"/>
                </w:tcPr>
                <w:p w14:paraId="7BFC9776">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20%</w:t>
                  </w:r>
                </w:p>
              </w:tc>
              <w:tc>
                <w:tcPr>
                  <w:tcW w:w="654" w:type="dxa"/>
                  <w:vMerge w:val="restart"/>
                  <w:noWrap w:val="0"/>
                  <w:vAlign w:val="center"/>
                </w:tcPr>
                <w:p w14:paraId="583D6D41">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SS</w:t>
                  </w:r>
                </w:p>
              </w:tc>
              <w:tc>
                <w:tcPr>
                  <w:tcW w:w="832" w:type="dxa"/>
                  <w:vMerge w:val="restart"/>
                  <w:noWrap w:val="0"/>
                  <w:vAlign w:val="center"/>
                </w:tcPr>
                <w:p w14:paraId="37B670A0">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185.48 </w:t>
                  </w:r>
                </w:p>
              </w:tc>
              <w:tc>
                <w:tcPr>
                  <w:tcW w:w="870" w:type="dxa"/>
                  <w:vMerge w:val="restart"/>
                  <w:noWrap w:val="0"/>
                  <w:vAlign w:val="center"/>
                </w:tcPr>
                <w:p w14:paraId="62706C9B">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0.1307</w:t>
                  </w:r>
                </w:p>
              </w:tc>
              <w:tc>
                <w:tcPr>
                  <w:tcW w:w="645" w:type="dxa"/>
                  <w:vMerge w:val="continue"/>
                  <w:noWrap w:val="0"/>
                  <w:vAlign w:val="center"/>
                </w:tcPr>
                <w:p w14:paraId="24C516E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7" w:type="dxa"/>
                  <w:vMerge w:val="restart"/>
                  <w:noWrap w:val="0"/>
                  <w:vAlign w:val="center"/>
                </w:tcPr>
                <w:p w14:paraId="08D4B99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200</w:t>
                  </w:r>
                </w:p>
              </w:tc>
              <w:tc>
                <w:tcPr>
                  <w:tcW w:w="832" w:type="dxa"/>
                  <w:vMerge w:val="continue"/>
                  <w:noWrap w:val="0"/>
                  <w:vAlign w:val="center"/>
                </w:tcPr>
                <w:p w14:paraId="09FA5C69">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5" w:type="dxa"/>
                  <w:vMerge w:val="continue"/>
                  <w:noWrap w:val="0"/>
                  <w:vAlign w:val="center"/>
                </w:tcPr>
                <w:p w14:paraId="17E9549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616" w:type="dxa"/>
                  <w:vMerge w:val="continue"/>
                  <w:noWrap w:val="0"/>
                  <w:vAlign w:val="center"/>
                </w:tcPr>
                <w:p w14:paraId="173573B0">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515" w:type="dxa"/>
                  <w:vMerge w:val="continue"/>
                  <w:noWrap w:val="0"/>
                  <w:vAlign w:val="center"/>
                </w:tcPr>
                <w:p w14:paraId="2965A41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1077" w:type="dxa"/>
                  <w:vMerge w:val="continue"/>
                  <w:noWrap w:val="0"/>
                  <w:vAlign w:val="center"/>
                </w:tcPr>
                <w:p w14:paraId="750640F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906" w:type="dxa"/>
                  <w:vMerge w:val="continue"/>
                  <w:noWrap w:val="0"/>
                  <w:vAlign w:val="center"/>
                </w:tcPr>
                <w:p w14:paraId="4FB4E19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r>
            <w:tr w14:paraId="0EF30D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28" w:type="dxa"/>
                  <w:vMerge w:val="continue"/>
                  <w:noWrap w:val="0"/>
                  <w:vAlign w:val="center"/>
                </w:tcPr>
                <w:p w14:paraId="5936E185">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20" w:type="dxa"/>
                  <w:vMerge w:val="continue"/>
                  <w:noWrap w:val="0"/>
                  <w:vAlign w:val="center"/>
                </w:tcPr>
                <w:p w14:paraId="269E373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813" w:type="dxa"/>
                  <w:noWrap w:val="0"/>
                  <w:vAlign w:val="center"/>
                </w:tcPr>
                <w:p w14:paraId="556F8E37">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BOD</w:t>
                  </w:r>
                  <w:r>
                    <w:rPr>
                      <w:rFonts w:hint="default" w:ascii="Times New Roman" w:hAnsi="Times New Roman" w:cs="Times New Roman"/>
                      <w:color w:val="auto"/>
                      <w:sz w:val="21"/>
                      <w:szCs w:val="21"/>
                      <w:highlight w:val="none"/>
                      <w:vertAlign w:val="subscript"/>
                    </w:rPr>
                    <w:t>5</w:t>
                  </w:r>
                </w:p>
              </w:tc>
              <w:tc>
                <w:tcPr>
                  <w:tcW w:w="720" w:type="dxa"/>
                  <w:noWrap w:val="0"/>
                  <w:vAlign w:val="center"/>
                </w:tcPr>
                <w:p w14:paraId="25C9D7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180</w:t>
                  </w:r>
                </w:p>
              </w:tc>
              <w:tc>
                <w:tcPr>
                  <w:tcW w:w="880" w:type="dxa"/>
                  <w:noWrap w:val="0"/>
                  <w:vAlign w:val="center"/>
                </w:tcPr>
                <w:p w14:paraId="34E38B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0.0864</w:t>
                  </w:r>
                </w:p>
              </w:tc>
              <w:tc>
                <w:tcPr>
                  <w:tcW w:w="507" w:type="dxa"/>
                  <w:vMerge w:val="continue"/>
                  <w:noWrap w:val="0"/>
                  <w:vAlign w:val="center"/>
                </w:tcPr>
                <w:p w14:paraId="20F2A01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46" w:type="dxa"/>
                  <w:vMerge w:val="continue"/>
                  <w:noWrap w:val="0"/>
                  <w:vAlign w:val="center"/>
                </w:tcPr>
                <w:p w14:paraId="310DB2BB">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480" w:type="dxa"/>
                  <w:vMerge w:val="continue"/>
                  <w:noWrap w:val="0"/>
                  <w:vAlign w:val="center"/>
                </w:tcPr>
                <w:p w14:paraId="2BC97BB1">
                  <w:pPr>
                    <w:keepNext w:val="0"/>
                    <w:keepLines w:val="0"/>
                    <w:pageBreakBefore w:val="0"/>
                    <w:kinsoku/>
                    <w:wordWrap/>
                    <w:overflowPunct/>
                    <w:bidi w:val="0"/>
                    <w:adjustRightInd w:val="0"/>
                    <w:snapToGrid w:val="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rPr>
                  </w:pPr>
                </w:p>
              </w:tc>
              <w:tc>
                <w:tcPr>
                  <w:tcW w:w="654" w:type="dxa"/>
                  <w:vMerge w:val="continue"/>
                  <w:noWrap w:val="0"/>
                  <w:vAlign w:val="center"/>
                </w:tcPr>
                <w:p w14:paraId="3C750ABB">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kern w:val="0"/>
                      <w:sz w:val="21"/>
                      <w:szCs w:val="21"/>
                      <w:highlight w:val="none"/>
                    </w:rPr>
                  </w:pPr>
                </w:p>
              </w:tc>
              <w:tc>
                <w:tcPr>
                  <w:tcW w:w="832" w:type="dxa"/>
                  <w:vMerge w:val="continue"/>
                  <w:noWrap w:val="0"/>
                  <w:vAlign w:val="center"/>
                </w:tcPr>
                <w:p w14:paraId="2521241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p>
              </w:tc>
              <w:tc>
                <w:tcPr>
                  <w:tcW w:w="870" w:type="dxa"/>
                  <w:vMerge w:val="continue"/>
                  <w:noWrap w:val="0"/>
                  <w:vAlign w:val="center"/>
                </w:tcPr>
                <w:p w14:paraId="3274DE4F">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p>
              </w:tc>
              <w:tc>
                <w:tcPr>
                  <w:tcW w:w="645" w:type="dxa"/>
                  <w:vMerge w:val="continue"/>
                  <w:noWrap w:val="0"/>
                  <w:vAlign w:val="center"/>
                </w:tcPr>
                <w:p w14:paraId="42C7654F">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7" w:type="dxa"/>
                  <w:vMerge w:val="continue"/>
                  <w:noWrap w:val="0"/>
                  <w:vAlign w:val="center"/>
                </w:tcPr>
                <w:p w14:paraId="696C13B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832" w:type="dxa"/>
                  <w:vMerge w:val="continue"/>
                  <w:noWrap w:val="0"/>
                  <w:vAlign w:val="center"/>
                </w:tcPr>
                <w:p w14:paraId="6249DD3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5" w:type="dxa"/>
                  <w:vMerge w:val="continue"/>
                  <w:noWrap w:val="0"/>
                  <w:vAlign w:val="center"/>
                </w:tcPr>
                <w:p w14:paraId="1EA850F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616" w:type="dxa"/>
                  <w:vMerge w:val="continue"/>
                  <w:noWrap w:val="0"/>
                  <w:vAlign w:val="center"/>
                </w:tcPr>
                <w:p w14:paraId="7B1F7D6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515" w:type="dxa"/>
                  <w:vMerge w:val="continue"/>
                  <w:noWrap w:val="0"/>
                  <w:vAlign w:val="center"/>
                </w:tcPr>
                <w:p w14:paraId="3CE616C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1077" w:type="dxa"/>
                  <w:vMerge w:val="continue"/>
                  <w:noWrap w:val="0"/>
                  <w:vAlign w:val="center"/>
                </w:tcPr>
                <w:p w14:paraId="7121341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906" w:type="dxa"/>
                  <w:vMerge w:val="continue"/>
                  <w:noWrap w:val="0"/>
                  <w:vAlign w:val="center"/>
                </w:tcPr>
                <w:p w14:paraId="6D43419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r>
            <w:tr w14:paraId="68614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28" w:type="dxa"/>
                  <w:vMerge w:val="continue"/>
                  <w:noWrap w:val="0"/>
                  <w:vAlign w:val="center"/>
                </w:tcPr>
                <w:p w14:paraId="132DBD5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20" w:type="dxa"/>
                  <w:vMerge w:val="continue"/>
                  <w:noWrap w:val="0"/>
                  <w:vAlign w:val="center"/>
                </w:tcPr>
                <w:p w14:paraId="4529BFF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813" w:type="dxa"/>
                  <w:noWrap w:val="0"/>
                  <w:vAlign w:val="center"/>
                </w:tcPr>
                <w:p w14:paraId="0FD8765A">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氨氮</w:t>
                  </w:r>
                </w:p>
              </w:tc>
              <w:tc>
                <w:tcPr>
                  <w:tcW w:w="720" w:type="dxa"/>
                  <w:noWrap w:val="0"/>
                  <w:vAlign w:val="center"/>
                </w:tcPr>
                <w:p w14:paraId="4981BF5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880" w:type="dxa"/>
                  <w:noWrap w:val="0"/>
                  <w:vAlign w:val="center"/>
                </w:tcPr>
                <w:p w14:paraId="451B0D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0.0144</w:t>
                  </w:r>
                </w:p>
              </w:tc>
              <w:tc>
                <w:tcPr>
                  <w:tcW w:w="507" w:type="dxa"/>
                  <w:vMerge w:val="continue"/>
                  <w:noWrap w:val="0"/>
                  <w:vAlign w:val="center"/>
                </w:tcPr>
                <w:p w14:paraId="13C1412B">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46" w:type="dxa"/>
                  <w:vMerge w:val="continue"/>
                  <w:noWrap w:val="0"/>
                  <w:vAlign w:val="center"/>
                </w:tcPr>
                <w:p w14:paraId="6FF939BF">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480" w:type="dxa"/>
                  <w:noWrap w:val="0"/>
                  <w:vAlign w:val="center"/>
                </w:tcPr>
                <w:p w14:paraId="221A9435">
                  <w:pPr>
                    <w:keepNext w:val="0"/>
                    <w:keepLines w:val="0"/>
                    <w:pageBreakBefore w:val="0"/>
                    <w:kinsoku/>
                    <w:wordWrap/>
                    <w:overflowPunct/>
                    <w:bidi w:val="0"/>
                    <w:adjustRightInd w:val="0"/>
                    <w:snapToGrid w:val="0"/>
                    <w:ind w:left="0" w:leftChars="0" w:right="0" w:rightChars="0"/>
                    <w:jc w:val="center"/>
                    <w:textAlignment w:val="center"/>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cs="Times New Roman"/>
                      <w:color w:val="auto"/>
                      <w:sz w:val="21"/>
                      <w:szCs w:val="21"/>
                      <w:highlight w:val="none"/>
                      <w:lang w:val="en-US" w:eastAsia="zh-CN"/>
                    </w:rPr>
                    <w:t>/</w:t>
                  </w:r>
                </w:p>
              </w:tc>
              <w:tc>
                <w:tcPr>
                  <w:tcW w:w="654" w:type="dxa"/>
                  <w:noWrap w:val="0"/>
                  <w:vAlign w:val="center"/>
                </w:tcPr>
                <w:p w14:paraId="4A1EB540">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BOD</w:t>
                  </w:r>
                  <w:r>
                    <w:rPr>
                      <w:rFonts w:hint="default" w:ascii="Times New Roman" w:hAnsi="Times New Roman" w:cs="Times New Roman"/>
                      <w:color w:val="auto"/>
                      <w:sz w:val="21"/>
                      <w:szCs w:val="21"/>
                      <w:highlight w:val="none"/>
                      <w:vertAlign w:val="subscript"/>
                    </w:rPr>
                    <w:t>5</w:t>
                  </w:r>
                </w:p>
              </w:tc>
              <w:tc>
                <w:tcPr>
                  <w:tcW w:w="832" w:type="dxa"/>
                  <w:noWrap w:val="0"/>
                  <w:vAlign w:val="center"/>
                </w:tcPr>
                <w:p w14:paraId="773BB4E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122.62 </w:t>
                  </w:r>
                </w:p>
              </w:tc>
              <w:tc>
                <w:tcPr>
                  <w:tcW w:w="870" w:type="dxa"/>
                  <w:noWrap w:val="0"/>
                  <w:vAlign w:val="center"/>
                </w:tcPr>
                <w:p w14:paraId="7800F42F">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0.0864</w:t>
                  </w:r>
                </w:p>
              </w:tc>
              <w:tc>
                <w:tcPr>
                  <w:tcW w:w="645" w:type="dxa"/>
                  <w:vMerge w:val="continue"/>
                  <w:noWrap w:val="0"/>
                  <w:vAlign w:val="center"/>
                </w:tcPr>
                <w:p w14:paraId="6884982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7" w:type="dxa"/>
                  <w:noWrap w:val="0"/>
                  <w:vAlign w:val="center"/>
                </w:tcPr>
                <w:p w14:paraId="5991B6C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180</w:t>
                  </w:r>
                </w:p>
              </w:tc>
              <w:tc>
                <w:tcPr>
                  <w:tcW w:w="832" w:type="dxa"/>
                  <w:vMerge w:val="continue"/>
                  <w:noWrap w:val="0"/>
                  <w:vAlign w:val="center"/>
                </w:tcPr>
                <w:p w14:paraId="7E5BE63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5" w:type="dxa"/>
                  <w:vMerge w:val="continue"/>
                  <w:noWrap w:val="0"/>
                  <w:vAlign w:val="center"/>
                </w:tcPr>
                <w:p w14:paraId="30F66B60">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616" w:type="dxa"/>
                  <w:vMerge w:val="continue"/>
                  <w:noWrap w:val="0"/>
                  <w:vAlign w:val="center"/>
                </w:tcPr>
                <w:p w14:paraId="4028FCC5">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515" w:type="dxa"/>
                  <w:vMerge w:val="continue"/>
                  <w:noWrap w:val="0"/>
                  <w:vAlign w:val="center"/>
                </w:tcPr>
                <w:p w14:paraId="63DB7D8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1077" w:type="dxa"/>
                  <w:vMerge w:val="continue"/>
                  <w:noWrap w:val="0"/>
                  <w:vAlign w:val="center"/>
                </w:tcPr>
                <w:p w14:paraId="5072B41F">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906" w:type="dxa"/>
                  <w:vMerge w:val="continue"/>
                  <w:noWrap w:val="0"/>
                  <w:vAlign w:val="center"/>
                </w:tcPr>
                <w:p w14:paraId="5931B975">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r>
            <w:tr w14:paraId="6DBB23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28" w:type="dxa"/>
                  <w:vMerge w:val="restart"/>
                  <w:noWrap w:val="0"/>
                  <w:vAlign w:val="center"/>
                </w:tcPr>
                <w:p w14:paraId="079FC6F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color w:val="auto"/>
                      <w:kern w:val="0"/>
                      <w:sz w:val="21"/>
                      <w:szCs w:val="21"/>
                      <w:highlight w:val="none"/>
                      <w:lang w:val="en-US" w:eastAsia="zh-CN"/>
                    </w:rPr>
                    <w:t>车间保洁排水</w:t>
                  </w:r>
                </w:p>
              </w:tc>
              <w:tc>
                <w:tcPr>
                  <w:tcW w:w="720" w:type="dxa"/>
                  <w:vMerge w:val="restart"/>
                  <w:noWrap w:val="0"/>
                  <w:vAlign w:val="center"/>
                </w:tcPr>
                <w:p w14:paraId="4D502A78">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224.64</w:t>
                  </w:r>
                </w:p>
              </w:tc>
              <w:tc>
                <w:tcPr>
                  <w:tcW w:w="813" w:type="dxa"/>
                  <w:noWrap w:val="0"/>
                  <w:vAlign w:val="center"/>
                </w:tcPr>
                <w:p w14:paraId="4068C50F">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COD</w:t>
                  </w:r>
                </w:p>
              </w:tc>
              <w:tc>
                <w:tcPr>
                  <w:tcW w:w="720" w:type="dxa"/>
                  <w:noWrap w:val="0"/>
                  <w:vAlign w:val="center"/>
                </w:tcPr>
                <w:p w14:paraId="5A201F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200</w:t>
                  </w:r>
                </w:p>
              </w:tc>
              <w:tc>
                <w:tcPr>
                  <w:tcW w:w="880" w:type="dxa"/>
                  <w:noWrap w:val="0"/>
                  <w:vAlign w:val="center"/>
                </w:tcPr>
                <w:p w14:paraId="249A210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0.0449 </w:t>
                  </w:r>
                </w:p>
              </w:tc>
              <w:tc>
                <w:tcPr>
                  <w:tcW w:w="507" w:type="dxa"/>
                  <w:vMerge w:val="continue"/>
                  <w:noWrap w:val="0"/>
                  <w:vAlign w:val="center"/>
                </w:tcPr>
                <w:p w14:paraId="3C6AB825">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46" w:type="dxa"/>
                  <w:vMerge w:val="continue"/>
                  <w:noWrap w:val="0"/>
                  <w:vAlign w:val="center"/>
                </w:tcPr>
                <w:p w14:paraId="3A9D972C">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480" w:type="dxa"/>
                  <w:vMerge w:val="restart"/>
                  <w:noWrap w:val="0"/>
                  <w:vAlign w:val="center"/>
                </w:tcPr>
                <w:p w14:paraId="78FB1675">
                  <w:pPr>
                    <w:keepNext w:val="0"/>
                    <w:keepLines w:val="0"/>
                    <w:pageBreakBefore w:val="0"/>
                    <w:kinsoku/>
                    <w:wordWrap/>
                    <w:overflowPunct/>
                    <w:bidi w:val="0"/>
                    <w:adjustRightInd w:val="0"/>
                    <w:snapToGrid w:val="0"/>
                    <w:ind w:left="0" w:leftChars="0" w:right="0" w:rightChars="0"/>
                    <w:jc w:val="center"/>
                    <w:textAlignment w:val="center"/>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cs="Times New Roman"/>
                      <w:color w:val="auto"/>
                      <w:sz w:val="21"/>
                      <w:szCs w:val="21"/>
                      <w:highlight w:val="none"/>
                      <w:lang w:val="en-US" w:eastAsia="zh-CN"/>
                    </w:rPr>
                    <w:t>/</w:t>
                  </w:r>
                </w:p>
              </w:tc>
              <w:tc>
                <w:tcPr>
                  <w:tcW w:w="654" w:type="dxa"/>
                  <w:vMerge w:val="restart"/>
                  <w:noWrap w:val="0"/>
                  <w:vAlign w:val="center"/>
                </w:tcPr>
                <w:p w14:paraId="4D226211">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氨氮</w:t>
                  </w:r>
                </w:p>
              </w:tc>
              <w:tc>
                <w:tcPr>
                  <w:tcW w:w="832" w:type="dxa"/>
                  <w:vMerge w:val="restart"/>
                  <w:noWrap w:val="0"/>
                  <w:vAlign w:val="center"/>
                </w:tcPr>
                <w:p w14:paraId="6AA7339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20.44 </w:t>
                  </w:r>
                </w:p>
              </w:tc>
              <w:tc>
                <w:tcPr>
                  <w:tcW w:w="870" w:type="dxa"/>
                  <w:vMerge w:val="restart"/>
                  <w:noWrap w:val="0"/>
                  <w:vAlign w:val="center"/>
                </w:tcPr>
                <w:p w14:paraId="1248A9B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0.0144</w:t>
                  </w:r>
                </w:p>
              </w:tc>
              <w:tc>
                <w:tcPr>
                  <w:tcW w:w="645" w:type="dxa"/>
                  <w:vMerge w:val="continue"/>
                  <w:noWrap w:val="0"/>
                  <w:vAlign w:val="center"/>
                </w:tcPr>
                <w:p w14:paraId="0BB4450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7" w:type="dxa"/>
                  <w:vMerge w:val="restart"/>
                  <w:noWrap w:val="0"/>
                  <w:vAlign w:val="center"/>
                </w:tcPr>
                <w:p w14:paraId="08BCFC80">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35</w:t>
                  </w:r>
                </w:p>
              </w:tc>
              <w:tc>
                <w:tcPr>
                  <w:tcW w:w="832" w:type="dxa"/>
                  <w:vMerge w:val="continue"/>
                  <w:noWrap w:val="0"/>
                  <w:vAlign w:val="center"/>
                </w:tcPr>
                <w:p w14:paraId="3995094C">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5" w:type="dxa"/>
                  <w:vMerge w:val="continue"/>
                  <w:noWrap w:val="0"/>
                  <w:vAlign w:val="center"/>
                </w:tcPr>
                <w:p w14:paraId="486D8AD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616" w:type="dxa"/>
                  <w:vMerge w:val="continue"/>
                  <w:noWrap w:val="0"/>
                  <w:vAlign w:val="center"/>
                </w:tcPr>
                <w:p w14:paraId="2DB78E85">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515" w:type="dxa"/>
                  <w:vMerge w:val="continue"/>
                  <w:noWrap w:val="0"/>
                  <w:vAlign w:val="center"/>
                </w:tcPr>
                <w:p w14:paraId="51D20B9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1077" w:type="dxa"/>
                  <w:vMerge w:val="continue"/>
                  <w:noWrap w:val="0"/>
                  <w:vAlign w:val="center"/>
                </w:tcPr>
                <w:p w14:paraId="1B08456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906" w:type="dxa"/>
                  <w:vMerge w:val="continue"/>
                  <w:noWrap w:val="0"/>
                  <w:vAlign w:val="center"/>
                </w:tcPr>
                <w:p w14:paraId="6EA0B73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r>
            <w:tr w14:paraId="3097AC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28" w:type="dxa"/>
                  <w:vMerge w:val="continue"/>
                  <w:noWrap w:val="0"/>
                  <w:vAlign w:val="center"/>
                </w:tcPr>
                <w:p w14:paraId="08085C6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20" w:type="dxa"/>
                  <w:vMerge w:val="continue"/>
                  <w:noWrap w:val="0"/>
                  <w:vAlign w:val="center"/>
                </w:tcPr>
                <w:p w14:paraId="4E0680A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813" w:type="dxa"/>
                  <w:noWrap w:val="0"/>
                  <w:vAlign w:val="center"/>
                </w:tcPr>
                <w:p w14:paraId="3AF1A525">
                  <w:pPr>
                    <w:keepNext w:val="0"/>
                    <w:keepLines w:val="0"/>
                    <w:pageBreakBefore w:val="0"/>
                    <w:kinsoku/>
                    <w:wordWrap/>
                    <w:overflowPunct/>
                    <w:bidi w:val="0"/>
                    <w:adjustRightInd w:val="0"/>
                    <w:snapToGrid w:val="0"/>
                    <w:ind w:left="0" w:leftChars="0" w:right="0" w:right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SS</w:t>
                  </w:r>
                </w:p>
              </w:tc>
              <w:tc>
                <w:tcPr>
                  <w:tcW w:w="720" w:type="dxa"/>
                  <w:noWrap w:val="0"/>
                  <w:vAlign w:val="center"/>
                </w:tcPr>
                <w:p w14:paraId="6F9EF02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300</w:t>
                  </w:r>
                </w:p>
              </w:tc>
              <w:tc>
                <w:tcPr>
                  <w:tcW w:w="880" w:type="dxa"/>
                  <w:noWrap w:val="0"/>
                  <w:vAlign w:val="center"/>
                </w:tcPr>
                <w:p w14:paraId="6E47BA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0.0674 </w:t>
                  </w:r>
                </w:p>
              </w:tc>
              <w:tc>
                <w:tcPr>
                  <w:tcW w:w="507" w:type="dxa"/>
                  <w:vMerge w:val="continue"/>
                  <w:noWrap w:val="0"/>
                  <w:vAlign w:val="center"/>
                </w:tcPr>
                <w:p w14:paraId="71DD75A4">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46" w:type="dxa"/>
                  <w:vMerge w:val="continue"/>
                  <w:noWrap w:val="0"/>
                  <w:vAlign w:val="center"/>
                </w:tcPr>
                <w:p w14:paraId="27C15A23">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480" w:type="dxa"/>
                  <w:vMerge w:val="continue"/>
                  <w:noWrap w:val="0"/>
                  <w:vAlign w:val="center"/>
                </w:tcPr>
                <w:p w14:paraId="62A0028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654" w:type="dxa"/>
                  <w:vMerge w:val="continue"/>
                  <w:noWrap w:val="0"/>
                  <w:vAlign w:val="center"/>
                </w:tcPr>
                <w:p w14:paraId="1CC6E89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832" w:type="dxa"/>
                  <w:vMerge w:val="continue"/>
                  <w:noWrap w:val="0"/>
                  <w:vAlign w:val="center"/>
                </w:tcPr>
                <w:p w14:paraId="1115214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870" w:type="dxa"/>
                  <w:vMerge w:val="continue"/>
                  <w:noWrap w:val="0"/>
                  <w:vAlign w:val="center"/>
                </w:tcPr>
                <w:p w14:paraId="57956FED">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645" w:type="dxa"/>
                  <w:vMerge w:val="continue"/>
                  <w:noWrap w:val="0"/>
                  <w:vAlign w:val="center"/>
                </w:tcPr>
                <w:p w14:paraId="11BC76B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7" w:type="dxa"/>
                  <w:vMerge w:val="continue"/>
                  <w:noWrap w:val="0"/>
                  <w:vAlign w:val="center"/>
                </w:tcPr>
                <w:p w14:paraId="2B6482C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832" w:type="dxa"/>
                  <w:vMerge w:val="continue"/>
                  <w:noWrap w:val="0"/>
                  <w:vAlign w:val="center"/>
                </w:tcPr>
                <w:p w14:paraId="19138D21">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775" w:type="dxa"/>
                  <w:vMerge w:val="continue"/>
                  <w:noWrap w:val="0"/>
                  <w:vAlign w:val="center"/>
                </w:tcPr>
                <w:p w14:paraId="5CC8257A">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616" w:type="dxa"/>
                  <w:vMerge w:val="continue"/>
                  <w:noWrap w:val="0"/>
                  <w:vAlign w:val="center"/>
                </w:tcPr>
                <w:p w14:paraId="29729EC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515" w:type="dxa"/>
                  <w:vMerge w:val="continue"/>
                  <w:noWrap w:val="0"/>
                  <w:vAlign w:val="center"/>
                </w:tcPr>
                <w:p w14:paraId="175EAB8E">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1077" w:type="dxa"/>
                  <w:vMerge w:val="continue"/>
                  <w:noWrap w:val="0"/>
                  <w:vAlign w:val="center"/>
                </w:tcPr>
                <w:p w14:paraId="66B9EB82">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c>
                <w:tcPr>
                  <w:tcW w:w="906" w:type="dxa"/>
                  <w:vMerge w:val="continue"/>
                  <w:noWrap w:val="0"/>
                  <w:vAlign w:val="center"/>
                </w:tcPr>
                <w:p w14:paraId="1B60C8F7">
                  <w:pPr>
                    <w:keepNext w:val="0"/>
                    <w:keepLines w:val="0"/>
                    <w:pageBreakBefore w:val="0"/>
                    <w:kinsoku/>
                    <w:wordWrap/>
                    <w:overflowPunct/>
                    <w:topLinePunct/>
                    <w:autoSpaceDE w:val="0"/>
                    <w:bidi w:val="0"/>
                    <w:adjustRightInd w:val="0"/>
                    <w:snapToGrid w:val="0"/>
                    <w:ind w:left="0" w:right="0"/>
                    <w:jc w:val="center"/>
                    <w:rPr>
                      <w:rFonts w:hint="default" w:ascii="Times New Roman" w:hAnsi="Times New Roman" w:cs="Times New Roman"/>
                      <w:color w:val="auto"/>
                      <w:kern w:val="0"/>
                      <w:sz w:val="21"/>
                      <w:szCs w:val="21"/>
                      <w:highlight w:val="none"/>
                    </w:rPr>
                  </w:pPr>
                </w:p>
              </w:tc>
            </w:tr>
          </w:tbl>
          <w:p w14:paraId="4AD5F559">
            <w:pPr>
              <w:keepNext w:val="0"/>
              <w:keepLines w:val="0"/>
              <w:pageBreakBefore w:val="0"/>
              <w:widowControl w:val="0"/>
              <w:kinsoku/>
              <w:wordWrap/>
              <w:overflowPunct/>
              <w:topLinePunct/>
              <w:autoSpaceDE w:val="0"/>
              <w:autoSpaceDN/>
              <w:bidi w:val="0"/>
              <w:adjustRightInd w:val="0"/>
              <w:snapToGrid w:val="0"/>
              <w:spacing w:line="360" w:lineRule="auto"/>
              <w:ind w:right="0"/>
              <w:jc w:val="center"/>
              <w:textAlignment w:val="auto"/>
              <w:rPr>
                <w:rFonts w:hint="default" w:ascii="Times New Roman" w:hAnsi="Times New Roman" w:cs="Times New Roman"/>
                <w:b/>
                <w:bCs/>
                <w:color w:val="auto"/>
                <w:kern w:val="0"/>
                <w:sz w:val="24"/>
                <w:highlight w:val="none"/>
              </w:rPr>
            </w:pPr>
          </w:p>
          <w:p w14:paraId="41F9165A">
            <w:pPr>
              <w:keepNext w:val="0"/>
              <w:keepLines w:val="0"/>
              <w:pageBreakBefore w:val="0"/>
              <w:widowControl w:val="0"/>
              <w:kinsoku/>
              <w:wordWrap/>
              <w:overflowPunct/>
              <w:topLinePunct/>
              <w:autoSpaceDE w:val="0"/>
              <w:autoSpaceDN/>
              <w:bidi w:val="0"/>
              <w:adjustRightInd w:val="0"/>
              <w:snapToGrid w:val="0"/>
              <w:spacing w:line="360" w:lineRule="auto"/>
              <w:ind w:right="0"/>
              <w:jc w:val="center"/>
              <w:textAlignment w:val="auto"/>
              <w:rPr>
                <w:rFonts w:hint="default" w:ascii="Times New Roman" w:hAnsi="Times New Roman" w:cs="Times New Roman"/>
                <w:b/>
                <w:bCs/>
                <w:color w:val="auto"/>
                <w:kern w:val="0"/>
                <w:sz w:val="24"/>
                <w:highlight w:val="none"/>
              </w:rPr>
            </w:pPr>
          </w:p>
          <w:p w14:paraId="19F5F681">
            <w:pPr>
              <w:keepNext w:val="0"/>
              <w:keepLines w:val="0"/>
              <w:pageBreakBefore w:val="0"/>
              <w:widowControl w:val="0"/>
              <w:kinsoku/>
              <w:wordWrap/>
              <w:overflowPunct/>
              <w:topLinePunct/>
              <w:autoSpaceDE w:val="0"/>
              <w:autoSpaceDN/>
              <w:bidi w:val="0"/>
              <w:adjustRightInd w:val="0"/>
              <w:snapToGrid w:val="0"/>
              <w:spacing w:line="360" w:lineRule="auto"/>
              <w:ind w:right="0"/>
              <w:jc w:val="center"/>
              <w:textAlignment w:val="auto"/>
              <w:rPr>
                <w:rFonts w:hint="default" w:ascii="Times New Roman" w:hAnsi="Times New Roman" w:cs="Times New Roman"/>
                <w:b/>
                <w:bCs/>
                <w:color w:val="auto"/>
                <w:kern w:val="0"/>
                <w:sz w:val="24"/>
                <w:highlight w:val="none"/>
              </w:rPr>
            </w:pPr>
          </w:p>
          <w:p w14:paraId="366FD8A3">
            <w:pPr>
              <w:rPr>
                <w:rFonts w:hint="default" w:ascii="Times New Roman" w:hAnsi="Times New Roman" w:eastAsia="宋体" w:cs="Times New Roman"/>
                <w:color w:val="auto"/>
                <w:highlight w:val="none"/>
                <w:vertAlign w:val="baseline"/>
                <w:lang w:eastAsia="zh-CN"/>
              </w:rPr>
            </w:pPr>
          </w:p>
        </w:tc>
      </w:tr>
    </w:tbl>
    <w:p w14:paraId="3BA993A8">
      <w:pPr>
        <w:pStyle w:val="24"/>
        <w:widowControl w:val="0"/>
        <w:numPr>
          <w:ilvl w:val="0"/>
          <w:numId w:val="0"/>
        </w:numPr>
        <w:spacing w:after="120" w:afterLines="0" w:afterAutospacing="0"/>
        <w:jc w:val="both"/>
        <w:rPr>
          <w:rFonts w:hint="default" w:ascii="Times New Roman" w:hAnsi="Times New Roman" w:cs="Times New Roman"/>
          <w:color w:val="auto"/>
          <w:highlight w:val="none"/>
        </w:rPr>
        <w:sectPr>
          <w:pgSz w:w="16838" w:h="11905" w:orient="landscape"/>
          <w:pgMar w:top="1803" w:right="1440" w:bottom="1803" w:left="1440"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4"/>
        <w:gridCol w:w="8009"/>
      </w:tblGrid>
      <w:tr w14:paraId="4A8C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noWrap w:val="0"/>
            <w:vAlign w:val="center"/>
          </w:tcPr>
          <w:p w14:paraId="169B3D73">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运营</w:t>
            </w:r>
          </w:p>
          <w:p w14:paraId="597386E1">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期环</w:t>
            </w:r>
          </w:p>
          <w:p w14:paraId="2DC70C95">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境影</w:t>
            </w:r>
          </w:p>
          <w:p w14:paraId="47E4440F">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响和</w:t>
            </w:r>
          </w:p>
          <w:p w14:paraId="71FB284E">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保护</w:t>
            </w:r>
          </w:p>
          <w:p w14:paraId="75D66CF4">
            <w:pPr>
              <w:numPr>
                <w:ilvl w:val="0"/>
                <w:numId w:val="0"/>
              </w:numPr>
              <w:tabs>
                <w:tab w:val="left" w:pos="2040"/>
              </w:tabs>
              <w:jc w:val="center"/>
              <w:rPr>
                <w:rFonts w:hint="default" w:ascii="Times New Roman" w:hAnsi="Times New Roman" w:cs="Times New Roman"/>
                <w:color w:val="auto"/>
                <w:highlight w:val="none"/>
                <w:vertAlign w:val="baseline"/>
              </w:rPr>
            </w:pPr>
            <w:r>
              <w:rPr>
                <w:rFonts w:hint="default" w:ascii="Times New Roman" w:hAnsi="Times New Roman" w:cs="Times New Roman"/>
                <w:b/>
                <w:bCs w:val="0"/>
                <w:color w:val="auto"/>
                <w:sz w:val="24"/>
                <w:szCs w:val="24"/>
                <w:highlight w:val="none"/>
              </w:rPr>
              <w:t>措施</w:t>
            </w:r>
          </w:p>
        </w:tc>
        <w:tc>
          <w:tcPr>
            <w:tcW w:w="4703" w:type="pct"/>
            <w:noWrap w:val="0"/>
            <w:vAlign w:val="top"/>
          </w:tcPr>
          <w:p w14:paraId="0E0F7AD3">
            <w:pPr>
              <w:keepNext w:val="0"/>
              <w:keepLines w:val="0"/>
              <w:pageBreakBefore w:val="0"/>
              <w:widowControl w:val="0"/>
              <w:kinsoku/>
              <w:wordWrap/>
              <w:overflowPunct/>
              <w:topLinePunct/>
              <w:autoSpaceDE w:val="0"/>
              <w:autoSpaceDN/>
              <w:bidi w:val="0"/>
              <w:adjustRightInd w:val="0"/>
              <w:snapToGrid w:val="0"/>
              <w:spacing w:line="360" w:lineRule="auto"/>
              <w:ind w:left="0" w:right="0" w:firstLine="482" w:firstLineChars="200"/>
              <w:textAlignment w:val="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lang w:val="en-US" w:eastAsia="zh-CN"/>
              </w:rPr>
              <w:t>2、</w:t>
            </w:r>
            <w:r>
              <w:rPr>
                <w:rFonts w:hint="default" w:ascii="Times New Roman" w:hAnsi="Times New Roman" w:cs="Times New Roman"/>
                <w:b/>
                <w:bCs/>
                <w:color w:val="auto"/>
                <w:kern w:val="0"/>
                <w:sz w:val="24"/>
                <w:highlight w:val="none"/>
              </w:rPr>
              <w:t>水污染源监测计划</w:t>
            </w:r>
          </w:p>
          <w:p w14:paraId="513ECFE7">
            <w:pPr>
              <w:keepNext w:val="0"/>
              <w:keepLines w:val="0"/>
              <w:pageBreakBefore w:val="0"/>
              <w:widowControl w:val="0"/>
              <w:kinsoku/>
              <w:wordWrap/>
              <w:overflowPunct/>
              <w:topLinePunct/>
              <w:autoSpaceDE w:val="0"/>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
                <w:bCs/>
                <w:snapToGrid w:val="0"/>
                <w:color w:val="auto"/>
                <w:kern w:val="0"/>
                <w:sz w:val="24"/>
                <w:highlight w:val="none"/>
                <w:lang w:eastAsia="zh-CN"/>
              </w:rPr>
            </w:pPr>
            <w:r>
              <w:rPr>
                <w:rFonts w:hint="default" w:ascii="Times New Roman" w:hAnsi="Times New Roman" w:cs="Times New Roman"/>
                <w:snapToGrid w:val="0"/>
                <w:color w:val="auto"/>
                <w:sz w:val="24"/>
                <w:highlight w:val="none"/>
              </w:rPr>
              <w:t>根据《</w:t>
            </w:r>
            <w:r>
              <w:rPr>
                <w:rFonts w:hint="default" w:ascii="Times New Roman" w:hAnsi="Times New Roman" w:cs="Times New Roman"/>
                <w:snapToGrid w:val="0"/>
                <w:color w:val="auto"/>
                <w:sz w:val="24"/>
                <w:highlight w:val="none"/>
                <w:lang w:val="en-US" w:eastAsia="zh-CN"/>
              </w:rPr>
              <w:t>排污许可证申请与核发技术规范</w:t>
            </w:r>
            <w:r>
              <w:rPr>
                <w:rFonts w:hint="default" w:ascii="Times New Roman" w:hAnsi="Times New Roman" w:cs="Times New Roman"/>
                <w:snapToGrid w:val="0"/>
                <w:color w:val="auto"/>
                <w:sz w:val="24"/>
                <w:highlight w:val="none"/>
              </w:rPr>
              <w:t xml:space="preserve"> </w:t>
            </w:r>
            <w:r>
              <w:rPr>
                <w:rFonts w:hint="default" w:ascii="Times New Roman" w:hAnsi="Times New Roman" w:cs="Times New Roman"/>
                <w:snapToGrid w:val="0"/>
                <w:color w:val="auto"/>
                <w:sz w:val="24"/>
                <w:highlight w:val="none"/>
                <w:lang w:val="en-US" w:eastAsia="zh-CN"/>
              </w:rPr>
              <w:t>汽车制造业</w:t>
            </w:r>
            <w:r>
              <w:rPr>
                <w:rFonts w:hint="default" w:ascii="Times New Roman" w:hAnsi="Times New Roman" w:cs="Times New Roman"/>
                <w:snapToGrid w:val="0"/>
                <w:color w:val="auto"/>
                <w:sz w:val="24"/>
                <w:highlight w:val="none"/>
              </w:rPr>
              <w:t>》（HJ</w:t>
            </w:r>
            <w:r>
              <w:rPr>
                <w:rFonts w:hint="default" w:ascii="Times New Roman" w:hAnsi="Times New Roman" w:cs="Times New Roman"/>
                <w:snapToGrid w:val="0"/>
                <w:color w:val="auto"/>
                <w:sz w:val="24"/>
                <w:highlight w:val="none"/>
                <w:lang w:val="en-US" w:eastAsia="zh-CN"/>
              </w:rPr>
              <w:t xml:space="preserve"> 971</w:t>
            </w:r>
            <w:r>
              <w:rPr>
                <w:rFonts w:hint="default" w:ascii="Times New Roman" w:hAnsi="Times New Roman" w:cs="Times New Roman"/>
                <w:snapToGrid w:val="0"/>
                <w:color w:val="auto"/>
                <w:sz w:val="24"/>
                <w:highlight w:val="none"/>
              </w:rPr>
              <w:t>-20</w:t>
            </w:r>
            <w:r>
              <w:rPr>
                <w:rFonts w:hint="default" w:ascii="Times New Roman" w:hAnsi="Times New Roman" w:cs="Times New Roman"/>
                <w:snapToGrid w:val="0"/>
                <w:color w:val="auto"/>
                <w:sz w:val="24"/>
                <w:highlight w:val="none"/>
                <w:lang w:val="en-US" w:eastAsia="zh-CN"/>
              </w:rPr>
              <w:t>18</w:t>
            </w:r>
            <w:r>
              <w:rPr>
                <w:rFonts w:hint="default" w:ascii="Times New Roman" w:hAnsi="Times New Roman" w:cs="Times New Roman"/>
                <w:snapToGrid w:val="0"/>
                <w:color w:val="auto"/>
                <w:sz w:val="24"/>
                <w:highlight w:val="none"/>
              </w:rPr>
              <w:t>），排污单位废水监测点位、监测指标及最低监测频次按下表执行。</w:t>
            </w:r>
            <w:r>
              <w:rPr>
                <w:rFonts w:hint="default" w:ascii="Times New Roman" w:hAnsi="Times New Roman" w:cs="Times New Roman"/>
                <w:snapToGrid w:val="0"/>
                <w:color w:val="auto"/>
                <w:sz w:val="24"/>
                <w:highlight w:val="none"/>
                <w:lang w:val="en-US" w:eastAsia="zh-CN"/>
              </w:rPr>
              <w:t>本</w:t>
            </w:r>
            <w:r>
              <w:rPr>
                <w:rFonts w:hint="default" w:ascii="Times New Roman" w:hAnsi="Times New Roman" w:cs="Times New Roman"/>
                <w:snapToGrid w:val="0"/>
                <w:color w:val="auto"/>
                <w:sz w:val="24"/>
                <w:highlight w:val="none"/>
              </w:rPr>
              <w:t>项目的国民经济行业类别为</w:t>
            </w:r>
            <w:r>
              <w:rPr>
                <w:rFonts w:hint="default" w:ascii="Times New Roman" w:hAnsi="Times New Roman" w:cs="Times New Roman"/>
                <w:color w:val="auto"/>
                <w:sz w:val="24"/>
                <w:highlight w:val="none"/>
                <w:lang w:val="en-US" w:eastAsia="zh-CN"/>
              </w:rPr>
              <w:t>C3670</w:t>
            </w:r>
            <w:r>
              <w:rPr>
                <w:rFonts w:hint="default" w:ascii="Times New Roman" w:hAnsi="Times New Roman" w:cs="Times New Roman"/>
                <w:color w:val="auto"/>
                <w:sz w:val="24"/>
                <w:highlight w:val="none"/>
              </w:rPr>
              <w:t>汽车零部件及配件制造</w:t>
            </w:r>
            <w:r>
              <w:rPr>
                <w:rFonts w:hint="default" w:ascii="Times New Roman" w:hAnsi="Times New Roman" w:cs="Times New Roman"/>
                <w:snapToGrid w:val="0"/>
                <w:color w:val="auto"/>
                <w:sz w:val="24"/>
                <w:highlight w:val="none"/>
              </w:rPr>
              <w:t>，根据《固定污染源排污许可分类管理名录》</w:t>
            </w:r>
            <w:r>
              <w:rPr>
                <w:rFonts w:hint="default" w:ascii="Times New Roman" w:hAnsi="Times New Roman" w:cs="Times New Roman"/>
                <w:snapToGrid w:val="0"/>
                <w:color w:val="auto"/>
                <w:sz w:val="24"/>
                <w:highlight w:val="none"/>
                <w:lang w:eastAsia="zh-CN"/>
              </w:rPr>
              <w:t>（</w:t>
            </w:r>
            <w:r>
              <w:rPr>
                <w:rFonts w:hint="default" w:ascii="Times New Roman" w:hAnsi="Times New Roman" w:cs="Times New Roman"/>
                <w:snapToGrid w:val="0"/>
                <w:color w:val="auto"/>
                <w:sz w:val="24"/>
                <w:highlight w:val="none"/>
              </w:rPr>
              <w:t>2019年版</w:t>
            </w:r>
            <w:r>
              <w:rPr>
                <w:rFonts w:hint="default" w:ascii="Times New Roman" w:hAnsi="Times New Roman" w:cs="Times New Roman"/>
                <w:snapToGrid w:val="0"/>
                <w:color w:val="auto"/>
                <w:sz w:val="24"/>
                <w:highlight w:val="none"/>
                <w:lang w:eastAsia="zh-CN"/>
              </w:rPr>
              <w:t>）</w:t>
            </w:r>
            <w:r>
              <w:rPr>
                <w:rFonts w:hint="default" w:ascii="Times New Roman" w:hAnsi="Times New Roman" w:cs="Times New Roman"/>
                <w:snapToGrid w:val="0"/>
                <w:color w:val="auto"/>
                <w:sz w:val="24"/>
                <w:highlight w:val="none"/>
              </w:rPr>
              <w:t>规定，企业属于登记管理，无需申领排污许可证，故亦无需开展自行监测</w:t>
            </w:r>
            <w:r>
              <w:rPr>
                <w:rFonts w:hint="eastAsia" w:ascii="Times New Roman" w:hAnsi="Times New Roman" w:cs="Times New Roman"/>
                <w:snapToGrid w:val="0"/>
                <w:color w:val="auto"/>
                <w:sz w:val="24"/>
                <w:highlight w:val="none"/>
                <w:lang w:eastAsia="zh-CN"/>
              </w:rPr>
              <w:t>。</w:t>
            </w:r>
            <w:r>
              <w:rPr>
                <w:rFonts w:hint="eastAsia" w:ascii="Times New Roman" w:hAnsi="Times New Roman" w:cs="Times New Roman"/>
                <w:snapToGrid w:val="0"/>
                <w:color w:val="auto"/>
                <w:sz w:val="24"/>
                <w:highlight w:val="none"/>
                <w:lang w:val="en-US" w:eastAsia="zh-CN"/>
              </w:rPr>
              <w:t>企业依托园区污水管线和化粪池，无独立设施及排口，因此无需开展监测</w:t>
            </w:r>
            <w:r>
              <w:rPr>
                <w:rFonts w:hint="default" w:ascii="Times New Roman" w:hAnsi="Times New Roman" w:cs="Times New Roman"/>
                <w:snapToGrid w:val="0"/>
                <w:color w:val="auto"/>
                <w:sz w:val="24"/>
                <w:highlight w:val="none"/>
                <w:lang w:eastAsia="zh-CN"/>
              </w:rPr>
              <w:t>。</w:t>
            </w:r>
          </w:p>
          <w:p w14:paraId="0C2108D2">
            <w:pPr>
              <w:keepNext w:val="0"/>
              <w:keepLines w:val="0"/>
              <w:pageBreakBefore w:val="0"/>
              <w:widowControl w:val="0"/>
              <w:numPr>
                <w:ilvl w:val="0"/>
                <w:numId w:val="0"/>
              </w:numPr>
              <w:tabs>
                <w:tab w:val="left" w:pos="2040"/>
              </w:tabs>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highlight w:val="none"/>
                <w:lang w:val="en-US" w:eastAsia="zh-CN"/>
              </w:rPr>
            </w:pPr>
            <w:r>
              <w:rPr>
                <w:rFonts w:hint="eastAsia" w:ascii="Times New Roman" w:hAnsi="Times New Roman" w:cs="Times New Roman"/>
                <w:b/>
                <w:bCs/>
                <w:color w:val="auto"/>
                <w:kern w:val="0"/>
                <w:sz w:val="24"/>
                <w:highlight w:val="none"/>
                <w:lang w:val="en-US" w:eastAsia="zh-CN"/>
              </w:rPr>
              <w:t>3</w:t>
            </w:r>
            <w:r>
              <w:rPr>
                <w:rFonts w:hint="default" w:ascii="Times New Roman" w:hAnsi="Times New Roman" w:cs="Times New Roman"/>
                <w:b/>
                <w:bCs/>
                <w:color w:val="auto"/>
                <w:kern w:val="0"/>
                <w:sz w:val="24"/>
                <w:highlight w:val="none"/>
                <w:lang w:val="en-US" w:eastAsia="zh-CN"/>
              </w:rPr>
              <w:t>、依托污水处理厂可行性分析</w:t>
            </w:r>
          </w:p>
          <w:p w14:paraId="64971E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lang w:eastAsia="zh-CN"/>
              </w:rPr>
            </w:pP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lang w:eastAsia="zh-CN"/>
              </w:rPr>
              <w:t>）山南新区污水处理厂简介</w:t>
            </w:r>
          </w:p>
          <w:p w14:paraId="7E35D1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lang w:eastAsia="zh-CN"/>
              </w:rPr>
            </w:pPr>
            <w:r>
              <w:rPr>
                <w:rFonts w:hint="default" w:ascii="Times New Roman" w:hAnsi="Times New Roman" w:cs="Times New Roman"/>
                <w:bCs/>
                <w:color w:val="auto"/>
                <w:sz w:val="24"/>
                <w:highlight w:val="none"/>
                <w:lang w:eastAsia="zh-CN"/>
              </w:rPr>
              <w:t>山南新区污水处理厂位于淮南市山南新区孔店乡马厂村，南纬十路以南，南经十八路以东区域，占地面积约3.68公顷，配套污水管网51.53公里。服务范围包括：南经六路以东、南纬十路以北、南经十四路以西、南纬一路以南的范围，服务面积约十八平方千米，服务人口约18万人。</w:t>
            </w:r>
            <w:r>
              <w:rPr>
                <w:rFonts w:hint="default" w:ascii="Times New Roman" w:hAnsi="Times New Roman" w:cs="Times New Roman"/>
                <w:bCs/>
                <w:color w:val="auto"/>
                <w:sz w:val="24"/>
                <w:highlight w:val="none"/>
                <w:lang w:val="en-US" w:eastAsia="zh-CN"/>
              </w:rPr>
              <w:t>污水处理工艺采用“预处理+A</w:t>
            </w:r>
            <w:r>
              <w:rPr>
                <w:rFonts w:hint="default" w:ascii="Times New Roman" w:hAnsi="Times New Roman" w:cs="Times New Roman"/>
                <w:bCs/>
                <w:color w:val="auto"/>
                <w:sz w:val="24"/>
                <w:highlight w:val="none"/>
                <w:vertAlign w:val="superscript"/>
                <w:lang w:val="en-US" w:eastAsia="zh-CN"/>
              </w:rPr>
              <w:t>2</w:t>
            </w:r>
            <w:r>
              <w:rPr>
                <w:rFonts w:hint="default" w:ascii="Times New Roman" w:hAnsi="Times New Roman" w:cs="Times New Roman"/>
                <w:bCs/>
                <w:color w:val="auto"/>
                <w:sz w:val="24"/>
                <w:highlight w:val="none"/>
                <w:lang w:val="en-US" w:eastAsia="zh-CN"/>
              </w:rPr>
              <w:t>O氧化沟二级生化+深度处理+消毒”工艺，污泥处理采用“污泥浓缩+压滤”工艺</w:t>
            </w:r>
            <w:r>
              <w:rPr>
                <w:rFonts w:hint="default" w:ascii="Times New Roman" w:hAnsi="Times New Roman" w:cs="Times New Roman"/>
                <w:bCs/>
                <w:color w:val="auto"/>
                <w:sz w:val="24"/>
                <w:highlight w:val="none"/>
                <w:lang w:eastAsia="zh-CN"/>
              </w:rPr>
              <w:t>，处理后的尾水达到《城镇污水处理厂污染物排放标准》（GB18918-2002）一级A排放标准。本项目位置在收水范围内。</w:t>
            </w:r>
          </w:p>
          <w:p w14:paraId="00066A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lang w:eastAsia="zh-CN"/>
              </w:rPr>
            </w:pPr>
            <w:r>
              <w:rPr>
                <w:rFonts w:hint="default" w:ascii="Times New Roman" w:hAnsi="Times New Roman" w:cs="Times New Roman"/>
                <w:bCs/>
                <w:color w:val="auto"/>
                <w:sz w:val="24"/>
                <w:highlight w:val="none"/>
                <w:lang w:eastAsia="zh-CN"/>
              </w:rPr>
              <w:t>（2）</w:t>
            </w:r>
            <w:r>
              <w:rPr>
                <w:rFonts w:hint="eastAsia" w:ascii="Times New Roman" w:hAnsi="Times New Roman" w:cs="Times New Roman"/>
                <w:bCs/>
                <w:color w:val="auto"/>
                <w:sz w:val="24"/>
                <w:highlight w:val="none"/>
                <w:lang w:val="en-US" w:eastAsia="zh-CN"/>
              </w:rPr>
              <w:t>处理</w:t>
            </w:r>
            <w:r>
              <w:rPr>
                <w:rFonts w:hint="default" w:ascii="Times New Roman" w:hAnsi="Times New Roman" w:cs="Times New Roman"/>
                <w:bCs/>
                <w:color w:val="auto"/>
                <w:sz w:val="24"/>
                <w:highlight w:val="none"/>
                <w:lang w:eastAsia="zh-CN"/>
              </w:rPr>
              <w:t>规模的可行性</w:t>
            </w:r>
          </w:p>
          <w:p w14:paraId="19C069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lang w:eastAsia="zh-CN"/>
              </w:rPr>
            </w:pPr>
            <w:r>
              <w:rPr>
                <w:rFonts w:hint="default" w:ascii="Times New Roman" w:hAnsi="Times New Roman" w:cs="Times New Roman"/>
                <w:bCs/>
                <w:color w:val="auto"/>
                <w:sz w:val="24"/>
                <w:highlight w:val="none"/>
                <w:lang w:eastAsia="zh-CN"/>
              </w:rPr>
              <w:t>①处理规模的可行性</w:t>
            </w:r>
          </w:p>
          <w:p w14:paraId="5FF877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lang w:eastAsia="zh-CN"/>
              </w:rPr>
            </w:pPr>
            <w:r>
              <w:rPr>
                <w:rFonts w:hint="default" w:ascii="Times New Roman" w:hAnsi="Times New Roman" w:cs="Times New Roman"/>
                <w:bCs/>
                <w:color w:val="auto"/>
                <w:sz w:val="24"/>
                <w:highlight w:val="none"/>
                <w:lang w:eastAsia="zh-CN"/>
              </w:rPr>
              <w:t>山南新区污水处理厂近期设计处理规模5万t/d，远期设计处理规模10万t/d，山南新区污水处理厂近期工程已于2016年建成运营。本项目所在区域在山南新区污水处理厂服务范围内，项目废水项目运营期新增污水量为</w:t>
            </w:r>
            <w:r>
              <w:rPr>
                <w:rFonts w:hint="default" w:ascii="Times New Roman" w:hAnsi="Times New Roman" w:cs="Times New Roman"/>
                <w:bCs/>
                <w:color w:val="auto"/>
                <w:sz w:val="24"/>
                <w:highlight w:val="none"/>
                <w:lang w:val="en-US" w:eastAsia="zh-CN"/>
              </w:rPr>
              <w:t>24.94</w:t>
            </w:r>
            <w:r>
              <w:rPr>
                <w:rFonts w:hint="default" w:ascii="Times New Roman" w:hAnsi="Times New Roman" w:cs="Times New Roman"/>
                <w:bCs/>
                <w:color w:val="auto"/>
                <w:sz w:val="24"/>
                <w:highlight w:val="none"/>
                <w:lang w:eastAsia="zh-CN"/>
              </w:rPr>
              <w:t>m</w:t>
            </w:r>
            <w:r>
              <w:rPr>
                <w:rFonts w:hint="default" w:ascii="Times New Roman" w:hAnsi="Times New Roman" w:cs="Times New Roman"/>
                <w:bCs/>
                <w:color w:val="auto"/>
                <w:sz w:val="24"/>
                <w:highlight w:val="none"/>
                <w:vertAlign w:val="superscript"/>
                <w:lang w:eastAsia="zh-CN"/>
              </w:rPr>
              <w:t>3</w:t>
            </w:r>
            <w:r>
              <w:rPr>
                <w:rFonts w:hint="default" w:ascii="Times New Roman" w:hAnsi="Times New Roman" w:cs="Times New Roman"/>
                <w:bCs/>
                <w:color w:val="auto"/>
                <w:sz w:val="24"/>
                <w:highlight w:val="none"/>
                <w:lang w:eastAsia="zh-CN"/>
              </w:rPr>
              <w:t>/d，</w:t>
            </w:r>
            <w:r>
              <w:rPr>
                <w:rFonts w:hint="default" w:ascii="Times New Roman" w:hAnsi="Times New Roman" w:eastAsia="宋体" w:cs="Times New Roman"/>
                <w:color w:val="auto"/>
                <w:sz w:val="24"/>
                <w:szCs w:val="28"/>
                <w:highlight w:val="none"/>
                <w:lang w:eastAsia="zh-CN"/>
              </w:rPr>
              <w:t>山南新区污水处理厂</w:t>
            </w:r>
            <w:r>
              <w:rPr>
                <w:rFonts w:hint="default" w:ascii="Times New Roman" w:hAnsi="Times New Roman" w:eastAsia="宋体" w:cs="Times New Roman"/>
                <w:color w:val="auto"/>
                <w:sz w:val="24"/>
                <w:szCs w:val="24"/>
                <w:highlight w:val="none"/>
                <w:lang w:val="en-US" w:eastAsia="zh-CN"/>
              </w:rPr>
              <w:t>设计以接纳工业废水和生活污水为主，2023年度，</w:t>
            </w:r>
            <w:r>
              <w:rPr>
                <w:rFonts w:hint="default" w:ascii="Times New Roman" w:hAnsi="Times New Roman" w:eastAsia="宋体" w:cs="Times New Roman"/>
                <w:color w:val="auto"/>
                <w:sz w:val="24"/>
                <w:szCs w:val="28"/>
                <w:highlight w:val="none"/>
                <w:lang w:eastAsia="zh-CN"/>
              </w:rPr>
              <w:t>山南新区污水处理厂</w:t>
            </w:r>
            <w:r>
              <w:rPr>
                <w:rFonts w:hint="default" w:ascii="Times New Roman" w:hAnsi="Times New Roman" w:eastAsia="宋体" w:cs="Times New Roman"/>
                <w:color w:val="auto"/>
                <w:sz w:val="24"/>
                <w:szCs w:val="24"/>
                <w:highlight w:val="none"/>
                <w:lang w:val="en-US" w:eastAsia="zh-CN"/>
              </w:rPr>
              <w:t>日均处理废水量为2.90756万</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，余量2.09244万</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kern w:val="0"/>
                <w:sz w:val="24"/>
                <w:szCs w:val="24"/>
                <w:highlight w:val="none"/>
                <w:lang w:val="en-US" w:eastAsia="zh-CN"/>
              </w:rPr>
              <w:t>，本项目</w:t>
            </w:r>
            <w:r>
              <w:rPr>
                <w:rFonts w:hint="default" w:ascii="Times New Roman" w:hAnsi="Times New Roman" w:cs="Times New Roman"/>
                <w:bCs/>
                <w:color w:val="auto"/>
                <w:sz w:val="24"/>
                <w:highlight w:val="none"/>
              </w:rPr>
              <w:t>废水排放量占污水厂处理量的比例较小，且</w:t>
            </w:r>
            <w:r>
              <w:rPr>
                <w:rFonts w:hint="default" w:ascii="Times New Roman" w:hAnsi="Times New Roman" w:cs="Times New Roman"/>
                <w:bCs/>
                <w:color w:val="auto"/>
                <w:sz w:val="24"/>
                <w:highlight w:val="none"/>
                <w:lang w:eastAsia="zh-CN"/>
              </w:rPr>
              <w:t>山南新区污水处理厂</w:t>
            </w:r>
            <w:r>
              <w:rPr>
                <w:rFonts w:hint="default" w:ascii="Times New Roman" w:hAnsi="Times New Roman" w:cs="Times New Roman"/>
                <w:bCs/>
                <w:color w:val="auto"/>
                <w:sz w:val="24"/>
                <w:highlight w:val="none"/>
              </w:rPr>
              <w:t>目前尚有余量能够接纳本项目的污水，从处理规模上分析，接管进入</w:t>
            </w:r>
            <w:r>
              <w:rPr>
                <w:rFonts w:hint="default" w:ascii="Times New Roman" w:hAnsi="Times New Roman" w:cs="Times New Roman"/>
                <w:bCs/>
                <w:color w:val="auto"/>
                <w:sz w:val="24"/>
                <w:highlight w:val="none"/>
                <w:lang w:eastAsia="zh-CN"/>
              </w:rPr>
              <w:t>山南新区污水处理厂</w:t>
            </w:r>
            <w:r>
              <w:rPr>
                <w:rFonts w:hint="default" w:ascii="Times New Roman" w:hAnsi="Times New Roman" w:cs="Times New Roman"/>
                <w:bCs/>
                <w:color w:val="auto"/>
                <w:sz w:val="24"/>
                <w:highlight w:val="none"/>
              </w:rPr>
              <w:t>集中处理是可行的。</w:t>
            </w:r>
          </w:p>
          <w:p w14:paraId="084A6C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lang w:eastAsia="zh-CN"/>
              </w:rPr>
            </w:pPr>
            <w:r>
              <w:rPr>
                <w:rFonts w:hint="default" w:ascii="Times New Roman" w:hAnsi="Times New Roman" w:cs="Times New Roman"/>
                <w:bCs/>
                <w:color w:val="auto"/>
                <w:sz w:val="24"/>
                <w:highlight w:val="none"/>
                <w:lang w:eastAsia="zh-CN"/>
              </w:rPr>
              <w:t>②工艺可行性分析</w:t>
            </w:r>
          </w:p>
          <w:p w14:paraId="3F74C1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lang w:eastAsia="zh-CN"/>
              </w:rPr>
            </w:pPr>
            <w:r>
              <w:rPr>
                <w:rFonts w:hint="eastAsia" w:ascii="Times New Roman" w:hAnsi="Times New Roman" w:cs="Times New Roman"/>
                <w:bCs/>
                <w:color w:val="auto"/>
                <w:sz w:val="24"/>
                <w:highlight w:val="none"/>
                <w:lang w:eastAsia="zh-CN"/>
              </w:rPr>
              <w:t>项目</w:t>
            </w:r>
            <w:r>
              <w:rPr>
                <w:rFonts w:hint="default" w:ascii="Times New Roman" w:hAnsi="Times New Roman" w:cs="Times New Roman"/>
                <w:bCs/>
                <w:color w:val="auto"/>
                <w:sz w:val="24"/>
                <w:highlight w:val="none"/>
                <w:lang w:eastAsia="zh-CN"/>
              </w:rPr>
              <w:t>产生的污（废）水水质简单，污水中不含有对污水处理工艺造成不良影响的污染物，不会对山南新区污水处理厂的处理造成冲击，因此项目废水接管排入山南新区污水处理厂集中处理可行。</w:t>
            </w:r>
          </w:p>
          <w:p w14:paraId="7FA560B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lang w:eastAsia="zh-CN"/>
              </w:rPr>
            </w:pPr>
            <w:r>
              <w:rPr>
                <w:rFonts w:hint="default" w:ascii="Times New Roman" w:hAnsi="Times New Roman" w:cs="Times New Roman"/>
                <w:bCs/>
                <w:color w:val="auto"/>
                <w:sz w:val="24"/>
                <w:highlight w:val="none"/>
                <w:lang w:eastAsia="zh-CN"/>
              </w:rPr>
              <w:t>（3）管线、位置落实情况及时间对接情况分析</w:t>
            </w:r>
          </w:p>
          <w:p w14:paraId="3131235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目前，项目所在地</w:t>
            </w:r>
            <w:r>
              <w:rPr>
                <w:rFonts w:hint="default" w:ascii="Times New Roman" w:hAnsi="Times New Roman" w:cs="Times New Roman"/>
                <w:color w:val="auto"/>
                <w:sz w:val="24"/>
                <w:highlight w:val="none"/>
                <w:lang w:val="en-US" w:eastAsia="zh-CN"/>
              </w:rPr>
              <w:t>块污水</w:t>
            </w:r>
            <w:r>
              <w:rPr>
                <w:rFonts w:hint="default" w:ascii="Times New Roman" w:hAnsi="Times New Roman" w:cs="Times New Roman"/>
                <w:color w:val="auto"/>
                <w:sz w:val="24"/>
                <w:highlight w:val="none"/>
              </w:rPr>
              <w:t>管网已铺设到位。因此，</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产生的污水接管进入</w:t>
            </w:r>
            <w:r>
              <w:rPr>
                <w:rFonts w:hint="default" w:ascii="Times New Roman" w:hAnsi="Times New Roman" w:cs="Times New Roman"/>
                <w:color w:val="auto"/>
                <w:kern w:val="0"/>
                <w:sz w:val="24"/>
                <w:highlight w:val="none"/>
                <w:lang w:eastAsia="zh-CN" w:bidi="ar"/>
              </w:rPr>
              <w:t>山南新区污水处理厂</w:t>
            </w:r>
            <w:r>
              <w:rPr>
                <w:rFonts w:hint="default" w:ascii="Times New Roman" w:hAnsi="Times New Roman" w:cs="Times New Roman"/>
                <w:color w:val="auto"/>
                <w:sz w:val="24"/>
                <w:highlight w:val="none"/>
              </w:rPr>
              <w:t>集中处理是可行的。</w:t>
            </w:r>
          </w:p>
          <w:p w14:paraId="41A854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lang w:eastAsia="zh-CN"/>
              </w:rPr>
            </w:pPr>
            <w:r>
              <w:rPr>
                <w:rFonts w:hint="default" w:ascii="Times New Roman" w:hAnsi="Times New Roman" w:cs="Times New Roman"/>
                <w:bCs/>
                <w:color w:val="auto"/>
                <w:sz w:val="24"/>
                <w:highlight w:val="none"/>
                <w:lang w:eastAsia="zh-CN"/>
              </w:rPr>
              <w:t>综上所述，山南新区污水处理厂有能力接纳本项目废水，污水处理工艺能够实现</w:t>
            </w:r>
            <w:r>
              <w:rPr>
                <w:rFonts w:hint="eastAsia" w:ascii="Times New Roman" w:hAnsi="Times New Roman" w:cs="Times New Roman"/>
                <w:bCs/>
                <w:color w:val="auto"/>
                <w:sz w:val="24"/>
                <w:highlight w:val="none"/>
                <w:lang w:eastAsia="zh-CN"/>
              </w:rPr>
              <w:t>项目</w:t>
            </w:r>
            <w:r>
              <w:rPr>
                <w:rFonts w:hint="default" w:ascii="Times New Roman" w:hAnsi="Times New Roman" w:cs="Times New Roman"/>
                <w:bCs/>
                <w:color w:val="auto"/>
                <w:sz w:val="24"/>
                <w:highlight w:val="none"/>
                <w:lang w:eastAsia="zh-CN"/>
              </w:rPr>
              <w:t>废水达标排放，污水处理方案可行</w:t>
            </w:r>
          </w:p>
          <w:p w14:paraId="1BCE253D">
            <w:pPr>
              <w:keepNext w:val="0"/>
              <w:keepLines w:val="0"/>
              <w:pageBreakBefore w:val="0"/>
              <w:widowControl w:val="0"/>
              <w:kinsoku/>
              <w:wordWrap/>
              <w:overflowPunct/>
              <w:topLinePunct/>
              <w:autoSpaceDE w:val="0"/>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highlight w:val="none"/>
              </w:rPr>
            </w:pPr>
            <w:r>
              <w:rPr>
                <w:rFonts w:hint="eastAsia" w:ascii="Times New Roman" w:hAnsi="Times New Roman" w:cs="Times New Roman"/>
                <w:b/>
                <w:bCs/>
                <w:color w:val="auto"/>
                <w:kern w:val="0"/>
                <w:sz w:val="24"/>
                <w:highlight w:val="none"/>
                <w:lang w:val="en-US" w:eastAsia="zh-CN"/>
              </w:rPr>
              <w:t>3</w:t>
            </w:r>
            <w:r>
              <w:rPr>
                <w:rFonts w:hint="default" w:ascii="Times New Roman" w:hAnsi="Times New Roman" w:cs="Times New Roman"/>
                <w:b/>
                <w:bCs/>
                <w:color w:val="auto"/>
                <w:kern w:val="0"/>
                <w:sz w:val="24"/>
                <w:highlight w:val="none"/>
                <w:lang w:val="en-US" w:eastAsia="zh-CN"/>
              </w:rPr>
              <w:t>、</w:t>
            </w:r>
            <w:r>
              <w:rPr>
                <w:rFonts w:hint="default" w:ascii="Times New Roman" w:hAnsi="Times New Roman" w:cs="Times New Roman"/>
                <w:b/>
                <w:bCs/>
                <w:color w:val="auto"/>
                <w:kern w:val="0"/>
                <w:sz w:val="24"/>
                <w:highlight w:val="none"/>
              </w:rPr>
              <w:t>地表水环境影响评价结论</w:t>
            </w:r>
          </w:p>
          <w:p w14:paraId="09A30CFA">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eastAsia="宋体"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eastAsia="zh-CN"/>
              </w:rPr>
              <w:t>项目</w:t>
            </w:r>
            <w:r>
              <w:rPr>
                <w:rFonts w:hint="default" w:ascii="Times New Roman" w:hAnsi="Times New Roman" w:cs="Times New Roman"/>
                <w:snapToGrid w:val="0"/>
                <w:color w:val="auto"/>
                <w:kern w:val="0"/>
                <w:sz w:val="24"/>
                <w:highlight w:val="none"/>
              </w:rPr>
              <w:t>位于受纳水体环境质量达标区域，</w:t>
            </w:r>
            <w:r>
              <w:rPr>
                <w:rFonts w:hint="eastAsia" w:ascii="Times New Roman" w:hAnsi="Times New Roman" w:cs="Times New Roman"/>
                <w:snapToGrid w:val="0"/>
                <w:color w:val="auto"/>
                <w:kern w:val="0"/>
                <w:sz w:val="24"/>
                <w:highlight w:val="none"/>
                <w:lang w:eastAsia="zh-CN"/>
              </w:rPr>
              <w:t>项目</w:t>
            </w:r>
            <w:r>
              <w:rPr>
                <w:rFonts w:hint="default" w:ascii="Times New Roman" w:hAnsi="Times New Roman" w:cs="Times New Roman"/>
                <w:snapToGrid w:val="0"/>
                <w:color w:val="auto"/>
                <w:kern w:val="0"/>
                <w:sz w:val="24"/>
                <w:highlight w:val="none"/>
              </w:rPr>
              <w:t>采用“雨污分流”系统，雨水经雨水管网排入市政雨水管网</w:t>
            </w:r>
            <w:r>
              <w:rPr>
                <w:rFonts w:hint="default"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废水</w:t>
            </w:r>
            <w:r>
              <w:rPr>
                <w:rFonts w:hint="default" w:ascii="Times New Roman" w:hAnsi="Times New Roman" w:cs="Times New Roman"/>
                <w:snapToGrid w:val="0"/>
                <w:color w:val="auto"/>
                <w:kern w:val="0"/>
                <w:sz w:val="24"/>
                <w:highlight w:val="none"/>
              </w:rPr>
              <w:t>接管市政污水管网，排入</w:t>
            </w:r>
            <w:r>
              <w:rPr>
                <w:rFonts w:hint="default" w:ascii="Times New Roman" w:hAnsi="Times New Roman" w:cs="Times New Roman"/>
                <w:color w:val="auto"/>
                <w:kern w:val="0"/>
                <w:sz w:val="24"/>
                <w:highlight w:val="none"/>
                <w:lang w:eastAsia="zh-CN" w:bidi="ar"/>
              </w:rPr>
              <w:t>山南新区污水处理厂</w:t>
            </w:r>
            <w:r>
              <w:rPr>
                <w:rFonts w:hint="default" w:ascii="Times New Roman" w:hAnsi="Times New Roman" w:cs="Times New Roman"/>
                <w:snapToGrid w:val="0"/>
                <w:color w:val="auto"/>
                <w:kern w:val="0"/>
                <w:sz w:val="24"/>
                <w:highlight w:val="none"/>
              </w:rPr>
              <w:t>集中处理</w:t>
            </w:r>
            <w:r>
              <w:rPr>
                <w:rFonts w:hint="eastAsia" w:ascii="Times New Roman" w:hAnsi="Times New Roman" w:cs="Times New Roman"/>
                <w:snapToGrid w:val="0"/>
                <w:color w:val="auto"/>
                <w:kern w:val="0"/>
                <w:sz w:val="24"/>
                <w:highlight w:val="none"/>
                <w:lang w:val="en-US" w:eastAsia="zh-CN"/>
              </w:rPr>
              <w:t>后</w:t>
            </w:r>
            <w:r>
              <w:rPr>
                <w:rFonts w:hint="default" w:ascii="Times New Roman" w:hAnsi="Times New Roman" w:cs="Times New Roman"/>
                <w:snapToGrid w:val="0"/>
                <w:color w:val="auto"/>
                <w:kern w:val="0"/>
                <w:sz w:val="24"/>
                <w:highlight w:val="none"/>
              </w:rPr>
              <w:t>排入</w:t>
            </w:r>
            <w:r>
              <w:rPr>
                <w:rFonts w:hint="default" w:ascii="Times New Roman" w:hAnsi="Times New Roman" w:cs="Times New Roman"/>
                <w:snapToGrid w:val="0"/>
                <w:color w:val="auto"/>
                <w:kern w:val="0"/>
                <w:sz w:val="24"/>
                <w:highlight w:val="none"/>
                <w:lang w:val="en-US" w:eastAsia="zh-CN"/>
              </w:rPr>
              <w:t>高塘湖</w:t>
            </w:r>
            <w:r>
              <w:rPr>
                <w:rFonts w:hint="default" w:ascii="Times New Roman" w:hAnsi="Times New Roman" w:cs="Times New Roman"/>
                <w:snapToGrid w:val="0"/>
                <w:color w:val="auto"/>
                <w:kern w:val="0"/>
                <w:sz w:val="24"/>
                <w:highlight w:val="none"/>
              </w:rPr>
              <w:t>。项目废水经预处理后满足排放标准的要求，从水质水量、排放标准及环境影响等方面考虑，项目废水排放及处理措</w:t>
            </w:r>
            <w:r>
              <w:rPr>
                <w:rFonts w:hint="default" w:ascii="Times New Roman" w:hAnsi="Times New Roman" w:eastAsia="宋体" w:cs="Times New Roman"/>
                <w:snapToGrid w:val="0"/>
                <w:color w:val="auto"/>
                <w:kern w:val="0"/>
                <w:sz w:val="24"/>
                <w:highlight w:val="none"/>
              </w:rPr>
              <w:t>施</w:t>
            </w:r>
            <w:r>
              <w:rPr>
                <w:rFonts w:hint="default" w:ascii="Times New Roman" w:hAnsi="Times New Roman" w:eastAsia="宋体" w:cs="Times New Roman"/>
                <w:snapToGrid w:val="0"/>
                <w:color w:val="auto"/>
                <w:kern w:val="0"/>
                <w:sz w:val="24"/>
                <w:highlight w:val="none"/>
                <w:lang w:val="en-US" w:eastAsia="zh-CN"/>
              </w:rPr>
              <w:t>有效，接管</w:t>
            </w:r>
            <w:r>
              <w:rPr>
                <w:rFonts w:hint="default" w:ascii="Times New Roman" w:hAnsi="Times New Roman" w:eastAsia="宋体" w:cs="Times New Roman"/>
                <w:snapToGrid w:val="0"/>
                <w:color w:val="auto"/>
                <w:kern w:val="0"/>
                <w:sz w:val="24"/>
                <w:highlight w:val="none"/>
              </w:rPr>
              <w:t>是</w:t>
            </w:r>
            <w:r>
              <w:rPr>
                <w:rFonts w:hint="default" w:ascii="Times New Roman" w:hAnsi="Times New Roman" w:cs="Times New Roman"/>
                <w:snapToGrid w:val="0"/>
                <w:color w:val="auto"/>
                <w:kern w:val="0"/>
                <w:sz w:val="24"/>
                <w:highlight w:val="none"/>
              </w:rPr>
              <w:t>可行的。因此，项目对地表水环境的影响可以接受</w:t>
            </w:r>
            <w:r>
              <w:rPr>
                <w:rFonts w:hint="eastAsia" w:ascii="Times New Roman" w:hAnsi="Times New Roman" w:cs="Times New Roman"/>
                <w:snapToGrid w:val="0"/>
                <w:color w:val="auto"/>
                <w:kern w:val="0"/>
                <w:sz w:val="24"/>
                <w:highlight w:val="none"/>
                <w:lang w:eastAsia="zh-CN"/>
              </w:rPr>
              <w:t>。</w:t>
            </w:r>
          </w:p>
          <w:p w14:paraId="1D947D7A">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default" w:ascii="Times New Roman" w:hAnsi="Times New Roman" w:cs="Times New Roman"/>
                <w:snapToGrid w:val="0"/>
                <w:color w:val="auto"/>
                <w:kern w:val="0"/>
                <w:sz w:val="24"/>
                <w:highlight w:val="none"/>
              </w:rPr>
            </w:pPr>
          </w:p>
          <w:p w14:paraId="2B1C259E">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44AA6730">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22021B56">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6EE94B0D">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395DB5F8">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252F52AB">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7DCB01A1">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12BBD2AA">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664A6434">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436650F1">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4BB51F61">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381C9E55">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14BCF8A5">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3463253B">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3AFDA0A3">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04F963C5">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1BD1D8B2">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17DE787B">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lang w:eastAsia="zh-CN"/>
              </w:rPr>
            </w:pPr>
          </w:p>
          <w:p w14:paraId="417CA5A6">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default" w:ascii="Times New Roman" w:hAnsi="Times New Roman" w:cs="Times New Roman"/>
                <w:snapToGrid w:val="0"/>
                <w:color w:val="auto"/>
                <w:kern w:val="0"/>
                <w:sz w:val="24"/>
                <w:highlight w:val="none"/>
                <w:lang w:eastAsia="zh-CN"/>
              </w:rPr>
            </w:pPr>
          </w:p>
        </w:tc>
      </w:tr>
    </w:tbl>
    <w:p w14:paraId="1C85577C">
      <w:pPr>
        <w:pStyle w:val="24"/>
        <w:widowControl w:val="0"/>
        <w:numPr>
          <w:ilvl w:val="0"/>
          <w:numId w:val="0"/>
        </w:numPr>
        <w:spacing w:after="120" w:afterLines="0" w:afterAutospacing="0"/>
        <w:jc w:val="both"/>
        <w:rPr>
          <w:rFonts w:hint="default" w:ascii="Times New Roman" w:hAnsi="Times New Roman" w:cs="Times New Roman"/>
          <w:color w:val="auto"/>
          <w:highlight w:val="none"/>
        </w:rPr>
        <w:sectPr>
          <w:pgSz w:w="11905" w:h="16838"/>
          <w:pgMar w:top="1440" w:right="1803" w:bottom="1440" w:left="1803"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6B411396">
      <w:pPr>
        <w:pStyle w:val="24"/>
        <w:widowControl w:val="0"/>
        <w:numPr>
          <w:ilvl w:val="0"/>
          <w:numId w:val="0"/>
        </w:numPr>
        <w:spacing w:after="120" w:afterLines="0" w:afterAutospacing="0"/>
        <w:jc w:val="both"/>
        <w:rPr>
          <w:rFonts w:hint="default" w:ascii="Times New Roman" w:hAnsi="Times New Roman" w:cs="Times New Roman"/>
          <w:color w:val="auto"/>
          <w:highlight w:val="none"/>
        </w:rPr>
        <w:sectPr>
          <w:type w:val="continuous"/>
          <w:pgSz w:w="11905" w:h="16838"/>
          <w:pgMar w:top="1440" w:right="1803" w:bottom="1440" w:left="1803"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13664"/>
      </w:tblGrid>
      <w:tr w14:paraId="5329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 w:type="pct"/>
            <w:noWrap w:val="0"/>
            <w:vAlign w:val="center"/>
          </w:tcPr>
          <w:p w14:paraId="2677AC33">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运营</w:t>
            </w:r>
          </w:p>
          <w:p w14:paraId="5E14F90B">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期环</w:t>
            </w:r>
          </w:p>
          <w:p w14:paraId="512701BC">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境影</w:t>
            </w:r>
          </w:p>
          <w:p w14:paraId="360D9257">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响和</w:t>
            </w:r>
          </w:p>
          <w:p w14:paraId="40EE6322">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保护</w:t>
            </w:r>
          </w:p>
          <w:p w14:paraId="518B15CE">
            <w:pPr>
              <w:pStyle w:val="24"/>
              <w:widowControl w:val="0"/>
              <w:numPr>
                <w:ilvl w:val="0"/>
                <w:numId w:val="0"/>
              </w:numPr>
              <w:spacing w:after="120" w:afterLines="0" w:afterAutospacing="0"/>
              <w:jc w:val="center"/>
              <w:rPr>
                <w:rFonts w:hint="default" w:ascii="Times New Roman" w:hAnsi="Times New Roman" w:cs="Times New Roman"/>
                <w:color w:val="auto"/>
                <w:highlight w:val="none"/>
                <w:vertAlign w:val="baseline"/>
              </w:rPr>
            </w:pPr>
            <w:r>
              <w:rPr>
                <w:rFonts w:hint="default" w:ascii="Times New Roman" w:hAnsi="Times New Roman" w:cs="Times New Roman"/>
                <w:b/>
                <w:bCs w:val="0"/>
                <w:color w:val="auto"/>
                <w:sz w:val="24"/>
                <w:szCs w:val="24"/>
                <w:highlight w:val="none"/>
              </w:rPr>
              <w:t>措施</w:t>
            </w:r>
          </w:p>
        </w:tc>
        <w:tc>
          <w:tcPr>
            <w:tcW w:w="4820" w:type="pct"/>
            <w:noWrap w:val="0"/>
            <w:vAlign w:val="top"/>
          </w:tcPr>
          <w:p w14:paraId="48A271BD">
            <w:pPr>
              <w:topLinePunct/>
              <w:autoSpaceDE w:val="0"/>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三.噪声环境影响和保护措施</w:t>
            </w:r>
          </w:p>
          <w:p w14:paraId="18A2CEB2">
            <w:pPr>
              <w:topLinePunct/>
              <w:autoSpaceDE w:val="0"/>
              <w:adjustRightInd w:val="0"/>
              <w:snapToGrid w:val="0"/>
              <w:spacing w:line="360" w:lineRule="auto"/>
              <w:ind w:firstLine="482" w:firstLineChars="200"/>
              <w:outlineLvl w:val="9"/>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1、噪声源</w:t>
            </w:r>
          </w:p>
          <w:p w14:paraId="2D93F20D">
            <w:pPr>
              <w:pStyle w:val="17"/>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的噪声主要为</w:t>
            </w:r>
            <w:r>
              <w:rPr>
                <w:rFonts w:hint="default" w:ascii="Times New Roman" w:hAnsi="Times New Roman" w:cs="Times New Roman"/>
                <w:color w:val="auto"/>
                <w:sz w:val="24"/>
                <w:highlight w:val="none"/>
                <w:lang w:val="en-US" w:eastAsia="zh-CN"/>
              </w:rPr>
              <w:t>生产设备及公辅、环保</w:t>
            </w:r>
            <w:r>
              <w:rPr>
                <w:rFonts w:hint="default" w:ascii="Times New Roman" w:hAnsi="Times New Roman" w:cs="Times New Roman"/>
                <w:color w:val="auto"/>
                <w:sz w:val="24"/>
                <w:highlight w:val="none"/>
              </w:rPr>
              <w:t>设备噪声</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主要设备噪声源强见下表。</w:t>
            </w:r>
          </w:p>
          <w:p w14:paraId="26F62EFF">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b/>
                <w:color w:val="auto"/>
                <w:sz w:val="24"/>
                <w:highlight w:val="none"/>
              </w:rPr>
              <w:t>表4-</w:t>
            </w:r>
            <w:r>
              <w:rPr>
                <w:rFonts w:hint="default" w:ascii="Times New Roman" w:hAnsi="Times New Roman" w:cs="Times New Roman"/>
                <w:b/>
                <w:color w:val="auto"/>
                <w:sz w:val="24"/>
                <w:highlight w:val="none"/>
                <w:lang w:val="en-US" w:eastAsia="zh-CN"/>
              </w:rPr>
              <w:t>6</w:t>
            </w:r>
            <w:r>
              <w:rPr>
                <w:rFonts w:hint="default" w:ascii="Times New Roman" w:hAnsi="Times New Roman" w:cs="Times New Roman"/>
                <w:b/>
                <w:bCs/>
                <w:color w:val="auto"/>
                <w:sz w:val="24"/>
                <w:highlight w:val="none"/>
              </w:rPr>
              <w:t xml:space="preserve"> 工业企业高噪声源强调查清单（室内声源）</w:t>
            </w:r>
          </w:p>
          <w:tbl>
            <w:tblPr>
              <w:tblStyle w:val="2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5"/>
              <w:gridCol w:w="697"/>
              <w:gridCol w:w="1160"/>
              <w:gridCol w:w="667"/>
              <w:gridCol w:w="993"/>
              <w:gridCol w:w="993"/>
              <w:gridCol w:w="586"/>
              <w:gridCol w:w="696"/>
              <w:gridCol w:w="859"/>
              <w:gridCol w:w="1213"/>
              <w:gridCol w:w="1119"/>
              <w:gridCol w:w="1281"/>
              <w:gridCol w:w="1078"/>
              <w:gridCol w:w="1646"/>
            </w:tblGrid>
            <w:tr w14:paraId="4DCD8C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vMerge w:val="restart"/>
                  <w:noWrap w:val="0"/>
                  <w:vAlign w:val="center"/>
                </w:tcPr>
                <w:p w14:paraId="01D24A55">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序号</w:t>
                  </w:r>
                </w:p>
              </w:tc>
              <w:tc>
                <w:tcPr>
                  <w:tcW w:w="259" w:type="pct"/>
                  <w:vMerge w:val="restart"/>
                  <w:noWrap w:val="0"/>
                  <w:vAlign w:val="center"/>
                </w:tcPr>
                <w:p w14:paraId="5F243DF2">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建筑物名称</w:t>
                  </w:r>
                </w:p>
              </w:tc>
              <w:tc>
                <w:tcPr>
                  <w:tcW w:w="431" w:type="pct"/>
                  <w:vMerge w:val="restart"/>
                  <w:noWrap w:val="0"/>
                  <w:vAlign w:val="center"/>
                </w:tcPr>
                <w:p w14:paraId="3BF17DB2">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声源名称</w:t>
                  </w:r>
                </w:p>
              </w:tc>
              <w:tc>
                <w:tcPr>
                  <w:tcW w:w="248" w:type="pct"/>
                  <w:vMerge w:val="restart"/>
                  <w:noWrap w:val="0"/>
                  <w:vAlign w:val="center"/>
                </w:tcPr>
                <w:p w14:paraId="33253519">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数量（台/套）</w:t>
                  </w:r>
                </w:p>
              </w:tc>
              <w:tc>
                <w:tcPr>
                  <w:tcW w:w="369" w:type="pct"/>
                  <w:vMerge w:val="restart"/>
                  <w:noWrap w:val="0"/>
                  <w:vAlign w:val="center"/>
                </w:tcPr>
                <w:p w14:paraId="74B2F1F8">
                  <w:pPr>
                    <w:widowControl/>
                    <w:adjustRightInd w:val="0"/>
                    <w:snapToGrid w:val="0"/>
                    <w:jc w:val="center"/>
                    <w:rPr>
                      <w:rFonts w:hint="default" w:ascii="Times New Roman" w:hAnsi="Times New Roman" w:eastAsia="宋体" w:cs="Times New Roman"/>
                      <w:b/>
                      <w:bCs/>
                      <w:snapToGrid w:val="0"/>
                      <w:color w:val="auto"/>
                      <w:kern w:val="0"/>
                      <w:sz w:val="21"/>
                      <w:szCs w:val="21"/>
                      <w:highlight w:val="none"/>
                      <w:lang w:val="en-US" w:eastAsia="zh-CN"/>
                    </w:rPr>
                  </w:pPr>
                  <w:r>
                    <w:rPr>
                      <w:rFonts w:hint="default" w:ascii="Times New Roman" w:hAnsi="Times New Roman" w:eastAsia="宋体" w:cs="Times New Roman"/>
                      <w:b/>
                      <w:bCs/>
                      <w:snapToGrid w:val="0"/>
                      <w:color w:val="auto"/>
                      <w:kern w:val="0"/>
                      <w:sz w:val="21"/>
                      <w:szCs w:val="21"/>
                      <w:highlight w:val="none"/>
                    </w:rPr>
                    <w:t>单台声压级dB(A)</w:t>
                  </w:r>
                  <w:r>
                    <w:rPr>
                      <w:rFonts w:hint="eastAsia" w:ascii="Times New Roman" w:hAnsi="Times New Roman" w:eastAsia="宋体" w:cs="Times New Roman"/>
                      <w:b/>
                      <w:bCs/>
                      <w:snapToGrid w:val="0"/>
                      <w:color w:val="auto"/>
                      <w:kern w:val="0"/>
                      <w:sz w:val="21"/>
                      <w:szCs w:val="21"/>
                      <w:highlight w:val="none"/>
                      <w:lang w:val="en-US" w:eastAsia="zh-CN"/>
                    </w:rPr>
                    <w:t>/m</w:t>
                  </w:r>
                </w:p>
              </w:tc>
              <w:tc>
                <w:tcPr>
                  <w:tcW w:w="369" w:type="pct"/>
                  <w:vMerge w:val="restart"/>
                  <w:noWrap w:val="0"/>
                  <w:vAlign w:val="center"/>
                </w:tcPr>
                <w:p w14:paraId="1A9B016E">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声源控制措施</w:t>
                  </w:r>
                </w:p>
              </w:tc>
              <w:tc>
                <w:tcPr>
                  <w:tcW w:w="796" w:type="pct"/>
                  <w:gridSpan w:val="3"/>
                  <w:noWrap w:val="0"/>
                  <w:vAlign w:val="center"/>
                </w:tcPr>
                <w:p w14:paraId="126A2650">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空间相对位置（m）</w:t>
                  </w:r>
                </w:p>
              </w:tc>
              <w:tc>
                <w:tcPr>
                  <w:tcW w:w="451" w:type="pct"/>
                  <w:vMerge w:val="restart"/>
                  <w:noWrap w:val="0"/>
                  <w:vAlign w:val="center"/>
                </w:tcPr>
                <w:p w14:paraId="1C3EE3F5">
                  <w:pPr>
                    <w:widowControl/>
                    <w:adjustRightInd w:val="0"/>
                    <w:snapToGrid w:val="0"/>
                    <w:jc w:val="center"/>
                    <w:rPr>
                      <w:rFonts w:hint="default" w:ascii="Times New Roman" w:hAnsi="Times New Roman" w:eastAsia="宋体" w:cs="Times New Roman"/>
                      <w:b/>
                      <w:bCs/>
                      <w:snapToGrid w:val="0"/>
                      <w:color w:val="auto"/>
                      <w:kern w:val="0"/>
                      <w:sz w:val="21"/>
                      <w:szCs w:val="21"/>
                      <w:highlight w:val="none"/>
                      <w:lang w:val="en-US" w:eastAsia="zh-CN"/>
                    </w:rPr>
                  </w:pPr>
                  <w:r>
                    <w:rPr>
                      <w:rFonts w:hint="default" w:ascii="Times New Roman" w:hAnsi="Times New Roman" w:eastAsia="宋体" w:cs="Times New Roman"/>
                      <w:b/>
                      <w:bCs/>
                      <w:snapToGrid w:val="0"/>
                      <w:color w:val="auto"/>
                      <w:kern w:val="0"/>
                      <w:sz w:val="21"/>
                      <w:szCs w:val="21"/>
                      <w:highlight w:val="none"/>
                    </w:rPr>
                    <w:t>距</w:t>
                  </w:r>
                  <w:r>
                    <w:rPr>
                      <w:rFonts w:hint="default" w:ascii="Times New Roman" w:hAnsi="Times New Roman" w:cs="Times New Roman"/>
                      <w:b/>
                      <w:bCs/>
                      <w:snapToGrid w:val="0"/>
                      <w:color w:val="auto"/>
                      <w:kern w:val="0"/>
                      <w:sz w:val="21"/>
                      <w:szCs w:val="21"/>
                      <w:highlight w:val="none"/>
                      <w:lang w:val="en-US" w:eastAsia="zh-CN"/>
                    </w:rPr>
                    <w:t>最近的</w:t>
                  </w:r>
                  <w:r>
                    <w:rPr>
                      <w:rFonts w:hint="default" w:ascii="Times New Roman" w:hAnsi="Times New Roman" w:eastAsia="宋体" w:cs="Times New Roman"/>
                      <w:b/>
                      <w:bCs/>
                      <w:snapToGrid w:val="0"/>
                      <w:color w:val="auto"/>
                      <w:kern w:val="0"/>
                      <w:sz w:val="21"/>
                      <w:szCs w:val="21"/>
                      <w:highlight w:val="none"/>
                    </w:rPr>
                    <w:t>室内边界距离/m</w:t>
                  </w:r>
                </w:p>
              </w:tc>
              <w:tc>
                <w:tcPr>
                  <w:tcW w:w="416" w:type="pct"/>
                  <w:vMerge w:val="restart"/>
                  <w:noWrap w:val="0"/>
                  <w:vAlign w:val="center"/>
                </w:tcPr>
                <w:p w14:paraId="5383F453">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室内边界声级/dB（A）</w:t>
                  </w:r>
                  <w:bookmarkStart w:id="15" w:name="OLE_LINK187"/>
                </w:p>
              </w:tc>
              <w:tc>
                <w:tcPr>
                  <w:tcW w:w="476" w:type="pct"/>
                  <w:vMerge w:val="restart"/>
                  <w:noWrap w:val="0"/>
                  <w:vAlign w:val="center"/>
                </w:tcPr>
                <w:p w14:paraId="4AE33F09">
                  <w:pPr>
                    <w:widowControl/>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运行时段</w:t>
                  </w:r>
                  <w:bookmarkEnd w:id="15"/>
                </w:p>
              </w:tc>
              <w:tc>
                <w:tcPr>
                  <w:tcW w:w="400" w:type="pct"/>
                  <w:vMerge w:val="restart"/>
                  <w:noWrap w:val="0"/>
                  <w:vAlign w:val="center"/>
                </w:tcPr>
                <w:p w14:paraId="25271D88">
                  <w:pPr>
                    <w:widowControl/>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建筑物插入损/</w:t>
                  </w:r>
                  <w:r>
                    <w:rPr>
                      <w:rFonts w:hint="default" w:ascii="Times New Roman" w:hAnsi="Times New Roman" w:eastAsia="宋体" w:cs="Times New Roman"/>
                      <w:b/>
                      <w:bCs/>
                      <w:color w:val="auto"/>
                      <w:sz w:val="21"/>
                      <w:szCs w:val="21"/>
                      <w:highlight w:val="none"/>
                    </w:rPr>
                    <w:t>dB(A)</w:t>
                  </w:r>
                </w:p>
              </w:tc>
              <w:tc>
                <w:tcPr>
                  <w:tcW w:w="612" w:type="pct"/>
                  <w:noWrap w:val="0"/>
                  <w:vAlign w:val="center"/>
                </w:tcPr>
                <w:p w14:paraId="54A1A387">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建筑物外噪声</w:t>
                  </w:r>
                </w:p>
              </w:tc>
            </w:tr>
            <w:tr w14:paraId="425183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69" w:type="pct"/>
                  <w:vMerge w:val="continue"/>
                  <w:noWrap w:val="0"/>
                  <w:vAlign w:val="center"/>
                </w:tcPr>
                <w:p w14:paraId="77E4AD4B">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p>
              </w:tc>
              <w:tc>
                <w:tcPr>
                  <w:tcW w:w="259" w:type="pct"/>
                  <w:vMerge w:val="continue"/>
                  <w:noWrap w:val="0"/>
                  <w:vAlign w:val="center"/>
                </w:tcPr>
                <w:p w14:paraId="445AB426">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p>
              </w:tc>
              <w:tc>
                <w:tcPr>
                  <w:tcW w:w="431" w:type="pct"/>
                  <w:vMerge w:val="continue"/>
                  <w:noWrap w:val="0"/>
                  <w:vAlign w:val="center"/>
                </w:tcPr>
                <w:p w14:paraId="0194B9DB">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p>
              </w:tc>
              <w:tc>
                <w:tcPr>
                  <w:tcW w:w="248" w:type="pct"/>
                  <w:vMerge w:val="continue"/>
                  <w:noWrap w:val="0"/>
                  <w:vAlign w:val="center"/>
                </w:tcPr>
                <w:p w14:paraId="5735E6A7">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p>
              </w:tc>
              <w:tc>
                <w:tcPr>
                  <w:tcW w:w="369" w:type="pct"/>
                  <w:vMerge w:val="continue"/>
                  <w:noWrap w:val="0"/>
                  <w:vAlign w:val="center"/>
                </w:tcPr>
                <w:p w14:paraId="7C24717C">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p>
              </w:tc>
              <w:tc>
                <w:tcPr>
                  <w:tcW w:w="369" w:type="pct"/>
                  <w:vMerge w:val="continue"/>
                  <w:noWrap w:val="0"/>
                  <w:vAlign w:val="center"/>
                </w:tcPr>
                <w:p w14:paraId="3E6208F4">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p>
              </w:tc>
              <w:tc>
                <w:tcPr>
                  <w:tcW w:w="217" w:type="pct"/>
                  <w:noWrap w:val="0"/>
                  <w:vAlign w:val="center"/>
                </w:tcPr>
                <w:p w14:paraId="6F6890BF">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X</w:t>
                  </w:r>
                </w:p>
              </w:tc>
              <w:tc>
                <w:tcPr>
                  <w:tcW w:w="258" w:type="pct"/>
                  <w:noWrap w:val="0"/>
                  <w:vAlign w:val="center"/>
                </w:tcPr>
                <w:p w14:paraId="67BAD6D8">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Y</w:t>
                  </w:r>
                </w:p>
              </w:tc>
              <w:tc>
                <w:tcPr>
                  <w:tcW w:w="319" w:type="pct"/>
                  <w:noWrap w:val="0"/>
                  <w:vAlign w:val="center"/>
                </w:tcPr>
                <w:p w14:paraId="26E077B7">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Z</w:t>
                  </w:r>
                </w:p>
              </w:tc>
              <w:tc>
                <w:tcPr>
                  <w:tcW w:w="451" w:type="pct"/>
                  <w:vMerge w:val="continue"/>
                  <w:noWrap w:val="0"/>
                  <w:vAlign w:val="center"/>
                </w:tcPr>
                <w:p w14:paraId="1A616452">
                  <w:pPr>
                    <w:widowControl/>
                    <w:adjustRightInd w:val="0"/>
                    <w:snapToGrid w:val="0"/>
                    <w:jc w:val="center"/>
                    <w:rPr>
                      <w:rFonts w:hint="default" w:ascii="Times New Roman" w:hAnsi="Times New Roman" w:eastAsia="宋体" w:cs="Times New Roman"/>
                      <w:b/>
                      <w:bCs/>
                      <w:snapToGrid w:val="0"/>
                      <w:color w:val="auto"/>
                      <w:kern w:val="0"/>
                      <w:sz w:val="21"/>
                      <w:szCs w:val="21"/>
                      <w:highlight w:val="none"/>
                      <w:lang w:val="en-US" w:eastAsia="zh-CN"/>
                    </w:rPr>
                  </w:pPr>
                </w:p>
              </w:tc>
              <w:tc>
                <w:tcPr>
                  <w:tcW w:w="416" w:type="pct"/>
                  <w:vMerge w:val="continue"/>
                  <w:noWrap w:val="0"/>
                  <w:vAlign w:val="center"/>
                </w:tcPr>
                <w:p w14:paraId="01353C9A">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p>
              </w:tc>
              <w:tc>
                <w:tcPr>
                  <w:tcW w:w="476" w:type="pct"/>
                  <w:vMerge w:val="continue"/>
                  <w:noWrap w:val="0"/>
                  <w:vAlign w:val="center"/>
                </w:tcPr>
                <w:p w14:paraId="0F435095">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p>
              </w:tc>
              <w:tc>
                <w:tcPr>
                  <w:tcW w:w="400" w:type="pct"/>
                  <w:vMerge w:val="continue"/>
                  <w:noWrap w:val="0"/>
                  <w:vAlign w:val="center"/>
                </w:tcPr>
                <w:p w14:paraId="1BEF064A">
                  <w:pPr>
                    <w:widowControl/>
                    <w:adjustRightInd w:val="0"/>
                    <w:snapToGrid w:val="0"/>
                    <w:jc w:val="center"/>
                    <w:rPr>
                      <w:rFonts w:hint="default" w:ascii="Times New Roman" w:hAnsi="Times New Roman" w:eastAsia="宋体" w:cs="Times New Roman"/>
                      <w:b/>
                      <w:bCs/>
                      <w:snapToGrid w:val="0"/>
                      <w:color w:val="auto"/>
                      <w:kern w:val="0"/>
                      <w:sz w:val="21"/>
                      <w:szCs w:val="21"/>
                      <w:highlight w:val="none"/>
                    </w:rPr>
                  </w:pPr>
                </w:p>
              </w:tc>
              <w:tc>
                <w:tcPr>
                  <w:tcW w:w="612" w:type="pct"/>
                  <w:noWrap w:val="0"/>
                  <w:vAlign w:val="center"/>
                </w:tcPr>
                <w:p w14:paraId="60F65EE5">
                  <w:pPr>
                    <w:widowControl/>
                    <w:adjustRightInd w:val="0"/>
                    <w:snapToGrid w:val="0"/>
                    <w:spacing w:before="100" w:beforeAutospacing="1" w:after="100" w:afterAutospacing="1"/>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声压级/dB(A)</w:t>
                  </w:r>
                </w:p>
              </w:tc>
            </w:tr>
            <w:tr w14:paraId="2AB51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18B57724">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bookmarkStart w:id="16" w:name="OLE_LINK207" w:colFirst="5" w:colLast="69"/>
                  <w:bookmarkStart w:id="17" w:name="OLE_LINK28" w:colFirst="7" w:colLast="71"/>
                  <w:bookmarkStart w:id="18" w:name="OLE_LINK210" w:colFirst="7" w:colLast="71"/>
                  <w:bookmarkStart w:id="19" w:name="_Hlk108167590"/>
                  <w:bookmarkStart w:id="20" w:name="OLE_LINK95" w:colFirst="7" w:colLast="71"/>
                  <w:bookmarkStart w:id="21" w:name="OLE_LINK209" w:colFirst="7" w:colLast="71"/>
                  <w:bookmarkStart w:id="22" w:name="OLE_LINK96" w:colFirst="5" w:colLast="69"/>
                  <w:bookmarkStart w:id="23" w:name="OLE_LINK208" w:colFirst="5" w:colLast="69"/>
                  <w:r>
                    <w:rPr>
                      <w:rFonts w:hint="default" w:ascii="Times New Roman" w:hAnsi="Times New Roman" w:eastAsia="宋体" w:cs="Times New Roman"/>
                      <w:snapToGrid w:val="0"/>
                      <w:color w:val="auto"/>
                      <w:kern w:val="0"/>
                      <w:sz w:val="21"/>
                      <w:szCs w:val="21"/>
                      <w:highlight w:val="none"/>
                    </w:rPr>
                    <w:t>1</w:t>
                  </w:r>
                </w:p>
              </w:tc>
              <w:tc>
                <w:tcPr>
                  <w:tcW w:w="259" w:type="pct"/>
                  <w:vMerge w:val="restart"/>
                  <w:noWrap w:val="0"/>
                  <w:vAlign w:val="center"/>
                </w:tcPr>
                <w:p w14:paraId="4BB51A4B">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lang w:val="en-US" w:eastAsia="zh-CN"/>
                    </w:rPr>
                    <w:t>9号厂房</w:t>
                  </w:r>
                </w:p>
              </w:tc>
              <w:tc>
                <w:tcPr>
                  <w:tcW w:w="431" w:type="pct"/>
                  <w:noWrap w:val="0"/>
                  <w:vAlign w:val="center"/>
                </w:tcPr>
                <w:p w14:paraId="506278A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原料称料混料机</w:t>
                  </w:r>
                </w:p>
              </w:tc>
              <w:tc>
                <w:tcPr>
                  <w:tcW w:w="248" w:type="pct"/>
                  <w:noWrap w:val="0"/>
                  <w:vAlign w:val="center"/>
                </w:tcPr>
                <w:p w14:paraId="50013B86">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36CF0A1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i w:val="0"/>
                      <w:iCs w:val="0"/>
                      <w:color w:val="auto"/>
                      <w:kern w:val="0"/>
                      <w:sz w:val="21"/>
                      <w:szCs w:val="21"/>
                      <w:highlight w:val="none"/>
                      <w:u w:val="none"/>
                      <w:lang w:val="en-US" w:eastAsia="zh-CN" w:bidi="ar"/>
                    </w:rPr>
                    <w:t>85/1</w:t>
                  </w:r>
                </w:p>
              </w:tc>
              <w:tc>
                <w:tcPr>
                  <w:tcW w:w="369" w:type="pct"/>
                  <w:vMerge w:val="restart"/>
                  <w:noWrap w:val="0"/>
                  <w:vAlign w:val="center"/>
                </w:tcPr>
                <w:p w14:paraId="6211B9A0">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隔声、</w:t>
                  </w:r>
                  <w:r>
                    <w:rPr>
                      <w:rFonts w:hint="default" w:ascii="Times New Roman" w:hAnsi="Times New Roman" w:cs="Times New Roman"/>
                      <w:snapToGrid w:val="0"/>
                      <w:color w:val="auto"/>
                      <w:kern w:val="0"/>
                      <w:sz w:val="21"/>
                      <w:szCs w:val="21"/>
                      <w:highlight w:val="none"/>
                      <w:lang w:val="en-US" w:eastAsia="zh-CN"/>
                    </w:rPr>
                    <w:t>基础</w:t>
                  </w:r>
                  <w:r>
                    <w:rPr>
                      <w:rFonts w:hint="default" w:ascii="Times New Roman" w:hAnsi="Times New Roman" w:eastAsia="宋体" w:cs="Times New Roman"/>
                      <w:snapToGrid w:val="0"/>
                      <w:color w:val="auto"/>
                      <w:kern w:val="0"/>
                      <w:sz w:val="21"/>
                      <w:szCs w:val="21"/>
                      <w:highlight w:val="none"/>
                    </w:rPr>
                    <w:t>减振</w:t>
                  </w:r>
                </w:p>
              </w:tc>
              <w:tc>
                <w:tcPr>
                  <w:tcW w:w="217" w:type="pct"/>
                  <w:noWrap w:val="0"/>
                  <w:vAlign w:val="center"/>
                </w:tcPr>
                <w:p w14:paraId="71CF65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258" w:type="pct"/>
                  <w:noWrap w:val="0"/>
                  <w:vAlign w:val="center"/>
                </w:tcPr>
                <w:p w14:paraId="1EB9A0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67</w:t>
                  </w:r>
                </w:p>
              </w:tc>
              <w:tc>
                <w:tcPr>
                  <w:tcW w:w="319" w:type="pct"/>
                  <w:noWrap w:val="0"/>
                  <w:vAlign w:val="center"/>
                </w:tcPr>
                <w:p w14:paraId="11DE18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451" w:type="pct"/>
                  <w:noWrap w:val="0"/>
                  <w:vAlign w:val="center"/>
                </w:tcPr>
                <w:p w14:paraId="153DC32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416" w:type="pct"/>
                  <w:noWrap w:val="0"/>
                  <w:vAlign w:val="center"/>
                </w:tcPr>
                <w:p w14:paraId="19744A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70.36</w:t>
                  </w:r>
                </w:p>
              </w:tc>
              <w:tc>
                <w:tcPr>
                  <w:tcW w:w="476" w:type="pct"/>
                  <w:vMerge w:val="restart"/>
                  <w:noWrap w:val="0"/>
                  <w:vAlign w:val="center"/>
                </w:tcPr>
                <w:p w14:paraId="2A526D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8:00~16:00</w:t>
                  </w:r>
                </w:p>
              </w:tc>
              <w:tc>
                <w:tcPr>
                  <w:tcW w:w="400" w:type="pct"/>
                  <w:noWrap w:val="0"/>
                  <w:vAlign w:val="center"/>
                </w:tcPr>
                <w:p w14:paraId="2F6CE9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579288F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55.36</w:t>
                  </w:r>
                </w:p>
              </w:tc>
            </w:tr>
            <w:tr w14:paraId="5A52C5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57B2E26A">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w:t>
                  </w:r>
                </w:p>
              </w:tc>
              <w:tc>
                <w:tcPr>
                  <w:tcW w:w="259" w:type="pct"/>
                  <w:vMerge w:val="continue"/>
                  <w:noWrap w:val="0"/>
                  <w:vAlign w:val="center"/>
                </w:tcPr>
                <w:p w14:paraId="6B698C34">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4E6BD6B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抛砂机</w:t>
                  </w:r>
                </w:p>
              </w:tc>
              <w:tc>
                <w:tcPr>
                  <w:tcW w:w="248" w:type="pct"/>
                  <w:noWrap w:val="0"/>
                  <w:vAlign w:val="center"/>
                </w:tcPr>
                <w:p w14:paraId="0ECA26AE">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03BDCD6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i w:val="0"/>
                      <w:iCs w:val="0"/>
                      <w:color w:val="auto"/>
                      <w:kern w:val="0"/>
                      <w:sz w:val="21"/>
                      <w:szCs w:val="21"/>
                      <w:highlight w:val="none"/>
                      <w:u w:val="none"/>
                      <w:lang w:val="en-US" w:eastAsia="zh-CN" w:bidi="ar"/>
                    </w:rPr>
                    <w:t>90/1</w:t>
                  </w:r>
                </w:p>
              </w:tc>
              <w:tc>
                <w:tcPr>
                  <w:tcW w:w="369" w:type="pct"/>
                  <w:vMerge w:val="continue"/>
                  <w:noWrap w:val="0"/>
                  <w:vAlign w:val="center"/>
                </w:tcPr>
                <w:p w14:paraId="62CCAA62">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691487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w:t>
                  </w:r>
                </w:p>
              </w:tc>
              <w:tc>
                <w:tcPr>
                  <w:tcW w:w="258" w:type="pct"/>
                  <w:noWrap w:val="0"/>
                  <w:vAlign w:val="center"/>
                </w:tcPr>
                <w:p w14:paraId="586ACE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319" w:type="pct"/>
                  <w:noWrap w:val="0"/>
                  <w:vAlign w:val="center"/>
                </w:tcPr>
                <w:p w14:paraId="76598A1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451" w:type="pct"/>
                  <w:noWrap w:val="0"/>
                  <w:vAlign w:val="center"/>
                </w:tcPr>
                <w:p w14:paraId="31DA6C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416" w:type="pct"/>
                  <w:noWrap w:val="0"/>
                  <w:vAlign w:val="center"/>
                </w:tcPr>
                <w:p w14:paraId="1DFD55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75.36</w:t>
                  </w:r>
                </w:p>
              </w:tc>
              <w:tc>
                <w:tcPr>
                  <w:tcW w:w="476" w:type="pct"/>
                  <w:vMerge w:val="continue"/>
                  <w:noWrap w:val="0"/>
                  <w:vAlign w:val="center"/>
                </w:tcPr>
                <w:p w14:paraId="2EB587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79C6E6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51BFFE8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60.36</w:t>
                  </w:r>
                </w:p>
              </w:tc>
            </w:tr>
            <w:tr w14:paraId="61BD2C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 w:type="pct"/>
                  <w:noWrap w:val="0"/>
                  <w:vAlign w:val="center"/>
                </w:tcPr>
                <w:p w14:paraId="17002DD8">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3</w:t>
                  </w:r>
                </w:p>
              </w:tc>
              <w:tc>
                <w:tcPr>
                  <w:tcW w:w="259" w:type="pct"/>
                  <w:vMerge w:val="continue"/>
                  <w:noWrap w:val="0"/>
                  <w:vAlign w:val="center"/>
                </w:tcPr>
                <w:p w14:paraId="4B89FB87">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0B75B7A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eastAsia" w:ascii="宋体" w:hAnsi="宋体" w:eastAsia="宋体" w:cs="宋体"/>
                      <w:i w:val="0"/>
                      <w:iCs w:val="0"/>
                      <w:color w:val="000000"/>
                      <w:kern w:val="0"/>
                      <w:sz w:val="21"/>
                      <w:szCs w:val="21"/>
                      <w:u w:val="none"/>
                      <w:lang w:val="en-US" w:eastAsia="zh-CN" w:bidi="ar"/>
                    </w:rPr>
                    <w:t>钢背涂胶机</w:t>
                  </w:r>
                </w:p>
              </w:tc>
              <w:tc>
                <w:tcPr>
                  <w:tcW w:w="248" w:type="pct"/>
                  <w:noWrap w:val="0"/>
                  <w:vAlign w:val="center"/>
                </w:tcPr>
                <w:p w14:paraId="2B2DA98D">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1290B43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eastAsia" w:ascii="Times New Roman" w:hAnsi="Times New Roman" w:cs="Times New Roman"/>
                      <w:i w:val="0"/>
                      <w:iCs w:val="0"/>
                      <w:color w:val="auto"/>
                      <w:kern w:val="0"/>
                      <w:sz w:val="21"/>
                      <w:szCs w:val="21"/>
                      <w:highlight w:val="none"/>
                      <w:u w:val="none"/>
                      <w:lang w:val="en-US" w:eastAsia="zh-CN" w:bidi="ar"/>
                    </w:rPr>
                    <w:t>75/1</w:t>
                  </w:r>
                </w:p>
              </w:tc>
              <w:tc>
                <w:tcPr>
                  <w:tcW w:w="369" w:type="pct"/>
                  <w:vMerge w:val="continue"/>
                  <w:noWrap w:val="0"/>
                  <w:vAlign w:val="center"/>
                </w:tcPr>
                <w:p w14:paraId="47242613">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3D0BBA9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29</w:t>
                  </w:r>
                </w:p>
              </w:tc>
              <w:tc>
                <w:tcPr>
                  <w:tcW w:w="258" w:type="pct"/>
                  <w:noWrap w:val="0"/>
                  <w:vAlign w:val="center"/>
                </w:tcPr>
                <w:p w14:paraId="705261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319" w:type="pct"/>
                  <w:noWrap w:val="0"/>
                  <w:vAlign w:val="center"/>
                </w:tcPr>
                <w:p w14:paraId="19F903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451" w:type="pct"/>
                  <w:noWrap w:val="0"/>
                  <w:vAlign w:val="center"/>
                </w:tcPr>
                <w:p w14:paraId="791218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416" w:type="pct"/>
                  <w:noWrap w:val="0"/>
                  <w:vAlign w:val="center"/>
                </w:tcPr>
                <w:p w14:paraId="4D6FC2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60.28</w:t>
                  </w:r>
                </w:p>
              </w:tc>
              <w:tc>
                <w:tcPr>
                  <w:tcW w:w="476" w:type="pct"/>
                  <w:vMerge w:val="continue"/>
                  <w:noWrap w:val="0"/>
                  <w:vAlign w:val="center"/>
                </w:tcPr>
                <w:p w14:paraId="586B33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1A89DF3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4079571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45.28</w:t>
                  </w:r>
                </w:p>
              </w:tc>
            </w:tr>
            <w:tr w14:paraId="707692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5A976882">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4</w:t>
                  </w:r>
                </w:p>
              </w:tc>
              <w:tc>
                <w:tcPr>
                  <w:tcW w:w="259" w:type="pct"/>
                  <w:vMerge w:val="continue"/>
                  <w:noWrap w:val="0"/>
                  <w:vAlign w:val="center"/>
                </w:tcPr>
                <w:p w14:paraId="455420AE">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1302F55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eastAsia" w:ascii="宋体" w:hAnsi="宋体" w:eastAsia="宋体" w:cs="宋体"/>
                      <w:i w:val="0"/>
                      <w:iCs w:val="0"/>
                      <w:color w:val="000000"/>
                      <w:kern w:val="0"/>
                      <w:sz w:val="21"/>
                      <w:szCs w:val="21"/>
                      <w:u w:val="none"/>
                      <w:lang w:val="en-US" w:eastAsia="zh-CN" w:bidi="ar"/>
                    </w:rPr>
                    <w:t>热压成型机</w:t>
                  </w:r>
                </w:p>
              </w:tc>
              <w:tc>
                <w:tcPr>
                  <w:tcW w:w="248" w:type="pct"/>
                  <w:noWrap w:val="0"/>
                  <w:vAlign w:val="center"/>
                </w:tcPr>
                <w:p w14:paraId="5801921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369" w:type="pct"/>
                  <w:noWrap w:val="0"/>
                  <w:vAlign w:val="center"/>
                </w:tcPr>
                <w:p w14:paraId="70B1AA8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eastAsia" w:ascii="Times New Roman" w:hAnsi="Times New Roman" w:cs="Times New Roman"/>
                      <w:i w:val="0"/>
                      <w:iCs w:val="0"/>
                      <w:color w:val="auto"/>
                      <w:kern w:val="0"/>
                      <w:sz w:val="21"/>
                      <w:szCs w:val="21"/>
                      <w:highlight w:val="none"/>
                      <w:u w:val="none"/>
                      <w:lang w:val="en-US" w:eastAsia="zh-CN" w:bidi="ar"/>
                    </w:rPr>
                    <w:t>85/1</w:t>
                  </w:r>
                </w:p>
              </w:tc>
              <w:tc>
                <w:tcPr>
                  <w:tcW w:w="369" w:type="pct"/>
                  <w:vMerge w:val="continue"/>
                  <w:noWrap w:val="0"/>
                  <w:vAlign w:val="center"/>
                </w:tcPr>
                <w:p w14:paraId="29C6EB97">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67DB32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w:t>
                  </w:r>
                  <w:r>
                    <w:rPr>
                      <w:rFonts w:hint="eastAsia" w:ascii="Times New Roman" w:hAnsi="Times New Roman" w:eastAsia="宋体" w:cs="Times New Roman"/>
                      <w:i w:val="0"/>
                      <w:iCs w:val="0"/>
                      <w:color w:val="auto"/>
                      <w:kern w:val="0"/>
                      <w:sz w:val="21"/>
                      <w:szCs w:val="21"/>
                      <w:highlight w:val="none"/>
                      <w:u w:val="none"/>
                      <w:lang w:val="en-US" w:eastAsia="zh-CN" w:bidi="ar"/>
                    </w:rPr>
                    <w:t>-30</w:t>
                  </w:r>
                </w:p>
              </w:tc>
              <w:tc>
                <w:tcPr>
                  <w:tcW w:w="258" w:type="pct"/>
                  <w:noWrap w:val="0"/>
                  <w:vAlign w:val="center"/>
                </w:tcPr>
                <w:p w14:paraId="628143A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40-60</w:t>
                  </w:r>
                </w:p>
              </w:tc>
              <w:tc>
                <w:tcPr>
                  <w:tcW w:w="319" w:type="pct"/>
                  <w:noWrap w:val="0"/>
                  <w:vAlign w:val="center"/>
                </w:tcPr>
                <w:p w14:paraId="6422F5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451" w:type="pct"/>
                  <w:noWrap w:val="0"/>
                  <w:vAlign w:val="center"/>
                </w:tcPr>
                <w:p w14:paraId="7EC6F8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416" w:type="pct"/>
                  <w:noWrap w:val="0"/>
                  <w:vAlign w:val="center"/>
                </w:tcPr>
                <w:p w14:paraId="73F2B2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70.36</w:t>
                  </w:r>
                </w:p>
              </w:tc>
              <w:tc>
                <w:tcPr>
                  <w:tcW w:w="476" w:type="pct"/>
                  <w:vMerge w:val="continue"/>
                  <w:noWrap w:val="0"/>
                  <w:vAlign w:val="center"/>
                </w:tcPr>
                <w:p w14:paraId="5A22F9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1D0BA5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46263F6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55.36</w:t>
                  </w:r>
                </w:p>
              </w:tc>
            </w:tr>
            <w:tr w14:paraId="7860A4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617482C5">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5</w:t>
                  </w:r>
                </w:p>
              </w:tc>
              <w:tc>
                <w:tcPr>
                  <w:tcW w:w="259" w:type="pct"/>
                  <w:vMerge w:val="continue"/>
                  <w:noWrap w:val="0"/>
                  <w:vAlign w:val="center"/>
                </w:tcPr>
                <w:p w14:paraId="01E943C4">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326C15A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eastAsia" w:ascii="宋体" w:hAnsi="宋体" w:eastAsia="宋体" w:cs="宋体"/>
                      <w:i w:val="0"/>
                      <w:iCs w:val="0"/>
                      <w:color w:val="000000"/>
                      <w:kern w:val="0"/>
                      <w:sz w:val="21"/>
                      <w:szCs w:val="21"/>
                      <w:u w:val="none"/>
                      <w:lang w:val="en-US" w:eastAsia="zh-CN" w:bidi="ar"/>
                    </w:rPr>
                    <w:t>磁盘磨床</w:t>
                  </w:r>
                </w:p>
              </w:tc>
              <w:tc>
                <w:tcPr>
                  <w:tcW w:w="248" w:type="pct"/>
                  <w:noWrap w:val="0"/>
                  <w:vAlign w:val="center"/>
                </w:tcPr>
                <w:p w14:paraId="32DC606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21CA39B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eastAsia" w:ascii="Times New Roman" w:hAnsi="Times New Roman" w:cs="Times New Roman"/>
                      <w:i w:val="0"/>
                      <w:iCs w:val="0"/>
                      <w:color w:val="auto"/>
                      <w:kern w:val="0"/>
                      <w:sz w:val="21"/>
                      <w:szCs w:val="21"/>
                      <w:highlight w:val="none"/>
                      <w:u w:val="none"/>
                      <w:lang w:val="en-US" w:eastAsia="zh-CN" w:bidi="ar"/>
                    </w:rPr>
                    <w:t>90/1</w:t>
                  </w:r>
                </w:p>
              </w:tc>
              <w:tc>
                <w:tcPr>
                  <w:tcW w:w="369" w:type="pct"/>
                  <w:vMerge w:val="continue"/>
                  <w:noWrap w:val="0"/>
                  <w:vAlign w:val="center"/>
                </w:tcPr>
                <w:p w14:paraId="47485DEF">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6F70BE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18</w:t>
                  </w:r>
                </w:p>
              </w:tc>
              <w:tc>
                <w:tcPr>
                  <w:tcW w:w="258" w:type="pct"/>
                  <w:noWrap w:val="0"/>
                  <w:vAlign w:val="center"/>
                </w:tcPr>
                <w:p w14:paraId="5CE352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58</w:t>
                  </w:r>
                </w:p>
              </w:tc>
              <w:tc>
                <w:tcPr>
                  <w:tcW w:w="319" w:type="pct"/>
                  <w:noWrap w:val="0"/>
                  <w:vAlign w:val="center"/>
                </w:tcPr>
                <w:p w14:paraId="58D223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451" w:type="pct"/>
                  <w:noWrap w:val="0"/>
                  <w:vAlign w:val="center"/>
                </w:tcPr>
                <w:p w14:paraId="0E1CCE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416" w:type="pct"/>
                  <w:noWrap w:val="0"/>
                  <w:vAlign w:val="center"/>
                </w:tcPr>
                <w:p w14:paraId="6E5816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75.32</w:t>
                  </w:r>
                </w:p>
              </w:tc>
              <w:tc>
                <w:tcPr>
                  <w:tcW w:w="476" w:type="pct"/>
                  <w:vMerge w:val="continue"/>
                  <w:noWrap w:val="0"/>
                  <w:vAlign w:val="center"/>
                </w:tcPr>
                <w:p w14:paraId="4ED19E7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211330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2EF6379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60.32</w:t>
                  </w:r>
                </w:p>
              </w:tc>
            </w:tr>
            <w:tr w14:paraId="7CC833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0443FA6E">
                  <w:pPr>
                    <w:widowControl/>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6</w:t>
                  </w:r>
                </w:p>
              </w:tc>
              <w:tc>
                <w:tcPr>
                  <w:tcW w:w="259" w:type="pct"/>
                  <w:vMerge w:val="continue"/>
                  <w:noWrap w:val="0"/>
                  <w:vAlign w:val="center"/>
                </w:tcPr>
                <w:p w14:paraId="16348076">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12BBC9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eastAsia" w:ascii="宋体" w:hAnsi="宋体" w:eastAsia="宋体" w:cs="宋体"/>
                      <w:i w:val="0"/>
                      <w:iCs w:val="0"/>
                      <w:color w:val="000000"/>
                      <w:kern w:val="0"/>
                      <w:sz w:val="21"/>
                      <w:szCs w:val="21"/>
                      <w:u w:val="none"/>
                      <w:lang w:val="en-US" w:eastAsia="zh-CN" w:bidi="ar"/>
                    </w:rPr>
                    <w:t>开槽机</w:t>
                  </w:r>
                </w:p>
              </w:tc>
              <w:tc>
                <w:tcPr>
                  <w:tcW w:w="248" w:type="pct"/>
                  <w:noWrap w:val="0"/>
                  <w:vAlign w:val="center"/>
                </w:tcPr>
                <w:p w14:paraId="4FC26325">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307F509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i w:val="0"/>
                      <w:iCs w:val="0"/>
                      <w:color w:val="auto"/>
                      <w:kern w:val="0"/>
                      <w:sz w:val="21"/>
                      <w:szCs w:val="21"/>
                      <w:highlight w:val="none"/>
                      <w:u w:val="none"/>
                      <w:lang w:val="en-US" w:eastAsia="zh-CN" w:bidi="ar"/>
                    </w:rPr>
                    <w:t>90/1</w:t>
                  </w:r>
                </w:p>
              </w:tc>
              <w:tc>
                <w:tcPr>
                  <w:tcW w:w="369" w:type="pct"/>
                  <w:vMerge w:val="continue"/>
                  <w:noWrap w:val="0"/>
                  <w:vAlign w:val="center"/>
                </w:tcPr>
                <w:p w14:paraId="5C66CEBD">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23D7F7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23</w:t>
                  </w:r>
                </w:p>
              </w:tc>
              <w:tc>
                <w:tcPr>
                  <w:tcW w:w="258" w:type="pct"/>
                  <w:noWrap w:val="0"/>
                  <w:vAlign w:val="center"/>
                </w:tcPr>
                <w:p w14:paraId="6BF0F4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w:t>
                  </w:r>
                </w:p>
              </w:tc>
              <w:tc>
                <w:tcPr>
                  <w:tcW w:w="319" w:type="pct"/>
                  <w:noWrap w:val="0"/>
                  <w:vAlign w:val="center"/>
                </w:tcPr>
                <w:p w14:paraId="6C37C99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51" w:type="pct"/>
                  <w:noWrap w:val="0"/>
                  <w:vAlign w:val="center"/>
                </w:tcPr>
                <w:p w14:paraId="5B97E4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416" w:type="pct"/>
                  <w:noWrap w:val="0"/>
                  <w:vAlign w:val="center"/>
                </w:tcPr>
                <w:p w14:paraId="46EA97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75.36</w:t>
                  </w:r>
                </w:p>
              </w:tc>
              <w:tc>
                <w:tcPr>
                  <w:tcW w:w="476" w:type="pct"/>
                  <w:vMerge w:val="continue"/>
                  <w:noWrap w:val="0"/>
                  <w:vAlign w:val="center"/>
                </w:tcPr>
                <w:p w14:paraId="1B62F8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20D72C7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317B063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60.36</w:t>
                  </w:r>
                </w:p>
              </w:tc>
            </w:tr>
            <w:tr w14:paraId="0F15B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68C21491">
                  <w:pPr>
                    <w:widowControl/>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7</w:t>
                  </w:r>
                </w:p>
              </w:tc>
              <w:tc>
                <w:tcPr>
                  <w:tcW w:w="259" w:type="pct"/>
                  <w:vMerge w:val="continue"/>
                  <w:noWrap w:val="0"/>
                  <w:vAlign w:val="center"/>
                </w:tcPr>
                <w:p w14:paraId="5FB49CB3">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2B3541B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eastAsia" w:ascii="宋体" w:hAnsi="宋体" w:eastAsia="宋体" w:cs="宋体"/>
                      <w:i w:val="0"/>
                      <w:iCs w:val="0"/>
                      <w:color w:val="000000"/>
                      <w:kern w:val="0"/>
                      <w:sz w:val="21"/>
                      <w:szCs w:val="21"/>
                      <w:u w:val="none"/>
                      <w:lang w:val="en-US" w:eastAsia="zh-CN" w:bidi="ar"/>
                    </w:rPr>
                    <w:t>喷塑固化流水线</w:t>
                  </w:r>
                </w:p>
              </w:tc>
              <w:tc>
                <w:tcPr>
                  <w:tcW w:w="248" w:type="pct"/>
                  <w:noWrap w:val="0"/>
                  <w:vAlign w:val="center"/>
                </w:tcPr>
                <w:p w14:paraId="0A74AEE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61879A7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eastAsia" w:ascii="Times New Roman" w:hAnsi="Times New Roman" w:cs="Times New Roman"/>
                      <w:color w:val="auto"/>
                      <w:sz w:val="21"/>
                      <w:szCs w:val="21"/>
                      <w:highlight w:val="none"/>
                      <w:lang w:val="en-US" w:eastAsia="zh-CN"/>
                    </w:rPr>
                    <w:t>80</w:t>
                  </w:r>
                  <w:r>
                    <w:rPr>
                      <w:rFonts w:hint="eastAsia" w:ascii="Times New Roman" w:hAnsi="Times New Roman" w:cs="Times New Roman"/>
                      <w:i w:val="0"/>
                      <w:iCs w:val="0"/>
                      <w:color w:val="auto"/>
                      <w:kern w:val="0"/>
                      <w:sz w:val="21"/>
                      <w:szCs w:val="21"/>
                      <w:highlight w:val="none"/>
                      <w:u w:val="none"/>
                      <w:lang w:val="en-US" w:eastAsia="zh-CN" w:bidi="ar"/>
                    </w:rPr>
                    <w:t>/1</w:t>
                  </w:r>
                </w:p>
              </w:tc>
              <w:tc>
                <w:tcPr>
                  <w:tcW w:w="369" w:type="pct"/>
                  <w:vMerge w:val="continue"/>
                  <w:noWrap w:val="0"/>
                  <w:vAlign w:val="center"/>
                </w:tcPr>
                <w:p w14:paraId="6C64C615">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526065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29</w:t>
                  </w:r>
                </w:p>
              </w:tc>
              <w:tc>
                <w:tcPr>
                  <w:tcW w:w="258" w:type="pct"/>
                  <w:noWrap w:val="0"/>
                  <w:vAlign w:val="center"/>
                </w:tcPr>
                <w:p w14:paraId="22C3B2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w:t>
                  </w:r>
                </w:p>
              </w:tc>
              <w:tc>
                <w:tcPr>
                  <w:tcW w:w="319" w:type="pct"/>
                  <w:noWrap w:val="0"/>
                  <w:vAlign w:val="center"/>
                </w:tcPr>
                <w:p w14:paraId="3087AA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51" w:type="pct"/>
                  <w:noWrap w:val="0"/>
                  <w:vAlign w:val="center"/>
                </w:tcPr>
                <w:p w14:paraId="4EABAA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416" w:type="pct"/>
                  <w:noWrap w:val="0"/>
                  <w:vAlign w:val="center"/>
                </w:tcPr>
                <w:p w14:paraId="6893A3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65.36</w:t>
                  </w:r>
                </w:p>
              </w:tc>
              <w:tc>
                <w:tcPr>
                  <w:tcW w:w="476" w:type="pct"/>
                  <w:vMerge w:val="continue"/>
                  <w:noWrap w:val="0"/>
                  <w:vAlign w:val="center"/>
                </w:tcPr>
                <w:p w14:paraId="191A7E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48984E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1802CB2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50.36</w:t>
                  </w:r>
                </w:p>
              </w:tc>
            </w:tr>
            <w:tr w14:paraId="234750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0E768EEA">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8</w:t>
                  </w:r>
                </w:p>
              </w:tc>
              <w:tc>
                <w:tcPr>
                  <w:tcW w:w="259" w:type="pct"/>
                  <w:vMerge w:val="continue"/>
                  <w:noWrap w:val="0"/>
                  <w:vAlign w:val="center"/>
                </w:tcPr>
                <w:p w14:paraId="08C53C16">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6E0E2A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eastAsia" w:ascii="宋体" w:hAnsi="宋体" w:eastAsia="宋体" w:cs="宋体"/>
                      <w:i w:val="0"/>
                      <w:iCs w:val="0"/>
                      <w:color w:val="000000"/>
                      <w:kern w:val="0"/>
                      <w:sz w:val="21"/>
                      <w:szCs w:val="21"/>
                      <w:u w:val="none"/>
                      <w:lang w:val="en-US" w:eastAsia="zh-CN" w:bidi="ar"/>
                    </w:rPr>
                    <w:t>铆卡机</w:t>
                  </w:r>
                </w:p>
              </w:tc>
              <w:tc>
                <w:tcPr>
                  <w:tcW w:w="248" w:type="pct"/>
                  <w:noWrap w:val="0"/>
                  <w:vAlign w:val="center"/>
                </w:tcPr>
                <w:p w14:paraId="6AF6E34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1730631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eastAsia" w:ascii="Times New Roman" w:hAnsi="Times New Roman" w:cs="Times New Roman"/>
                      <w:color w:val="auto"/>
                      <w:sz w:val="21"/>
                      <w:szCs w:val="21"/>
                      <w:highlight w:val="none"/>
                      <w:lang w:val="en-US" w:eastAsia="zh-CN"/>
                    </w:rPr>
                    <w:t>80</w:t>
                  </w:r>
                  <w:r>
                    <w:rPr>
                      <w:rFonts w:hint="eastAsia" w:ascii="Times New Roman" w:hAnsi="Times New Roman" w:cs="Times New Roman"/>
                      <w:i w:val="0"/>
                      <w:iCs w:val="0"/>
                      <w:color w:val="auto"/>
                      <w:kern w:val="0"/>
                      <w:sz w:val="21"/>
                      <w:szCs w:val="21"/>
                      <w:highlight w:val="none"/>
                      <w:u w:val="none"/>
                      <w:lang w:val="en-US" w:eastAsia="zh-CN" w:bidi="ar"/>
                    </w:rPr>
                    <w:t>/1</w:t>
                  </w:r>
                </w:p>
              </w:tc>
              <w:tc>
                <w:tcPr>
                  <w:tcW w:w="369" w:type="pct"/>
                  <w:vMerge w:val="continue"/>
                  <w:noWrap w:val="0"/>
                  <w:vAlign w:val="center"/>
                </w:tcPr>
                <w:p w14:paraId="47DECEB4">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2BA136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258" w:type="pct"/>
                  <w:noWrap w:val="0"/>
                  <w:vAlign w:val="center"/>
                </w:tcPr>
                <w:p w14:paraId="1B4ED2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53</w:t>
                  </w:r>
                </w:p>
              </w:tc>
              <w:tc>
                <w:tcPr>
                  <w:tcW w:w="319" w:type="pct"/>
                  <w:noWrap w:val="0"/>
                  <w:vAlign w:val="center"/>
                </w:tcPr>
                <w:p w14:paraId="28627F4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51" w:type="pct"/>
                  <w:noWrap w:val="0"/>
                  <w:vAlign w:val="center"/>
                </w:tcPr>
                <w:p w14:paraId="22C0EC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416" w:type="pct"/>
                  <w:noWrap w:val="0"/>
                  <w:vAlign w:val="center"/>
                </w:tcPr>
                <w:p w14:paraId="017B62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65.32</w:t>
                  </w:r>
                </w:p>
              </w:tc>
              <w:tc>
                <w:tcPr>
                  <w:tcW w:w="476" w:type="pct"/>
                  <w:vMerge w:val="continue"/>
                  <w:noWrap w:val="0"/>
                  <w:vAlign w:val="center"/>
                </w:tcPr>
                <w:p w14:paraId="71EAB1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4B28D3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539B893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50.32</w:t>
                  </w:r>
                </w:p>
              </w:tc>
            </w:tr>
            <w:tr w14:paraId="2F7894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0CC57197">
                  <w:pPr>
                    <w:widowControl/>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9</w:t>
                  </w:r>
                </w:p>
              </w:tc>
              <w:tc>
                <w:tcPr>
                  <w:tcW w:w="259" w:type="pct"/>
                  <w:vMerge w:val="continue"/>
                  <w:noWrap w:val="0"/>
                  <w:vAlign w:val="center"/>
                </w:tcPr>
                <w:p w14:paraId="0573EB70">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18A1706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空压机</w:t>
                  </w:r>
                </w:p>
              </w:tc>
              <w:tc>
                <w:tcPr>
                  <w:tcW w:w="248" w:type="pct"/>
                  <w:noWrap w:val="0"/>
                  <w:vAlign w:val="center"/>
                </w:tcPr>
                <w:p w14:paraId="1F72CAD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64AA2BB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90</w:t>
                  </w:r>
                  <w:r>
                    <w:rPr>
                      <w:rFonts w:hint="eastAsia" w:ascii="Times New Roman" w:hAnsi="Times New Roman" w:cs="Times New Roman"/>
                      <w:i w:val="0"/>
                      <w:iCs w:val="0"/>
                      <w:color w:val="auto"/>
                      <w:kern w:val="0"/>
                      <w:sz w:val="21"/>
                      <w:szCs w:val="21"/>
                      <w:highlight w:val="none"/>
                      <w:u w:val="none"/>
                      <w:lang w:val="en-US" w:eastAsia="zh-CN" w:bidi="ar"/>
                    </w:rPr>
                    <w:t>/1</w:t>
                  </w:r>
                </w:p>
              </w:tc>
              <w:tc>
                <w:tcPr>
                  <w:tcW w:w="369" w:type="pct"/>
                  <w:vMerge w:val="continue"/>
                  <w:noWrap w:val="0"/>
                  <w:vAlign w:val="center"/>
                </w:tcPr>
                <w:p w14:paraId="023AB4DC">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0BF645D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258" w:type="pct"/>
                  <w:noWrap w:val="0"/>
                  <w:vAlign w:val="center"/>
                </w:tcPr>
                <w:p w14:paraId="5F0FC8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52</w:t>
                  </w:r>
                </w:p>
              </w:tc>
              <w:tc>
                <w:tcPr>
                  <w:tcW w:w="319" w:type="pct"/>
                  <w:noWrap w:val="0"/>
                  <w:vAlign w:val="center"/>
                </w:tcPr>
                <w:p w14:paraId="7B809A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51" w:type="pct"/>
                  <w:noWrap w:val="0"/>
                  <w:vAlign w:val="center"/>
                </w:tcPr>
                <w:p w14:paraId="7C3BBA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416" w:type="pct"/>
                  <w:noWrap w:val="0"/>
                  <w:vAlign w:val="center"/>
                </w:tcPr>
                <w:p w14:paraId="3C4478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75.36</w:t>
                  </w:r>
                </w:p>
              </w:tc>
              <w:tc>
                <w:tcPr>
                  <w:tcW w:w="476" w:type="pct"/>
                  <w:vMerge w:val="continue"/>
                  <w:noWrap w:val="0"/>
                  <w:vAlign w:val="center"/>
                </w:tcPr>
                <w:p w14:paraId="0EFEED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4A58EC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7323C29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60.36</w:t>
                  </w:r>
                </w:p>
              </w:tc>
            </w:tr>
            <w:tr w14:paraId="52336A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3CB0C0DE">
                  <w:pPr>
                    <w:widowControl/>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10</w:t>
                  </w:r>
                </w:p>
              </w:tc>
              <w:tc>
                <w:tcPr>
                  <w:tcW w:w="259" w:type="pct"/>
                  <w:vMerge w:val="continue"/>
                  <w:noWrap w:val="0"/>
                  <w:vAlign w:val="center"/>
                </w:tcPr>
                <w:p w14:paraId="2076FEEC">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7B4E16E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包装机</w:t>
                  </w:r>
                </w:p>
              </w:tc>
              <w:tc>
                <w:tcPr>
                  <w:tcW w:w="248" w:type="pct"/>
                  <w:noWrap w:val="0"/>
                  <w:vAlign w:val="center"/>
                </w:tcPr>
                <w:p w14:paraId="3828459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4CBD915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w:t>
                  </w:r>
                  <w:r>
                    <w:rPr>
                      <w:rFonts w:hint="eastAsia" w:ascii="Times New Roman" w:hAnsi="Times New Roman" w:cs="Times New Roman"/>
                      <w:color w:val="auto"/>
                      <w:sz w:val="21"/>
                      <w:szCs w:val="21"/>
                      <w:highlight w:val="none"/>
                      <w:lang w:val="en-US" w:eastAsia="zh-CN"/>
                    </w:rPr>
                    <w:t>0</w:t>
                  </w:r>
                  <w:r>
                    <w:rPr>
                      <w:rFonts w:hint="eastAsia" w:ascii="Times New Roman" w:hAnsi="Times New Roman" w:cs="Times New Roman"/>
                      <w:i w:val="0"/>
                      <w:iCs w:val="0"/>
                      <w:color w:val="auto"/>
                      <w:kern w:val="0"/>
                      <w:sz w:val="21"/>
                      <w:szCs w:val="21"/>
                      <w:highlight w:val="none"/>
                      <w:u w:val="none"/>
                      <w:lang w:val="en-US" w:eastAsia="zh-CN" w:bidi="ar"/>
                    </w:rPr>
                    <w:t>/1</w:t>
                  </w:r>
                </w:p>
              </w:tc>
              <w:tc>
                <w:tcPr>
                  <w:tcW w:w="369" w:type="pct"/>
                  <w:vMerge w:val="continue"/>
                  <w:noWrap w:val="0"/>
                  <w:vAlign w:val="center"/>
                </w:tcPr>
                <w:p w14:paraId="5C2059E1">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42930B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258" w:type="pct"/>
                  <w:noWrap w:val="0"/>
                  <w:vAlign w:val="center"/>
                </w:tcPr>
                <w:p w14:paraId="25A9374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52</w:t>
                  </w:r>
                </w:p>
              </w:tc>
              <w:tc>
                <w:tcPr>
                  <w:tcW w:w="319" w:type="pct"/>
                  <w:noWrap w:val="0"/>
                  <w:vAlign w:val="center"/>
                </w:tcPr>
                <w:p w14:paraId="0C156A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51" w:type="pct"/>
                  <w:noWrap w:val="0"/>
                  <w:vAlign w:val="center"/>
                </w:tcPr>
                <w:p w14:paraId="0231DD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416" w:type="pct"/>
                  <w:noWrap w:val="0"/>
                  <w:vAlign w:val="center"/>
                </w:tcPr>
                <w:p w14:paraId="219570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65.44</w:t>
                  </w:r>
                </w:p>
              </w:tc>
              <w:tc>
                <w:tcPr>
                  <w:tcW w:w="476" w:type="pct"/>
                  <w:vMerge w:val="continue"/>
                  <w:noWrap w:val="0"/>
                  <w:vAlign w:val="center"/>
                </w:tcPr>
                <w:p w14:paraId="706C57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1B6F91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34F0D2F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50.44</w:t>
                  </w:r>
                </w:p>
              </w:tc>
            </w:tr>
            <w:tr w14:paraId="624984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4A8E3B6E">
                  <w:pPr>
                    <w:widowControl/>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11</w:t>
                  </w:r>
                </w:p>
              </w:tc>
              <w:tc>
                <w:tcPr>
                  <w:tcW w:w="259" w:type="pct"/>
                  <w:vMerge w:val="continue"/>
                  <w:noWrap w:val="0"/>
                  <w:vAlign w:val="center"/>
                </w:tcPr>
                <w:p w14:paraId="18720459">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2246547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打包机</w:t>
                  </w:r>
                </w:p>
              </w:tc>
              <w:tc>
                <w:tcPr>
                  <w:tcW w:w="248" w:type="pct"/>
                  <w:noWrap w:val="0"/>
                  <w:vAlign w:val="center"/>
                </w:tcPr>
                <w:p w14:paraId="1EF1EAB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41B78A9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80</w:t>
                  </w:r>
                  <w:r>
                    <w:rPr>
                      <w:rFonts w:hint="eastAsia" w:ascii="Times New Roman" w:hAnsi="Times New Roman" w:cs="Times New Roman"/>
                      <w:i w:val="0"/>
                      <w:iCs w:val="0"/>
                      <w:color w:val="auto"/>
                      <w:kern w:val="0"/>
                      <w:sz w:val="21"/>
                      <w:szCs w:val="21"/>
                      <w:highlight w:val="none"/>
                      <w:u w:val="none"/>
                      <w:lang w:val="en-US" w:eastAsia="zh-CN" w:bidi="ar"/>
                    </w:rPr>
                    <w:t>/1</w:t>
                  </w:r>
                </w:p>
              </w:tc>
              <w:tc>
                <w:tcPr>
                  <w:tcW w:w="369" w:type="pct"/>
                  <w:vMerge w:val="continue"/>
                  <w:noWrap w:val="0"/>
                  <w:vAlign w:val="center"/>
                </w:tcPr>
                <w:p w14:paraId="09D1E212">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50E42B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258" w:type="pct"/>
                  <w:noWrap w:val="0"/>
                  <w:vAlign w:val="center"/>
                </w:tcPr>
                <w:p w14:paraId="462D7C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51</w:t>
                  </w:r>
                </w:p>
              </w:tc>
              <w:tc>
                <w:tcPr>
                  <w:tcW w:w="319" w:type="pct"/>
                  <w:noWrap w:val="0"/>
                  <w:vAlign w:val="center"/>
                </w:tcPr>
                <w:p w14:paraId="31D639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51" w:type="pct"/>
                  <w:noWrap w:val="0"/>
                  <w:vAlign w:val="center"/>
                </w:tcPr>
                <w:p w14:paraId="7F12EEE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416" w:type="pct"/>
                  <w:noWrap w:val="0"/>
                  <w:vAlign w:val="center"/>
                </w:tcPr>
                <w:p w14:paraId="31C471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65.36</w:t>
                  </w:r>
                </w:p>
              </w:tc>
              <w:tc>
                <w:tcPr>
                  <w:tcW w:w="476" w:type="pct"/>
                  <w:vMerge w:val="continue"/>
                  <w:noWrap w:val="0"/>
                  <w:vAlign w:val="center"/>
                </w:tcPr>
                <w:p w14:paraId="1255F4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614066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77B3BA9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50.36</w:t>
                  </w:r>
                </w:p>
              </w:tc>
            </w:tr>
            <w:tr w14:paraId="1DF48E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 w:type="pct"/>
                  <w:noWrap w:val="0"/>
                  <w:vAlign w:val="center"/>
                </w:tcPr>
                <w:p w14:paraId="5E55ABAC">
                  <w:pPr>
                    <w:widowControl/>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12</w:t>
                  </w:r>
                </w:p>
              </w:tc>
              <w:tc>
                <w:tcPr>
                  <w:tcW w:w="259" w:type="pct"/>
                  <w:vMerge w:val="continue"/>
                  <w:noWrap w:val="0"/>
                  <w:vAlign w:val="center"/>
                </w:tcPr>
                <w:p w14:paraId="7EC11351">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431" w:type="pct"/>
                  <w:noWrap w:val="0"/>
                  <w:vAlign w:val="center"/>
                </w:tcPr>
                <w:p w14:paraId="100BB49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烘箱</w:t>
                  </w:r>
                </w:p>
              </w:tc>
              <w:tc>
                <w:tcPr>
                  <w:tcW w:w="248" w:type="pct"/>
                  <w:noWrap w:val="0"/>
                  <w:vAlign w:val="center"/>
                </w:tcPr>
                <w:p w14:paraId="157856C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369" w:type="pct"/>
                  <w:noWrap w:val="0"/>
                  <w:vAlign w:val="center"/>
                </w:tcPr>
                <w:p w14:paraId="7BAA34A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75</w:t>
                  </w:r>
                  <w:r>
                    <w:rPr>
                      <w:rFonts w:hint="eastAsia" w:ascii="Times New Roman" w:hAnsi="Times New Roman" w:cs="Times New Roman"/>
                      <w:i w:val="0"/>
                      <w:iCs w:val="0"/>
                      <w:color w:val="auto"/>
                      <w:kern w:val="0"/>
                      <w:sz w:val="21"/>
                      <w:szCs w:val="21"/>
                      <w:highlight w:val="none"/>
                      <w:u w:val="none"/>
                      <w:lang w:val="en-US" w:eastAsia="zh-CN" w:bidi="ar"/>
                    </w:rPr>
                    <w:t>/1</w:t>
                  </w:r>
                </w:p>
              </w:tc>
              <w:tc>
                <w:tcPr>
                  <w:tcW w:w="369" w:type="pct"/>
                  <w:vMerge w:val="continue"/>
                  <w:noWrap w:val="0"/>
                  <w:vAlign w:val="center"/>
                </w:tcPr>
                <w:p w14:paraId="77409697">
                  <w:pPr>
                    <w:widowControl/>
                    <w:adjustRightInd w:val="0"/>
                    <w:snapToGrid w:val="0"/>
                    <w:jc w:val="center"/>
                    <w:rPr>
                      <w:rFonts w:hint="default" w:ascii="Times New Roman" w:hAnsi="Times New Roman" w:eastAsia="宋体" w:cs="Times New Roman"/>
                      <w:snapToGrid w:val="0"/>
                      <w:color w:val="auto"/>
                      <w:kern w:val="0"/>
                      <w:sz w:val="21"/>
                      <w:szCs w:val="21"/>
                      <w:highlight w:val="none"/>
                    </w:rPr>
                  </w:pPr>
                </w:p>
              </w:tc>
              <w:tc>
                <w:tcPr>
                  <w:tcW w:w="217" w:type="pct"/>
                  <w:noWrap w:val="0"/>
                  <w:vAlign w:val="center"/>
                </w:tcPr>
                <w:p w14:paraId="35B883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258" w:type="pct"/>
                  <w:noWrap w:val="0"/>
                  <w:vAlign w:val="center"/>
                </w:tcPr>
                <w:p w14:paraId="5F80F4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48</w:t>
                  </w:r>
                </w:p>
              </w:tc>
              <w:tc>
                <w:tcPr>
                  <w:tcW w:w="319" w:type="pct"/>
                  <w:noWrap w:val="0"/>
                  <w:vAlign w:val="center"/>
                </w:tcPr>
                <w:p w14:paraId="5120C0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51" w:type="pct"/>
                  <w:noWrap w:val="0"/>
                  <w:vAlign w:val="center"/>
                </w:tcPr>
                <w:p w14:paraId="4DC0F7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416" w:type="pct"/>
                  <w:noWrap w:val="0"/>
                  <w:vAlign w:val="center"/>
                </w:tcPr>
                <w:p w14:paraId="35B349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60.56</w:t>
                  </w:r>
                </w:p>
              </w:tc>
              <w:tc>
                <w:tcPr>
                  <w:tcW w:w="476" w:type="pct"/>
                  <w:vMerge w:val="continue"/>
                  <w:noWrap w:val="0"/>
                  <w:vAlign w:val="center"/>
                </w:tcPr>
                <w:p w14:paraId="45C064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00" w:type="pct"/>
                  <w:noWrap w:val="0"/>
                  <w:vAlign w:val="center"/>
                </w:tcPr>
                <w:p w14:paraId="0BFC1C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612" w:type="pct"/>
                  <w:noWrap w:val="0"/>
                  <w:vAlign w:val="center"/>
                </w:tcPr>
                <w:p w14:paraId="2A84AE4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45.56</w:t>
                  </w:r>
                </w:p>
              </w:tc>
            </w:tr>
            <w:bookmarkEnd w:id="16"/>
            <w:bookmarkEnd w:id="17"/>
            <w:bookmarkEnd w:id="18"/>
            <w:bookmarkEnd w:id="19"/>
            <w:bookmarkEnd w:id="20"/>
            <w:bookmarkEnd w:id="21"/>
            <w:bookmarkEnd w:id="22"/>
            <w:bookmarkEnd w:id="23"/>
          </w:tbl>
          <w:p w14:paraId="6AA6D388">
            <w:pPr>
              <w:pStyle w:val="65"/>
              <w:tabs>
                <w:tab w:val="left" w:pos="431"/>
              </w:tabs>
              <w:spacing w:line="240" w:lineRule="auto"/>
              <w:ind w:firstLine="0" w:firstLineChars="0"/>
              <w:jc w:val="center"/>
              <w:rPr>
                <w:rFonts w:hint="eastAsia"/>
                <w:b/>
                <w:color w:val="000000"/>
                <w:sz w:val="21"/>
                <w:szCs w:val="21"/>
              </w:rPr>
            </w:pPr>
          </w:p>
          <w:p w14:paraId="3601DCD8">
            <w:pPr>
              <w:pStyle w:val="65"/>
              <w:tabs>
                <w:tab w:val="left" w:pos="431"/>
              </w:tabs>
              <w:spacing w:line="240" w:lineRule="auto"/>
              <w:ind w:firstLine="0" w:firstLineChars="0"/>
              <w:jc w:val="center"/>
              <w:rPr>
                <w:rFonts w:hint="eastAsia"/>
                <w:b/>
                <w:color w:val="000000"/>
                <w:sz w:val="21"/>
                <w:szCs w:val="21"/>
              </w:rPr>
            </w:pPr>
          </w:p>
          <w:p w14:paraId="334B00FD">
            <w:pPr>
              <w:pStyle w:val="65"/>
              <w:tabs>
                <w:tab w:val="left" w:pos="431"/>
              </w:tabs>
              <w:spacing w:line="240" w:lineRule="auto"/>
              <w:ind w:firstLine="0" w:firstLineChars="0"/>
              <w:jc w:val="center"/>
              <w:rPr>
                <w:rFonts w:hint="eastAsia"/>
                <w:b/>
                <w:color w:val="000000"/>
                <w:sz w:val="21"/>
                <w:szCs w:val="21"/>
              </w:rPr>
            </w:pPr>
          </w:p>
          <w:p w14:paraId="76348E04">
            <w:pPr>
              <w:pStyle w:val="65"/>
              <w:tabs>
                <w:tab w:val="left" w:pos="431"/>
              </w:tabs>
              <w:spacing w:line="240" w:lineRule="auto"/>
              <w:ind w:firstLine="0" w:firstLineChars="0"/>
              <w:jc w:val="center"/>
              <w:rPr>
                <w:rFonts w:hint="eastAsia"/>
                <w:color w:val="000000"/>
                <w:sz w:val="24"/>
                <w:szCs w:val="24"/>
              </w:rPr>
            </w:pPr>
            <w:r>
              <w:rPr>
                <w:rFonts w:hint="eastAsia"/>
                <w:b/>
                <w:color w:val="000000"/>
                <w:sz w:val="24"/>
                <w:szCs w:val="24"/>
              </w:rPr>
              <w:t>表4-</w:t>
            </w:r>
            <w:r>
              <w:rPr>
                <w:rFonts w:hint="eastAsia"/>
                <w:b/>
                <w:color w:val="000000"/>
                <w:sz w:val="24"/>
                <w:szCs w:val="24"/>
                <w:lang w:val="en-US" w:eastAsia="zh-CN"/>
              </w:rPr>
              <w:t>7</w:t>
            </w:r>
            <w:r>
              <w:rPr>
                <w:rFonts w:hint="eastAsia"/>
                <w:b/>
                <w:color w:val="000000"/>
                <w:sz w:val="24"/>
                <w:szCs w:val="24"/>
              </w:rPr>
              <w:t xml:space="preserve"> 工业企业噪声源强调查清单（室外声源）</w:t>
            </w:r>
          </w:p>
          <w:tbl>
            <w:tblPr>
              <w:tblStyle w:val="25"/>
              <w:tblW w:w="13575"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8"/>
              <w:gridCol w:w="986"/>
              <w:gridCol w:w="887"/>
              <w:gridCol w:w="743"/>
              <w:gridCol w:w="1104"/>
              <w:gridCol w:w="3408"/>
              <w:gridCol w:w="789"/>
              <w:gridCol w:w="670"/>
              <w:gridCol w:w="655"/>
              <w:gridCol w:w="1013"/>
              <w:gridCol w:w="1060"/>
              <w:gridCol w:w="1182"/>
            </w:tblGrid>
            <w:tr w14:paraId="03B99A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78" w:type="dxa"/>
                  <w:vMerge w:val="restart"/>
                  <w:noWrap w:val="0"/>
                  <w:vAlign w:val="center"/>
                </w:tcPr>
                <w:p w14:paraId="4377340B">
                  <w:pPr>
                    <w:adjustRightInd w:val="0"/>
                    <w:snapToGrid w:val="0"/>
                    <w:jc w:val="center"/>
                    <w:rPr>
                      <w:rFonts w:hint="eastAsia"/>
                      <w:b/>
                      <w:bCs/>
                      <w:color w:val="000000"/>
                      <w:sz w:val="21"/>
                      <w:szCs w:val="21"/>
                    </w:rPr>
                  </w:pPr>
                  <w:r>
                    <w:rPr>
                      <w:rFonts w:hint="eastAsia"/>
                      <w:b/>
                      <w:bCs/>
                      <w:color w:val="000000"/>
                      <w:sz w:val="21"/>
                      <w:szCs w:val="21"/>
                    </w:rPr>
                    <w:t>序号</w:t>
                  </w:r>
                </w:p>
              </w:tc>
              <w:tc>
                <w:tcPr>
                  <w:tcW w:w="986" w:type="dxa"/>
                  <w:vMerge w:val="restart"/>
                  <w:noWrap w:val="0"/>
                  <w:vAlign w:val="center"/>
                </w:tcPr>
                <w:p w14:paraId="123B925C">
                  <w:pPr>
                    <w:adjustRightInd w:val="0"/>
                    <w:snapToGrid w:val="0"/>
                    <w:jc w:val="center"/>
                    <w:rPr>
                      <w:b/>
                      <w:bCs/>
                      <w:color w:val="000000"/>
                      <w:sz w:val="21"/>
                      <w:szCs w:val="21"/>
                    </w:rPr>
                  </w:pPr>
                  <w:r>
                    <w:rPr>
                      <w:rFonts w:hint="eastAsia"/>
                      <w:b/>
                      <w:bCs/>
                      <w:color w:val="000000"/>
                      <w:sz w:val="21"/>
                      <w:szCs w:val="21"/>
                    </w:rPr>
                    <w:t>建筑物名称</w:t>
                  </w:r>
                </w:p>
              </w:tc>
              <w:tc>
                <w:tcPr>
                  <w:tcW w:w="887" w:type="dxa"/>
                  <w:vMerge w:val="restart"/>
                  <w:noWrap w:val="0"/>
                  <w:vAlign w:val="center"/>
                </w:tcPr>
                <w:p w14:paraId="6275C293">
                  <w:pPr>
                    <w:adjustRightInd w:val="0"/>
                    <w:snapToGrid w:val="0"/>
                    <w:jc w:val="center"/>
                    <w:rPr>
                      <w:b/>
                      <w:bCs/>
                      <w:color w:val="000000"/>
                      <w:sz w:val="21"/>
                      <w:szCs w:val="21"/>
                    </w:rPr>
                  </w:pPr>
                  <w:r>
                    <w:rPr>
                      <w:rFonts w:hint="eastAsia"/>
                      <w:b/>
                      <w:bCs/>
                      <w:color w:val="000000"/>
                      <w:sz w:val="21"/>
                      <w:szCs w:val="21"/>
                    </w:rPr>
                    <w:t>声源名称</w:t>
                  </w:r>
                </w:p>
              </w:tc>
              <w:tc>
                <w:tcPr>
                  <w:tcW w:w="743" w:type="dxa"/>
                  <w:vMerge w:val="restart"/>
                  <w:noWrap w:val="0"/>
                  <w:vAlign w:val="center"/>
                </w:tcPr>
                <w:p w14:paraId="5F69B985">
                  <w:pPr>
                    <w:adjustRightInd w:val="0"/>
                    <w:snapToGrid w:val="0"/>
                    <w:jc w:val="center"/>
                    <w:rPr>
                      <w:rFonts w:hint="eastAsia"/>
                      <w:b/>
                      <w:bCs/>
                      <w:color w:val="000000"/>
                      <w:sz w:val="21"/>
                      <w:szCs w:val="21"/>
                    </w:rPr>
                  </w:pPr>
                  <w:r>
                    <w:rPr>
                      <w:rFonts w:hint="eastAsia"/>
                      <w:b/>
                      <w:bCs/>
                      <w:color w:val="000000"/>
                      <w:sz w:val="21"/>
                      <w:szCs w:val="21"/>
                    </w:rPr>
                    <w:t>型号</w:t>
                  </w:r>
                </w:p>
              </w:tc>
              <w:tc>
                <w:tcPr>
                  <w:tcW w:w="1104" w:type="dxa"/>
                  <w:vMerge w:val="restart"/>
                  <w:noWrap w:val="0"/>
                  <w:vAlign w:val="center"/>
                </w:tcPr>
                <w:p w14:paraId="3663DBC1">
                  <w:pPr>
                    <w:adjustRightInd w:val="0"/>
                    <w:snapToGrid w:val="0"/>
                    <w:jc w:val="center"/>
                    <w:rPr>
                      <w:rFonts w:hint="eastAsia"/>
                      <w:b/>
                      <w:bCs/>
                      <w:color w:val="000000"/>
                      <w:sz w:val="21"/>
                      <w:szCs w:val="21"/>
                    </w:rPr>
                  </w:pPr>
                  <w:r>
                    <w:rPr>
                      <w:rFonts w:hint="eastAsia"/>
                      <w:b/>
                      <w:bCs/>
                      <w:color w:val="000000"/>
                      <w:sz w:val="21"/>
                      <w:szCs w:val="21"/>
                    </w:rPr>
                    <w:t>声级功率                             dB(A)</w:t>
                  </w:r>
                </w:p>
              </w:tc>
              <w:tc>
                <w:tcPr>
                  <w:tcW w:w="3408" w:type="dxa"/>
                  <w:vMerge w:val="restart"/>
                  <w:noWrap w:val="0"/>
                  <w:vAlign w:val="center"/>
                </w:tcPr>
                <w:p w14:paraId="66381426">
                  <w:pPr>
                    <w:adjustRightInd w:val="0"/>
                    <w:snapToGrid w:val="0"/>
                    <w:jc w:val="center"/>
                    <w:rPr>
                      <w:rFonts w:hint="eastAsia"/>
                      <w:b/>
                      <w:bCs/>
                      <w:color w:val="000000"/>
                      <w:sz w:val="21"/>
                      <w:szCs w:val="21"/>
                    </w:rPr>
                  </w:pPr>
                  <w:r>
                    <w:rPr>
                      <w:rFonts w:hint="eastAsia"/>
                      <w:b/>
                      <w:bCs/>
                      <w:color w:val="000000"/>
                      <w:sz w:val="21"/>
                      <w:szCs w:val="21"/>
                    </w:rPr>
                    <w:t>声源控制措施</w:t>
                  </w:r>
                </w:p>
              </w:tc>
              <w:tc>
                <w:tcPr>
                  <w:tcW w:w="2114" w:type="dxa"/>
                  <w:gridSpan w:val="3"/>
                  <w:noWrap w:val="0"/>
                  <w:vAlign w:val="center"/>
                </w:tcPr>
                <w:p w14:paraId="7F665CDA">
                  <w:pPr>
                    <w:adjustRightInd w:val="0"/>
                    <w:snapToGrid w:val="0"/>
                    <w:jc w:val="center"/>
                    <w:rPr>
                      <w:b/>
                      <w:bCs/>
                      <w:color w:val="000000"/>
                      <w:sz w:val="21"/>
                      <w:szCs w:val="21"/>
                    </w:rPr>
                  </w:pPr>
                  <w:r>
                    <w:rPr>
                      <w:rFonts w:hint="eastAsia"/>
                      <w:b/>
                      <w:bCs/>
                      <w:color w:val="000000"/>
                      <w:sz w:val="21"/>
                      <w:szCs w:val="21"/>
                    </w:rPr>
                    <w:t>空间相对位置</w:t>
                  </w:r>
                </w:p>
              </w:tc>
              <w:tc>
                <w:tcPr>
                  <w:tcW w:w="1013" w:type="dxa"/>
                  <w:vMerge w:val="restart"/>
                  <w:noWrap w:val="0"/>
                  <w:vAlign w:val="center"/>
                </w:tcPr>
                <w:p w14:paraId="06D9493A">
                  <w:pPr>
                    <w:adjustRightInd w:val="0"/>
                    <w:snapToGrid w:val="0"/>
                    <w:jc w:val="center"/>
                    <w:rPr>
                      <w:rFonts w:hint="eastAsia"/>
                      <w:b/>
                      <w:bCs/>
                      <w:color w:val="000000"/>
                      <w:sz w:val="21"/>
                      <w:szCs w:val="21"/>
                    </w:rPr>
                  </w:pPr>
                  <w:r>
                    <w:rPr>
                      <w:rFonts w:hint="eastAsia"/>
                      <w:b/>
                      <w:bCs/>
                      <w:color w:val="000000"/>
                      <w:sz w:val="21"/>
                      <w:szCs w:val="21"/>
                    </w:rPr>
                    <w:t>运行时间</w:t>
                  </w:r>
                </w:p>
              </w:tc>
              <w:tc>
                <w:tcPr>
                  <w:tcW w:w="1060" w:type="dxa"/>
                  <w:vMerge w:val="restart"/>
                  <w:noWrap w:val="0"/>
                  <w:vAlign w:val="center"/>
                </w:tcPr>
                <w:p w14:paraId="367F35BB">
                  <w:pPr>
                    <w:adjustRightInd w:val="0"/>
                    <w:snapToGrid w:val="0"/>
                    <w:jc w:val="center"/>
                    <w:rPr>
                      <w:rFonts w:hint="eastAsia"/>
                      <w:b/>
                      <w:bCs/>
                      <w:color w:val="000000"/>
                      <w:sz w:val="21"/>
                      <w:szCs w:val="21"/>
                    </w:rPr>
                  </w:pPr>
                  <w:r>
                    <w:rPr>
                      <w:rFonts w:hint="eastAsia"/>
                      <w:b/>
                      <w:bCs/>
                      <w:color w:val="000000"/>
                      <w:sz w:val="21"/>
                      <w:szCs w:val="21"/>
                    </w:rPr>
                    <w:t>排放源强</w:t>
                  </w:r>
                </w:p>
                <w:p w14:paraId="27D5E440">
                  <w:pPr>
                    <w:adjustRightInd w:val="0"/>
                    <w:snapToGrid w:val="0"/>
                    <w:jc w:val="center"/>
                    <w:rPr>
                      <w:b/>
                      <w:bCs/>
                      <w:color w:val="000000"/>
                      <w:sz w:val="21"/>
                      <w:szCs w:val="21"/>
                    </w:rPr>
                  </w:pPr>
                  <w:r>
                    <w:rPr>
                      <w:b/>
                      <w:bCs/>
                      <w:color w:val="000000"/>
                      <w:sz w:val="21"/>
                      <w:szCs w:val="21"/>
                    </w:rPr>
                    <w:t>dB(A)</w:t>
                  </w:r>
                </w:p>
              </w:tc>
              <w:tc>
                <w:tcPr>
                  <w:tcW w:w="1182" w:type="dxa"/>
                  <w:vMerge w:val="restart"/>
                  <w:noWrap w:val="0"/>
                  <w:vAlign w:val="center"/>
                </w:tcPr>
                <w:p w14:paraId="1CF1C6BC">
                  <w:pPr>
                    <w:adjustRightInd w:val="0"/>
                    <w:snapToGrid w:val="0"/>
                    <w:jc w:val="center"/>
                    <w:rPr>
                      <w:rFonts w:hint="eastAsia"/>
                      <w:b/>
                      <w:bCs/>
                      <w:color w:val="000000"/>
                      <w:sz w:val="21"/>
                      <w:szCs w:val="21"/>
                    </w:rPr>
                  </w:pPr>
                  <w:r>
                    <w:rPr>
                      <w:rFonts w:hint="eastAsia"/>
                      <w:b/>
                      <w:bCs/>
                      <w:color w:val="000000"/>
                      <w:sz w:val="21"/>
                      <w:szCs w:val="21"/>
                    </w:rPr>
                    <w:t>持续时间 h/a</w:t>
                  </w:r>
                </w:p>
              </w:tc>
            </w:tr>
            <w:tr w14:paraId="3C478B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78" w:type="dxa"/>
                  <w:vMerge w:val="continue"/>
                  <w:noWrap w:val="0"/>
                  <w:vAlign w:val="center"/>
                </w:tcPr>
                <w:p w14:paraId="21C70522">
                  <w:pPr>
                    <w:adjustRightInd w:val="0"/>
                    <w:snapToGrid w:val="0"/>
                    <w:jc w:val="center"/>
                    <w:rPr>
                      <w:szCs w:val="21"/>
                    </w:rPr>
                  </w:pPr>
                </w:p>
              </w:tc>
              <w:tc>
                <w:tcPr>
                  <w:tcW w:w="986" w:type="dxa"/>
                  <w:vMerge w:val="continue"/>
                  <w:noWrap w:val="0"/>
                  <w:vAlign w:val="center"/>
                </w:tcPr>
                <w:p w14:paraId="33A2D4D6">
                  <w:pPr>
                    <w:adjustRightInd w:val="0"/>
                    <w:snapToGrid w:val="0"/>
                    <w:jc w:val="center"/>
                    <w:rPr>
                      <w:szCs w:val="21"/>
                    </w:rPr>
                  </w:pPr>
                </w:p>
              </w:tc>
              <w:tc>
                <w:tcPr>
                  <w:tcW w:w="887" w:type="dxa"/>
                  <w:vMerge w:val="continue"/>
                  <w:noWrap w:val="0"/>
                  <w:vAlign w:val="center"/>
                </w:tcPr>
                <w:p w14:paraId="425E328C">
                  <w:pPr>
                    <w:adjustRightInd w:val="0"/>
                    <w:snapToGrid w:val="0"/>
                    <w:jc w:val="center"/>
                    <w:rPr>
                      <w:szCs w:val="21"/>
                    </w:rPr>
                  </w:pPr>
                </w:p>
              </w:tc>
              <w:tc>
                <w:tcPr>
                  <w:tcW w:w="743" w:type="dxa"/>
                  <w:vMerge w:val="continue"/>
                  <w:noWrap w:val="0"/>
                  <w:vAlign w:val="center"/>
                </w:tcPr>
                <w:p w14:paraId="60EFC296">
                  <w:pPr>
                    <w:adjustRightInd w:val="0"/>
                    <w:snapToGrid w:val="0"/>
                    <w:jc w:val="center"/>
                    <w:rPr>
                      <w:szCs w:val="21"/>
                    </w:rPr>
                  </w:pPr>
                </w:p>
              </w:tc>
              <w:tc>
                <w:tcPr>
                  <w:tcW w:w="1104" w:type="dxa"/>
                  <w:vMerge w:val="continue"/>
                  <w:noWrap w:val="0"/>
                  <w:vAlign w:val="center"/>
                </w:tcPr>
                <w:p w14:paraId="4C611841">
                  <w:pPr>
                    <w:adjustRightInd w:val="0"/>
                    <w:snapToGrid w:val="0"/>
                    <w:jc w:val="center"/>
                    <w:rPr>
                      <w:szCs w:val="21"/>
                    </w:rPr>
                  </w:pPr>
                </w:p>
              </w:tc>
              <w:tc>
                <w:tcPr>
                  <w:tcW w:w="3408" w:type="dxa"/>
                  <w:vMerge w:val="continue"/>
                  <w:noWrap w:val="0"/>
                  <w:vAlign w:val="center"/>
                </w:tcPr>
                <w:p w14:paraId="78EF76F9">
                  <w:pPr>
                    <w:adjustRightInd w:val="0"/>
                    <w:snapToGrid w:val="0"/>
                    <w:jc w:val="center"/>
                    <w:rPr>
                      <w:szCs w:val="21"/>
                    </w:rPr>
                  </w:pPr>
                </w:p>
              </w:tc>
              <w:tc>
                <w:tcPr>
                  <w:tcW w:w="789" w:type="dxa"/>
                  <w:noWrap w:val="0"/>
                  <w:vAlign w:val="center"/>
                </w:tcPr>
                <w:p w14:paraId="5B030CF3">
                  <w:pPr>
                    <w:adjustRightInd w:val="0"/>
                    <w:snapToGrid w:val="0"/>
                    <w:jc w:val="center"/>
                    <w:rPr>
                      <w:b/>
                      <w:bCs/>
                      <w:color w:val="000000"/>
                      <w:szCs w:val="21"/>
                    </w:rPr>
                  </w:pPr>
                  <w:r>
                    <w:rPr>
                      <w:rFonts w:hint="eastAsia"/>
                      <w:b/>
                      <w:bCs/>
                      <w:color w:val="000000"/>
                      <w:szCs w:val="21"/>
                    </w:rPr>
                    <w:t>X</w:t>
                  </w:r>
                </w:p>
              </w:tc>
              <w:tc>
                <w:tcPr>
                  <w:tcW w:w="670" w:type="dxa"/>
                  <w:noWrap w:val="0"/>
                  <w:vAlign w:val="center"/>
                </w:tcPr>
                <w:p w14:paraId="17C677AA">
                  <w:pPr>
                    <w:adjustRightInd w:val="0"/>
                    <w:snapToGrid w:val="0"/>
                    <w:jc w:val="center"/>
                    <w:rPr>
                      <w:b/>
                      <w:bCs/>
                      <w:color w:val="000000"/>
                      <w:szCs w:val="21"/>
                    </w:rPr>
                  </w:pPr>
                  <w:r>
                    <w:rPr>
                      <w:rFonts w:hint="eastAsia"/>
                      <w:b/>
                      <w:bCs/>
                      <w:color w:val="000000"/>
                      <w:szCs w:val="21"/>
                    </w:rPr>
                    <w:t>Y</w:t>
                  </w:r>
                </w:p>
              </w:tc>
              <w:tc>
                <w:tcPr>
                  <w:tcW w:w="655" w:type="dxa"/>
                  <w:noWrap w:val="0"/>
                  <w:vAlign w:val="center"/>
                </w:tcPr>
                <w:p w14:paraId="7417A9D8">
                  <w:pPr>
                    <w:adjustRightInd w:val="0"/>
                    <w:snapToGrid w:val="0"/>
                    <w:jc w:val="center"/>
                    <w:rPr>
                      <w:b/>
                      <w:bCs/>
                      <w:color w:val="000000"/>
                      <w:szCs w:val="21"/>
                    </w:rPr>
                  </w:pPr>
                  <w:r>
                    <w:rPr>
                      <w:rFonts w:hint="eastAsia"/>
                      <w:b/>
                      <w:bCs/>
                      <w:color w:val="000000"/>
                      <w:szCs w:val="21"/>
                    </w:rPr>
                    <w:t>Z</w:t>
                  </w:r>
                </w:p>
              </w:tc>
              <w:tc>
                <w:tcPr>
                  <w:tcW w:w="1013" w:type="dxa"/>
                  <w:vMerge w:val="continue"/>
                  <w:noWrap w:val="0"/>
                  <w:vAlign w:val="center"/>
                </w:tcPr>
                <w:p w14:paraId="561EDE9D">
                  <w:pPr>
                    <w:adjustRightInd w:val="0"/>
                    <w:snapToGrid w:val="0"/>
                    <w:jc w:val="center"/>
                    <w:rPr>
                      <w:rFonts w:hint="eastAsia"/>
                      <w:color w:val="000000"/>
                      <w:szCs w:val="21"/>
                    </w:rPr>
                  </w:pPr>
                </w:p>
              </w:tc>
              <w:tc>
                <w:tcPr>
                  <w:tcW w:w="1060" w:type="dxa"/>
                  <w:vMerge w:val="continue"/>
                  <w:noWrap w:val="0"/>
                  <w:vAlign w:val="center"/>
                </w:tcPr>
                <w:p w14:paraId="2D823B91">
                  <w:pPr>
                    <w:adjustRightInd w:val="0"/>
                    <w:snapToGrid w:val="0"/>
                    <w:jc w:val="center"/>
                    <w:rPr>
                      <w:rFonts w:hint="eastAsia"/>
                      <w:color w:val="000000"/>
                      <w:szCs w:val="21"/>
                    </w:rPr>
                  </w:pPr>
                </w:p>
              </w:tc>
              <w:tc>
                <w:tcPr>
                  <w:tcW w:w="1182" w:type="dxa"/>
                  <w:vMerge w:val="continue"/>
                  <w:noWrap w:val="0"/>
                  <w:vAlign w:val="center"/>
                </w:tcPr>
                <w:p w14:paraId="6110743F">
                  <w:pPr>
                    <w:adjustRightInd w:val="0"/>
                    <w:snapToGrid w:val="0"/>
                    <w:jc w:val="center"/>
                    <w:rPr>
                      <w:rFonts w:hint="eastAsia"/>
                      <w:color w:val="000000"/>
                      <w:szCs w:val="21"/>
                    </w:rPr>
                  </w:pPr>
                </w:p>
              </w:tc>
            </w:tr>
            <w:tr w14:paraId="76DB92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78" w:type="dxa"/>
                  <w:noWrap w:val="0"/>
                  <w:vAlign w:val="center"/>
                </w:tcPr>
                <w:p w14:paraId="0F03E021">
                  <w:pPr>
                    <w:adjustRightInd w:val="0"/>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1</w:t>
                  </w:r>
                </w:p>
              </w:tc>
              <w:tc>
                <w:tcPr>
                  <w:tcW w:w="986" w:type="dxa"/>
                  <w:noWrap w:val="0"/>
                  <w:vAlign w:val="center"/>
                </w:tcPr>
                <w:p w14:paraId="0D6A3541">
                  <w:pPr>
                    <w:adjustRightInd w:val="0"/>
                    <w:snapToGrid w:val="0"/>
                    <w:ind w:left="-105" w:leftChars="-50" w:right="-105" w:rightChars="-50"/>
                    <w:jc w:val="center"/>
                    <w:rPr>
                      <w:rFonts w:hint="default" w:ascii="Times New Roman" w:hAnsi="Times New Roman" w:cs="Times New Roman"/>
                      <w:color w:val="000000"/>
                      <w:szCs w:val="21"/>
                    </w:rPr>
                  </w:pPr>
                  <w:r>
                    <w:rPr>
                      <w:rFonts w:hint="default" w:ascii="Times New Roman" w:hAnsi="Times New Roman" w:cs="Times New Roman"/>
                      <w:color w:val="000000"/>
                      <w:szCs w:val="21"/>
                    </w:rPr>
                    <w:t>车间外</w:t>
                  </w:r>
                </w:p>
              </w:tc>
              <w:tc>
                <w:tcPr>
                  <w:tcW w:w="887" w:type="dxa"/>
                  <w:noWrap w:val="0"/>
                  <w:vAlign w:val="center"/>
                </w:tcPr>
                <w:p w14:paraId="7F5B7CA4">
                  <w:pPr>
                    <w:jc w:val="center"/>
                    <w:rPr>
                      <w:rFonts w:hint="default" w:ascii="Times New Roman" w:hAnsi="Times New Roman" w:eastAsia="宋体" w:cs="Times New Roman"/>
                      <w:szCs w:val="21"/>
                      <w:lang w:eastAsia="zh-CN"/>
                    </w:rPr>
                  </w:pPr>
                  <w:r>
                    <w:rPr>
                      <w:rFonts w:hint="default" w:ascii="Times New Roman" w:hAnsi="Times New Roman" w:cs="Times New Roman"/>
                      <w:szCs w:val="21"/>
                    </w:rPr>
                    <w:t>风机</w:t>
                  </w:r>
                </w:p>
              </w:tc>
              <w:tc>
                <w:tcPr>
                  <w:tcW w:w="743" w:type="dxa"/>
                  <w:noWrap w:val="0"/>
                  <w:vAlign w:val="center"/>
                </w:tcPr>
                <w:p w14:paraId="370A3CA9">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w:t>
                  </w:r>
                </w:p>
              </w:tc>
              <w:tc>
                <w:tcPr>
                  <w:tcW w:w="1104" w:type="dxa"/>
                  <w:noWrap w:val="0"/>
                  <w:vAlign w:val="center"/>
                </w:tcPr>
                <w:p w14:paraId="7B7C9EB9">
                  <w:pPr>
                    <w:pStyle w:val="5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90</w:t>
                  </w:r>
                </w:p>
              </w:tc>
              <w:tc>
                <w:tcPr>
                  <w:tcW w:w="3408" w:type="dxa"/>
                  <w:noWrap w:val="0"/>
                  <w:vAlign w:val="center"/>
                </w:tcPr>
                <w:p w14:paraId="68F6BCA8">
                  <w:pPr>
                    <w:adjustRightInd w:val="0"/>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选购低噪声设备，风机设置隔声罩</w:t>
                  </w:r>
                </w:p>
              </w:tc>
              <w:tc>
                <w:tcPr>
                  <w:tcW w:w="789" w:type="dxa"/>
                  <w:noWrap w:val="0"/>
                  <w:vAlign w:val="center"/>
                </w:tcPr>
                <w:p w14:paraId="69910C53">
                  <w:pPr>
                    <w:pStyle w:val="66"/>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1</w:t>
                  </w:r>
                  <w:r>
                    <w:rPr>
                      <w:rFonts w:hint="default" w:ascii="Times New Roman" w:hAnsi="Times New Roman" w:cs="Times New Roman"/>
                      <w:color w:val="000000"/>
                      <w:szCs w:val="21"/>
                      <w:lang w:val="en-US" w:eastAsia="zh-CN"/>
                    </w:rPr>
                    <w:t>2</w:t>
                  </w:r>
                </w:p>
              </w:tc>
              <w:tc>
                <w:tcPr>
                  <w:tcW w:w="670" w:type="dxa"/>
                  <w:noWrap w:val="0"/>
                  <w:vAlign w:val="center"/>
                </w:tcPr>
                <w:p w14:paraId="34F81252">
                  <w:pPr>
                    <w:pStyle w:val="66"/>
                    <w:ind w:left="-105" w:leftChars="-50" w:right="-105" w:rightChars="-5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20</w:t>
                  </w:r>
                </w:p>
              </w:tc>
              <w:tc>
                <w:tcPr>
                  <w:tcW w:w="655" w:type="dxa"/>
                  <w:noWrap w:val="0"/>
                  <w:vAlign w:val="center"/>
                </w:tcPr>
                <w:p w14:paraId="2AA94B3A">
                  <w:pPr>
                    <w:adjustRightInd w:val="0"/>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1</w:t>
                  </w:r>
                </w:p>
              </w:tc>
              <w:tc>
                <w:tcPr>
                  <w:tcW w:w="1013" w:type="dxa"/>
                  <w:vMerge w:val="restart"/>
                  <w:noWrap w:val="0"/>
                  <w:vAlign w:val="center"/>
                </w:tcPr>
                <w:p w14:paraId="4F045B0F">
                  <w:pPr>
                    <w:adjustRightInd w:val="0"/>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lang w:val="en-US" w:eastAsia="zh-CN"/>
                    </w:rPr>
                    <w:t>8</w:t>
                  </w:r>
                  <w:r>
                    <w:rPr>
                      <w:rFonts w:hint="default" w:ascii="Times New Roman" w:hAnsi="Times New Roman" w:cs="Times New Roman"/>
                      <w:color w:val="000000"/>
                      <w:szCs w:val="21"/>
                    </w:rPr>
                    <w:t>h/d</w:t>
                  </w:r>
                </w:p>
              </w:tc>
              <w:tc>
                <w:tcPr>
                  <w:tcW w:w="1060" w:type="dxa"/>
                  <w:noWrap w:val="0"/>
                  <w:vAlign w:val="center"/>
                </w:tcPr>
                <w:p w14:paraId="3B10BB7D">
                  <w:pPr>
                    <w:pStyle w:val="5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lang w:val="en-US" w:eastAsia="zh-CN"/>
                    </w:rPr>
                    <w:t>90</w:t>
                  </w:r>
                </w:p>
              </w:tc>
              <w:tc>
                <w:tcPr>
                  <w:tcW w:w="1182" w:type="dxa"/>
                  <w:vMerge w:val="restart"/>
                  <w:noWrap w:val="0"/>
                  <w:vAlign w:val="center"/>
                </w:tcPr>
                <w:p w14:paraId="39BD79C8">
                  <w:pPr>
                    <w:adjustRightInd w:val="0"/>
                    <w:snapToGrid w:val="0"/>
                    <w:jc w:val="center"/>
                    <w:rPr>
                      <w:color w:val="000000"/>
                      <w:szCs w:val="21"/>
                    </w:rPr>
                  </w:pPr>
                  <w:r>
                    <w:rPr>
                      <w:rFonts w:hint="default" w:ascii="Times New Roman" w:hAnsi="Times New Roman" w:eastAsia="宋体" w:cs="Times New Roman"/>
                      <w:i w:val="0"/>
                      <w:iCs w:val="0"/>
                      <w:color w:val="auto"/>
                      <w:kern w:val="0"/>
                      <w:sz w:val="21"/>
                      <w:szCs w:val="21"/>
                      <w:highlight w:val="none"/>
                      <w:u w:val="none"/>
                      <w:lang w:val="en-US" w:eastAsia="zh-CN" w:bidi="ar"/>
                    </w:rPr>
                    <w:t>8:00~16:00</w:t>
                  </w:r>
                </w:p>
              </w:tc>
            </w:tr>
            <w:tr w14:paraId="2A4C1D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78" w:type="dxa"/>
                  <w:noWrap w:val="0"/>
                  <w:vAlign w:val="center"/>
                </w:tcPr>
                <w:p w14:paraId="7887DF32">
                  <w:pPr>
                    <w:adjustRightInd w:val="0"/>
                    <w:snapToGrid w:val="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2</w:t>
                  </w:r>
                </w:p>
              </w:tc>
              <w:tc>
                <w:tcPr>
                  <w:tcW w:w="986" w:type="dxa"/>
                  <w:noWrap w:val="0"/>
                  <w:vAlign w:val="center"/>
                </w:tcPr>
                <w:p w14:paraId="43407223">
                  <w:pPr>
                    <w:adjustRightInd w:val="0"/>
                    <w:snapToGrid w:val="0"/>
                    <w:ind w:left="-105" w:leftChars="-50" w:right="-105" w:rightChars="-50"/>
                    <w:jc w:val="center"/>
                    <w:rPr>
                      <w:rFonts w:hint="default" w:ascii="Times New Roman" w:hAnsi="Times New Roman" w:cs="Times New Roman"/>
                      <w:color w:val="000000"/>
                      <w:szCs w:val="21"/>
                    </w:rPr>
                  </w:pPr>
                  <w:r>
                    <w:rPr>
                      <w:rFonts w:hint="default" w:ascii="Times New Roman" w:hAnsi="Times New Roman" w:cs="Times New Roman"/>
                      <w:color w:val="000000"/>
                      <w:szCs w:val="21"/>
                    </w:rPr>
                    <w:t>车间外</w:t>
                  </w:r>
                </w:p>
              </w:tc>
              <w:tc>
                <w:tcPr>
                  <w:tcW w:w="887" w:type="dxa"/>
                  <w:noWrap w:val="0"/>
                  <w:vAlign w:val="center"/>
                </w:tcPr>
                <w:p w14:paraId="2ED5ECB5">
                  <w:pPr>
                    <w:jc w:val="center"/>
                    <w:rPr>
                      <w:rFonts w:hint="default" w:ascii="Times New Roman" w:hAnsi="Times New Roman" w:cs="Times New Roman"/>
                      <w:szCs w:val="21"/>
                    </w:rPr>
                  </w:pPr>
                  <w:r>
                    <w:rPr>
                      <w:rFonts w:hint="default" w:ascii="Times New Roman" w:hAnsi="Times New Roman" w:cs="Times New Roman"/>
                      <w:szCs w:val="21"/>
                    </w:rPr>
                    <w:t>风机</w:t>
                  </w:r>
                </w:p>
              </w:tc>
              <w:tc>
                <w:tcPr>
                  <w:tcW w:w="743" w:type="dxa"/>
                  <w:noWrap w:val="0"/>
                  <w:vAlign w:val="center"/>
                </w:tcPr>
                <w:p w14:paraId="5952121D">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w:t>
                  </w:r>
                </w:p>
              </w:tc>
              <w:tc>
                <w:tcPr>
                  <w:tcW w:w="1104" w:type="dxa"/>
                  <w:noWrap w:val="0"/>
                  <w:vAlign w:val="center"/>
                </w:tcPr>
                <w:p w14:paraId="58B8EC18">
                  <w:pPr>
                    <w:pStyle w:val="50"/>
                    <w:jc w:val="center"/>
                    <w:rPr>
                      <w:rFonts w:hint="default" w:ascii="Times New Roman" w:hAnsi="Times New Roman" w:cs="Times New Roman"/>
                      <w:lang w:val="en-US" w:eastAsia="zh-CN"/>
                    </w:rPr>
                  </w:pPr>
                  <w:r>
                    <w:rPr>
                      <w:rFonts w:hint="default" w:ascii="Times New Roman" w:hAnsi="Times New Roman" w:cs="Times New Roman"/>
                      <w:lang w:val="en-US" w:eastAsia="zh-CN"/>
                    </w:rPr>
                    <w:t>90</w:t>
                  </w:r>
                </w:p>
              </w:tc>
              <w:tc>
                <w:tcPr>
                  <w:tcW w:w="3408" w:type="dxa"/>
                  <w:noWrap w:val="0"/>
                  <w:vAlign w:val="center"/>
                </w:tcPr>
                <w:p w14:paraId="58BD4754">
                  <w:pPr>
                    <w:adjustRightInd w:val="0"/>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选购低噪声设备，风机设置隔声罩</w:t>
                  </w:r>
                </w:p>
              </w:tc>
              <w:tc>
                <w:tcPr>
                  <w:tcW w:w="789" w:type="dxa"/>
                  <w:noWrap w:val="0"/>
                  <w:vAlign w:val="center"/>
                </w:tcPr>
                <w:p w14:paraId="4BF190B2">
                  <w:pPr>
                    <w:pStyle w:val="66"/>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16</w:t>
                  </w:r>
                </w:p>
              </w:tc>
              <w:tc>
                <w:tcPr>
                  <w:tcW w:w="670" w:type="dxa"/>
                  <w:noWrap w:val="0"/>
                  <w:vAlign w:val="center"/>
                </w:tcPr>
                <w:p w14:paraId="13BEF77C">
                  <w:pPr>
                    <w:pStyle w:val="66"/>
                    <w:ind w:left="-105" w:leftChars="-50" w:right="-105" w:rightChars="-5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40</w:t>
                  </w:r>
                </w:p>
              </w:tc>
              <w:tc>
                <w:tcPr>
                  <w:tcW w:w="655" w:type="dxa"/>
                  <w:noWrap w:val="0"/>
                  <w:vAlign w:val="center"/>
                </w:tcPr>
                <w:p w14:paraId="01027E09">
                  <w:pPr>
                    <w:adjustRightInd w:val="0"/>
                    <w:snapToGrid w:val="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1</w:t>
                  </w:r>
                </w:p>
              </w:tc>
              <w:tc>
                <w:tcPr>
                  <w:tcW w:w="1013" w:type="dxa"/>
                  <w:vMerge w:val="continue"/>
                  <w:noWrap w:val="0"/>
                  <w:vAlign w:val="center"/>
                </w:tcPr>
                <w:p w14:paraId="2C84072F">
                  <w:pPr>
                    <w:adjustRightInd w:val="0"/>
                    <w:snapToGrid w:val="0"/>
                    <w:jc w:val="center"/>
                    <w:rPr>
                      <w:rFonts w:hint="default" w:ascii="Times New Roman" w:hAnsi="Times New Roman" w:cs="Times New Roman"/>
                      <w:color w:val="000000"/>
                      <w:szCs w:val="21"/>
                      <w:lang w:val="en-US" w:eastAsia="zh-CN"/>
                    </w:rPr>
                  </w:pPr>
                </w:p>
              </w:tc>
              <w:tc>
                <w:tcPr>
                  <w:tcW w:w="1060" w:type="dxa"/>
                  <w:noWrap w:val="0"/>
                  <w:vAlign w:val="center"/>
                </w:tcPr>
                <w:p w14:paraId="47771D0A">
                  <w:pPr>
                    <w:pStyle w:val="50"/>
                    <w:jc w:val="center"/>
                    <w:rPr>
                      <w:rFonts w:hint="default" w:ascii="Times New Roman" w:hAnsi="Times New Roman" w:cs="Times New Roman"/>
                      <w:color w:val="000000"/>
                      <w:szCs w:val="21"/>
                      <w:lang w:val="en-US" w:eastAsia="zh-CN"/>
                    </w:rPr>
                  </w:pPr>
                  <w:r>
                    <w:rPr>
                      <w:rFonts w:hint="default" w:ascii="Times New Roman" w:hAnsi="Times New Roman" w:cs="Times New Roman"/>
                      <w:lang w:val="en-US" w:eastAsia="zh-CN"/>
                    </w:rPr>
                    <w:t>90</w:t>
                  </w:r>
                </w:p>
              </w:tc>
              <w:tc>
                <w:tcPr>
                  <w:tcW w:w="1182" w:type="dxa"/>
                  <w:vMerge w:val="continue"/>
                  <w:noWrap w:val="0"/>
                  <w:vAlign w:val="center"/>
                </w:tcPr>
                <w:p w14:paraId="3A6FE5F1">
                  <w:pPr>
                    <w:adjustRightInd w:val="0"/>
                    <w:snapToGrid w:val="0"/>
                    <w:jc w:val="center"/>
                    <w:rPr>
                      <w:rFonts w:hint="eastAsia"/>
                      <w:color w:val="000000"/>
                      <w:szCs w:val="21"/>
                    </w:rPr>
                  </w:pPr>
                </w:p>
              </w:tc>
            </w:tr>
            <w:tr w14:paraId="03AA9B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78" w:type="dxa"/>
                  <w:noWrap w:val="0"/>
                  <w:vAlign w:val="center"/>
                </w:tcPr>
                <w:p w14:paraId="6D7B50EE">
                  <w:pPr>
                    <w:adjustRightInd w:val="0"/>
                    <w:snapToGrid w:val="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3</w:t>
                  </w:r>
                </w:p>
              </w:tc>
              <w:tc>
                <w:tcPr>
                  <w:tcW w:w="986" w:type="dxa"/>
                  <w:noWrap w:val="0"/>
                  <w:vAlign w:val="center"/>
                </w:tcPr>
                <w:p w14:paraId="2B7AA567">
                  <w:pPr>
                    <w:adjustRightInd w:val="0"/>
                    <w:snapToGrid w:val="0"/>
                    <w:ind w:left="-105" w:leftChars="-50" w:right="-105" w:rightChars="-50"/>
                    <w:jc w:val="center"/>
                    <w:rPr>
                      <w:rFonts w:hint="default" w:ascii="Times New Roman" w:hAnsi="Times New Roman" w:cs="Times New Roman"/>
                      <w:color w:val="000000"/>
                      <w:szCs w:val="21"/>
                    </w:rPr>
                  </w:pPr>
                  <w:r>
                    <w:rPr>
                      <w:rFonts w:hint="default" w:ascii="Times New Roman" w:hAnsi="Times New Roman" w:cs="Times New Roman"/>
                      <w:color w:val="000000"/>
                      <w:szCs w:val="21"/>
                    </w:rPr>
                    <w:t>车间外</w:t>
                  </w:r>
                </w:p>
              </w:tc>
              <w:tc>
                <w:tcPr>
                  <w:tcW w:w="887" w:type="dxa"/>
                  <w:noWrap w:val="0"/>
                  <w:vAlign w:val="center"/>
                </w:tcPr>
                <w:p w14:paraId="5BE0552B">
                  <w:pPr>
                    <w:jc w:val="center"/>
                    <w:rPr>
                      <w:rFonts w:hint="default" w:ascii="Times New Roman" w:hAnsi="Times New Roman" w:cs="Times New Roman"/>
                      <w:szCs w:val="21"/>
                    </w:rPr>
                  </w:pPr>
                  <w:r>
                    <w:rPr>
                      <w:rFonts w:hint="default" w:ascii="Times New Roman" w:hAnsi="Times New Roman" w:cs="Times New Roman"/>
                      <w:szCs w:val="21"/>
                    </w:rPr>
                    <w:t>风机</w:t>
                  </w:r>
                </w:p>
              </w:tc>
              <w:tc>
                <w:tcPr>
                  <w:tcW w:w="743" w:type="dxa"/>
                  <w:noWrap w:val="0"/>
                  <w:vAlign w:val="center"/>
                </w:tcPr>
                <w:p w14:paraId="483E83F1">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w:t>
                  </w:r>
                </w:p>
              </w:tc>
              <w:tc>
                <w:tcPr>
                  <w:tcW w:w="1104" w:type="dxa"/>
                  <w:noWrap w:val="0"/>
                  <w:vAlign w:val="center"/>
                </w:tcPr>
                <w:p w14:paraId="1542FC39">
                  <w:pPr>
                    <w:pStyle w:val="50"/>
                    <w:jc w:val="center"/>
                    <w:rPr>
                      <w:rFonts w:hint="default" w:ascii="Times New Roman" w:hAnsi="Times New Roman" w:cs="Times New Roman"/>
                      <w:lang w:val="en-US" w:eastAsia="zh-CN"/>
                    </w:rPr>
                  </w:pPr>
                  <w:r>
                    <w:rPr>
                      <w:rFonts w:hint="default" w:ascii="Times New Roman" w:hAnsi="Times New Roman" w:cs="Times New Roman"/>
                      <w:lang w:val="en-US" w:eastAsia="zh-CN"/>
                    </w:rPr>
                    <w:t>80</w:t>
                  </w:r>
                </w:p>
              </w:tc>
              <w:tc>
                <w:tcPr>
                  <w:tcW w:w="3408" w:type="dxa"/>
                  <w:noWrap w:val="0"/>
                  <w:vAlign w:val="center"/>
                </w:tcPr>
                <w:p w14:paraId="7826EF53">
                  <w:pPr>
                    <w:adjustRightInd w:val="0"/>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选购低噪声设备，风机设置隔声罩</w:t>
                  </w:r>
                </w:p>
              </w:tc>
              <w:tc>
                <w:tcPr>
                  <w:tcW w:w="789" w:type="dxa"/>
                  <w:noWrap w:val="0"/>
                  <w:vAlign w:val="center"/>
                </w:tcPr>
                <w:p w14:paraId="53485F56">
                  <w:pPr>
                    <w:pStyle w:val="66"/>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8</w:t>
                  </w:r>
                </w:p>
              </w:tc>
              <w:tc>
                <w:tcPr>
                  <w:tcW w:w="670" w:type="dxa"/>
                  <w:noWrap w:val="0"/>
                  <w:vAlign w:val="center"/>
                </w:tcPr>
                <w:p w14:paraId="33B4C300">
                  <w:pPr>
                    <w:pStyle w:val="66"/>
                    <w:ind w:left="-105" w:leftChars="-50" w:right="-105" w:rightChars="-5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60</w:t>
                  </w:r>
                </w:p>
              </w:tc>
              <w:tc>
                <w:tcPr>
                  <w:tcW w:w="655" w:type="dxa"/>
                  <w:noWrap w:val="0"/>
                  <w:vAlign w:val="center"/>
                </w:tcPr>
                <w:p w14:paraId="0CEFF14B">
                  <w:pPr>
                    <w:adjustRightInd w:val="0"/>
                    <w:snapToGrid w:val="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1</w:t>
                  </w:r>
                </w:p>
              </w:tc>
              <w:tc>
                <w:tcPr>
                  <w:tcW w:w="1013" w:type="dxa"/>
                  <w:vMerge w:val="continue"/>
                  <w:noWrap w:val="0"/>
                  <w:vAlign w:val="center"/>
                </w:tcPr>
                <w:p w14:paraId="7C77E7C5">
                  <w:pPr>
                    <w:adjustRightInd w:val="0"/>
                    <w:snapToGrid w:val="0"/>
                    <w:jc w:val="center"/>
                    <w:rPr>
                      <w:rFonts w:hint="default" w:ascii="Times New Roman" w:hAnsi="Times New Roman" w:cs="Times New Roman"/>
                      <w:color w:val="000000"/>
                      <w:szCs w:val="21"/>
                      <w:lang w:val="en-US" w:eastAsia="zh-CN"/>
                    </w:rPr>
                  </w:pPr>
                </w:p>
              </w:tc>
              <w:tc>
                <w:tcPr>
                  <w:tcW w:w="1060" w:type="dxa"/>
                  <w:noWrap w:val="0"/>
                  <w:vAlign w:val="center"/>
                </w:tcPr>
                <w:p w14:paraId="265321D5">
                  <w:pPr>
                    <w:pStyle w:val="50"/>
                    <w:jc w:val="center"/>
                    <w:rPr>
                      <w:rFonts w:hint="default" w:ascii="Times New Roman" w:hAnsi="Times New Roman" w:cs="Times New Roman"/>
                      <w:color w:val="000000"/>
                      <w:szCs w:val="21"/>
                      <w:lang w:val="en-US" w:eastAsia="zh-CN"/>
                    </w:rPr>
                  </w:pPr>
                  <w:r>
                    <w:rPr>
                      <w:rFonts w:hint="default" w:ascii="Times New Roman" w:hAnsi="Times New Roman" w:cs="Times New Roman"/>
                      <w:lang w:val="en-US" w:eastAsia="zh-CN"/>
                    </w:rPr>
                    <w:t>80</w:t>
                  </w:r>
                </w:p>
              </w:tc>
              <w:tc>
                <w:tcPr>
                  <w:tcW w:w="1182" w:type="dxa"/>
                  <w:vMerge w:val="continue"/>
                  <w:noWrap w:val="0"/>
                  <w:vAlign w:val="center"/>
                </w:tcPr>
                <w:p w14:paraId="317E1631">
                  <w:pPr>
                    <w:adjustRightInd w:val="0"/>
                    <w:snapToGrid w:val="0"/>
                    <w:jc w:val="center"/>
                    <w:rPr>
                      <w:rFonts w:hint="eastAsia"/>
                      <w:color w:val="000000"/>
                      <w:szCs w:val="21"/>
                    </w:rPr>
                  </w:pPr>
                </w:p>
              </w:tc>
            </w:tr>
            <w:tr w14:paraId="2B3E3F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78" w:type="dxa"/>
                  <w:noWrap w:val="0"/>
                  <w:vAlign w:val="center"/>
                </w:tcPr>
                <w:p w14:paraId="0A20C417">
                  <w:pPr>
                    <w:adjustRightInd w:val="0"/>
                    <w:snapToGrid w:val="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4</w:t>
                  </w:r>
                </w:p>
              </w:tc>
              <w:tc>
                <w:tcPr>
                  <w:tcW w:w="986" w:type="dxa"/>
                  <w:noWrap w:val="0"/>
                  <w:vAlign w:val="center"/>
                </w:tcPr>
                <w:p w14:paraId="67D27206">
                  <w:pPr>
                    <w:adjustRightInd w:val="0"/>
                    <w:snapToGrid w:val="0"/>
                    <w:ind w:left="-105" w:leftChars="-50" w:right="-105" w:rightChars="-50"/>
                    <w:jc w:val="center"/>
                    <w:rPr>
                      <w:rFonts w:hint="default" w:ascii="Times New Roman" w:hAnsi="Times New Roman" w:cs="Times New Roman"/>
                      <w:color w:val="000000"/>
                      <w:szCs w:val="21"/>
                    </w:rPr>
                  </w:pPr>
                  <w:r>
                    <w:rPr>
                      <w:rFonts w:hint="default" w:ascii="Times New Roman" w:hAnsi="Times New Roman" w:cs="Times New Roman"/>
                      <w:color w:val="000000"/>
                      <w:szCs w:val="21"/>
                    </w:rPr>
                    <w:t>车间外</w:t>
                  </w:r>
                </w:p>
              </w:tc>
              <w:tc>
                <w:tcPr>
                  <w:tcW w:w="887" w:type="dxa"/>
                  <w:noWrap w:val="0"/>
                  <w:vAlign w:val="center"/>
                </w:tcPr>
                <w:p w14:paraId="12819A2B">
                  <w:pPr>
                    <w:jc w:val="center"/>
                    <w:rPr>
                      <w:rFonts w:hint="default" w:ascii="Times New Roman" w:hAnsi="Times New Roman" w:cs="Times New Roman"/>
                      <w:szCs w:val="21"/>
                    </w:rPr>
                  </w:pPr>
                  <w:r>
                    <w:rPr>
                      <w:rFonts w:hint="default" w:ascii="Times New Roman" w:hAnsi="Times New Roman" w:cs="Times New Roman"/>
                      <w:szCs w:val="21"/>
                    </w:rPr>
                    <w:t>风机</w:t>
                  </w:r>
                </w:p>
              </w:tc>
              <w:tc>
                <w:tcPr>
                  <w:tcW w:w="743" w:type="dxa"/>
                  <w:noWrap w:val="0"/>
                  <w:vAlign w:val="center"/>
                </w:tcPr>
                <w:p w14:paraId="06EFFB7D">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w:t>
                  </w:r>
                </w:p>
              </w:tc>
              <w:tc>
                <w:tcPr>
                  <w:tcW w:w="1104" w:type="dxa"/>
                  <w:noWrap w:val="0"/>
                  <w:vAlign w:val="center"/>
                </w:tcPr>
                <w:p w14:paraId="162B918F">
                  <w:pPr>
                    <w:pStyle w:val="50"/>
                    <w:jc w:val="center"/>
                    <w:rPr>
                      <w:rFonts w:hint="default" w:ascii="Times New Roman" w:hAnsi="Times New Roman" w:cs="Times New Roman"/>
                      <w:lang w:val="en-US" w:eastAsia="zh-CN"/>
                    </w:rPr>
                  </w:pPr>
                  <w:r>
                    <w:rPr>
                      <w:rFonts w:hint="default" w:ascii="Times New Roman" w:hAnsi="Times New Roman" w:cs="Times New Roman"/>
                      <w:lang w:val="en-US" w:eastAsia="zh-CN"/>
                    </w:rPr>
                    <w:t>80</w:t>
                  </w:r>
                </w:p>
              </w:tc>
              <w:tc>
                <w:tcPr>
                  <w:tcW w:w="3408" w:type="dxa"/>
                  <w:noWrap w:val="0"/>
                  <w:vAlign w:val="center"/>
                </w:tcPr>
                <w:p w14:paraId="13478D53">
                  <w:pPr>
                    <w:adjustRightInd w:val="0"/>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选购低噪声设备，风机设置隔声罩</w:t>
                  </w:r>
                </w:p>
              </w:tc>
              <w:tc>
                <w:tcPr>
                  <w:tcW w:w="789" w:type="dxa"/>
                  <w:noWrap w:val="0"/>
                  <w:vAlign w:val="center"/>
                </w:tcPr>
                <w:p w14:paraId="512D55FC">
                  <w:pPr>
                    <w:pStyle w:val="66"/>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10</w:t>
                  </w:r>
                </w:p>
              </w:tc>
              <w:tc>
                <w:tcPr>
                  <w:tcW w:w="670" w:type="dxa"/>
                  <w:noWrap w:val="0"/>
                  <w:vAlign w:val="center"/>
                </w:tcPr>
                <w:p w14:paraId="7F5B31F7">
                  <w:pPr>
                    <w:pStyle w:val="66"/>
                    <w:ind w:left="-105" w:leftChars="-50" w:right="-105" w:rightChars="-5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62</w:t>
                  </w:r>
                </w:p>
              </w:tc>
              <w:tc>
                <w:tcPr>
                  <w:tcW w:w="655" w:type="dxa"/>
                  <w:noWrap w:val="0"/>
                  <w:vAlign w:val="center"/>
                </w:tcPr>
                <w:p w14:paraId="4FA40926">
                  <w:pPr>
                    <w:adjustRightInd w:val="0"/>
                    <w:snapToGrid w:val="0"/>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1</w:t>
                  </w:r>
                </w:p>
              </w:tc>
              <w:tc>
                <w:tcPr>
                  <w:tcW w:w="1013" w:type="dxa"/>
                  <w:vMerge w:val="continue"/>
                  <w:noWrap w:val="0"/>
                  <w:vAlign w:val="center"/>
                </w:tcPr>
                <w:p w14:paraId="768F372E">
                  <w:pPr>
                    <w:adjustRightInd w:val="0"/>
                    <w:snapToGrid w:val="0"/>
                    <w:jc w:val="center"/>
                    <w:rPr>
                      <w:rFonts w:hint="default" w:ascii="Times New Roman" w:hAnsi="Times New Roman" w:cs="Times New Roman"/>
                      <w:color w:val="000000"/>
                      <w:szCs w:val="21"/>
                      <w:lang w:val="en-US" w:eastAsia="zh-CN"/>
                    </w:rPr>
                  </w:pPr>
                </w:p>
              </w:tc>
              <w:tc>
                <w:tcPr>
                  <w:tcW w:w="1060" w:type="dxa"/>
                  <w:noWrap w:val="0"/>
                  <w:vAlign w:val="center"/>
                </w:tcPr>
                <w:p w14:paraId="10927BBC">
                  <w:pPr>
                    <w:pStyle w:val="50"/>
                    <w:jc w:val="center"/>
                    <w:rPr>
                      <w:rFonts w:hint="default" w:ascii="Times New Roman" w:hAnsi="Times New Roman" w:cs="Times New Roman"/>
                      <w:color w:val="000000"/>
                      <w:szCs w:val="21"/>
                      <w:lang w:val="en-US" w:eastAsia="zh-CN"/>
                    </w:rPr>
                  </w:pPr>
                  <w:r>
                    <w:rPr>
                      <w:rFonts w:hint="default" w:ascii="Times New Roman" w:hAnsi="Times New Roman" w:cs="Times New Roman"/>
                      <w:lang w:val="en-US" w:eastAsia="zh-CN"/>
                    </w:rPr>
                    <w:t>80</w:t>
                  </w:r>
                </w:p>
              </w:tc>
              <w:tc>
                <w:tcPr>
                  <w:tcW w:w="1182" w:type="dxa"/>
                  <w:vMerge w:val="continue"/>
                  <w:noWrap w:val="0"/>
                  <w:vAlign w:val="center"/>
                </w:tcPr>
                <w:p w14:paraId="0F50A706">
                  <w:pPr>
                    <w:adjustRightInd w:val="0"/>
                    <w:snapToGrid w:val="0"/>
                    <w:jc w:val="center"/>
                    <w:rPr>
                      <w:rFonts w:hint="eastAsia"/>
                      <w:color w:val="000000"/>
                      <w:szCs w:val="21"/>
                    </w:rPr>
                  </w:pPr>
                </w:p>
              </w:tc>
            </w:tr>
          </w:tbl>
          <w:p w14:paraId="2698EC2A">
            <w:pPr>
              <w:widowControl/>
              <w:adjustRightInd w:val="0"/>
              <w:snapToGrid w:val="0"/>
              <w:jc w:val="both"/>
              <w:rPr>
                <w:rFonts w:hint="default" w:ascii="Times New Roman" w:hAnsi="Times New Roman" w:cs="Times New Roman"/>
                <w:color w:val="auto"/>
                <w:highlight w:val="none"/>
                <w:vertAlign w:val="baseline"/>
              </w:rPr>
            </w:pPr>
          </w:p>
          <w:p w14:paraId="47EC4316">
            <w:pPr>
              <w:widowControl/>
              <w:adjustRightInd w:val="0"/>
              <w:snapToGrid w:val="0"/>
              <w:jc w:val="left"/>
              <w:rPr>
                <w:rFonts w:hint="default" w:ascii="Times New Roman" w:hAnsi="Times New Roman" w:cs="Times New Roman"/>
                <w:color w:val="auto"/>
                <w:highlight w:val="none"/>
                <w:vertAlign w:val="baseline"/>
              </w:rPr>
            </w:pPr>
            <w:r>
              <w:rPr>
                <w:rFonts w:hint="default" w:ascii="Times New Roman" w:hAnsi="Times New Roman" w:cs="Times New Roman"/>
                <w:b/>
                <w:bCs/>
                <w:color w:val="auto"/>
                <w:kern w:val="0"/>
                <w:sz w:val="21"/>
                <w:szCs w:val="21"/>
                <w:highlight w:val="none"/>
                <w:lang w:val="en-US" w:eastAsia="zh-CN"/>
              </w:rPr>
              <w:t>备注：</w:t>
            </w:r>
            <w:r>
              <w:rPr>
                <w:rFonts w:hint="default" w:ascii="Times New Roman" w:hAnsi="Times New Roman" w:eastAsia="宋体" w:cs="Times New Roman"/>
                <w:bCs/>
                <w:color w:val="auto"/>
                <w:sz w:val="21"/>
                <w:szCs w:val="21"/>
                <w:highlight w:val="none"/>
                <w:lang w:val="en-US" w:eastAsia="zh-CN"/>
              </w:rPr>
              <w:t>以</w:t>
            </w:r>
            <w:r>
              <w:rPr>
                <w:rFonts w:hint="eastAsia" w:ascii="Times New Roman" w:hAnsi="Times New Roman" w:eastAsia="宋体" w:cs="Times New Roman"/>
                <w:bCs/>
                <w:color w:val="auto"/>
                <w:sz w:val="21"/>
                <w:szCs w:val="21"/>
                <w:highlight w:val="none"/>
                <w:lang w:val="en-US" w:eastAsia="zh-CN"/>
              </w:rPr>
              <w:t>9号厂房</w:t>
            </w:r>
            <w:r>
              <w:rPr>
                <w:rFonts w:hint="default" w:ascii="Times New Roman" w:hAnsi="Times New Roman" w:eastAsia="宋体" w:cs="Times New Roman"/>
                <w:bCs/>
                <w:color w:val="auto"/>
                <w:sz w:val="21"/>
                <w:szCs w:val="21"/>
                <w:highlight w:val="none"/>
                <w:lang w:val="en-US" w:eastAsia="zh-CN"/>
              </w:rPr>
              <w:t>西南角为坐标原点(x=0，y=0，z=0)，x轴正方向为正东向，y轴正方向为正北向。</w:t>
            </w:r>
          </w:p>
          <w:p w14:paraId="36926DAA">
            <w:pPr>
              <w:widowControl/>
              <w:adjustRightInd w:val="0"/>
              <w:snapToGrid w:val="0"/>
              <w:jc w:val="both"/>
              <w:rPr>
                <w:rFonts w:hint="default" w:ascii="Times New Roman" w:hAnsi="Times New Roman" w:cs="Times New Roman"/>
                <w:color w:val="auto"/>
                <w:highlight w:val="none"/>
                <w:vertAlign w:val="baseline"/>
              </w:rPr>
            </w:pPr>
          </w:p>
          <w:p w14:paraId="7F32345E">
            <w:pPr>
              <w:widowControl/>
              <w:adjustRightInd w:val="0"/>
              <w:snapToGrid w:val="0"/>
              <w:jc w:val="both"/>
              <w:rPr>
                <w:rFonts w:hint="default" w:ascii="Times New Roman" w:hAnsi="Times New Roman" w:cs="Times New Roman"/>
                <w:color w:val="auto"/>
                <w:highlight w:val="none"/>
                <w:vertAlign w:val="baseline"/>
              </w:rPr>
            </w:pPr>
          </w:p>
          <w:p w14:paraId="0AB76926">
            <w:pPr>
              <w:widowControl/>
              <w:adjustRightInd w:val="0"/>
              <w:snapToGrid w:val="0"/>
              <w:jc w:val="both"/>
              <w:rPr>
                <w:rFonts w:hint="default" w:ascii="Times New Roman" w:hAnsi="Times New Roman" w:cs="Times New Roman"/>
                <w:color w:val="auto"/>
                <w:highlight w:val="none"/>
                <w:vertAlign w:val="baseline"/>
              </w:rPr>
            </w:pPr>
          </w:p>
          <w:p w14:paraId="1FE44CCB">
            <w:pPr>
              <w:widowControl/>
              <w:adjustRightInd w:val="0"/>
              <w:snapToGrid w:val="0"/>
              <w:jc w:val="both"/>
              <w:rPr>
                <w:rFonts w:hint="default" w:ascii="Times New Roman" w:hAnsi="Times New Roman" w:cs="Times New Roman"/>
                <w:color w:val="auto"/>
                <w:highlight w:val="none"/>
                <w:vertAlign w:val="baseline"/>
              </w:rPr>
            </w:pPr>
          </w:p>
          <w:p w14:paraId="02177AB1">
            <w:pPr>
              <w:widowControl/>
              <w:adjustRightInd w:val="0"/>
              <w:snapToGrid w:val="0"/>
              <w:jc w:val="both"/>
              <w:rPr>
                <w:rFonts w:hint="default" w:ascii="Times New Roman" w:hAnsi="Times New Roman" w:cs="Times New Roman"/>
                <w:color w:val="auto"/>
                <w:highlight w:val="none"/>
                <w:vertAlign w:val="baseline"/>
              </w:rPr>
            </w:pPr>
          </w:p>
          <w:p w14:paraId="5C31CA62">
            <w:pPr>
              <w:widowControl/>
              <w:adjustRightInd w:val="0"/>
              <w:snapToGrid w:val="0"/>
              <w:jc w:val="both"/>
              <w:rPr>
                <w:rFonts w:hint="default" w:ascii="Times New Roman" w:hAnsi="Times New Roman" w:cs="Times New Roman"/>
                <w:color w:val="auto"/>
                <w:highlight w:val="none"/>
                <w:vertAlign w:val="baseline"/>
              </w:rPr>
            </w:pPr>
          </w:p>
          <w:p w14:paraId="7AE9B181">
            <w:pPr>
              <w:widowControl/>
              <w:adjustRightInd w:val="0"/>
              <w:snapToGrid w:val="0"/>
              <w:jc w:val="both"/>
              <w:rPr>
                <w:rFonts w:hint="default" w:ascii="Times New Roman" w:hAnsi="Times New Roman" w:cs="Times New Roman"/>
                <w:color w:val="auto"/>
                <w:highlight w:val="none"/>
                <w:vertAlign w:val="baseline"/>
              </w:rPr>
            </w:pPr>
          </w:p>
          <w:p w14:paraId="5AB95D70">
            <w:pPr>
              <w:widowControl/>
              <w:adjustRightInd w:val="0"/>
              <w:snapToGrid w:val="0"/>
              <w:jc w:val="both"/>
              <w:rPr>
                <w:rFonts w:hint="default" w:ascii="Times New Roman" w:hAnsi="Times New Roman" w:cs="Times New Roman"/>
                <w:color w:val="auto"/>
                <w:highlight w:val="none"/>
                <w:vertAlign w:val="baseline"/>
              </w:rPr>
            </w:pPr>
          </w:p>
          <w:p w14:paraId="6BA82891">
            <w:pPr>
              <w:widowControl/>
              <w:adjustRightInd w:val="0"/>
              <w:snapToGrid w:val="0"/>
              <w:jc w:val="both"/>
              <w:rPr>
                <w:rFonts w:hint="default" w:ascii="Times New Roman" w:hAnsi="Times New Roman" w:cs="Times New Roman"/>
                <w:color w:val="auto"/>
                <w:highlight w:val="none"/>
                <w:vertAlign w:val="baseline"/>
              </w:rPr>
            </w:pPr>
          </w:p>
          <w:p w14:paraId="06CA1C72">
            <w:pPr>
              <w:widowControl/>
              <w:adjustRightInd w:val="0"/>
              <w:snapToGrid w:val="0"/>
              <w:jc w:val="both"/>
              <w:rPr>
                <w:rFonts w:hint="default" w:ascii="Times New Roman" w:hAnsi="Times New Roman" w:cs="Times New Roman"/>
                <w:color w:val="auto"/>
                <w:highlight w:val="none"/>
                <w:vertAlign w:val="baseline"/>
              </w:rPr>
            </w:pPr>
          </w:p>
          <w:p w14:paraId="29DD5C5B">
            <w:pPr>
              <w:widowControl/>
              <w:adjustRightInd w:val="0"/>
              <w:snapToGrid w:val="0"/>
              <w:jc w:val="both"/>
              <w:rPr>
                <w:rFonts w:hint="default" w:ascii="Times New Roman" w:hAnsi="Times New Roman" w:cs="Times New Roman"/>
                <w:color w:val="auto"/>
                <w:highlight w:val="none"/>
                <w:vertAlign w:val="baseline"/>
              </w:rPr>
            </w:pPr>
          </w:p>
          <w:p w14:paraId="68537A55">
            <w:pPr>
              <w:widowControl/>
              <w:adjustRightInd w:val="0"/>
              <w:snapToGrid w:val="0"/>
              <w:jc w:val="both"/>
              <w:rPr>
                <w:rFonts w:hint="default" w:ascii="Times New Roman" w:hAnsi="Times New Roman" w:cs="Times New Roman"/>
                <w:color w:val="auto"/>
                <w:highlight w:val="none"/>
                <w:vertAlign w:val="baseline"/>
              </w:rPr>
            </w:pPr>
          </w:p>
          <w:p w14:paraId="6019C133">
            <w:pPr>
              <w:widowControl/>
              <w:adjustRightInd w:val="0"/>
              <w:snapToGrid w:val="0"/>
              <w:jc w:val="both"/>
              <w:rPr>
                <w:rFonts w:hint="default" w:ascii="Times New Roman" w:hAnsi="Times New Roman" w:cs="Times New Roman"/>
                <w:color w:val="auto"/>
                <w:highlight w:val="none"/>
                <w:vertAlign w:val="baseline"/>
              </w:rPr>
            </w:pPr>
          </w:p>
          <w:p w14:paraId="5920EEC8">
            <w:pPr>
              <w:widowControl/>
              <w:adjustRightInd w:val="0"/>
              <w:snapToGrid w:val="0"/>
              <w:jc w:val="both"/>
              <w:rPr>
                <w:rFonts w:hint="default" w:ascii="Times New Roman" w:hAnsi="Times New Roman" w:cs="Times New Roman"/>
                <w:color w:val="auto"/>
                <w:highlight w:val="none"/>
                <w:vertAlign w:val="baseline"/>
              </w:rPr>
            </w:pPr>
          </w:p>
          <w:p w14:paraId="0096DFFF">
            <w:pPr>
              <w:widowControl/>
              <w:adjustRightInd w:val="0"/>
              <w:snapToGrid w:val="0"/>
              <w:jc w:val="both"/>
              <w:rPr>
                <w:rFonts w:hint="default" w:ascii="Times New Roman" w:hAnsi="Times New Roman" w:cs="Times New Roman"/>
                <w:color w:val="auto"/>
                <w:highlight w:val="none"/>
                <w:vertAlign w:val="baseline"/>
              </w:rPr>
            </w:pPr>
          </w:p>
          <w:p w14:paraId="54F1941A">
            <w:pPr>
              <w:widowControl/>
              <w:adjustRightInd w:val="0"/>
              <w:snapToGrid w:val="0"/>
              <w:jc w:val="both"/>
              <w:rPr>
                <w:rFonts w:hint="default" w:ascii="Times New Roman" w:hAnsi="Times New Roman" w:cs="Times New Roman"/>
                <w:color w:val="auto"/>
                <w:highlight w:val="none"/>
                <w:vertAlign w:val="baseline"/>
              </w:rPr>
            </w:pPr>
          </w:p>
          <w:p w14:paraId="411BA366">
            <w:pPr>
              <w:widowControl/>
              <w:adjustRightInd w:val="0"/>
              <w:snapToGrid w:val="0"/>
              <w:jc w:val="both"/>
              <w:rPr>
                <w:rFonts w:hint="default" w:ascii="Times New Roman" w:hAnsi="Times New Roman" w:cs="Times New Roman"/>
                <w:color w:val="auto"/>
                <w:highlight w:val="none"/>
                <w:vertAlign w:val="baseline"/>
              </w:rPr>
            </w:pPr>
          </w:p>
          <w:p w14:paraId="0B425269">
            <w:pPr>
              <w:widowControl/>
              <w:adjustRightInd w:val="0"/>
              <w:snapToGrid w:val="0"/>
              <w:jc w:val="both"/>
              <w:rPr>
                <w:rFonts w:hint="default" w:ascii="Times New Roman" w:hAnsi="Times New Roman" w:cs="Times New Roman"/>
                <w:color w:val="auto"/>
                <w:highlight w:val="none"/>
                <w:vertAlign w:val="baseline"/>
              </w:rPr>
            </w:pPr>
          </w:p>
          <w:p w14:paraId="272C6B72">
            <w:pPr>
              <w:widowControl/>
              <w:adjustRightInd w:val="0"/>
              <w:snapToGrid w:val="0"/>
              <w:jc w:val="both"/>
              <w:rPr>
                <w:rFonts w:hint="default" w:ascii="Times New Roman" w:hAnsi="Times New Roman" w:cs="Times New Roman"/>
                <w:color w:val="auto"/>
                <w:highlight w:val="none"/>
                <w:vertAlign w:val="baseline"/>
              </w:rPr>
            </w:pPr>
          </w:p>
          <w:p w14:paraId="3D159FCC">
            <w:pPr>
              <w:widowControl/>
              <w:adjustRightInd w:val="0"/>
              <w:snapToGrid w:val="0"/>
              <w:jc w:val="both"/>
              <w:rPr>
                <w:rFonts w:hint="default" w:ascii="Times New Roman" w:hAnsi="Times New Roman" w:cs="Times New Roman"/>
                <w:color w:val="auto"/>
                <w:highlight w:val="none"/>
                <w:vertAlign w:val="baseline"/>
              </w:rPr>
            </w:pPr>
          </w:p>
          <w:p w14:paraId="0C502FE1">
            <w:pPr>
              <w:widowControl/>
              <w:adjustRightInd w:val="0"/>
              <w:snapToGrid w:val="0"/>
              <w:jc w:val="both"/>
              <w:rPr>
                <w:rFonts w:hint="default" w:ascii="Times New Roman" w:hAnsi="Times New Roman" w:cs="Times New Roman"/>
                <w:color w:val="auto"/>
                <w:highlight w:val="none"/>
                <w:vertAlign w:val="baseline"/>
              </w:rPr>
            </w:pPr>
          </w:p>
        </w:tc>
      </w:tr>
    </w:tbl>
    <w:p w14:paraId="1B1DB040">
      <w:pPr>
        <w:pStyle w:val="24"/>
        <w:widowControl w:val="0"/>
        <w:numPr>
          <w:ilvl w:val="0"/>
          <w:numId w:val="0"/>
        </w:numPr>
        <w:spacing w:after="120" w:afterLines="0" w:afterAutospacing="0"/>
        <w:jc w:val="both"/>
        <w:rPr>
          <w:rFonts w:hint="default" w:ascii="Times New Roman" w:hAnsi="Times New Roman" w:cs="Times New Roman"/>
          <w:color w:val="auto"/>
          <w:highlight w:val="none"/>
        </w:rPr>
        <w:sectPr>
          <w:pgSz w:w="16838" w:h="11905" w:orient="landscape"/>
          <w:pgMar w:top="1803" w:right="1440" w:bottom="1803" w:left="1440"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8018"/>
      </w:tblGrid>
      <w:tr w14:paraId="6E87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 w:type="pct"/>
            <w:noWrap w:val="0"/>
            <w:vAlign w:val="center"/>
          </w:tcPr>
          <w:p w14:paraId="5789A879">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运营</w:t>
            </w:r>
          </w:p>
          <w:p w14:paraId="12B46A65">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期环</w:t>
            </w:r>
          </w:p>
          <w:p w14:paraId="1070010E">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境影</w:t>
            </w:r>
          </w:p>
          <w:p w14:paraId="47ABCD15">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响和</w:t>
            </w:r>
          </w:p>
          <w:p w14:paraId="399E481F">
            <w:pPr>
              <w:topLinePunct/>
              <w:autoSpaceDE w:val="0"/>
              <w:adjustRightInd w:val="0"/>
              <w:snapToGrid w:val="0"/>
              <w:jc w:val="cente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rPr>
              <w:t>保护</w:t>
            </w:r>
          </w:p>
          <w:p w14:paraId="288A357F">
            <w:pPr>
              <w:pStyle w:val="24"/>
              <w:widowControl w:val="0"/>
              <w:numPr>
                <w:ilvl w:val="0"/>
                <w:numId w:val="0"/>
              </w:numPr>
              <w:spacing w:after="120" w:afterLines="0" w:afterAutospacing="0"/>
              <w:jc w:val="center"/>
              <w:rPr>
                <w:rFonts w:hint="default" w:ascii="Times New Roman" w:hAnsi="Times New Roman" w:cs="Times New Roman"/>
                <w:color w:val="auto"/>
                <w:highlight w:val="none"/>
                <w:vertAlign w:val="baseline"/>
              </w:rPr>
            </w:pPr>
            <w:r>
              <w:rPr>
                <w:rFonts w:hint="default" w:ascii="Times New Roman" w:hAnsi="Times New Roman" w:cs="Times New Roman"/>
                <w:b/>
                <w:bCs w:val="0"/>
                <w:color w:val="auto"/>
                <w:sz w:val="24"/>
                <w:szCs w:val="24"/>
                <w:highlight w:val="none"/>
              </w:rPr>
              <w:t>措施</w:t>
            </w:r>
          </w:p>
        </w:tc>
        <w:tc>
          <w:tcPr>
            <w:tcW w:w="4709" w:type="pct"/>
            <w:noWrap w:val="0"/>
            <w:vAlign w:val="top"/>
          </w:tcPr>
          <w:p w14:paraId="0323B33B">
            <w:pPr>
              <w:keepNext w:val="0"/>
              <w:keepLines w:val="0"/>
              <w:pageBreakBefore w:val="0"/>
              <w:widowControl w:val="0"/>
              <w:kinsoku/>
              <w:wordWrap/>
              <w:overflowPunct/>
              <w:topLinePunct/>
              <w:autoSpaceDE w:val="0"/>
              <w:autoSpaceDN/>
              <w:bidi w:val="0"/>
              <w:adjustRightInd w:val="0"/>
              <w:snapToGrid w:val="0"/>
              <w:spacing w:line="360" w:lineRule="auto"/>
              <w:ind w:firstLine="482" w:firstLineChars="20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2、降噪措施</w:t>
            </w:r>
          </w:p>
          <w:p w14:paraId="1E499049">
            <w:pPr>
              <w:topLinePunct/>
              <w:autoSpaceDE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高噪声设备主要为生产设备及辅助设备等，</w:t>
            </w:r>
            <w:r>
              <w:rPr>
                <w:rFonts w:hint="default" w:ascii="Times New Roman" w:hAnsi="Times New Roman" w:eastAsia="宋体" w:cs="Times New Roman"/>
                <w:color w:val="auto"/>
                <w:sz w:val="24"/>
                <w:highlight w:val="none"/>
                <w:lang w:val="en-US" w:eastAsia="zh-CN"/>
              </w:rPr>
              <w:t>单台设备</w:t>
            </w:r>
            <w:r>
              <w:rPr>
                <w:rFonts w:hint="default" w:ascii="Times New Roman" w:hAnsi="Times New Roman" w:cs="Times New Roman"/>
                <w:color w:val="auto"/>
                <w:sz w:val="24"/>
                <w:highlight w:val="none"/>
              </w:rPr>
              <w:t>噪声源强为7</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90</w:t>
            </w:r>
            <w:r>
              <w:rPr>
                <w:rFonts w:hint="default" w:ascii="Times New Roman" w:hAnsi="Times New Roman" w:cs="Times New Roman"/>
                <w:color w:val="auto"/>
                <w:sz w:val="24"/>
                <w:highlight w:val="none"/>
              </w:rPr>
              <w:t>dB(A)</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具体防治措施如下：</w:t>
            </w:r>
          </w:p>
          <w:p w14:paraId="619E951F">
            <w:pPr>
              <w:topLinePunct/>
              <w:autoSpaceDE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控制设备噪声</w:t>
            </w:r>
          </w:p>
          <w:p w14:paraId="668D7563">
            <w:pPr>
              <w:topLinePunct/>
              <w:autoSpaceDE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在设备选型时选用先进的低噪声设备，在满足工艺设计的前提下，尽量选用满足国际标准的低噪声、低振动型号的设备，降低噪声源强。</w:t>
            </w:r>
          </w:p>
          <w:p w14:paraId="0F4A55B1">
            <w:pPr>
              <w:topLinePunct/>
              <w:autoSpaceDE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室内噪声设备控制措施</w:t>
            </w:r>
          </w:p>
          <w:p w14:paraId="11F2BA54">
            <w:pPr>
              <w:topLinePunct/>
              <w:autoSpaceDE w:val="0"/>
              <w:adjustRightInd w:val="0"/>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参照《污染源源强核算技术指南 汽车制造》表G.2，建设</w:t>
            </w:r>
            <w:r>
              <w:rPr>
                <w:rFonts w:hint="default" w:ascii="Times New Roman" w:hAnsi="Times New Roman" w:cs="Times New Roman"/>
                <w:color w:val="auto"/>
                <w:sz w:val="24"/>
                <w:highlight w:val="none"/>
              </w:rPr>
              <w:t>室内噪声设备利用建筑隔声，</w:t>
            </w:r>
            <w:r>
              <w:rPr>
                <w:rFonts w:hint="default" w:ascii="Times New Roman" w:hAnsi="Times New Roman" w:cs="Times New Roman"/>
                <w:color w:val="auto"/>
                <w:sz w:val="24"/>
                <w:highlight w:val="none"/>
                <w:lang w:val="en-US" w:eastAsia="zh-CN"/>
              </w:rPr>
              <w:t>厂房隔声降噪效果在10~15</w:t>
            </w:r>
            <w:r>
              <w:rPr>
                <w:rFonts w:hint="default" w:ascii="Times New Roman" w:hAnsi="Times New Roman" w:cs="Times New Roman"/>
                <w:color w:val="auto"/>
                <w:sz w:val="24"/>
                <w:highlight w:val="none"/>
              </w:rPr>
              <w:t>dB(A)</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sz w:val="24"/>
                <w:highlight w:val="none"/>
                <w:lang w:val="en-US" w:eastAsia="zh-CN"/>
              </w:rPr>
              <w:t>本次取15</w:t>
            </w:r>
            <w:r>
              <w:rPr>
                <w:rFonts w:hint="default" w:ascii="Times New Roman" w:hAnsi="Times New Roman" w:cs="Times New Roman"/>
                <w:color w:val="auto"/>
                <w:sz w:val="24"/>
                <w:highlight w:val="none"/>
              </w:rPr>
              <w:t>dB(A)</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并对设备设置减振底座等。</w:t>
            </w:r>
          </w:p>
          <w:p w14:paraId="435C6024">
            <w:pPr>
              <w:topLinePunct/>
              <w:autoSpaceDE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室外噪声设备控制措施</w:t>
            </w:r>
          </w:p>
          <w:p w14:paraId="74B7A5FA">
            <w:pPr>
              <w:topLinePunct/>
              <w:autoSpaceDE w:val="0"/>
              <w:adjustRightInd w:val="0"/>
              <w:snapToGrid w:val="0"/>
              <w:spacing w:line="360" w:lineRule="auto"/>
              <w:ind w:firstLine="480" w:firstLineChars="200"/>
              <w:rPr>
                <w:rFonts w:hint="default"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室外噪声设备主要为</w:t>
            </w:r>
            <w:r>
              <w:rPr>
                <w:rFonts w:hint="default" w:ascii="Times New Roman" w:hAnsi="Times New Roman" w:cs="Times New Roman"/>
                <w:color w:val="auto"/>
                <w:sz w:val="24"/>
                <w:highlight w:val="none"/>
                <w:lang w:val="en-US" w:eastAsia="zh-CN"/>
              </w:rPr>
              <w:t>风机</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风机降噪措施采用基础减振，进出口安装消音器、软连接</w:t>
            </w:r>
            <w:r>
              <w:rPr>
                <w:rFonts w:hint="default" w:ascii="Times New Roman" w:hAnsi="Times New Roman" w:cs="Times New Roman"/>
                <w:color w:val="auto"/>
                <w:sz w:val="24"/>
                <w:highlight w:val="none"/>
                <w:lang w:eastAsia="zh-CN"/>
              </w:rPr>
              <w:t>。</w:t>
            </w:r>
          </w:p>
          <w:p w14:paraId="000509C5">
            <w:pPr>
              <w:topLinePunct/>
              <w:autoSpaceDE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强化生产管理</w:t>
            </w:r>
          </w:p>
          <w:p w14:paraId="746E267B">
            <w:pPr>
              <w:topLinePunct/>
              <w:autoSpaceDE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加强室内和室外噪声设备维护，确保设备处于良好的运转状态，杜绝因设备不正常运转时产生高噪声、突发噪声影响。</w:t>
            </w:r>
          </w:p>
          <w:p w14:paraId="1F3379C1">
            <w:pPr>
              <w:topLinePunct/>
              <w:autoSpaceDE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合理布局</w:t>
            </w:r>
          </w:p>
          <w:p w14:paraId="00411C78">
            <w:pPr>
              <w:topLinePunct/>
              <w:autoSpaceDE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在厂区总图布置中室内和室外高噪声设备尽可能远离厂界，以减轻对外界环境的影响。</w:t>
            </w:r>
          </w:p>
          <w:p w14:paraId="6B735F8F">
            <w:pPr>
              <w:topLinePunct/>
              <w:autoSpaceDE w:val="0"/>
              <w:adjustRightInd w:val="0"/>
              <w:snapToGrid w:val="0"/>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cs="Times New Roman"/>
                <w:b/>
                <w:bCs/>
                <w:color w:val="auto"/>
                <w:kern w:val="0"/>
                <w:sz w:val="24"/>
                <w:highlight w:val="none"/>
              </w:rPr>
              <w:t>3、</w:t>
            </w:r>
            <w:r>
              <w:rPr>
                <w:rFonts w:hint="default" w:ascii="Times New Roman" w:hAnsi="Times New Roman" w:cs="Times New Roman"/>
                <w:b/>
                <w:bCs/>
                <w:color w:val="auto"/>
                <w:kern w:val="0"/>
                <w:sz w:val="24"/>
                <w:highlight w:val="none"/>
                <w:lang w:val="en-US" w:eastAsia="zh-CN"/>
              </w:rPr>
              <w:t>预测模式</w:t>
            </w:r>
          </w:p>
          <w:p w14:paraId="18A1C934">
            <w:pPr>
              <w:adjustRightInd w:val="0"/>
              <w:snapToGrid w:val="0"/>
              <w:spacing w:line="360" w:lineRule="auto"/>
              <w:ind w:firstLine="480" w:firstLineChars="200"/>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根据《环境影响评价技术导则声环境》（HJ2.4-2021）要求，室内声源和室外声源分别按照导则附录B和附录A分别计算：</w:t>
            </w:r>
          </w:p>
          <w:p w14:paraId="3FAD0AED">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①室内声源</w:t>
            </w:r>
          </w:p>
          <w:p w14:paraId="09DBF009">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A.计算某一室内声源靠近围护结构处产生的倍频带声压级。计算公式如下：</w:t>
            </w:r>
          </w:p>
          <w:p w14:paraId="614B412B">
            <w:pPr>
              <w:widowControl/>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1694180" cy="508635"/>
                  <wp:effectExtent l="0" t="0" r="12700" b="9525"/>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19"/>
                          <a:stretch>
                            <a:fillRect/>
                          </a:stretch>
                        </pic:blipFill>
                        <pic:spPr>
                          <a:xfrm>
                            <a:off x="0" y="0"/>
                            <a:ext cx="1694180" cy="508635"/>
                          </a:xfrm>
                          <a:prstGeom prst="rect">
                            <a:avLst/>
                          </a:prstGeom>
                          <a:noFill/>
                          <a:ln>
                            <a:noFill/>
                          </a:ln>
                        </pic:spPr>
                      </pic:pic>
                    </a:graphicData>
                  </a:graphic>
                </wp:inline>
              </w:drawing>
            </w:r>
          </w:p>
          <w:p w14:paraId="41B1676B">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式中：</w:t>
            </w:r>
          </w:p>
          <w:p w14:paraId="61F2A827">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i/>
                <w:iCs/>
                <w:snapToGrid w:val="0"/>
                <w:color w:val="auto"/>
                <w:kern w:val="0"/>
                <w:sz w:val="24"/>
                <w:highlight w:val="none"/>
              </w:rPr>
              <w:t>L</w:t>
            </w:r>
            <w:r>
              <w:rPr>
                <w:rFonts w:hint="default" w:ascii="Times New Roman" w:hAnsi="Times New Roman" w:cs="Times New Roman"/>
                <w:i/>
                <w:iCs/>
                <w:snapToGrid w:val="0"/>
                <w:color w:val="auto"/>
                <w:kern w:val="0"/>
                <w:sz w:val="24"/>
                <w:highlight w:val="none"/>
                <w:vertAlign w:val="subscript"/>
              </w:rPr>
              <w:t>p1</w:t>
            </w:r>
            <w:r>
              <w:rPr>
                <w:rFonts w:hint="default" w:ascii="Times New Roman" w:hAnsi="Times New Roman" w:cs="Times New Roman"/>
                <w:snapToGrid w:val="0"/>
                <w:color w:val="auto"/>
                <w:kern w:val="0"/>
                <w:sz w:val="24"/>
                <w:highlight w:val="none"/>
              </w:rPr>
              <w:t>—靠近开口处（或窗户）室内某倍频带的声压级或A声级，dB；</w:t>
            </w:r>
          </w:p>
          <w:p w14:paraId="387B8538">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w</w:t>
            </w:r>
            <w:r>
              <w:rPr>
                <w:rFonts w:hint="default" w:ascii="Times New Roman" w:hAnsi="Times New Roman" w:cs="Times New Roman"/>
                <w:snapToGrid w:val="0"/>
                <w:color w:val="auto"/>
                <w:kern w:val="0"/>
                <w:sz w:val="24"/>
                <w:highlight w:val="none"/>
              </w:rPr>
              <w:t>—点声源声功率级（A计权或倍频带）；</w:t>
            </w:r>
          </w:p>
          <w:p w14:paraId="55914160">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Q—指向性因数，通常对无指向性声源，当声源放在房间中心时，Q=1，当放在一面墙的中心时，Q=2；当放在两面墙夹角处时，Q=4，当放在三面墙夹角处时，Q=8；</w:t>
            </w:r>
          </w:p>
          <w:p w14:paraId="1ADCA380">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R—房间常数，R=Sα/(1</w:t>
            </w:r>
            <w:r>
              <w:rPr>
                <w:rFonts w:hint="default" w:ascii="Times New Roman" w:hAnsi="Times New Roman" w:eastAsia="微软雅黑" w:cs="Times New Roman"/>
                <w:snapToGrid w:val="0"/>
                <w:color w:val="auto"/>
                <w:kern w:val="0"/>
                <w:sz w:val="24"/>
                <w:highlight w:val="none"/>
              </w:rPr>
              <w:t>−</w:t>
            </w:r>
            <w:r>
              <w:rPr>
                <w:rFonts w:hint="default" w:ascii="Times New Roman" w:hAnsi="Times New Roman" w:cs="Times New Roman"/>
                <w:snapToGrid w:val="0"/>
                <w:color w:val="auto"/>
                <w:kern w:val="0"/>
                <w:sz w:val="24"/>
                <w:highlight w:val="none"/>
              </w:rPr>
              <w:t>α)，S为房间内表面面积，m</w:t>
            </w:r>
            <w:r>
              <w:rPr>
                <w:rFonts w:hint="default" w:ascii="Times New Roman" w:hAnsi="Times New Roman" w:cs="Times New Roman"/>
                <w:snapToGrid w:val="0"/>
                <w:color w:val="auto"/>
                <w:kern w:val="0"/>
                <w:sz w:val="24"/>
                <w:highlight w:val="none"/>
                <w:vertAlign w:val="superscript"/>
              </w:rPr>
              <w:t>2</w:t>
            </w:r>
            <w:r>
              <w:rPr>
                <w:rFonts w:hint="default" w:ascii="Times New Roman" w:hAnsi="Times New Roman" w:cs="Times New Roman"/>
                <w:snapToGrid w:val="0"/>
                <w:color w:val="auto"/>
                <w:kern w:val="0"/>
                <w:sz w:val="24"/>
                <w:highlight w:val="none"/>
              </w:rPr>
              <w:t>，α为平均吸声系数；</w:t>
            </w:r>
          </w:p>
          <w:p w14:paraId="0D854EAB">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r—声源到靠近围护结构某点处的距离，m。</w:t>
            </w:r>
          </w:p>
          <w:p w14:paraId="7E4FF0C0">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B.计算出所有室内声源在围护结构处产生的i倍频带叠加声压级。计算公式如下：</w:t>
            </w:r>
          </w:p>
          <w:p w14:paraId="47C43BD3">
            <w:pPr>
              <w:widowControl/>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1908175" cy="516890"/>
                  <wp:effectExtent l="0" t="0" r="12065" b="127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20"/>
                          <a:stretch>
                            <a:fillRect/>
                          </a:stretch>
                        </pic:blipFill>
                        <pic:spPr>
                          <a:xfrm>
                            <a:off x="0" y="0"/>
                            <a:ext cx="1908175" cy="516890"/>
                          </a:xfrm>
                          <a:prstGeom prst="rect">
                            <a:avLst/>
                          </a:prstGeom>
                          <a:noFill/>
                          <a:ln>
                            <a:noFill/>
                          </a:ln>
                        </pic:spPr>
                      </pic:pic>
                    </a:graphicData>
                  </a:graphic>
                </wp:inline>
              </w:drawing>
            </w:r>
          </w:p>
          <w:p w14:paraId="3AC6AF93">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式中：</w:t>
            </w:r>
          </w:p>
          <w:p w14:paraId="3B9F3EEF">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pli</w:t>
            </w:r>
            <w:r>
              <w:rPr>
                <w:rFonts w:hint="default" w:ascii="Times New Roman" w:hAnsi="Times New Roman" w:cs="Times New Roman"/>
                <w:snapToGrid w:val="0"/>
                <w:color w:val="auto"/>
                <w:kern w:val="0"/>
                <w:sz w:val="24"/>
                <w:highlight w:val="none"/>
              </w:rPr>
              <w:t>(T)—靠近围护结构处室内N个声源i倍频带的叠加声压级，dB；</w:t>
            </w:r>
          </w:p>
          <w:p w14:paraId="048850A3">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plij</w:t>
            </w:r>
            <w:r>
              <w:rPr>
                <w:rFonts w:hint="default" w:ascii="Times New Roman" w:hAnsi="Times New Roman" w:cs="Times New Roman"/>
                <w:snapToGrid w:val="0"/>
                <w:color w:val="auto"/>
                <w:kern w:val="0"/>
                <w:sz w:val="24"/>
                <w:highlight w:val="none"/>
              </w:rPr>
              <w:t>—室内j声源i倍频带的声压级，dB；</w:t>
            </w:r>
          </w:p>
          <w:p w14:paraId="7FF7A779">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N—室内声源总数。</w:t>
            </w:r>
          </w:p>
          <w:p w14:paraId="5B94F830">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C.计算出靠近室外</w:t>
            </w:r>
            <w:r>
              <w:rPr>
                <w:rFonts w:hint="eastAsia" w:ascii="Times New Roman" w:hAnsi="Times New Roman" w:cs="Times New Roman"/>
                <w:snapToGrid w:val="0"/>
                <w:color w:val="auto"/>
                <w:kern w:val="0"/>
                <w:sz w:val="24"/>
                <w:highlight w:val="none"/>
                <w:lang w:eastAsia="zh-CN"/>
              </w:rPr>
              <w:t>围护结构</w:t>
            </w:r>
            <w:r>
              <w:rPr>
                <w:rFonts w:hint="default" w:ascii="Times New Roman" w:hAnsi="Times New Roman" w:cs="Times New Roman"/>
                <w:snapToGrid w:val="0"/>
                <w:color w:val="auto"/>
                <w:kern w:val="0"/>
                <w:sz w:val="24"/>
                <w:highlight w:val="none"/>
              </w:rPr>
              <w:t>处的声压级。计算公式如下：</w:t>
            </w:r>
          </w:p>
          <w:p w14:paraId="13118083">
            <w:pPr>
              <w:widowControl/>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457450" cy="397510"/>
                  <wp:effectExtent l="0" t="0" r="11430" b="13970"/>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21"/>
                          <a:stretch>
                            <a:fillRect/>
                          </a:stretch>
                        </pic:blipFill>
                        <pic:spPr>
                          <a:xfrm>
                            <a:off x="0" y="0"/>
                            <a:ext cx="2457450" cy="397510"/>
                          </a:xfrm>
                          <a:prstGeom prst="rect">
                            <a:avLst/>
                          </a:prstGeom>
                          <a:noFill/>
                          <a:ln>
                            <a:noFill/>
                          </a:ln>
                        </pic:spPr>
                      </pic:pic>
                    </a:graphicData>
                  </a:graphic>
                </wp:inline>
              </w:drawing>
            </w:r>
          </w:p>
          <w:p w14:paraId="32ACCC71">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式中：</w:t>
            </w:r>
          </w:p>
          <w:p w14:paraId="3A494BA6">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p2i</w:t>
            </w:r>
            <w:r>
              <w:rPr>
                <w:rFonts w:hint="default" w:ascii="Times New Roman" w:hAnsi="Times New Roman" w:cs="Times New Roman"/>
                <w:snapToGrid w:val="0"/>
                <w:color w:val="auto"/>
                <w:kern w:val="0"/>
                <w:sz w:val="24"/>
                <w:highlight w:val="none"/>
              </w:rPr>
              <w:t>(T)—靠近围护结构处室外N个声源i倍频带的叠加声压级，dB；</w:t>
            </w:r>
          </w:p>
          <w:p w14:paraId="37DE2759">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p1i</w:t>
            </w:r>
            <w:r>
              <w:rPr>
                <w:rFonts w:hint="default" w:ascii="Times New Roman" w:hAnsi="Times New Roman" w:cs="Times New Roman"/>
                <w:snapToGrid w:val="0"/>
                <w:color w:val="auto"/>
                <w:kern w:val="0"/>
                <w:sz w:val="24"/>
                <w:highlight w:val="none"/>
              </w:rPr>
              <w:t>(T)—靠近围护结构处室内N个声源i倍频带的叠加声压级，dB；</w:t>
            </w:r>
          </w:p>
          <w:p w14:paraId="01328E24">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TL</w:t>
            </w:r>
            <w:r>
              <w:rPr>
                <w:rFonts w:hint="default" w:ascii="Times New Roman" w:hAnsi="Times New Roman" w:cs="Times New Roman"/>
                <w:snapToGrid w:val="0"/>
                <w:color w:val="auto"/>
                <w:kern w:val="0"/>
                <w:sz w:val="24"/>
                <w:highlight w:val="none"/>
                <w:vertAlign w:val="subscript"/>
              </w:rPr>
              <w:t>i</w:t>
            </w:r>
            <w:r>
              <w:rPr>
                <w:rFonts w:hint="default" w:ascii="Times New Roman" w:hAnsi="Times New Roman" w:cs="Times New Roman"/>
                <w:snapToGrid w:val="0"/>
                <w:color w:val="auto"/>
                <w:kern w:val="0"/>
                <w:sz w:val="24"/>
                <w:highlight w:val="none"/>
              </w:rPr>
              <w:t>—围护结构i倍频带</w:t>
            </w:r>
            <w:r>
              <w:rPr>
                <w:rFonts w:hint="eastAsia" w:ascii="Times New Roman" w:hAnsi="Times New Roman" w:cs="Times New Roman"/>
                <w:snapToGrid w:val="0"/>
                <w:color w:val="auto"/>
                <w:kern w:val="0"/>
                <w:sz w:val="24"/>
                <w:highlight w:val="none"/>
                <w:lang w:eastAsia="zh-CN"/>
              </w:rPr>
              <w:t>的</w:t>
            </w:r>
            <w:r>
              <w:rPr>
                <w:rFonts w:hint="default" w:ascii="Times New Roman" w:hAnsi="Times New Roman" w:cs="Times New Roman"/>
                <w:snapToGrid w:val="0"/>
                <w:color w:val="auto"/>
                <w:kern w:val="0"/>
                <w:sz w:val="24"/>
                <w:highlight w:val="none"/>
              </w:rPr>
              <w:t>隔声量，dB；</w:t>
            </w:r>
          </w:p>
          <w:p w14:paraId="6DCAFFBD">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D.将室外声源的声压级和透过面积换算成等效的室外声源，计算出中心位置位于透声面积（S）处的等效</w:t>
            </w:r>
            <w:r>
              <w:rPr>
                <w:rFonts w:hint="eastAsia" w:ascii="Times New Roman" w:hAnsi="Times New Roman" w:cs="Times New Roman"/>
                <w:snapToGrid w:val="0"/>
                <w:color w:val="auto"/>
                <w:kern w:val="0"/>
                <w:sz w:val="24"/>
                <w:highlight w:val="none"/>
                <w:lang w:eastAsia="zh-CN"/>
              </w:rPr>
              <w:t>声源</w:t>
            </w:r>
            <w:r>
              <w:rPr>
                <w:rFonts w:hint="default" w:ascii="Times New Roman" w:hAnsi="Times New Roman" w:cs="Times New Roman"/>
                <w:snapToGrid w:val="0"/>
                <w:color w:val="auto"/>
                <w:kern w:val="0"/>
                <w:sz w:val="24"/>
                <w:highlight w:val="none"/>
              </w:rPr>
              <w:t>的倍频带声功率级。计算公式如下：</w:t>
            </w:r>
          </w:p>
          <w:p w14:paraId="5076921E">
            <w:pPr>
              <w:widowControl/>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1527810" cy="453390"/>
                  <wp:effectExtent l="0" t="0" r="11430" b="3810"/>
                  <wp:docPr id="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pic:cNvPicPr>
                            <a:picLocks noChangeAspect="1"/>
                          </pic:cNvPicPr>
                        </pic:nvPicPr>
                        <pic:blipFill>
                          <a:blip r:embed="rId22"/>
                          <a:stretch>
                            <a:fillRect/>
                          </a:stretch>
                        </pic:blipFill>
                        <pic:spPr>
                          <a:xfrm>
                            <a:off x="0" y="0"/>
                            <a:ext cx="1527810" cy="453390"/>
                          </a:xfrm>
                          <a:prstGeom prst="rect">
                            <a:avLst/>
                          </a:prstGeom>
                          <a:noFill/>
                          <a:ln>
                            <a:noFill/>
                          </a:ln>
                        </pic:spPr>
                      </pic:pic>
                    </a:graphicData>
                  </a:graphic>
                </wp:inline>
              </w:drawing>
            </w:r>
          </w:p>
          <w:p w14:paraId="1D6F145C">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式中：</w:t>
            </w:r>
          </w:p>
          <w:p w14:paraId="4FA2786D">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w</w:t>
            </w:r>
            <w:r>
              <w:rPr>
                <w:rFonts w:hint="default" w:ascii="Times New Roman" w:hAnsi="Times New Roman" w:cs="Times New Roman"/>
                <w:snapToGrid w:val="0"/>
                <w:color w:val="auto"/>
                <w:kern w:val="0"/>
                <w:sz w:val="24"/>
                <w:highlight w:val="none"/>
              </w:rPr>
              <w:t>—中心位置位于透声面积（S）处的等效声源的倍频带声功率级，dB；</w:t>
            </w:r>
          </w:p>
          <w:p w14:paraId="7DDF9E8F">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p2</w:t>
            </w:r>
            <w:r>
              <w:rPr>
                <w:rFonts w:hint="default" w:ascii="Times New Roman" w:hAnsi="Times New Roman" w:cs="Times New Roman"/>
                <w:snapToGrid w:val="0"/>
                <w:color w:val="auto"/>
                <w:kern w:val="0"/>
                <w:sz w:val="24"/>
                <w:highlight w:val="none"/>
              </w:rPr>
              <w:t>（T）—靠近围护结构处室外声源的声压级，dB；</w:t>
            </w:r>
          </w:p>
          <w:p w14:paraId="6C07E073">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S—透声面积，m</w:t>
            </w:r>
            <w:r>
              <w:rPr>
                <w:rFonts w:hint="default" w:ascii="Times New Roman" w:hAnsi="Times New Roman" w:cs="Times New Roman"/>
                <w:snapToGrid w:val="0"/>
                <w:color w:val="auto"/>
                <w:kern w:val="0"/>
                <w:sz w:val="24"/>
                <w:highlight w:val="none"/>
                <w:vertAlign w:val="superscript"/>
              </w:rPr>
              <w:t>2</w:t>
            </w:r>
            <w:r>
              <w:rPr>
                <w:rFonts w:hint="default" w:ascii="Times New Roman" w:hAnsi="Times New Roman" w:cs="Times New Roman"/>
                <w:snapToGrid w:val="0"/>
                <w:color w:val="auto"/>
                <w:kern w:val="0"/>
                <w:sz w:val="24"/>
                <w:highlight w:val="none"/>
              </w:rPr>
              <w:t>；</w:t>
            </w:r>
          </w:p>
          <w:p w14:paraId="5DEC7CDB">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然后按室外声源预测方法计算预测点处的A声级。</w:t>
            </w:r>
          </w:p>
          <w:p w14:paraId="55219695">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②室外声源</w:t>
            </w:r>
          </w:p>
          <w:p w14:paraId="7A87198A">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室外声源在预测点产生的声级计算模型见附录A。项目各噪声源都按点声源处理，根据声长特点，其预测模式为：</w:t>
            </w:r>
          </w:p>
          <w:p w14:paraId="571EA738">
            <w:pPr>
              <w:widowControl/>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3314700" cy="389890"/>
                  <wp:effectExtent l="0" t="0" r="7620" b="6350"/>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pic:cNvPicPr>
                        </pic:nvPicPr>
                        <pic:blipFill>
                          <a:blip r:embed="rId23"/>
                          <a:stretch>
                            <a:fillRect/>
                          </a:stretch>
                        </pic:blipFill>
                        <pic:spPr>
                          <a:xfrm>
                            <a:off x="0" y="0"/>
                            <a:ext cx="3314700" cy="389890"/>
                          </a:xfrm>
                          <a:prstGeom prst="rect">
                            <a:avLst/>
                          </a:prstGeom>
                          <a:noFill/>
                          <a:ln>
                            <a:noFill/>
                          </a:ln>
                        </pic:spPr>
                      </pic:pic>
                    </a:graphicData>
                  </a:graphic>
                </wp:inline>
              </w:drawing>
            </w:r>
          </w:p>
          <w:p w14:paraId="2B584EEB">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式中：</w:t>
            </w:r>
          </w:p>
          <w:p w14:paraId="027D50A5">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Lp(r)——预测点处声压级，dB；</w:t>
            </w:r>
          </w:p>
          <w:p w14:paraId="249A43A4">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Lp(r</w:t>
            </w:r>
            <w:r>
              <w:rPr>
                <w:rFonts w:hint="default" w:ascii="Times New Roman" w:hAnsi="Times New Roman" w:cs="Times New Roman"/>
                <w:snapToGrid w:val="0"/>
                <w:color w:val="auto"/>
                <w:kern w:val="0"/>
                <w:sz w:val="24"/>
                <w:highlight w:val="none"/>
                <w:vertAlign w:val="subscript"/>
              </w:rPr>
              <w:t>0</w:t>
            </w:r>
            <w:r>
              <w:rPr>
                <w:rFonts w:hint="default" w:ascii="Times New Roman" w:hAnsi="Times New Roman" w:cs="Times New Roman"/>
                <w:snapToGrid w:val="0"/>
                <w:color w:val="auto"/>
                <w:kern w:val="0"/>
                <w:sz w:val="24"/>
                <w:highlight w:val="none"/>
              </w:rPr>
              <w:t>)——参考位置r</w:t>
            </w:r>
            <w:r>
              <w:rPr>
                <w:rFonts w:hint="default" w:ascii="Times New Roman" w:hAnsi="Times New Roman" w:cs="Times New Roman"/>
                <w:snapToGrid w:val="0"/>
                <w:color w:val="auto"/>
                <w:kern w:val="0"/>
                <w:sz w:val="24"/>
                <w:highlight w:val="none"/>
                <w:vertAlign w:val="subscript"/>
              </w:rPr>
              <w:t>0</w:t>
            </w:r>
            <w:r>
              <w:rPr>
                <w:rFonts w:hint="default" w:ascii="Times New Roman" w:hAnsi="Times New Roman" w:cs="Times New Roman"/>
                <w:snapToGrid w:val="0"/>
                <w:color w:val="auto"/>
                <w:kern w:val="0"/>
                <w:sz w:val="24"/>
                <w:highlight w:val="none"/>
              </w:rPr>
              <w:t>处的声压级，dB；</w:t>
            </w:r>
          </w:p>
          <w:p w14:paraId="78C5A5FB">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D</w:t>
            </w:r>
            <w:r>
              <w:rPr>
                <w:rFonts w:hint="default" w:ascii="Times New Roman" w:hAnsi="Times New Roman" w:cs="Times New Roman"/>
                <w:snapToGrid w:val="0"/>
                <w:color w:val="auto"/>
                <w:kern w:val="0"/>
                <w:sz w:val="24"/>
                <w:highlight w:val="none"/>
                <w:vertAlign w:val="subscript"/>
              </w:rPr>
              <w:t>C</w:t>
            </w:r>
            <w:r>
              <w:rPr>
                <w:rFonts w:hint="default" w:ascii="Times New Roman" w:hAnsi="Times New Roman" w:cs="Times New Roman"/>
                <w:snapToGrid w:val="0"/>
                <w:color w:val="auto"/>
                <w:kern w:val="0"/>
                <w:sz w:val="24"/>
                <w:highlight w:val="none"/>
              </w:rPr>
              <w:t>——指向性校正，它描述点声源的等效连续声压级与产生声功率级Lw的全向点声源在规定方向的声级的偏差程度，dB；</w:t>
            </w:r>
          </w:p>
          <w:p w14:paraId="20CC5CAC">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A</w:t>
            </w:r>
            <w:r>
              <w:rPr>
                <w:rFonts w:hint="default" w:ascii="Times New Roman" w:hAnsi="Times New Roman" w:cs="Times New Roman"/>
                <w:snapToGrid w:val="0"/>
                <w:color w:val="auto"/>
                <w:kern w:val="0"/>
                <w:sz w:val="24"/>
                <w:highlight w:val="none"/>
                <w:vertAlign w:val="subscript"/>
              </w:rPr>
              <w:t>div</w:t>
            </w:r>
            <w:r>
              <w:rPr>
                <w:rFonts w:hint="default" w:ascii="Times New Roman" w:hAnsi="Times New Roman" w:cs="Times New Roman"/>
                <w:snapToGrid w:val="0"/>
                <w:color w:val="auto"/>
                <w:kern w:val="0"/>
                <w:sz w:val="24"/>
                <w:highlight w:val="none"/>
              </w:rPr>
              <w:t>——几何发散引起的衰减，dB；</w:t>
            </w:r>
          </w:p>
          <w:p w14:paraId="0C2F7C82">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A</w:t>
            </w:r>
            <w:r>
              <w:rPr>
                <w:rFonts w:hint="default" w:ascii="Times New Roman" w:hAnsi="Times New Roman" w:cs="Times New Roman"/>
                <w:snapToGrid w:val="0"/>
                <w:color w:val="auto"/>
                <w:kern w:val="0"/>
                <w:sz w:val="24"/>
                <w:highlight w:val="none"/>
                <w:vertAlign w:val="subscript"/>
              </w:rPr>
              <w:t>atm</w:t>
            </w:r>
            <w:r>
              <w:rPr>
                <w:rFonts w:hint="default" w:ascii="Times New Roman" w:hAnsi="Times New Roman" w:cs="Times New Roman"/>
                <w:snapToGrid w:val="0"/>
                <w:color w:val="auto"/>
                <w:kern w:val="0"/>
                <w:sz w:val="24"/>
                <w:highlight w:val="none"/>
              </w:rPr>
              <w:t>——大气吸收引起的衰减，dB；</w:t>
            </w:r>
          </w:p>
          <w:p w14:paraId="197202B5">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A</w:t>
            </w:r>
            <w:r>
              <w:rPr>
                <w:rFonts w:hint="default" w:ascii="Times New Roman" w:hAnsi="Times New Roman" w:cs="Times New Roman"/>
                <w:snapToGrid w:val="0"/>
                <w:color w:val="auto"/>
                <w:kern w:val="0"/>
                <w:sz w:val="24"/>
                <w:highlight w:val="none"/>
                <w:vertAlign w:val="subscript"/>
              </w:rPr>
              <w:t>gr</w:t>
            </w:r>
            <w:r>
              <w:rPr>
                <w:rFonts w:hint="default" w:ascii="Times New Roman" w:hAnsi="Times New Roman" w:cs="Times New Roman"/>
                <w:snapToGrid w:val="0"/>
                <w:color w:val="auto"/>
                <w:kern w:val="0"/>
                <w:sz w:val="24"/>
                <w:highlight w:val="none"/>
              </w:rPr>
              <w:t>——地面效应引起的衰减，dB；</w:t>
            </w:r>
          </w:p>
          <w:p w14:paraId="6BA777E3">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A</w:t>
            </w:r>
            <w:r>
              <w:rPr>
                <w:rFonts w:hint="default" w:ascii="Times New Roman" w:hAnsi="Times New Roman" w:cs="Times New Roman"/>
                <w:snapToGrid w:val="0"/>
                <w:color w:val="auto"/>
                <w:kern w:val="0"/>
                <w:sz w:val="24"/>
                <w:highlight w:val="none"/>
                <w:vertAlign w:val="subscript"/>
              </w:rPr>
              <w:t>bar</w:t>
            </w:r>
            <w:r>
              <w:rPr>
                <w:rFonts w:hint="default" w:ascii="Times New Roman" w:hAnsi="Times New Roman" w:cs="Times New Roman"/>
                <w:snapToGrid w:val="0"/>
                <w:color w:val="auto"/>
                <w:kern w:val="0"/>
                <w:sz w:val="24"/>
                <w:highlight w:val="none"/>
              </w:rPr>
              <w:t>——障碍物屏蔽引起的衰减，dB；</w:t>
            </w:r>
          </w:p>
          <w:p w14:paraId="004E912D">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A</w:t>
            </w:r>
            <w:r>
              <w:rPr>
                <w:rFonts w:hint="default" w:ascii="Times New Roman" w:hAnsi="Times New Roman" w:cs="Times New Roman"/>
                <w:snapToGrid w:val="0"/>
                <w:color w:val="auto"/>
                <w:kern w:val="0"/>
                <w:sz w:val="24"/>
                <w:highlight w:val="none"/>
                <w:vertAlign w:val="subscript"/>
              </w:rPr>
              <w:t>misc</w:t>
            </w:r>
            <w:r>
              <w:rPr>
                <w:rFonts w:hint="default" w:ascii="Times New Roman" w:hAnsi="Times New Roman" w:cs="Times New Roman"/>
                <w:snapToGrid w:val="0"/>
                <w:color w:val="auto"/>
                <w:kern w:val="0"/>
                <w:sz w:val="24"/>
                <w:highlight w:val="none"/>
              </w:rPr>
              <w:t>——其他多方面效应引起的衰减，dB。</w:t>
            </w:r>
          </w:p>
          <w:p w14:paraId="7E051C64">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项目中噪声源都按点声源处理，无指向性点声源几何发散衰减的基本公式是：</w:t>
            </w:r>
          </w:p>
          <w:p w14:paraId="6099FF6A">
            <w:pPr>
              <w:widowControl/>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616200" cy="492760"/>
                  <wp:effectExtent l="0" t="0" r="5080" b="10160"/>
                  <wp:docPr id="1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pic:cNvPicPr>
                            <a:picLocks noChangeAspect="1"/>
                          </pic:cNvPicPr>
                        </pic:nvPicPr>
                        <pic:blipFill>
                          <a:blip r:embed="rId24"/>
                          <a:stretch>
                            <a:fillRect/>
                          </a:stretch>
                        </pic:blipFill>
                        <pic:spPr>
                          <a:xfrm>
                            <a:off x="0" y="0"/>
                            <a:ext cx="2616200" cy="492760"/>
                          </a:xfrm>
                          <a:prstGeom prst="rect">
                            <a:avLst/>
                          </a:prstGeom>
                          <a:noFill/>
                          <a:ln>
                            <a:noFill/>
                          </a:ln>
                        </pic:spPr>
                      </pic:pic>
                    </a:graphicData>
                  </a:graphic>
                </wp:inline>
              </w:drawing>
            </w:r>
          </w:p>
          <w:p w14:paraId="546CEBD5">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式中：</w:t>
            </w:r>
          </w:p>
          <w:p w14:paraId="345AF170">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p</w:t>
            </w:r>
            <w:r>
              <w:rPr>
                <w:rFonts w:hint="default" w:ascii="Times New Roman" w:hAnsi="Times New Roman" w:cs="Times New Roman"/>
                <w:snapToGrid w:val="0"/>
                <w:color w:val="auto"/>
                <w:kern w:val="0"/>
                <w:sz w:val="24"/>
                <w:highlight w:val="none"/>
              </w:rPr>
              <w:t>(r)——预测点处声压级，dB；</w:t>
            </w:r>
          </w:p>
          <w:p w14:paraId="137A8ACA">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p</w:t>
            </w:r>
            <w:r>
              <w:rPr>
                <w:rFonts w:hint="default" w:ascii="Times New Roman" w:hAnsi="Times New Roman" w:cs="Times New Roman"/>
                <w:snapToGrid w:val="0"/>
                <w:color w:val="auto"/>
                <w:kern w:val="0"/>
                <w:sz w:val="24"/>
                <w:highlight w:val="none"/>
              </w:rPr>
              <w:t>(r</w:t>
            </w:r>
            <w:r>
              <w:rPr>
                <w:rFonts w:hint="default" w:ascii="Times New Roman" w:hAnsi="Times New Roman" w:cs="Times New Roman"/>
                <w:snapToGrid w:val="0"/>
                <w:color w:val="auto"/>
                <w:kern w:val="0"/>
                <w:sz w:val="24"/>
                <w:highlight w:val="none"/>
                <w:vertAlign w:val="subscript"/>
              </w:rPr>
              <w:t>0</w:t>
            </w:r>
            <w:r>
              <w:rPr>
                <w:rFonts w:hint="default" w:ascii="Times New Roman" w:hAnsi="Times New Roman" w:cs="Times New Roman"/>
                <w:snapToGrid w:val="0"/>
                <w:color w:val="auto"/>
                <w:kern w:val="0"/>
                <w:sz w:val="24"/>
                <w:highlight w:val="none"/>
              </w:rPr>
              <w:t>)——参考位置r</w:t>
            </w:r>
            <w:r>
              <w:rPr>
                <w:rFonts w:hint="default" w:ascii="Times New Roman" w:hAnsi="Times New Roman" w:cs="Times New Roman"/>
                <w:snapToGrid w:val="0"/>
                <w:color w:val="auto"/>
                <w:kern w:val="0"/>
                <w:sz w:val="24"/>
                <w:highlight w:val="none"/>
                <w:vertAlign w:val="subscript"/>
              </w:rPr>
              <w:t>0</w:t>
            </w:r>
            <w:r>
              <w:rPr>
                <w:rFonts w:hint="default" w:ascii="Times New Roman" w:hAnsi="Times New Roman" w:cs="Times New Roman"/>
                <w:snapToGrid w:val="0"/>
                <w:color w:val="auto"/>
                <w:kern w:val="0"/>
                <w:sz w:val="24"/>
                <w:highlight w:val="none"/>
              </w:rPr>
              <w:t>处的声压级，dB；</w:t>
            </w:r>
          </w:p>
          <w:p w14:paraId="18B05F65">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r——预测点距声源的距离；</w:t>
            </w:r>
          </w:p>
          <w:p w14:paraId="573BAD74">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r</w:t>
            </w:r>
            <w:r>
              <w:rPr>
                <w:rFonts w:hint="default" w:ascii="Times New Roman" w:hAnsi="Times New Roman" w:cs="Times New Roman"/>
                <w:snapToGrid w:val="0"/>
                <w:color w:val="auto"/>
                <w:kern w:val="0"/>
                <w:sz w:val="24"/>
                <w:highlight w:val="none"/>
                <w:vertAlign w:val="subscript"/>
              </w:rPr>
              <w:t>0</w:t>
            </w:r>
            <w:r>
              <w:rPr>
                <w:rFonts w:hint="default" w:ascii="Times New Roman" w:hAnsi="Times New Roman" w:cs="Times New Roman"/>
                <w:snapToGrid w:val="0"/>
                <w:color w:val="auto"/>
                <w:kern w:val="0"/>
                <w:sz w:val="24"/>
                <w:highlight w:val="none"/>
              </w:rPr>
              <w:t>——参考位置距声源的距离。</w:t>
            </w:r>
          </w:p>
          <w:p w14:paraId="195304F6">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③噪声贡献值计算公式</w:t>
            </w:r>
          </w:p>
          <w:p w14:paraId="02A14931">
            <w:pPr>
              <w:widowControl/>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305685" cy="572770"/>
                  <wp:effectExtent l="0" t="0" r="10795" b="6350"/>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pic:cNvPicPr>
                            <a:picLocks noChangeAspect="1"/>
                          </pic:cNvPicPr>
                        </pic:nvPicPr>
                        <pic:blipFill>
                          <a:blip r:embed="rId25"/>
                          <a:stretch>
                            <a:fillRect/>
                          </a:stretch>
                        </pic:blipFill>
                        <pic:spPr>
                          <a:xfrm>
                            <a:off x="0" y="0"/>
                            <a:ext cx="2305685" cy="572770"/>
                          </a:xfrm>
                          <a:prstGeom prst="rect">
                            <a:avLst/>
                          </a:prstGeom>
                          <a:noFill/>
                          <a:ln>
                            <a:noFill/>
                          </a:ln>
                        </pic:spPr>
                      </pic:pic>
                    </a:graphicData>
                  </a:graphic>
                </wp:inline>
              </w:drawing>
            </w:r>
          </w:p>
          <w:p w14:paraId="7355C781">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式中：</w:t>
            </w:r>
          </w:p>
          <w:p w14:paraId="14357883">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L</w:t>
            </w:r>
            <w:r>
              <w:rPr>
                <w:rFonts w:hint="default" w:ascii="Times New Roman" w:hAnsi="Times New Roman" w:cs="Times New Roman"/>
                <w:snapToGrid w:val="0"/>
                <w:color w:val="auto"/>
                <w:kern w:val="0"/>
                <w:sz w:val="24"/>
                <w:highlight w:val="none"/>
                <w:vertAlign w:val="subscript"/>
              </w:rPr>
              <w:t>eqg</w:t>
            </w:r>
            <w:r>
              <w:rPr>
                <w:rFonts w:hint="default" w:ascii="Times New Roman" w:hAnsi="Times New Roman" w:cs="Times New Roman"/>
                <w:snapToGrid w:val="0"/>
                <w:color w:val="auto"/>
                <w:kern w:val="0"/>
                <w:sz w:val="24"/>
                <w:highlight w:val="none"/>
              </w:rPr>
              <w:t>——</w:t>
            </w:r>
            <w:r>
              <w:rPr>
                <w:rFonts w:hint="eastAsia" w:ascii="Times New Roman" w:hAnsi="Times New Roman" w:cs="Times New Roman"/>
                <w:snapToGrid w:val="0"/>
                <w:color w:val="auto"/>
                <w:kern w:val="0"/>
                <w:sz w:val="24"/>
                <w:highlight w:val="none"/>
                <w:lang w:eastAsia="zh-CN"/>
              </w:rPr>
              <w:t>项目</w:t>
            </w:r>
            <w:r>
              <w:rPr>
                <w:rFonts w:hint="default" w:ascii="Times New Roman" w:hAnsi="Times New Roman" w:cs="Times New Roman"/>
                <w:snapToGrid w:val="0"/>
                <w:color w:val="auto"/>
                <w:kern w:val="0"/>
                <w:sz w:val="24"/>
                <w:highlight w:val="none"/>
              </w:rPr>
              <w:t>声源在预测点产生的噪声贡献值，dB；</w:t>
            </w:r>
          </w:p>
          <w:p w14:paraId="64D40C19">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T——用于计算等效声级的时间，s；</w:t>
            </w:r>
          </w:p>
          <w:p w14:paraId="07C026BD">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N——室外声源个数；</w:t>
            </w:r>
          </w:p>
          <w:p w14:paraId="7B215D2D">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t</w:t>
            </w:r>
            <w:r>
              <w:rPr>
                <w:rFonts w:hint="default" w:ascii="Times New Roman" w:hAnsi="Times New Roman" w:cs="Times New Roman"/>
                <w:snapToGrid w:val="0"/>
                <w:color w:val="auto"/>
                <w:kern w:val="0"/>
                <w:sz w:val="24"/>
                <w:highlight w:val="none"/>
                <w:vertAlign w:val="subscript"/>
              </w:rPr>
              <w:t>i</w:t>
            </w:r>
            <w:r>
              <w:rPr>
                <w:rFonts w:hint="default" w:ascii="Times New Roman" w:hAnsi="Times New Roman" w:cs="Times New Roman"/>
                <w:snapToGrid w:val="0"/>
                <w:color w:val="auto"/>
                <w:kern w:val="0"/>
                <w:sz w:val="24"/>
                <w:highlight w:val="none"/>
              </w:rPr>
              <w:t>——在T时间内i声源工作时间，s；</w:t>
            </w:r>
          </w:p>
          <w:p w14:paraId="29D68D9F">
            <w:pPr>
              <w:widowControl/>
              <w:adjustRightInd w:val="0"/>
              <w:snapToGrid w:val="0"/>
              <w:spacing w:line="360" w:lineRule="auto"/>
              <w:ind w:firstLine="480" w:firstLineChars="200"/>
              <w:jc w:val="left"/>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M——等效室外声源个</w:t>
            </w:r>
          </w:p>
          <w:p w14:paraId="17DB294B">
            <w:pPr>
              <w:autoSpaceDE w:val="0"/>
              <w:autoSpaceDN w:val="0"/>
              <w:adjustRightInd w:val="0"/>
              <w:snapToGrid w:val="0"/>
              <w:spacing w:line="348" w:lineRule="auto"/>
              <w:ind w:firstLine="1176" w:firstLineChars="490"/>
              <w:rPr>
                <w:rFonts w:hint="default" w:ascii="Times New Roman" w:hAnsi="Times New Roman" w:cs="Times New Roman"/>
                <w:color w:val="auto"/>
                <w:sz w:val="24"/>
                <w:highlight w:val="none"/>
              </w:rPr>
            </w:pPr>
            <w:r>
              <w:rPr>
                <w:rFonts w:hint="default" w:ascii="Times New Roman" w:hAnsi="Times New Roman" w:cs="Times New Roman"/>
                <w:snapToGrid w:val="0"/>
                <w:color w:val="auto"/>
                <w:kern w:val="0"/>
                <w:sz w:val="24"/>
                <w:highlight w:val="none"/>
              </w:rPr>
              <w:t>t</w:t>
            </w:r>
            <w:r>
              <w:rPr>
                <w:rFonts w:hint="default" w:ascii="Times New Roman" w:hAnsi="Times New Roman" w:cs="Times New Roman"/>
                <w:snapToGrid w:val="0"/>
                <w:color w:val="auto"/>
                <w:kern w:val="0"/>
                <w:sz w:val="24"/>
                <w:highlight w:val="none"/>
                <w:vertAlign w:val="subscript"/>
              </w:rPr>
              <w:t>j</w:t>
            </w:r>
            <w:r>
              <w:rPr>
                <w:rFonts w:hint="default" w:ascii="Times New Roman" w:hAnsi="Times New Roman" w:cs="Times New Roman"/>
                <w:snapToGrid w:val="0"/>
                <w:color w:val="auto"/>
                <w:kern w:val="0"/>
                <w:sz w:val="24"/>
                <w:highlight w:val="none"/>
              </w:rPr>
              <w:t>——在T时间内j声源工作时间，s</w:t>
            </w:r>
            <w:r>
              <w:rPr>
                <w:rFonts w:hint="default" w:ascii="Times New Roman" w:hAnsi="Times New Roman" w:cs="Times New Roman"/>
                <w:color w:val="auto"/>
                <w:sz w:val="24"/>
                <w:highlight w:val="none"/>
              </w:rPr>
              <w:t>。</w:t>
            </w:r>
          </w:p>
          <w:p w14:paraId="6F3674CB">
            <w:pPr>
              <w:widowControl/>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④预测点的预测等效声级（L</w:t>
            </w:r>
            <w:r>
              <w:rPr>
                <w:rFonts w:hint="default" w:ascii="Times New Roman" w:hAnsi="Times New Roman" w:cs="Times New Roman"/>
                <w:bCs/>
                <w:color w:val="auto"/>
                <w:sz w:val="24"/>
                <w:highlight w:val="none"/>
                <w:vertAlign w:val="subscript"/>
              </w:rPr>
              <w:t>Eq</w:t>
            </w:r>
            <w:r>
              <w:rPr>
                <w:rFonts w:hint="default" w:ascii="Times New Roman" w:hAnsi="Times New Roman" w:cs="Times New Roman"/>
                <w:bCs/>
                <w:color w:val="auto"/>
                <w:sz w:val="24"/>
                <w:highlight w:val="none"/>
              </w:rPr>
              <w:t>）计算</w:t>
            </w:r>
          </w:p>
          <w:p w14:paraId="21B7A075">
            <w:pPr>
              <w:widowControl/>
              <w:adjustRightInd w:val="0"/>
              <w:snapToGrid w:val="0"/>
              <w:spacing w:line="360" w:lineRule="auto"/>
              <w:ind w:firstLine="480" w:firstLineChars="200"/>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Leq=10lg（10</w:t>
            </w:r>
            <w:r>
              <w:rPr>
                <w:rFonts w:hint="default" w:ascii="Times New Roman" w:hAnsi="Times New Roman" w:cs="Times New Roman"/>
                <w:bCs/>
                <w:color w:val="auto"/>
                <w:sz w:val="24"/>
                <w:highlight w:val="none"/>
                <w:vertAlign w:val="superscript"/>
              </w:rPr>
              <w:t>0.1LEqg</w:t>
            </w:r>
            <w:r>
              <w:rPr>
                <w:rFonts w:hint="default" w:ascii="Times New Roman" w:hAnsi="Times New Roman" w:cs="Times New Roman"/>
                <w:bCs/>
                <w:color w:val="auto"/>
                <w:sz w:val="24"/>
                <w:highlight w:val="none"/>
              </w:rPr>
              <w:t>+10</w:t>
            </w:r>
            <w:r>
              <w:rPr>
                <w:rFonts w:hint="default" w:ascii="Times New Roman" w:hAnsi="Times New Roman" w:cs="Times New Roman"/>
                <w:bCs/>
                <w:color w:val="auto"/>
                <w:sz w:val="24"/>
                <w:highlight w:val="none"/>
                <w:vertAlign w:val="superscript"/>
              </w:rPr>
              <w:t>0.1LEqb</w:t>
            </w:r>
            <w:r>
              <w:rPr>
                <w:rFonts w:hint="default" w:ascii="Times New Roman" w:hAnsi="Times New Roman" w:cs="Times New Roman"/>
                <w:bCs/>
                <w:color w:val="auto"/>
                <w:sz w:val="24"/>
                <w:highlight w:val="none"/>
              </w:rPr>
              <w:t>）</w:t>
            </w:r>
          </w:p>
          <w:p w14:paraId="61E2FE0E">
            <w:pPr>
              <w:widowControl/>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式中：L</w:t>
            </w:r>
            <w:r>
              <w:rPr>
                <w:rFonts w:hint="default" w:ascii="Times New Roman" w:hAnsi="Times New Roman" w:cs="Times New Roman"/>
                <w:bCs/>
                <w:color w:val="auto"/>
                <w:sz w:val="24"/>
                <w:highlight w:val="none"/>
                <w:vertAlign w:val="subscript"/>
              </w:rPr>
              <w:t>Eqg</w:t>
            </w:r>
            <w:r>
              <w:rPr>
                <w:rFonts w:hint="default" w:ascii="Times New Roman" w:hAnsi="Times New Roman" w:cs="Times New Roman"/>
                <w:bCs/>
                <w:color w:val="auto"/>
                <w:sz w:val="24"/>
                <w:highlight w:val="none"/>
              </w:rPr>
              <w:t>——</w:t>
            </w:r>
            <w:r>
              <w:rPr>
                <w:rFonts w:hint="eastAsia" w:ascii="Times New Roman" w:hAnsi="Times New Roman" w:cs="Times New Roman"/>
                <w:bCs/>
                <w:color w:val="auto"/>
                <w:sz w:val="24"/>
                <w:highlight w:val="none"/>
                <w:lang w:eastAsia="zh-CN"/>
              </w:rPr>
              <w:t>项目</w:t>
            </w:r>
            <w:r>
              <w:rPr>
                <w:rFonts w:hint="default" w:ascii="Times New Roman" w:hAnsi="Times New Roman" w:cs="Times New Roman"/>
                <w:bCs/>
                <w:color w:val="auto"/>
                <w:sz w:val="24"/>
                <w:highlight w:val="none"/>
              </w:rPr>
              <w:t>声源在预测点的等效声级贡献量，dB(A)；</w:t>
            </w:r>
          </w:p>
          <w:p w14:paraId="1479784B">
            <w:pPr>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L</w:t>
            </w:r>
            <w:r>
              <w:rPr>
                <w:rFonts w:hint="default" w:ascii="Times New Roman" w:hAnsi="Times New Roman" w:cs="Times New Roman"/>
                <w:bCs/>
                <w:color w:val="auto"/>
                <w:sz w:val="24"/>
                <w:highlight w:val="none"/>
                <w:vertAlign w:val="subscript"/>
              </w:rPr>
              <w:t>Eqb</w:t>
            </w:r>
            <w:r>
              <w:rPr>
                <w:rFonts w:hint="default" w:ascii="Times New Roman" w:hAnsi="Times New Roman" w:cs="Times New Roman"/>
                <w:bCs/>
                <w:color w:val="auto"/>
                <w:sz w:val="24"/>
                <w:highlight w:val="none"/>
              </w:rPr>
              <w:t>——预测点背景值，dB(A)。</w:t>
            </w:r>
          </w:p>
          <w:p w14:paraId="04040E5D">
            <w:pPr>
              <w:autoSpaceDE w:val="0"/>
              <w:autoSpaceDN w:val="0"/>
              <w:adjustRightInd w:val="0"/>
              <w:snapToGrid w:val="0"/>
              <w:spacing w:line="348" w:lineRule="auto"/>
              <w:ind w:firstLine="480" w:firstLineChars="200"/>
              <w:rPr>
                <w:rFonts w:hint="default" w:ascii="Times New Roman" w:hAnsi="Times New Roman" w:cs="Times New Roman"/>
                <w:snapToGrid w:val="0"/>
                <w:color w:val="auto"/>
                <w:kern w:val="0"/>
                <w:sz w:val="24"/>
                <w:highlight w:val="none"/>
              </w:rPr>
            </w:pPr>
            <w:r>
              <w:rPr>
                <w:rFonts w:hint="default" w:ascii="Times New Roman" w:hAnsi="Times New Roman" w:cs="Times New Roman"/>
                <w:color w:val="auto"/>
                <w:sz w:val="24"/>
                <w:highlight w:val="none"/>
              </w:rPr>
              <w:t>考虑噪声距离衰减和隔声措施，预测受到的影响，噪声预测结果见下表</w:t>
            </w:r>
            <w:r>
              <w:rPr>
                <w:rFonts w:hint="default" w:ascii="Times New Roman" w:hAnsi="Times New Roman" w:cs="Times New Roman"/>
                <w:snapToGrid w:val="0"/>
                <w:color w:val="auto"/>
                <w:kern w:val="0"/>
                <w:sz w:val="24"/>
                <w:highlight w:val="none"/>
              </w:rPr>
              <w:t>。</w:t>
            </w:r>
          </w:p>
          <w:p w14:paraId="4A77811C">
            <w:pPr>
              <w:topLinePunct/>
              <w:autoSpaceDE w:val="0"/>
              <w:adjustRightInd w:val="0"/>
              <w:snapToGrid w:val="0"/>
              <w:spacing w:line="240" w:lineRule="auto"/>
              <w:jc w:val="center"/>
              <w:rPr>
                <w:rFonts w:hint="default" w:ascii="Times New Roman" w:hAnsi="Times New Roman" w:eastAsia="宋体" w:cs="Times New Roman"/>
                <w:b/>
                <w:bCs/>
                <w:snapToGrid w:val="0"/>
                <w:color w:val="auto"/>
                <w:kern w:val="0"/>
                <w:sz w:val="24"/>
                <w:highlight w:val="none"/>
                <w:lang w:val="en-US" w:eastAsia="zh-CN"/>
              </w:rPr>
            </w:pPr>
            <w:r>
              <w:rPr>
                <w:rFonts w:hint="default" w:ascii="Times New Roman" w:hAnsi="Times New Roman" w:cs="Times New Roman"/>
                <w:b/>
                <w:bCs/>
                <w:color w:val="auto"/>
                <w:kern w:val="0"/>
                <w:sz w:val="24"/>
                <w:highlight w:val="none"/>
              </w:rPr>
              <w:t>表4-</w:t>
            </w:r>
            <w:r>
              <w:rPr>
                <w:rFonts w:hint="default" w:ascii="Times New Roman" w:hAnsi="Times New Roman" w:cs="Times New Roman"/>
                <w:b/>
                <w:bCs/>
                <w:color w:val="auto"/>
                <w:kern w:val="0"/>
                <w:sz w:val="24"/>
                <w:highlight w:val="none"/>
                <w:lang w:val="en-US" w:eastAsia="zh-CN"/>
              </w:rPr>
              <w:t>8</w:t>
            </w:r>
            <w:r>
              <w:rPr>
                <w:rFonts w:hint="default" w:ascii="Times New Roman" w:hAnsi="Times New Roman" w:cs="Times New Roman"/>
                <w:b/>
                <w:bCs/>
                <w:color w:val="auto"/>
                <w:kern w:val="0"/>
                <w:sz w:val="24"/>
                <w:highlight w:val="none"/>
              </w:rPr>
              <w:t xml:space="preserve"> </w:t>
            </w:r>
            <w:r>
              <w:rPr>
                <w:rFonts w:hint="eastAsia" w:ascii="Times New Roman" w:hAnsi="Times New Roman" w:cs="Times New Roman"/>
                <w:b/>
                <w:bCs/>
                <w:snapToGrid w:val="0"/>
                <w:color w:val="auto"/>
                <w:kern w:val="0"/>
                <w:sz w:val="24"/>
                <w:highlight w:val="none"/>
                <w:lang w:eastAsia="zh-CN"/>
              </w:rPr>
              <w:t>项目</w:t>
            </w:r>
            <w:r>
              <w:rPr>
                <w:rFonts w:hint="default" w:ascii="Times New Roman" w:hAnsi="Times New Roman" w:cs="Times New Roman"/>
                <w:b/>
                <w:bCs/>
                <w:snapToGrid w:val="0"/>
                <w:color w:val="auto"/>
                <w:kern w:val="0"/>
                <w:sz w:val="24"/>
                <w:highlight w:val="none"/>
              </w:rPr>
              <w:t>声源对厂界贡献值预测</w:t>
            </w:r>
            <w:r>
              <w:rPr>
                <w:rFonts w:hint="default" w:ascii="Times New Roman" w:hAnsi="Times New Roman" w:cs="Times New Roman"/>
                <w:b/>
                <w:bCs/>
                <w:snapToGrid w:val="0"/>
                <w:color w:val="auto"/>
                <w:kern w:val="0"/>
                <w:sz w:val="24"/>
                <w:highlight w:val="none"/>
                <w:lang w:val="en-US" w:eastAsia="zh-CN"/>
              </w:rPr>
              <w:t xml:space="preserve"> </w:t>
            </w:r>
            <w:r>
              <w:rPr>
                <w:rFonts w:hint="default" w:ascii="Times New Roman" w:hAnsi="Times New Roman" w:eastAsia="宋体" w:cs="Times New Roman"/>
                <w:b/>
                <w:bCs/>
                <w:snapToGrid w:val="0"/>
                <w:color w:val="auto"/>
                <w:kern w:val="0"/>
                <w:sz w:val="24"/>
                <w:highlight w:val="none"/>
                <w:lang w:val="zh-CN"/>
              </w:rPr>
              <w:t>单位</w:t>
            </w:r>
            <w:r>
              <w:rPr>
                <w:rFonts w:hint="default" w:ascii="Times New Roman" w:hAnsi="Times New Roman" w:cs="Times New Roman"/>
                <w:b/>
                <w:bCs/>
                <w:color w:val="auto"/>
                <w:sz w:val="24"/>
                <w:szCs w:val="24"/>
                <w:highlight w:val="none"/>
                <w:lang w:val="zh-CN"/>
              </w:rPr>
              <w:t>：dB（A）</w:t>
            </w:r>
          </w:p>
          <w:tbl>
            <w:tblPr>
              <w:tblStyle w:val="25"/>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365"/>
              <w:gridCol w:w="1517"/>
              <w:gridCol w:w="2030"/>
              <w:gridCol w:w="1504"/>
            </w:tblGrid>
            <w:tr w14:paraId="021A4B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885" w:type="pct"/>
                  <w:vMerge w:val="restart"/>
                  <w:noWrap w:val="0"/>
                  <w:vAlign w:val="center"/>
                </w:tcPr>
                <w:p w14:paraId="06AF58D0">
                  <w:pPr>
                    <w:autoSpaceDE w:val="0"/>
                    <w:autoSpaceDN w:val="0"/>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厂界</w:t>
                  </w:r>
                </w:p>
              </w:tc>
              <w:tc>
                <w:tcPr>
                  <w:tcW w:w="875" w:type="pct"/>
                  <w:vMerge w:val="restart"/>
                  <w:noWrap w:val="0"/>
                  <w:vAlign w:val="center"/>
                </w:tcPr>
                <w:p w14:paraId="269AD34E">
                  <w:pPr>
                    <w:autoSpaceDE w:val="0"/>
                    <w:autoSpaceDN w:val="0"/>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时段</w:t>
                  </w:r>
                </w:p>
              </w:tc>
              <w:tc>
                <w:tcPr>
                  <w:tcW w:w="972" w:type="pct"/>
                  <w:vMerge w:val="restart"/>
                  <w:noWrap w:val="0"/>
                  <w:vAlign w:val="center"/>
                </w:tcPr>
                <w:p w14:paraId="50AC08AE">
                  <w:pPr>
                    <w:autoSpaceDE w:val="0"/>
                    <w:autoSpaceDN w:val="0"/>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贡献值</w:t>
                  </w:r>
                </w:p>
              </w:tc>
              <w:tc>
                <w:tcPr>
                  <w:tcW w:w="1301" w:type="pct"/>
                  <w:noWrap w:val="0"/>
                  <w:vAlign w:val="center"/>
                </w:tcPr>
                <w:p w14:paraId="335CB851">
                  <w:pPr>
                    <w:autoSpaceDE w:val="0"/>
                    <w:autoSpaceDN w:val="0"/>
                    <w:adjustRightInd w:val="0"/>
                    <w:snapToGrid w:val="0"/>
                    <w:jc w:val="center"/>
                    <w:rPr>
                      <w:rFonts w:hint="default" w:ascii="Times New Roman" w:hAnsi="Times New Roman" w:cs="Times New Roman"/>
                      <w:b/>
                      <w:bCs w:val="0"/>
                      <w:color w:val="auto"/>
                      <w:szCs w:val="21"/>
                      <w:highlight w:val="none"/>
                    </w:rPr>
                  </w:pPr>
                  <w:r>
                    <w:rPr>
                      <w:rFonts w:hint="default" w:ascii="Times New Roman" w:hAnsi="Times New Roman" w:cs="Times New Roman"/>
                      <w:b/>
                      <w:bCs w:val="0"/>
                      <w:color w:val="auto"/>
                      <w:szCs w:val="21"/>
                      <w:highlight w:val="none"/>
                    </w:rPr>
                    <w:t>标准限值</w:t>
                  </w:r>
                </w:p>
              </w:tc>
              <w:tc>
                <w:tcPr>
                  <w:tcW w:w="964" w:type="pct"/>
                  <w:vMerge w:val="restart"/>
                  <w:noWrap w:val="0"/>
                  <w:vAlign w:val="center"/>
                </w:tcPr>
                <w:p w14:paraId="01D3B72D">
                  <w:pPr>
                    <w:autoSpaceDE w:val="0"/>
                    <w:autoSpaceDN w:val="0"/>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达标情况</w:t>
                  </w:r>
                </w:p>
              </w:tc>
            </w:tr>
            <w:tr w14:paraId="0BD597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885" w:type="pct"/>
                  <w:vMerge w:val="continue"/>
                  <w:noWrap w:val="0"/>
                  <w:vAlign w:val="center"/>
                </w:tcPr>
                <w:p w14:paraId="27501E52">
                  <w:pPr>
                    <w:autoSpaceDE w:val="0"/>
                    <w:autoSpaceDN w:val="0"/>
                    <w:adjustRightInd w:val="0"/>
                    <w:snapToGrid w:val="0"/>
                    <w:jc w:val="center"/>
                    <w:rPr>
                      <w:rFonts w:hint="default" w:ascii="Times New Roman" w:hAnsi="Times New Roman" w:cs="Times New Roman"/>
                      <w:color w:val="auto"/>
                      <w:highlight w:val="none"/>
                    </w:rPr>
                  </w:pPr>
                </w:p>
              </w:tc>
              <w:tc>
                <w:tcPr>
                  <w:tcW w:w="875" w:type="pct"/>
                  <w:vMerge w:val="continue"/>
                  <w:noWrap w:val="0"/>
                  <w:vAlign w:val="center"/>
                </w:tcPr>
                <w:p w14:paraId="6110CE18">
                  <w:pPr>
                    <w:autoSpaceDE w:val="0"/>
                    <w:autoSpaceDN w:val="0"/>
                    <w:adjustRightInd w:val="0"/>
                    <w:snapToGrid w:val="0"/>
                    <w:jc w:val="center"/>
                    <w:rPr>
                      <w:rFonts w:hint="default" w:ascii="Times New Roman" w:hAnsi="Times New Roman" w:cs="Times New Roman"/>
                      <w:color w:val="auto"/>
                      <w:highlight w:val="none"/>
                    </w:rPr>
                  </w:pPr>
                </w:p>
              </w:tc>
              <w:tc>
                <w:tcPr>
                  <w:tcW w:w="972" w:type="pct"/>
                  <w:vMerge w:val="continue"/>
                  <w:noWrap w:val="0"/>
                  <w:vAlign w:val="center"/>
                </w:tcPr>
                <w:p w14:paraId="3705D11B">
                  <w:pPr>
                    <w:autoSpaceDE w:val="0"/>
                    <w:autoSpaceDN w:val="0"/>
                    <w:adjustRightInd w:val="0"/>
                    <w:snapToGrid w:val="0"/>
                    <w:jc w:val="center"/>
                    <w:rPr>
                      <w:rFonts w:hint="default" w:ascii="Times New Roman" w:hAnsi="Times New Roman" w:cs="Times New Roman"/>
                      <w:color w:val="auto"/>
                      <w:highlight w:val="none"/>
                    </w:rPr>
                  </w:pPr>
                </w:p>
              </w:tc>
              <w:tc>
                <w:tcPr>
                  <w:tcW w:w="1301" w:type="pct"/>
                  <w:noWrap w:val="0"/>
                  <w:vAlign w:val="center"/>
                </w:tcPr>
                <w:p w14:paraId="2E8F7BD4">
                  <w:pPr>
                    <w:autoSpaceDE w:val="0"/>
                    <w:autoSpaceDN w:val="0"/>
                    <w:adjustRightInd w:val="0"/>
                    <w:snapToGrid w:val="0"/>
                    <w:jc w:val="center"/>
                    <w:rPr>
                      <w:rFonts w:hint="default" w:ascii="Times New Roman" w:hAnsi="Times New Roman" w:eastAsia="宋体"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昼间</w:t>
                  </w:r>
                </w:p>
              </w:tc>
              <w:tc>
                <w:tcPr>
                  <w:tcW w:w="964" w:type="pct"/>
                  <w:vMerge w:val="continue"/>
                  <w:noWrap w:val="0"/>
                  <w:vAlign w:val="center"/>
                </w:tcPr>
                <w:p w14:paraId="1720750B">
                  <w:pPr>
                    <w:autoSpaceDE w:val="0"/>
                    <w:autoSpaceDN w:val="0"/>
                    <w:adjustRightInd w:val="0"/>
                    <w:snapToGrid w:val="0"/>
                    <w:jc w:val="center"/>
                    <w:rPr>
                      <w:rFonts w:hint="default" w:ascii="Times New Roman" w:hAnsi="Times New Roman" w:cs="Times New Roman"/>
                      <w:color w:val="auto"/>
                      <w:highlight w:val="none"/>
                    </w:rPr>
                  </w:pPr>
                </w:p>
              </w:tc>
            </w:tr>
            <w:tr w14:paraId="1774B7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85" w:type="pct"/>
                  <w:noWrap w:val="0"/>
                  <w:vAlign w:val="center"/>
                </w:tcPr>
                <w:p w14:paraId="1ADB9DA3">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东厂界</w:t>
                  </w:r>
                </w:p>
              </w:tc>
              <w:tc>
                <w:tcPr>
                  <w:tcW w:w="875" w:type="pct"/>
                  <w:noWrap w:val="0"/>
                  <w:vAlign w:val="center"/>
                </w:tcPr>
                <w:p w14:paraId="7DE66F75">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w:t>
                  </w:r>
                </w:p>
              </w:tc>
              <w:tc>
                <w:tcPr>
                  <w:tcW w:w="972" w:type="pct"/>
                  <w:noWrap w:val="0"/>
                  <w:vAlign w:val="bottom"/>
                </w:tcPr>
                <w:p w14:paraId="51F9582E">
                  <w:pPr>
                    <w:widowControl/>
                    <w:jc w:val="center"/>
                    <w:textAlignment w:val="bottom"/>
                    <w:rPr>
                      <w:rFonts w:hint="default" w:ascii="Times New Roman" w:hAnsi="Times New Roman" w:eastAsia="宋体" w:cs="Times New Roman"/>
                      <w:color w:val="auto"/>
                      <w:szCs w:val="21"/>
                      <w:highlight w:val="none"/>
                      <w:lang w:val="en-US" w:eastAsia="zh-CN"/>
                    </w:rPr>
                  </w:pPr>
                  <w:r>
                    <w:rPr>
                      <w:rFonts w:hint="eastAsia"/>
                      <w:lang w:val="en-US" w:eastAsia="zh-CN"/>
                    </w:rPr>
                    <w:t>48.6</w:t>
                  </w:r>
                </w:p>
              </w:tc>
              <w:tc>
                <w:tcPr>
                  <w:tcW w:w="1301" w:type="pct"/>
                  <w:noWrap w:val="0"/>
                  <w:vAlign w:val="center"/>
                </w:tcPr>
                <w:p w14:paraId="45B47917">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65</w:t>
                  </w:r>
                </w:p>
              </w:tc>
              <w:tc>
                <w:tcPr>
                  <w:tcW w:w="964" w:type="pct"/>
                  <w:noWrap w:val="0"/>
                  <w:vAlign w:val="center"/>
                </w:tcPr>
                <w:p w14:paraId="584CF2FD">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r>
            <w:tr w14:paraId="086FF1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85" w:type="pct"/>
                  <w:noWrap w:val="0"/>
                  <w:vAlign w:val="center"/>
                </w:tcPr>
                <w:p w14:paraId="134270B1">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南厂界</w:t>
                  </w:r>
                </w:p>
              </w:tc>
              <w:tc>
                <w:tcPr>
                  <w:tcW w:w="875" w:type="pct"/>
                  <w:noWrap w:val="0"/>
                  <w:vAlign w:val="center"/>
                </w:tcPr>
                <w:p w14:paraId="6C0A78D0">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w:t>
                  </w:r>
                </w:p>
              </w:tc>
              <w:tc>
                <w:tcPr>
                  <w:tcW w:w="972" w:type="pct"/>
                  <w:noWrap w:val="0"/>
                  <w:vAlign w:val="bottom"/>
                </w:tcPr>
                <w:p w14:paraId="0E3E55EB">
                  <w:pPr>
                    <w:widowControl/>
                    <w:jc w:val="center"/>
                    <w:textAlignment w:val="bottom"/>
                    <w:rPr>
                      <w:rFonts w:hint="default" w:ascii="Times New Roman" w:hAnsi="Times New Roman" w:eastAsia="宋体" w:cs="Times New Roman"/>
                      <w:color w:val="auto"/>
                      <w:szCs w:val="21"/>
                      <w:highlight w:val="none"/>
                      <w:lang w:val="en-US" w:eastAsia="zh-CN"/>
                    </w:rPr>
                  </w:pPr>
                  <w:r>
                    <w:rPr>
                      <w:rFonts w:hint="eastAsia"/>
                      <w:lang w:val="en-US" w:eastAsia="zh-CN"/>
                    </w:rPr>
                    <w:t>46.4</w:t>
                  </w:r>
                </w:p>
              </w:tc>
              <w:tc>
                <w:tcPr>
                  <w:tcW w:w="1301" w:type="pct"/>
                  <w:noWrap w:val="0"/>
                  <w:vAlign w:val="center"/>
                </w:tcPr>
                <w:p w14:paraId="4749B3AE">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65</w:t>
                  </w:r>
                </w:p>
              </w:tc>
              <w:tc>
                <w:tcPr>
                  <w:tcW w:w="964" w:type="pct"/>
                  <w:noWrap w:val="0"/>
                  <w:vAlign w:val="center"/>
                </w:tcPr>
                <w:p w14:paraId="1DE5E538">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r>
            <w:tr w14:paraId="521AF7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85" w:type="pct"/>
                  <w:noWrap w:val="0"/>
                  <w:vAlign w:val="center"/>
                </w:tcPr>
                <w:p w14:paraId="4A98807E">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西厂界</w:t>
                  </w:r>
                </w:p>
              </w:tc>
              <w:tc>
                <w:tcPr>
                  <w:tcW w:w="875" w:type="pct"/>
                  <w:noWrap w:val="0"/>
                  <w:vAlign w:val="center"/>
                </w:tcPr>
                <w:p w14:paraId="5E3D1356">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w:t>
                  </w:r>
                </w:p>
              </w:tc>
              <w:tc>
                <w:tcPr>
                  <w:tcW w:w="972" w:type="pct"/>
                  <w:noWrap w:val="0"/>
                  <w:vAlign w:val="bottom"/>
                </w:tcPr>
                <w:p w14:paraId="6B105F32">
                  <w:pPr>
                    <w:widowControl/>
                    <w:jc w:val="center"/>
                    <w:textAlignment w:val="bottom"/>
                    <w:rPr>
                      <w:rFonts w:hint="default" w:ascii="Times New Roman" w:hAnsi="Times New Roman" w:eastAsia="宋体" w:cs="Times New Roman"/>
                      <w:color w:val="auto"/>
                      <w:szCs w:val="21"/>
                      <w:highlight w:val="none"/>
                      <w:lang w:val="en-US" w:eastAsia="zh-CN"/>
                    </w:rPr>
                  </w:pPr>
                  <w:r>
                    <w:rPr>
                      <w:rFonts w:hint="eastAsia"/>
                      <w:lang w:val="en-US" w:eastAsia="zh-CN"/>
                    </w:rPr>
                    <w:t>47.2</w:t>
                  </w:r>
                </w:p>
              </w:tc>
              <w:tc>
                <w:tcPr>
                  <w:tcW w:w="1301" w:type="pct"/>
                  <w:noWrap w:val="0"/>
                  <w:vAlign w:val="center"/>
                </w:tcPr>
                <w:p w14:paraId="0F4F0176">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65</w:t>
                  </w:r>
                </w:p>
              </w:tc>
              <w:tc>
                <w:tcPr>
                  <w:tcW w:w="964" w:type="pct"/>
                  <w:noWrap w:val="0"/>
                  <w:vAlign w:val="center"/>
                </w:tcPr>
                <w:p w14:paraId="4A40CD31">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r>
            <w:tr w14:paraId="4FAAE9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85" w:type="pct"/>
                  <w:noWrap w:val="0"/>
                  <w:vAlign w:val="center"/>
                </w:tcPr>
                <w:p w14:paraId="7A91BC65">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北厂界</w:t>
                  </w:r>
                </w:p>
              </w:tc>
              <w:tc>
                <w:tcPr>
                  <w:tcW w:w="875" w:type="pct"/>
                  <w:noWrap w:val="0"/>
                  <w:vAlign w:val="center"/>
                </w:tcPr>
                <w:p w14:paraId="57BE78C2">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w:t>
                  </w:r>
                </w:p>
              </w:tc>
              <w:tc>
                <w:tcPr>
                  <w:tcW w:w="972" w:type="pct"/>
                  <w:noWrap w:val="0"/>
                  <w:vAlign w:val="bottom"/>
                </w:tcPr>
                <w:p w14:paraId="4A63CAA5">
                  <w:pPr>
                    <w:widowControl/>
                    <w:jc w:val="center"/>
                    <w:textAlignment w:val="bottom"/>
                    <w:rPr>
                      <w:rFonts w:hint="default" w:ascii="Times New Roman" w:hAnsi="Times New Roman" w:eastAsia="宋体" w:cs="Times New Roman"/>
                      <w:color w:val="auto"/>
                      <w:szCs w:val="21"/>
                      <w:highlight w:val="none"/>
                      <w:lang w:val="en-US" w:eastAsia="zh-CN"/>
                    </w:rPr>
                  </w:pPr>
                  <w:r>
                    <w:rPr>
                      <w:rFonts w:hint="eastAsia"/>
                      <w:lang w:val="en-US" w:eastAsia="zh-CN"/>
                    </w:rPr>
                    <w:t>49.6</w:t>
                  </w:r>
                </w:p>
              </w:tc>
              <w:tc>
                <w:tcPr>
                  <w:tcW w:w="1301" w:type="pct"/>
                  <w:noWrap w:val="0"/>
                  <w:vAlign w:val="center"/>
                </w:tcPr>
                <w:p w14:paraId="2E23C1EB">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65</w:t>
                  </w:r>
                </w:p>
              </w:tc>
              <w:tc>
                <w:tcPr>
                  <w:tcW w:w="964" w:type="pct"/>
                  <w:noWrap w:val="0"/>
                  <w:vAlign w:val="center"/>
                </w:tcPr>
                <w:p w14:paraId="17C5DE5C">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r>
          </w:tbl>
          <w:p w14:paraId="742E9384">
            <w:pPr>
              <w:widowControl/>
              <w:adjustRightInd w:val="0"/>
              <w:snapToGrid w:val="0"/>
              <w:jc w:val="left"/>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注：</w:t>
            </w:r>
            <w:r>
              <w:rPr>
                <w:rFonts w:hint="eastAsia" w:ascii="Times New Roman" w:hAnsi="Times New Roman" w:eastAsia="宋体" w:cs="Times New Roman"/>
                <w:bCs/>
                <w:color w:val="auto"/>
                <w:sz w:val="21"/>
                <w:szCs w:val="21"/>
                <w:highlight w:val="none"/>
                <w:lang w:val="en-US" w:eastAsia="zh-CN"/>
              </w:rPr>
              <w:t>项目夜间不生产。</w:t>
            </w:r>
          </w:p>
          <w:p w14:paraId="76FCB089">
            <w:pPr>
              <w:topLinePunct/>
              <w:autoSpaceDE w:val="0"/>
              <w:adjustRightInd w:val="0"/>
              <w:snapToGrid w:val="0"/>
              <w:spacing w:line="360" w:lineRule="auto"/>
              <w:ind w:firstLine="420"/>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全厂噪声设备经减振、隔声等措施以及距离衰减后，对厂界的噪声</w:t>
            </w:r>
            <w:r>
              <w:rPr>
                <w:rFonts w:hint="eastAsia" w:ascii="Times New Roman" w:hAnsi="Times New Roman" w:cs="Times New Roman"/>
                <w:snapToGrid w:val="0"/>
                <w:color w:val="auto"/>
                <w:kern w:val="0"/>
                <w:sz w:val="24"/>
                <w:highlight w:val="none"/>
                <w:lang w:val="en-US" w:eastAsia="zh-CN"/>
              </w:rPr>
              <w:t>昼间</w:t>
            </w:r>
            <w:r>
              <w:rPr>
                <w:rFonts w:hint="default" w:ascii="Times New Roman" w:hAnsi="Times New Roman" w:cs="Times New Roman"/>
                <w:snapToGrid w:val="0"/>
                <w:color w:val="auto"/>
                <w:kern w:val="0"/>
                <w:sz w:val="24"/>
                <w:highlight w:val="none"/>
              </w:rPr>
              <w:t>贡献值满足《工业企业厂界环境噪声排放标准》（GB12348-2008）</w:t>
            </w:r>
            <w:r>
              <w:rPr>
                <w:rFonts w:hint="default" w:ascii="Times New Roman" w:hAnsi="Times New Roman" w:cs="Times New Roman"/>
                <w:snapToGrid w:val="0"/>
                <w:color w:val="auto"/>
                <w:kern w:val="0"/>
                <w:sz w:val="24"/>
                <w:highlight w:val="none"/>
                <w:lang w:val="en-US" w:eastAsia="zh-CN"/>
              </w:rPr>
              <w:t>3</w:t>
            </w:r>
            <w:r>
              <w:rPr>
                <w:rFonts w:hint="default" w:ascii="Times New Roman" w:hAnsi="Times New Roman" w:cs="Times New Roman"/>
                <w:snapToGrid w:val="0"/>
                <w:color w:val="auto"/>
                <w:kern w:val="0"/>
                <w:sz w:val="24"/>
                <w:highlight w:val="none"/>
              </w:rPr>
              <w:t>类标准要求。</w:t>
            </w:r>
          </w:p>
          <w:p w14:paraId="702E1521">
            <w:pPr>
              <w:topLinePunct/>
              <w:autoSpaceDE w:val="0"/>
              <w:adjustRightInd w:val="0"/>
              <w:snapToGrid w:val="0"/>
              <w:spacing w:line="360" w:lineRule="auto"/>
              <w:ind w:firstLine="480" w:firstLineChars="200"/>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因此，</w:t>
            </w:r>
            <w:r>
              <w:rPr>
                <w:rFonts w:hint="eastAsia" w:ascii="Times New Roman" w:hAnsi="Times New Roman" w:cs="Times New Roman"/>
                <w:snapToGrid w:val="0"/>
                <w:color w:val="auto"/>
                <w:kern w:val="0"/>
                <w:sz w:val="24"/>
                <w:highlight w:val="none"/>
                <w:lang w:eastAsia="zh-CN"/>
              </w:rPr>
              <w:t>项目</w:t>
            </w:r>
            <w:r>
              <w:rPr>
                <w:rFonts w:hint="default" w:ascii="Times New Roman" w:hAnsi="Times New Roman" w:cs="Times New Roman"/>
                <w:snapToGrid w:val="0"/>
                <w:color w:val="auto"/>
                <w:kern w:val="0"/>
                <w:sz w:val="24"/>
                <w:highlight w:val="none"/>
              </w:rPr>
              <w:t>对周围环境影响较小，噪声防治措施可行。</w:t>
            </w:r>
          </w:p>
          <w:p w14:paraId="6A20699D">
            <w:pPr>
              <w:topLinePunct/>
              <w:autoSpaceDE w:val="0"/>
              <w:adjustRightInd w:val="0"/>
              <w:snapToGrid w:val="0"/>
              <w:spacing w:line="360" w:lineRule="auto"/>
              <w:ind w:left="420" w:leftChars="200"/>
              <w:rPr>
                <w:rFonts w:hint="default" w:ascii="Times New Roman" w:hAnsi="Times New Roman" w:cs="Times New Roman"/>
                <w:b/>
                <w:bCs/>
                <w:snapToGrid w:val="0"/>
                <w:color w:val="auto"/>
                <w:kern w:val="0"/>
                <w:sz w:val="24"/>
                <w:highlight w:val="none"/>
              </w:rPr>
            </w:pPr>
            <w:r>
              <w:rPr>
                <w:rFonts w:hint="default" w:ascii="Times New Roman" w:hAnsi="Times New Roman" w:cs="Times New Roman"/>
                <w:b/>
                <w:bCs/>
                <w:snapToGrid w:val="0"/>
                <w:color w:val="auto"/>
                <w:kern w:val="0"/>
                <w:sz w:val="24"/>
                <w:highlight w:val="none"/>
              </w:rPr>
              <w:t>3、噪声监测计划</w:t>
            </w:r>
          </w:p>
          <w:p w14:paraId="24256144">
            <w:pPr>
              <w:topLinePunct/>
              <w:autoSpaceDE w:val="0"/>
              <w:adjustRightInd w:val="0"/>
              <w:snapToGrid w:val="0"/>
              <w:spacing w:line="360" w:lineRule="auto"/>
              <w:ind w:firstLine="480" w:firstLineChars="200"/>
              <w:rPr>
                <w:rFonts w:hint="default" w:ascii="Times New Roman" w:hAnsi="Times New Roman" w:cs="Times New Roman"/>
                <w:b/>
                <w:bCs/>
                <w:snapToGrid w:val="0"/>
                <w:color w:val="auto"/>
                <w:kern w:val="0"/>
                <w:sz w:val="24"/>
                <w:highlight w:val="none"/>
              </w:rPr>
            </w:pPr>
            <w:r>
              <w:rPr>
                <w:rFonts w:hint="default" w:ascii="Times New Roman" w:hAnsi="Times New Roman" w:cs="Times New Roman"/>
                <w:snapToGrid w:val="0"/>
                <w:color w:val="auto"/>
                <w:sz w:val="24"/>
                <w:highlight w:val="none"/>
              </w:rPr>
              <w:t xml:space="preserve">参照《排污单位自行监测技术指南 </w:t>
            </w:r>
            <w:r>
              <w:rPr>
                <w:rFonts w:hint="default" w:ascii="Times New Roman" w:hAnsi="Times New Roman" w:cs="Times New Roman"/>
                <w:snapToGrid w:val="0"/>
                <w:color w:val="auto"/>
                <w:sz w:val="24"/>
                <w:highlight w:val="none"/>
                <w:lang w:val="en-US" w:eastAsia="zh-CN"/>
              </w:rPr>
              <w:t>橡胶和塑料制品</w:t>
            </w:r>
            <w:r>
              <w:rPr>
                <w:rFonts w:hint="default" w:ascii="Times New Roman" w:hAnsi="Times New Roman" w:cs="Times New Roman"/>
                <w:snapToGrid w:val="0"/>
                <w:color w:val="auto"/>
                <w:sz w:val="24"/>
                <w:highlight w:val="none"/>
              </w:rPr>
              <w:t>》（HJ 12</w:t>
            </w:r>
            <w:r>
              <w:rPr>
                <w:rFonts w:hint="default" w:ascii="Times New Roman" w:hAnsi="Times New Roman" w:cs="Times New Roman"/>
                <w:snapToGrid w:val="0"/>
                <w:color w:val="auto"/>
                <w:sz w:val="24"/>
                <w:highlight w:val="none"/>
                <w:lang w:val="en-US" w:eastAsia="zh-CN"/>
              </w:rPr>
              <w:t>07</w:t>
            </w:r>
            <w:r>
              <w:rPr>
                <w:rFonts w:hint="default" w:ascii="Times New Roman" w:hAnsi="Times New Roman" w:cs="Times New Roman"/>
                <w:snapToGrid w:val="0"/>
                <w:color w:val="auto"/>
                <w:sz w:val="24"/>
                <w:highlight w:val="none"/>
              </w:rPr>
              <w:t>-202</w:t>
            </w:r>
            <w:r>
              <w:rPr>
                <w:rFonts w:hint="default" w:ascii="Times New Roman" w:hAnsi="Times New Roman" w:cs="Times New Roman"/>
                <w:snapToGrid w:val="0"/>
                <w:color w:val="auto"/>
                <w:sz w:val="24"/>
                <w:highlight w:val="none"/>
                <w:lang w:val="en-US" w:eastAsia="zh-CN"/>
              </w:rPr>
              <w:t>1</w:t>
            </w:r>
            <w:r>
              <w:rPr>
                <w:rFonts w:hint="default" w:ascii="Times New Roman" w:hAnsi="Times New Roman" w:cs="Times New Roman"/>
                <w:snapToGrid w:val="0"/>
                <w:color w:val="auto"/>
                <w:sz w:val="24"/>
                <w:highlight w:val="none"/>
              </w:rPr>
              <w:t>）</w:t>
            </w:r>
            <w:r>
              <w:rPr>
                <w:rFonts w:hint="default" w:ascii="Times New Roman" w:hAnsi="Times New Roman" w:eastAsia="宋体" w:cs="Times New Roman"/>
                <w:snapToGrid w:val="0"/>
                <w:color w:val="auto"/>
                <w:sz w:val="24"/>
                <w:highlight w:val="none"/>
                <w:lang w:val="en-US" w:eastAsia="zh-CN"/>
              </w:rPr>
              <w:t>和《排污许可证申请与核发技术规范 工业噪声》（HJ1301-2023）</w:t>
            </w:r>
            <w:r>
              <w:rPr>
                <w:rFonts w:hint="default" w:ascii="Times New Roman" w:hAnsi="Times New Roman" w:cs="Times New Roman"/>
                <w:snapToGrid w:val="0"/>
                <w:color w:val="auto"/>
                <w:sz w:val="24"/>
                <w:highlight w:val="none"/>
              </w:rPr>
              <w:t>，厂界噪声最低监测频次为季度。</w:t>
            </w:r>
          </w:p>
          <w:p w14:paraId="525554B6">
            <w:pPr>
              <w:topLinePunct/>
              <w:autoSpaceDE w:val="0"/>
              <w:adjustRightInd w:val="0"/>
              <w:snapToGrid w:val="0"/>
              <w:spacing w:line="240" w:lineRule="auto"/>
              <w:jc w:val="center"/>
              <w:rPr>
                <w:rFonts w:hint="default" w:ascii="Times New Roman" w:hAnsi="Times New Roman" w:cs="Times New Roman"/>
                <w:snapToGrid w:val="0"/>
                <w:color w:val="auto"/>
                <w:kern w:val="0"/>
                <w:sz w:val="24"/>
                <w:highlight w:val="none"/>
              </w:rPr>
            </w:pPr>
            <w:r>
              <w:rPr>
                <w:rFonts w:hint="default" w:ascii="Times New Roman" w:hAnsi="Times New Roman" w:cs="Times New Roman"/>
                <w:b/>
                <w:bCs/>
                <w:snapToGrid w:val="0"/>
                <w:color w:val="auto"/>
                <w:kern w:val="0"/>
                <w:sz w:val="24"/>
                <w:highlight w:val="none"/>
              </w:rPr>
              <w:t>表4-</w:t>
            </w:r>
            <w:r>
              <w:rPr>
                <w:rFonts w:hint="default" w:ascii="Times New Roman" w:hAnsi="Times New Roman" w:cs="Times New Roman"/>
                <w:b/>
                <w:bCs/>
                <w:snapToGrid w:val="0"/>
                <w:color w:val="auto"/>
                <w:kern w:val="0"/>
                <w:sz w:val="24"/>
                <w:highlight w:val="none"/>
                <w:lang w:val="en-US" w:eastAsia="zh-CN"/>
              </w:rPr>
              <w:t>9</w:t>
            </w:r>
            <w:r>
              <w:rPr>
                <w:rFonts w:hint="default" w:ascii="Times New Roman" w:hAnsi="Times New Roman" w:cs="Times New Roman"/>
                <w:b/>
                <w:bCs/>
                <w:snapToGrid w:val="0"/>
                <w:color w:val="auto"/>
                <w:kern w:val="0"/>
                <w:sz w:val="24"/>
                <w:highlight w:val="none"/>
              </w:rPr>
              <w:t xml:space="preserve"> 噪声环境监测计划</w:t>
            </w:r>
          </w:p>
          <w:tbl>
            <w:tblPr>
              <w:tblStyle w:val="25"/>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54"/>
              <w:gridCol w:w="1796"/>
              <w:gridCol w:w="1522"/>
              <w:gridCol w:w="1163"/>
              <w:gridCol w:w="2867"/>
            </w:tblGrid>
            <w:tr w14:paraId="72349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91" w:type="pct"/>
                  <w:noWrap w:val="0"/>
                  <w:vAlign w:val="center"/>
                </w:tcPr>
                <w:p w14:paraId="71B70F73">
                  <w:pPr>
                    <w:topLinePunct/>
                    <w:autoSpaceDE w:val="0"/>
                    <w:adjustRightInd w:val="0"/>
                    <w:snapToGrid w:val="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类别</w:t>
                  </w:r>
                </w:p>
              </w:tc>
              <w:tc>
                <w:tcPr>
                  <w:tcW w:w="1150" w:type="pct"/>
                  <w:noWrap w:val="0"/>
                  <w:vAlign w:val="center"/>
                </w:tcPr>
                <w:p w14:paraId="42F98555">
                  <w:pPr>
                    <w:topLinePunct/>
                    <w:autoSpaceDE w:val="0"/>
                    <w:adjustRightInd w:val="0"/>
                    <w:snapToGrid w:val="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监测位置</w:t>
                  </w:r>
                </w:p>
              </w:tc>
              <w:tc>
                <w:tcPr>
                  <w:tcW w:w="975" w:type="pct"/>
                  <w:noWrap w:val="0"/>
                  <w:vAlign w:val="center"/>
                </w:tcPr>
                <w:p w14:paraId="0633AFC3">
                  <w:pPr>
                    <w:topLinePunct/>
                    <w:autoSpaceDE w:val="0"/>
                    <w:adjustRightInd w:val="0"/>
                    <w:snapToGrid w:val="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监测项目</w:t>
                  </w:r>
                </w:p>
              </w:tc>
              <w:tc>
                <w:tcPr>
                  <w:tcW w:w="745" w:type="pct"/>
                  <w:noWrap w:val="0"/>
                  <w:vAlign w:val="center"/>
                </w:tcPr>
                <w:p w14:paraId="2DBB0328">
                  <w:pPr>
                    <w:topLinePunct/>
                    <w:autoSpaceDE w:val="0"/>
                    <w:adjustRightInd w:val="0"/>
                    <w:snapToGrid w:val="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监测频次</w:t>
                  </w:r>
                </w:p>
              </w:tc>
              <w:tc>
                <w:tcPr>
                  <w:tcW w:w="1836" w:type="pct"/>
                  <w:noWrap w:val="0"/>
                  <w:vAlign w:val="center"/>
                </w:tcPr>
                <w:p w14:paraId="20CD700F">
                  <w:pPr>
                    <w:topLinePunct/>
                    <w:autoSpaceDE w:val="0"/>
                    <w:adjustRightInd w:val="0"/>
                    <w:snapToGrid w:val="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执行排放标准</w:t>
                  </w:r>
                </w:p>
              </w:tc>
            </w:tr>
            <w:tr w14:paraId="10947E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91" w:type="pct"/>
                  <w:noWrap w:val="0"/>
                  <w:vAlign w:val="center"/>
                </w:tcPr>
                <w:p w14:paraId="625778BD">
                  <w:pPr>
                    <w:topLinePunct/>
                    <w:autoSpaceDE w:val="0"/>
                    <w:adjustRightInd w:val="0"/>
                    <w:snapToGrid w:val="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噪声</w:t>
                  </w:r>
                </w:p>
              </w:tc>
              <w:tc>
                <w:tcPr>
                  <w:tcW w:w="1150" w:type="pct"/>
                  <w:noWrap w:val="0"/>
                  <w:vAlign w:val="center"/>
                </w:tcPr>
                <w:p w14:paraId="13323E0D">
                  <w:pPr>
                    <w:topLinePunct/>
                    <w:autoSpaceDE w:val="0"/>
                    <w:adjustRightInd w:val="0"/>
                    <w:snapToGrid w:val="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lang w:eastAsia="zh-CN"/>
                    </w:rPr>
                    <w:t>东、南、西、</w:t>
                  </w:r>
                  <w:r>
                    <w:rPr>
                      <w:rFonts w:hint="default" w:ascii="Times New Roman" w:hAnsi="Times New Roman" w:cs="Times New Roman"/>
                      <w:snapToGrid w:val="0"/>
                      <w:color w:val="auto"/>
                      <w:kern w:val="0"/>
                      <w:sz w:val="21"/>
                      <w:szCs w:val="21"/>
                      <w:highlight w:val="none"/>
                      <w:lang w:val="en-US" w:eastAsia="zh-CN"/>
                    </w:rPr>
                    <w:t>北</w:t>
                  </w:r>
                  <w:r>
                    <w:rPr>
                      <w:rFonts w:hint="default" w:ascii="Times New Roman" w:hAnsi="Times New Roman" w:cs="Times New Roman"/>
                      <w:snapToGrid w:val="0"/>
                      <w:color w:val="auto"/>
                      <w:kern w:val="0"/>
                      <w:sz w:val="21"/>
                      <w:szCs w:val="21"/>
                      <w:highlight w:val="none"/>
                    </w:rPr>
                    <w:t>厂界外1m</w:t>
                  </w:r>
                </w:p>
              </w:tc>
              <w:tc>
                <w:tcPr>
                  <w:tcW w:w="975" w:type="pct"/>
                  <w:noWrap w:val="0"/>
                  <w:vAlign w:val="center"/>
                </w:tcPr>
                <w:p w14:paraId="20CEF818">
                  <w:pPr>
                    <w:topLinePunct/>
                    <w:autoSpaceDE w:val="0"/>
                    <w:adjustRightInd w:val="0"/>
                    <w:snapToGrid w:val="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连续等效A声级</w:t>
                  </w:r>
                </w:p>
              </w:tc>
              <w:tc>
                <w:tcPr>
                  <w:tcW w:w="745" w:type="pct"/>
                  <w:noWrap w:val="0"/>
                  <w:vAlign w:val="center"/>
                </w:tcPr>
                <w:p w14:paraId="3C319C8C">
                  <w:pPr>
                    <w:topLinePunct/>
                    <w:autoSpaceDE w:val="0"/>
                    <w:adjustRightInd w:val="0"/>
                    <w:snapToGrid w:val="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一季一次</w:t>
                  </w:r>
                </w:p>
              </w:tc>
              <w:tc>
                <w:tcPr>
                  <w:tcW w:w="1836" w:type="pct"/>
                  <w:noWrap w:val="0"/>
                  <w:vAlign w:val="center"/>
                </w:tcPr>
                <w:p w14:paraId="5FC53DB4">
                  <w:pPr>
                    <w:topLinePunct/>
                    <w:autoSpaceDE w:val="0"/>
                    <w:adjustRightInd w:val="0"/>
                    <w:snapToGrid w:val="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《工业企业厂界环境噪声排放标准》（GB12348-2008）</w:t>
                  </w:r>
                  <w:r>
                    <w:rPr>
                      <w:rFonts w:hint="default" w:ascii="Times New Roman" w:hAnsi="Times New Roman" w:cs="Times New Roman"/>
                      <w:snapToGrid w:val="0"/>
                      <w:color w:val="auto"/>
                      <w:kern w:val="0"/>
                      <w:sz w:val="21"/>
                      <w:szCs w:val="21"/>
                      <w:highlight w:val="none"/>
                      <w:lang w:val="en-US" w:eastAsia="zh-CN"/>
                    </w:rPr>
                    <w:t>3</w:t>
                  </w:r>
                  <w:r>
                    <w:rPr>
                      <w:rFonts w:hint="default" w:ascii="Times New Roman" w:hAnsi="Times New Roman" w:cs="Times New Roman"/>
                      <w:snapToGrid w:val="0"/>
                      <w:color w:val="auto"/>
                      <w:kern w:val="0"/>
                      <w:sz w:val="21"/>
                      <w:szCs w:val="21"/>
                      <w:highlight w:val="none"/>
                    </w:rPr>
                    <w:t>类标准</w:t>
                  </w:r>
                </w:p>
              </w:tc>
            </w:tr>
          </w:tbl>
          <w:p w14:paraId="5BC23F9F">
            <w:pPr>
              <w:keepNext w:val="0"/>
              <w:keepLines w:val="0"/>
              <w:pageBreakBefore w:val="0"/>
              <w:widowControl w:val="0"/>
              <w:kinsoku/>
              <w:wordWrap/>
              <w:overflowPunct/>
              <w:topLinePunct/>
              <w:autoSpaceDE w:val="0"/>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四、固体废物环境影响和保护措施</w:t>
            </w:r>
          </w:p>
          <w:p w14:paraId="3D6678D0">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1、固体废物产生</w:t>
            </w:r>
            <w:r>
              <w:rPr>
                <w:rFonts w:hint="default" w:ascii="Times New Roman" w:hAnsi="Times New Roman" w:cs="Times New Roman"/>
                <w:snapToGrid w:val="0"/>
                <w:color w:val="auto"/>
                <w:kern w:val="0"/>
                <w:sz w:val="24"/>
                <w:highlight w:val="none"/>
                <w:lang w:eastAsia="zh-CN"/>
              </w:rPr>
              <w:t>及处理处置</w:t>
            </w:r>
            <w:r>
              <w:rPr>
                <w:rFonts w:hint="default" w:ascii="Times New Roman" w:hAnsi="Times New Roman" w:cs="Times New Roman"/>
                <w:snapToGrid w:val="0"/>
                <w:color w:val="auto"/>
                <w:kern w:val="0"/>
                <w:sz w:val="24"/>
                <w:highlight w:val="none"/>
              </w:rPr>
              <w:t>情况</w:t>
            </w:r>
          </w:p>
          <w:p w14:paraId="3EF1FBDF">
            <w:pPr>
              <w:keepNext w:val="0"/>
              <w:keepLines w:val="0"/>
              <w:pageBreakBefore w:val="0"/>
              <w:widowControl w:val="0"/>
              <w:kinsoku/>
              <w:wordWrap/>
              <w:overflowPunct/>
              <w:topLinePunct/>
              <w:autoSpaceDE w:val="0"/>
              <w:autoSpaceDN/>
              <w:bidi w:val="0"/>
              <w:adjustRightInd w:val="0"/>
              <w:snapToGrid w:val="0"/>
              <w:spacing w:line="360" w:lineRule="auto"/>
              <w:ind w:firstLine="480" w:firstLineChars="200"/>
              <w:textAlignment w:val="auto"/>
              <w:rPr>
                <w:rFonts w:hint="default" w:ascii="Times New Roman" w:hAnsi="Times New Roman" w:eastAsia="宋体" w:cs="Times New Roman"/>
                <w:b/>
                <w:bCs/>
                <w:color w:val="auto"/>
                <w:sz w:val="24"/>
                <w:szCs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固废产生及处置情况一览表见</w:t>
            </w:r>
            <w:r>
              <w:rPr>
                <w:rFonts w:hint="default" w:ascii="Times New Roman" w:hAnsi="Times New Roman" w:cs="Times New Roman"/>
                <w:color w:val="auto"/>
                <w:sz w:val="24"/>
                <w:highlight w:val="none"/>
                <w:lang w:val="en-US" w:eastAsia="zh-CN"/>
              </w:rPr>
              <w:t>下</w:t>
            </w:r>
            <w:r>
              <w:rPr>
                <w:rFonts w:hint="default" w:ascii="Times New Roman" w:hAnsi="Times New Roman" w:cs="Times New Roman"/>
                <w:color w:val="auto"/>
                <w:sz w:val="24"/>
                <w:highlight w:val="none"/>
              </w:rPr>
              <w:t>表。</w:t>
            </w:r>
          </w:p>
          <w:p w14:paraId="41F53C82">
            <w:pPr>
              <w:autoSpaceDE w:val="0"/>
              <w:autoSpaceDN w:val="0"/>
              <w:adjustRightInd w:val="0"/>
              <w:snapToGrid w:val="0"/>
              <w:ind w:firstLine="0"/>
              <w:jc w:val="center"/>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w:t>
            </w:r>
            <w:r>
              <w:rPr>
                <w:rFonts w:hint="eastAsia" w:ascii="Times New Roman" w:hAnsi="Times New Roman" w:cs="Times New Roman"/>
                <w:b/>
                <w:bCs/>
                <w:color w:val="auto"/>
                <w:sz w:val="24"/>
                <w:szCs w:val="24"/>
                <w:highlight w:val="none"/>
                <w:lang w:val="en-US" w:eastAsia="zh-CN"/>
              </w:rPr>
              <w:t>10</w:t>
            </w:r>
            <w:r>
              <w:rPr>
                <w:rFonts w:hint="default" w:ascii="Times New Roman" w:hAnsi="Times New Roman" w:eastAsia="宋体" w:cs="Times New Roman"/>
                <w:b/>
                <w:bCs/>
                <w:color w:val="auto"/>
                <w:sz w:val="24"/>
                <w:szCs w:val="24"/>
                <w:highlight w:val="none"/>
              </w:rPr>
              <w:t xml:space="preserve"> </w:t>
            </w:r>
            <w:r>
              <w:rPr>
                <w:rFonts w:hint="eastAsia" w:ascii="Times New Roman" w:hAnsi="Times New Roman" w:cs="Times New Roman"/>
                <w:b/>
                <w:bCs/>
                <w:color w:val="auto"/>
                <w:sz w:val="24"/>
                <w:szCs w:val="24"/>
                <w:highlight w:val="none"/>
                <w:lang w:eastAsia="zh-CN"/>
              </w:rPr>
              <w:t>项目</w:t>
            </w:r>
            <w:r>
              <w:rPr>
                <w:rFonts w:hint="default" w:ascii="Times New Roman" w:hAnsi="Times New Roman" w:eastAsia="宋体" w:cs="Times New Roman"/>
                <w:b/>
                <w:bCs/>
                <w:color w:val="auto"/>
                <w:sz w:val="24"/>
                <w:szCs w:val="24"/>
                <w:highlight w:val="none"/>
              </w:rPr>
              <w:t>固废产生</w:t>
            </w:r>
            <w:r>
              <w:rPr>
                <w:rFonts w:hint="default" w:ascii="Times New Roman" w:hAnsi="Times New Roman" w:eastAsia="宋体" w:cs="Times New Roman"/>
                <w:b/>
                <w:bCs/>
                <w:color w:val="auto"/>
                <w:sz w:val="24"/>
                <w:szCs w:val="24"/>
                <w:highlight w:val="none"/>
                <w:lang w:eastAsia="zh-CN"/>
              </w:rPr>
              <w:t>及处置</w:t>
            </w:r>
            <w:r>
              <w:rPr>
                <w:rFonts w:hint="default" w:ascii="Times New Roman" w:hAnsi="Times New Roman" w:eastAsia="宋体" w:cs="Times New Roman"/>
                <w:b/>
                <w:bCs/>
                <w:color w:val="auto"/>
                <w:sz w:val="24"/>
                <w:szCs w:val="24"/>
                <w:highlight w:val="none"/>
              </w:rPr>
              <w:t>情况</w:t>
            </w:r>
            <w:r>
              <w:rPr>
                <w:rFonts w:hint="default" w:ascii="Times New Roman" w:hAnsi="Times New Roman" w:eastAsia="宋体" w:cs="Times New Roman"/>
                <w:b/>
                <w:bCs/>
                <w:color w:val="auto"/>
                <w:sz w:val="24"/>
                <w:szCs w:val="24"/>
                <w:highlight w:val="none"/>
                <w:lang w:eastAsia="zh-CN"/>
              </w:rPr>
              <w:t>表</w:t>
            </w:r>
          </w:p>
          <w:tbl>
            <w:tblPr>
              <w:tblStyle w:val="26"/>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7"/>
              <w:gridCol w:w="921"/>
              <w:gridCol w:w="500"/>
              <w:gridCol w:w="700"/>
              <w:gridCol w:w="847"/>
              <w:gridCol w:w="853"/>
              <w:gridCol w:w="450"/>
              <w:gridCol w:w="700"/>
              <w:gridCol w:w="700"/>
              <w:gridCol w:w="400"/>
              <w:gridCol w:w="1085"/>
            </w:tblGrid>
            <w:tr w14:paraId="419474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408" w:type="pct"/>
                  <w:tcBorders>
                    <w:tl2br w:val="nil"/>
                    <w:tr2bl w:val="nil"/>
                  </w:tcBorders>
                  <w:noWrap w:val="0"/>
                  <w:vAlign w:val="center"/>
                </w:tcPr>
                <w:p w14:paraId="02E295E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bCs/>
                      <w:color w:val="auto"/>
                      <w:sz w:val="21"/>
                      <w:szCs w:val="21"/>
                      <w:highlight w:val="none"/>
                      <w:vertAlign w:val="baseline"/>
                    </w:rPr>
                    <w:t>产生环节</w:t>
                  </w:r>
                </w:p>
              </w:tc>
              <w:tc>
                <w:tcPr>
                  <w:tcW w:w="590" w:type="pct"/>
                  <w:tcBorders>
                    <w:tl2br w:val="nil"/>
                    <w:tr2bl w:val="nil"/>
                  </w:tcBorders>
                  <w:noWrap w:val="0"/>
                  <w:vAlign w:val="center"/>
                </w:tcPr>
                <w:p w14:paraId="7B72AE3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bCs/>
                      <w:color w:val="auto"/>
                      <w:sz w:val="21"/>
                      <w:szCs w:val="21"/>
                      <w:highlight w:val="none"/>
                      <w:vertAlign w:val="baseline"/>
                    </w:rPr>
                    <w:t>名称</w:t>
                  </w:r>
                </w:p>
              </w:tc>
              <w:tc>
                <w:tcPr>
                  <w:tcW w:w="320" w:type="pct"/>
                  <w:tcBorders>
                    <w:tl2br w:val="nil"/>
                    <w:tr2bl w:val="nil"/>
                  </w:tcBorders>
                  <w:noWrap w:val="0"/>
                  <w:vAlign w:val="center"/>
                </w:tcPr>
                <w:p w14:paraId="45453D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lang w:eastAsia="zh-CN"/>
                    </w:rPr>
                  </w:pPr>
                  <w:r>
                    <w:rPr>
                      <w:rFonts w:hint="default" w:ascii="Times New Roman" w:hAnsi="Times New Roman" w:cs="Times New Roman"/>
                      <w:b/>
                      <w:bCs/>
                      <w:color w:val="auto"/>
                      <w:sz w:val="21"/>
                      <w:szCs w:val="21"/>
                      <w:highlight w:val="none"/>
                      <w:vertAlign w:val="baseline"/>
                    </w:rPr>
                    <w:t>属性</w:t>
                  </w:r>
                </w:p>
              </w:tc>
              <w:tc>
                <w:tcPr>
                  <w:tcW w:w="449" w:type="pct"/>
                  <w:tcBorders>
                    <w:tl2br w:val="nil"/>
                    <w:tr2bl w:val="nil"/>
                  </w:tcBorders>
                  <w:noWrap w:val="0"/>
                  <w:vAlign w:val="center"/>
                </w:tcPr>
                <w:p w14:paraId="132CCAB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sz w:val="21"/>
                      <w:szCs w:val="21"/>
                      <w:highlight w:val="none"/>
                      <w:vertAlign w:val="baseline"/>
                      <w:lang w:eastAsia="zh-CN"/>
                    </w:rPr>
                  </w:pPr>
                  <w:r>
                    <w:rPr>
                      <w:rFonts w:hint="default" w:ascii="Times New Roman" w:hAnsi="Times New Roman" w:cs="Times New Roman"/>
                      <w:b/>
                      <w:bCs/>
                      <w:color w:val="auto"/>
                      <w:sz w:val="21"/>
                      <w:szCs w:val="21"/>
                      <w:highlight w:val="none"/>
                      <w:vertAlign w:val="baseline"/>
                      <w:lang w:eastAsia="zh-CN"/>
                    </w:rPr>
                    <w:t>类别</w:t>
                  </w:r>
                </w:p>
              </w:tc>
              <w:tc>
                <w:tcPr>
                  <w:tcW w:w="543" w:type="pct"/>
                  <w:tcBorders>
                    <w:tl2br w:val="nil"/>
                    <w:tr2bl w:val="nil"/>
                  </w:tcBorders>
                  <w:noWrap w:val="0"/>
                  <w:vAlign w:val="center"/>
                </w:tcPr>
                <w:p w14:paraId="345A06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sz w:val="21"/>
                      <w:szCs w:val="21"/>
                      <w:highlight w:val="none"/>
                      <w:vertAlign w:val="baseline"/>
                      <w:lang w:eastAsia="zh-CN"/>
                    </w:rPr>
                  </w:pPr>
                  <w:r>
                    <w:rPr>
                      <w:rFonts w:hint="default" w:ascii="Times New Roman" w:hAnsi="Times New Roman" w:cs="Times New Roman"/>
                      <w:b/>
                      <w:bCs/>
                      <w:color w:val="auto"/>
                      <w:sz w:val="21"/>
                      <w:szCs w:val="21"/>
                      <w:highlight w:val="none"/>
                      <w:vertAlign w:val="baseline"/>
                      <w:lang w:eastAsia="zh-CN"/>
                    </w:rPr>
                    <w:t>编码</w:t>
                  </w:r>
                </w:p>
              </w:tc>
              <w:tc>
                <w:tcPr>
                  <w:tcW w:w="547" w:type="pct"/>
                  <w:tcBorders>
                    <w:tl2br w:val="nil"/>
                    <w:tr2bl w:val="nil"/>
                  </w:tcBorders>
                  <w:noWrap w:val="0"/>
                  <w:vAlign w:val="center"/>
                </w:tcPr>
                <w:p w14:paraId="6DDAD29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bCs/>
                      <w:color w:val="auto"/>
                      <w:sz w:val="21"/>
                      <w:szCs w:val="21"/>
                      <w:highlight w:val="none"/>
                      <w:vertAlign w:val="baseline"/>
                    </w:rPr>
                    <w:t>主要有毒有害物质名称</w:t>
                  </w:r>
                </w:p>
              </w:tc>
              <w:tc>
                <w:tcPr>
                  <w:tcW w:w="288" w:type="pct"/>
                  <w:tcBorders>
                    <w:tl2br w:val="nil"/>
                    <w:tr2bl w:val="nil"/>
                  </w:tcBorders>
                  <w:noWrap w:val="0"/>
                  <w:vAlign w:val="center"/>
                </w:tcPr>
                <w:p w14:paraId="1F19A11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bCs/>
                      <w:color w:val="auto"/>
                      <w:sz w:val="21"/>
                      <w:szCs w:val="21"/>
                      <w:highlight w:val="none"/>
                      <w:vertAlign w:val="baseline"/>
                    </w:rPr>
                    <w:t>物理性状</w:t>
                  </w:r>
                </w:p>
              </w:tc>
              <w:tc>
                <w:tcPr>
                  <w:tcW w:w="449" w:type="pct"/>
                  <w:tcBorders>
                    <w:tl2br w:val="nil"/>
                    <w:tr2bl w:val="nil"/>
                  </w:tcBorders>
                  <w:noWrap w:val="0"/>
                  <w:vAlign w:val="center"/>
                </w:tcPr>
                <w:p w14:paraId="46B00E5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bCs/>
                      <w:color w:val="auto"/>
                      <w:sz w:val="21"/>
                      <w:szCs w:val="21"/>
                      <w:highlight w:val="none"/>
                      <w:vertAlign w:val="baseline"/>
                    </w:rPr>
                    <w:t>环境危险特性</w:t>
                  </w:r>
                </w:p>
              </w:tc>
              <w:tc>
                <w:tcPr>
                  <w:tcW w:w="449" w:type="pct"/>
                  <w:tcBorders>
                    <w:tl2br w:val="nil"/>
                    <w:tr2bl w:val="nil"/>
                  </w:tcBorders>
                  <w:noWrap w:val="0"/>
                  <w:vAlign w:val="center"/>
                </w:tcPr>
                <w:p w14:paraId="420354A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bCs/>
                      <w:color w:val="auto"/>
                      <w:sz w:val="21"/>
                      <w:szCs w:val="21"/>
                      <w:highlight w:val="none"/>
                      <w:vertAlign w:val="baseline"/>
                    </w:rPr>
                    <w:t>年度产生量(t)</w:t>
                  </w:r>
                </w:p>
              </w:tc>
              <w:tc>
                <w:tcPr>
                  <w:tcW w:w="256" w:type="pct"/>
                  <w:tcBorders>
                    <w:tl2br w:val="nil"/>
                    <w:tr2bl w:val="nil"/>
                  </w:tcBorders>
                  <w:noWrap w:val="0"/>
                  <w:vAlign w:val="center"/>
                </w:tcPr>
                <w:p w14:paraId="27E266A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bCs/>
                      <w:color w:val="auto"/>
                      <w:sz w:val="21"/>
                      <w:szCs w:val="21"/>
                      <w:highlight w:val="none"/>
                      <w:vertAlign w:val="baseline"/>
                    </w:rPr>
                    <w:t>贮存方式</w:t>
                  </w:r>
                </w:p>
              </w:tc>
              <w:tc>
                <w:tcPr>
                  <w:tcW w:w="696" w:type="pct"/>
                  <w:tcBorders>
                    <w:tl2br w:val="nil"/>
                    <w:tr2bl w:val="nil"/>
                  </w:tcBorders>
                  <w:noWrap w:val="0"/>
                  <w:vAlign w:val="center"/>
                </w:tcPr>
                <w:p w14:paraId="4E609568">
                  <w:pPr>
                    <w:jc w:val="center"/>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b/>
                      <w:bCs/>
                      <w:color w:val="auto"/>
                      <w:sz w:val="21"/>
                      <w:szCs w:val="21"/>
                      <w:highlight w:val="none"/>
                      <w:vertAlign w:val="baseline"/>
                    </w:rPr>
                    <w:t>利用处置方式和去向</w:t>
                  </w:r>
                </w:p>
              </w:tc>
            </w:tr>
            <w:tr w14:paraId="2C9A22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408" w:type="pct"/>
                  <w:tcBorders>
                    <w:tl2br w:val="nil"/>
                    <w:tr2bl w:val="nil"/>
                  </w:tcBorders>
                  <w:noWrap w:val="0"/>
                  <w:vAlign w:val="center"/>
                </w:tcPr>
                <w:p w14:paraId="66322290">
                  <w:pPr>
                    <w:keepNext w:val="0"/>
                    <w:keepLines w:val="0"/>
                    <w:widowControl/>
                    <w:suppressLineNumbers w:val="0"/>
                    <w:jc w:val="center"/>
                    <w:textAlignment w:val="center"/>
                    <w:rPr>
                      <w:rFonts w:hint="default" w:ascii="Times New Roman" w:hAnsi="Times New Roman" w:cs="Times New Roman"/>
                      <w:b/>
                      <w:bCs/>
                      <w:color w:val="auto"/>
                      <w:sz w:val="21"/>
                      <w:szCs w:val="21"/>
                      <w:highlight w:val="none"/>
                      <w:vertAlign w:val="baseline"/>
                    </w:rPr>
                  </w:pPr>
                  <w:r>
                    <w:rPr>
                      <w:rFonts w:hint="eastAsia" w:ascii="宋体" w:hAnsi="宋体" w:eastAsia="宋体" w:cs="宋体"/>
                      <w:i w:val="0"/>
                      <w:iCs w:val="0"/>
                      <w:color w:val="000000"/>
                      <w:kern w:val="0"/>
                      <w:sz w:val="21"/>
                      <w:szCs w:val="21"/>
                      <w:u w:val="none"/>
                      <w:lang w:val="en-US" w:eastAsia="zh-CN" w:bidi="ar"/>
                    </w:rPr>
                    <w:t>抛光</w:t>
                  </w:r>
                </w:p>
              </w:tc>
              <w:tc>
                <w:tcPr>
                  <w:tcW w:w="590" w:type="pct"/>
                  <w:tcBorders>
                    <w:tl2br w:val="nil"/>
                    <w:tr2bl w:val="nil"/>
                  </w:tcBorders>
                  <w:noWrap w:val="0"/>
                  <w:vAlign w:val="center"/>
                </w:tcPr>
                <w:p w14:paraId="7E45105E">
                  <w:pPr>
                    <w:keepNext w:val="0"/>
                    <w:keepLines w:val="0"/>
                    <w:widowControl/>
                    <w:suppressLineNumbers w:val="0"/>
                    <w:jc w:val="center"/>
                    <w:textAlignment w:val="center"/>
                    <w:rPr>
                      <w:rFonts w:hint="default" w:ascii="Times New Roman" w:hAnsi="Times New Roman" w:cs="Times New Roman"/>
                      <w:b/>
                      <w:bCs/>
                      <w:color w:val="auto"/>
                      <w:sz w:val="21"/>
                      <w:szCs w:val="21"/>
                      <w:highlight w:val="none"/>
                      <w:vertAlign w:val="baseline"/>
                    </w:rPr>
                  </w:pPr>
                  <w:r>
                    <w:rPr>
                      <w:rFonts w:hint="eastAsia" w:ascii="宋体" w:hAnsi="宋体" w:eastAsia="宋体" w:cs="宋体"/>
                      <w:i w:val="0"/>
                      <w:iCs w:val="0"/>
                      <w:color w:val="000000"/>
                      <w:kern w:val="0"/>
                      <w:sz w:val="21"/>
                      <w:szCs w:val="21"/>
                      <w:u w:val="none"/>
                      <w:lang w:val="en-US" w:eastAsia="zh-CN" w:bidi="ar"/>
                    </w:rPr>
                    <w:t>废钢丸</w:t>
                  </w:r>
                </w:p>
              </w:tc>
              <w:tc>
                <w:tcPr>
                  <w:tcW w:w="320" w:type="pct"/>
                  <w:vMerge w:val="restart"/>
                  <w:tcBorders>
                    <w:tl2br w:val="nil"/>
                    <w:tr2bl w:val="nil"/>
                  </w:tcBorders>
                  <w:noWrap w:val="0"/>
                  <w:vAlign w:val="center"/>
                </w:tcPr>
                <w:p w14:paraId="5555BDF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一</w:t>
                  </w:r>
                  <w:r>
                    <w:rPr>
                      <w:rFonts w:hint="default" w:ascii="Times New Roman" w:hAnsi="Times New Roman" w:cs="Times New Roman"/>
                      <w:color w:val="auto"/>
                      <w:sz w:val="21"/>
                      <w:szCs w:val="21"/>
                      <w:highlight w:val="none"/>
                      <w:vertAlign w:val="baseline"/>
                      <w:lang w:eastAsia="zh-CN"/>
                    </w:rPr>
                    <w:t>般</w:t>
                  </w:r>
                  <w:r>
                    <w:rPr>
                      <w:rFonts w:hint="default" w:ascii="Times New Roman" w:hAnsi="Times New Roman" w:cs="Times New Roman"/>
                      <w:color w:val="auto"/>
                      <w:sz w:val="21"/>
                      <w:szCs w:val="21"/>
                      <w:highlight w:val="none"/>
                      <w:vertAlign w:val="baseline"/>
                      <w:lang w:val="en-US" w:eastAsia="zh-CN"/>
                    </w:rPr>
                    <w:t>工业</w:t>
                  </w:r>
                  <w:r>
                    <w:rPr>
                      <w:rFonts w:hint="default" w:ascii="Times New Roman" w:hAnsi="Times New Roman" w:cs="Times New Roman"/>
                      <w:color w:val="auto"/>
                      <w:sz w:val="21"/>
                      <w:szCs w:val="21"/>
                      <w:highlight w:val="none"/>
                      <w:vertAlign w:val="baseline"/>
                      <w:lang w:eastAsia="zh-CN"/>
                    </w:rPr>
                    <w:t>固废</w:t>
                  </w:r>
                </w:p>
              </w:tc>
              <w:tc>
                <w:tcPr>
                  <w:tcW w:w="449" w:type="pct"/>
                  <w:tcBorders>
                    <w:tl2br w:val="nil"/>
                    <w:tr2bl w:val="nil"/>
                  </w:tcBorders>
                  <w:noWrap w:val="0"/>
                  <w:vAlign w:val="center"/>
                </w:tcPr>
                <w:p w14:paraId="773FCA7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val="en-US" w:eastAsia="zh-CN"/>
                    </w:rPr>
                    <w:t>-</w:t>
                  </w:r>
                </w:p>
              </w:tc>
              <w:tc>
                <w:tcPr>
                  <w:tcW w:w="543" w:type="pct"/>
                  <w:tcBorders>
                    <w:tl2br w:val="nil"/>
                    <w:tr2bl w:val="nil"/>
                  </w:tcBorders>
                  <w:noWrap w:val="0"/>
                  <w:vAlign w:val="center"/>
                </w:tcPr>
                <w:p w14:paraId="187932A0">
                  <w:pPr>
                    <w:keepNext w:val="0"/>
                    <w:keepLines w:val="0"/>
                    <w:pageBreakBefore w:val="0"/>
                    <w:widowControl w:val="0"/>
                    <w:kinsoku/>
                    <w:wordWrap/>
                    <w:overflowPunct/>
                    <w:topLinePunct w:val="0"/>
                    <w:autoSpaceDE/>
                    <w:autoSpaceDN/>
                    <w:bidi w:val="0"/>
                    <w:adjustRightInd/>
                    <w:snapToGrid/>
                    <w:spacing w:after="0" w:afterLines="0"/>
                    <w:jc w:val="center"/>
                    <w:textAlignment w:val="auto"/>
                    <w:rPr>
                      <w:rFonts w:hint="default" w:ascii="Times New Roman" w:hAnsi="Times New Roman" w:cs="Times New Roman"/>
                      <w:b/>
                      <w:bCs/>
                      <w:color w:val="auto"/>
                      <w:sz w:val="21"/>
                      <w:szCs w:val="21"/>
                      <w:highlight w:val="none"/>
                      <w:vertAlign w:val="baseline"/>
                      <w:lang w:eastAsia="zh-CN"/>
                    </w:rPr>
                  </w:pPr>
                  <w:r>
                    <w:rPr>
                      <w:rFonts w:hint="default" w:ascii="Times New Roman" w:hAnsi="Times New Roman" w:cs="Times New Roman"/>
                      <w:b w:val="0"/>
                      <w:bCs w:val="0"/>
                      <w:color w:val="auto"/>
                      <w:szCs w:val="21"/>
                    </w:rPr>
                    <w:t>900-099-S59</w:t>
                  </w:r>
                </w:p>
              </w:tc>
              <w:tc>
                <w:tcPr>
                  <w:tcW w:w="547" w:type="pct"/>
                  <w:tcBorders>
                    <w:tl2br w:val="nil"/>
                    <w:tr2bl w:val="nil"/>
                  </w:tcBorders>
                  <w:noWrap w:val="0"/>
                  <w:vAlign w:val="center"/>
                </w:tcPr>
                <w:p w14:paraId="780E1EC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w:t>
                  </w:r>
                </w:p>
              </w:tc>
              <w:tc>
                <w:tcPr>
                  <w:tcW w:w="288" w:type="pct"/>
                  <w:tcBorders>
                    <w:tl2br w:val="nil"/>
                    <w:tr2bl w:val="nil"/>
                  </w:tcBorders>
                  <w:noWrap w:val="0"/>
                  <w:vAlign w:val="center"/>
                </w:tcPr>
                <w:p w14:paraId="44781BD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615A1D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w:t>
                  </w:r>
                </w:p>
              </w:tc>
              <w:tc>
                <w:tcPr>
                  <w:tcW w:w="449" w:type="pct"/>
                  <w:tcBorders>
                    <w:tl2br w:val="nil"/>
                    <w:tr2bl w:val="nil"/>
                  </w:tcBorders>
                  <w:noWrap w:val="0"/>
                  <w:vAlign w:val="center"/>
                </w:tcPr>
                <w:p w14:paraId="3E6C3CE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1</w:t>
                  </w:r>
                </w:p>
              </w:tc>
              <w:tc>
                <w:tcPr>
                  <w:tcW w:w="256" w:type="pct"/>
                  <w:tcBorders>
                    <w:tl2br w:val="nil"/>
                    <w:tr2bl w:val="nil"/>
                  </w:tcBorders>
                  <w:noWrap w:val="0"/>
                  <w:vAlign w:val="center"/>
                </w:tcPr>
                <w:p w14:paraId="790901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eastAsia="zh-CN"/>
                    </w:rPr>
                    <w:t>桶装</w:t>
                  </w:r>
                </w:p>
              </w:tc>
              <w:tc>
                <w:tcPr>
                  <w:tcW w:w="696" w:type="pct"/>
                  <w:tcBorders>
                    <w:tl2br w:val="nil"/>
                    <w:tr2bl w:val="nil"/>
                  </w:tcBorders>
                  <w:noWrap w:val="0"/>
                  <w:vAlign w:val="center"/>
                </w:tcPr>
                <w:p w14:paraId="7AB6187B">
                  <w:pPr>
                    <w:jc w:val="center"/>
                    <w:rPr>
                      <w:rFonts w:hint="default" w:ascii="Times New Roman" w:hAnsi="Times New Roman" w:cs="Times New Roman"/>
                      <w:b/>
                      <w:bCs/>
                      <w:color w:val="auto"/>
                      <w:sz w:val="21"/>
                      <w:szCs w:val="21"/>
                      <w:highlight w:val="none"/>
                      <w:vertAlign w:val="baseline"/>
                    </w:rPr>
                  </w:pPr>
                  <w:r>
                    <w:rPr>
                      <w:rFonts w:hint="eastAsia" w:ascii="Times New Roman" w:hAnsi="Times New Roman" w:cs="Times New Roman"/>
                      <w:color w:val="auto"/>
                      <w:sz w:val="21"/>
                      <w:szCs w:val="21"/>
                      <w:highlight w:val="none"/>
                      <w:vertAlign w:val="baseline"/>
                      <w:lang w:val="en-US" w:eastAsia="zh-CN"/>
                    </w:rPr>
                    <w:t>外售综合利用</w:t>
                  </w:r>
                </w:p>
              </w:tc>
            </w:tr>
            <w:tr w14:paraId="272E4E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408" w:type="pct"/>
                  <w:tcBorders>
                    <w:tl2br w:val="nil"/>
                    <w:tr2bl w:val="nil"/>
                  </w:tcBorders>
                  <w:noWrap w:val="0"/>
                  <w:vAlign w:val="center"/>
                </w:tcPr>
                <w:p w14:paraId="72263D7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喷塑</w:t>
                  </w:r>
                </w:p>
              </w:tc>
              <w:tc>
                <w:tcPr>
                  <w:tcW w:w="590" w:type="pct"/>
                  <w:tcBorders>
                    <w:tl2br w:val="nil"/>
                    <w:tr2bl w:val="nil"/>
                  </w:tcBorders>
                  <w:noWrap w:val="0"/>
                  <w:vAlign w:val="center"/>
                </w:tcPr>
                <w:p w14:paraId="6D9D619B">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废塑粉</w:t>
                  </w:r>
                </w:p>
              </w:tc>
              <w:tc>
                <w:tcPr>
                  <w:tcW w:w="320" w:type="pct"/>
                  <w:vMerge w:val="continue"/>
                  <w:tcBorders>
                    <w:tl2br w:val="nil"/>
                    <w:tr2bl w:val="nil"/>
                  </w:tcBorders>
                  <w:noWrap w:val="0"/>
                  <w:vAlign w:val="center"/>
                </w:tcPr>
                <w:p w14:paraId="170BAEA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p>
              </w:tc>
              <w:tc>
                <w:tcPr>
                  <w:tcW w:w="449" w:type="pct"/>
                  <w:tcBorders>
                    <w:tl2br w:val="nil"/>
                    <w:tr2bl w:val="nil"/>
                  </w:tcBorders>
                  <w:noWrap w:val="0"/>
                  <w:vAlign w:val="center"/>
                </w:tcPr>
                <w:p w14:paraId="624AF0F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c>
                <w:tcPr>
                  <w:tcW w:w="543" w:type="pct"/>
                  <w:tcBorders>
                    <w:tl2br w:val="nil"/>
                    <w:tr2bl w:val="nil"/>
                  </w:tcBorders>
                  <w:noWrap w:val="0"/>
                  <w:vAlign w:val="center"/>
                </w:tcPr>
                <w:p w14:paraId="7D67A628">
                  <w:pPr>
                    <w:keepNext w:val="0"/>
                    <w:keepLines w:val="0"/>
                    <w:pageBreakBefore w:val="0"/>
                    <w:widowControl w:val="0"/>
                    <w:kinsoku/>
                    <w:wordWrap/>
                    <w:overflowPunct/>
                    <w:topLinePunct w:val="0"/>
                    <w:autoSpaceDE/>
                    <w:autoSpaceDN/>
                    <w:bidi w:val="0"/>
                    <w:adjustRightInd/>
                    <w:snapToGrid/>
                    <w:spacing w:after="0" w:afterLines="0"/>
                    <w:jc w:val="center"/>
                    <w:textAlignment w:val="auto"/>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900-099-S59</w:t>
                  </w:r>
                </w:p>
              </w:tc>
              <w:tc>
                <w:tcPr>
                  <w:tcW w:w="547" w:type="pct"/>
                  <w:tcBorders>
                    <w:tl2br w:val="nil"/>
                    <w:tr2bl w:val="nil"/>
                  </w:tcBorders>
                  <w:noWrap w:val="0"/>
                  <w:vAlign w:val="center"/>
                </w:tcPr>
                <w:p w14:paraId="2C5234F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c>
                <w:tcPr>
                  <w:tcW w:w="288" w:type="pct"/>
                  <w:tcBorders>
                    <w:tl2br w:val="nil"/>
                    <w:tr2bl w:val="nil"/>
                  </w:tcBorders>
                  <w:noWrap w:val="0"/>
                  <w:vAlign w:val="center"/>
                </w:tcPr>
                <w:p w14:paraId="22C9259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48F5B2A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c>
                <w:tcPr>
                  <w:tcW w:w="449" w:type="pct"/>
                  <w:tcBorders>
                    <w:tl2br w:val="nil"/>
                    <w:tr2bl w:val="nil"/>
                  </w:tcBorders>
                  <w:noWrap w:val="0"/>
                  <w:vAlign w:val="center"/>
                </w:tcPr>
                <w:p w14:paraId="26245B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2.5393</w:t>
                  </w:r>
                </w:p>
              </w:tc>
              <w:tc>
                <w:tcPr>
                  <w:tcW w:w="256" w:type="pct"/>
                  <w:tcBorders>
                    <w:tl2br w:val="nil"/>
                    <w:tr2bl w:val="nil"/>
                  </w:tcBorders>
                  <w:noWrap w:val="0"/>
                  <w:vAlign w:val="center"/>
                </w:tcPr>
                <w:p w14:paraId="556341F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袋装</w:t>
                  </w:r>
                </w:p>
              </w:tc>
              <w:tc>
                <w:tcPr>
                  <w:tcW w:w="696" w:type="pct"/>
                  <w:tcBorders>
                    <w:tl2br w:val="nil"/>
                    <w:tr2bl w:val="nil"/>
                  </w:tcBorders>
                  <w:noWrap w:val="0"/>
                  <w:vAlign w:val="center"/>
                </w:tcPr>
                <w:p w14:paraId="5A65C65E">
                  <w:pPr>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回用于生产</w:t>
                  </w:r>
                </w:p>
              </w:tc>
            </w:tr>
            <w:tr w14:paraId="22A08D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408" w:type="pct"/>
                  <w:tcBorders>
                    <w:tl2br w:val="nil"/>
                    <w:tr2bl w:val="nil"/>
                  </w:tcBorders>
                  <w:noWrap w:val="0"/>
                  <w:vAlign w:val="center"/>
                </w:tcPr>
                <w:p w14:paraId="7FF1CBC4">
                  <w:pPr>
                    <w:keepNext w:val="0"/>
                    <w:keepLines w:val="0"/>
                    <w:widowControl/>
                    <w:suppressLineNumbers w:val="0"/>
                    <w:jc w:val="center"/>
                    <w:textAlignment w:val="center"/>
                    <w:rPr>
                      <w:rFonts w:hint="default" w:ascii="Times New Roman" w:hAnsi="Times New Roman" w:cs="Times New Roman"/>
                      <w:b/>
                      <w:bCs/>
                      <w:color w:val="auto"/>
                      <w:sz w:val="21"/>
                      <w:szCs w:val="21"/>
                      <w:highlight w:val="none"/>
                      <w:vertAlign w:val="baseline"/>
                    </w:rPr>
                  </w:pPr>
                  <w:r>
                    <w:rPr>
                      <w:rFonts w:hint="eastAsia" w:ascii="宋体" w:hAnsi="宋体" w:eastAsia="宋体" w:cs="宋体"/>
                      <w:i w:val="0"/>
                      <w:iCs w:val="0"/>
                      <w:color w:val="000000"/>
                      <w:kern w:val="0"/>
                      <w:sz w:val="21"/>
                      <w:szCs w:val="21"/>
                      <w:u w:val="none"/>
                      <w:lang w:val="en-US" w:eastAsia="zh-CN" w:bidi="ar"/>
                    </w:rPr>
                    <w:t>机加工</w:t>
                  </w:r>
                </w:p>
              </w:tc>
              <w:tc>
                <w:tcPr>
                  <w:tcW w:w="590" w:type="pct"/>
                  <w:tcBorders>
                    <w:tl2br w:val="nil"/>
                    <w:tr2bl w:val="nil"/>
                  </w:tcBorders>
                  <w:noWrap w:val="0"/>
                  <w:vAlign w:val="center"/>
                </w:tcPr>
                <w:p w14:paraId="1D9EF966">
                  <w:pPr>
                    <w:keepNext w:val="0"/>
                    <w:keepLines w:val="0"/>
                    <w:widowControl/>
                    <w:suppressLineNumbers w:val="0"/>
                    <w:jc w:val="center"/>
                    <w:textAlignment w:val="center"/>
                    <w:rPr>
                      <w:rFonts w:hint="default" w:ascii="Times New Roman" w:hAnsi="Times New Roman" w:cs="Times New Roman"/>
                      <w:b/>
                      <w:bCs/>
                      <w:color w:val="auto"/>
                      <w:sz w:val="21"/>
                      <w:szCs w:val="21"/>
                      <w:highlight w:val="none"/>
                      <w:vertAlign w:val="baseline"/>
                    </w:rPr>
                  </w:pPr>
                  <w:r>
                    <w:rPr>
                      <w:rFonts w:hint="eastAsia" w:ascii="宋体" w:hAnsi="宋体" w:eastAsia="宋体" w:cs="宋体"/>
                      <w:i w:val="0"/>
                      <w:iCs w:val="0"/>
                      <w:color w:val="000000"/>
                      <w:kern w:val="0"/>
                      <w:sz w:val="21"/>
                      <w:szCs w:val="21"/>
                      <w:u w:val="none"/>
                      <w:lang w:val="en-US" w:eastAsia="zh-CN" w:bidi="ar"/>
                    </w:rPr>
                    <w:t>废边角料</w:t>
                  </w:r>
                </w:p>
              </w:tc>
              <w:tc>
                <w:tcPr>
                  <w:tcW w:w="320" w:type="pct"/>
                  <w:vMerge w:val="continue"/>
                  <w:tcBorders>
                    <w:tl2br w:val="nil"/>
                    <w:tr2bl w:val="nil"/>
                  </w:tcBorders>
                  <w:noWrap w:val="0"/>
                  <w:vAlign w:val="center"/>
                </w:tcPr>
                <w:p w14:paraId="480A050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p>
              </w:tc>
              <w:tc>
                <w:tcPr>
                  <w:tcW w:w="449" w:type="pct"/>
                  <w:tcBorders>
                    <w:tl2br w:val="nil"/>
                    <w:tr2bl w:val="nil"/>
                  </w:tcBorders>
                  <w:noWrap w:val="0"/>
                  <w:vAlign w:val="center"/>
                </w:tcPr>
                <w:p w14:paraId="765C81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val="en-US" w:eastAsia="zh-CN"/>
                    </w:rPr>
                    <w:t>-</w:t>
                  </w:r>
                </w:p>
              </w:tc>
              <w:tc>
                <w:tcPr>
                  <w:tcW w:w="543" w:type="pct"/>
                  <w:tcBorders>
                    <w:tl2br w:val="nil"/>
                    <w:tr2bl w:val="nil"/>
                  </w:tcBorders>
                  <w:noWrap w:val="0"/>
                  <w:vAlign w:val="center"/>
                </w:tcPr>
                <w:p w14:paraId="4D8D192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lang w:eastAsia="zh-CN"/>
                    </w:rPr>
                  </w:pPr>
                  <w:r>
                    <w:rPr>
                      <w:rFonts w:hint="default" w:ascii="Times New Roman" w:hAnsi="Times New Roman" w:cs="Times New Roman"/>
                      <w:b w:val="0"/>
                      <w:bCs w:val="0"/>
                      <w:color w:val="auto"/>
                      <w:szCs w:val="21"/>
                    </w:rPr>
                    <w:t>900-099-S59</w:t>
                  </w:r>
                </w:p>
              </w:tc>
              <w:tc>
                <w:tcPr>
                  <w:tcW w:w="547" w:type="pct"/>
                  <w:tcBorders>
                    <w:tl2br w:val="nil"/>
                    <w:tr2bl w:val="nil"/>
                  </w:tcBorders>
                  <w:noWrap w:val="0"/>
                  <w:vAlign w:val="center"/>
                </w:tcPr>
                <w:p w14:paraId="798BCB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w:t>
                  </w:r>
                </w:p>
              </w:tc>
              <w:tc>
                <w:tcPr>
                  <w:tcW w:w="288" w:type="pct"/>
                  <w:tcBorders>
                    <w:tl2br w:val="nil"/>
                    <w:tr2bl w:val="nil"/>
                  </w:tcBorders>
                  <w:noWrap w:val="0"/>
                  <w:vAlign w:val="center"/>
                </w:tcPr>
                <w:p w14:paraId="52211CE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7281008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w:t>
                  </w:r>
                </w:p>
              </w:tc>
              <w:tc>
                <w:tcPr>
                  <w:tcW w:w="449" w:type="pct"/>
                  <w:tcBorders>
                    <w:tl2br w:val="nil"/>
                    <w:tr2bl w:val="nil"/>
                  </w:tcBorders>
                  <w:noWrap w:val="0"/>
                  <w:vAlign w:val="center"/>
                </w:tcPr>
                <w:p w14:paraId="176C490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6.7</w:t>
                  </w:r>
                </w:p>
              </w:tc>
              <w:tc>
                <w:tcPr>
                  <w:tcW w:w="256" w:type="pct"/>
                  <w:tcBorders>
                    <w:tl2br w:val="nil"/>
                    <w:tr2bl w:val="nil"/>
                  </w:tcBorders>
                  <w:noWrap w:val="0"/>
                  <w:vAlign w:val="center"/>
                </w:tcPr>
                <w:p w14:paraId="31730BA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袋装</w:t>
                  </w:r>
                </w:p>
              </w:tc>
              <w:tc>
                <w:tcPr>
                  <w:tcW w:w="696" w:type="pct"/>
                  <w:vMerge w:val="restart"/>
                  <w:tcBorders>
                    <w:tl2br w:val="nil"/>
                    <w:tr2bl w:val="nil"/>
                  </w:tcBorders>
                  <w:noWrap w:val="0"/>
                  <w:vAlign w:val="center"/>
                </w:tcPr>
                <w:p w14:paraId="63872CCB">
                  <w:pPr>
                    <w:jc w:val="center"/>
                    <w:rPr>
                      <w:rFonts w:hint="default" w:ascii="Times New Roman" w:hAnsi="Times New Roman" w:cs="Times New Roman"/>
                      <w:b w:val="0"/>
                      <w:bCs w:val="0"/>
                      <w:color w:val="auto"/>
                      <w:sz w:val="21"/>
                      <w:szCs w:val="21"/>
                      <w:highlight w:val="none"/>
                      <w:vertAlign w:val="baseline"/>
                    </w:rPr>
                  </w:pPr>
                  <w:r>
                    <w:rPr>
                      <w:rFonts w:hint="eastAsia" w:ascii="Times New Roman" w:hAnsi="Times New Roman" w:cs="Times New Roman"/>
                      <w:b w:val="0"/>
                      <w:bCs w:val="0"/>
                      <w:color w:val="auto"/>
                      <w:sz w:val="21"/>
                      <w:szCs w:val="21"/>
                      <w:highlight w:val="none"/>
                      <w:vertAlign w:val="baseline"/>
                      <w:lang w:val="en-US" w:eastAsia="zh-CN"/>
                    </w:rPr>
                    <w:t>外售综合利用</w:t>
                  </w:r>
                </w:p>
              </w:tc>
            </w:tr>
            <w:tr w14:paraId="6C18F5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408" w:type="pct"/>
                  <w:tcBorders>
                    <w:tl2br w:val="nil"/>
                    <w:tr2bl w:val="nil"/>
                  </w:tcBorders>
                  <w:noWrap w:val="0"/>
                  <w:vAlign w:val="center"/>
                </w:tcPr>
                <w:p w14:paraId="46A1E6B9">
                  <w:pPr>
                    <w:keepNext w:val="0"/>
                    <w:keepLines w:val="0"/>
                    <w:widowControl/>
                    <w:suppressLineNumbers w:val="0"/>
                    <w:jc w:val="center"/>
                    <w:textAlignment w:val="center"/>
                    <w:rPr>
                      <w:rFonts w:hint="default" w:ascii="Times New Roman" w:hAnsi="Times New Roman" w:cs="Times New Roman"/>
                      <w:b/>
                      <w:bCs/>
                      <w:color w:val="auto"/>
                      <w:sz w:val="21"/>
                      <w:szCs w:val="21"/>
                      <w:highlight w:val="none"/>
                      <w:vertAlign w:val="baseline"/>
                    </w:rPr>
                  </w:pPr>
                  <w:r>
                    <w:rPr>
                      <w:rFonts w:hint="eastAsia" w:ascii="宋体" w:hAnsi="宋体" w:eastAsia="宋体" w:cs="宋体"/>
                      <w:i w:val="0"/>
                      <w:iCs w:val="0"/>
                      <w:color w:val="000000"/>
                      <w:kern w:val="0"/>
                      <w:sz w:val="21"/>
                      <w:szCs w:val="21"/>
                      <w:u w:val="none"/>
                      <w:lang w:val="en-US" w:eastAsia="zh-CN" w:bidi="ar"/>
                    </w:rPr>
                    <w:t>废气处理</w:t>
                  </w:r>
                </w:p>
              </w:tc>
              <w:tc>
                <w:tcPr>
                  <w:tcW w:w="590" w:type="pct"/>
                  <w:tcBorders>
                    <w:tl2br w:val="nil"/>
                    <w:tr2bl w:val="nil"/>
                  </w:tcBorders>
                  <w:noWrap w:val="0"/>
                  <w:vAlign w:val="center"/>
                </w:tcPr>
                <w:p w14:paraId="7C717D60">
                  <w:pPr>
                    <w:keepNext w:val="0"/>
                    <w:keepLines w:val="0"/>
                    <w:widowControl/>
                    <w:suppressLineNumbers w:val="0"/>
                    <w:jc w:val="center"/>
                    <w:textAlignment w:val="center"/>
                    <w:rPr>
                      <w:rFonts w:hint="default" w:ascii="Times New Roman" w:hAnsi="Times New Roman" w:cs="Times New Roman"/>
                      <w:b/>
                      <w:bCs/>
                      <w:color w:val="auto"/>
                      <w:sz w:val="21"/>
                      <w:szCs w:val="21"/>
                      <w:highlight w:val="none"/>
                      <w:vertAlign w:val="baseline"/>
                    </w:rPr>
                  </w:pPr>
                  <w:r>
                    <w:rPr>
                      <w:rFonts w:hint="eastAsia" w:ascii="宋体" w:hAnsi="宋体" w:eastAsia="宋体" w:cs="宋体"/>
                      <w:i w:val="0"/>
                      <w:iCs w:val="0"/>
                      <w:color w:val="000000"/>
                      <w:kern w:val="0"/>
                      <w:sz w:val="21"/>
                      <w:szCs w:val="21"/>
                      <w:u w:val="none"/>
                      <w:lang w:val="en-US" w:eastAsia="zh-CN" w:bidi="ar"/>
                    </w:rPr>
                    <w:t>布袋收集的粉尘</w:t>
                  </w:r>
                </w:p>
              </w:tc>
              <w:tc>
                <w:tcPr>
                  <w:tcW w:w="320" w:type="pct"/>
                  <w:vMerge w:val="continue"/>
                  <w:tcBorders>
                    <w:tl2br w:val="nil"/>
                    <w:tr2bl w:val="nil"/>
                  </w:tcBorders>
                  <w:noWrap w:val="0"/>
                  <w:vAlign w:val="center"/>
                </w:tcPr>
                <w:p w14:paraId="2DE0E47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p>
              </w:tc>
              <w:tc>
                <w:tcPr>
                  <w:tcW w:w="449" w:type="pct"/>
                  <w:tcBorders>
                    <w:tl2br w:val="nil"/>
                    <w:tr2bl w:val="nil"/>
                  </w:tcBorders>
                  <w:noWrap w:val="0"/>
                  <w:vAlign w:val="center"/>
                </w:tcPr>
                <w:p w14:paraId="1CE2E82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lang w:eastAsia="zh-CN"/>
                    </w:rPr>
                  </w:pPr>
                  <w:r>
                    <w:rPr>
                      <w:rFonts w:hint="eastAsia" w:cs="Times New Roman"/>
                      <w:color w:val="auto"/>
                      <w:sz w:val="21"/>
                      <w:szCs w:val="21"/>
                      <w:highlight w:val="none"/>
                      <w:vertAlign w:val="baseline"/>
                      <w:lang w:val="en-US" w:eastAsia="zh-CN"/>
                    </w:rPr>
                    <w:t>-</w:t>
                  </w:r>
                </w:p>
              </w:tc>
              <w:tc>
                <w:tcPr>
                  <w:tcW w:w="543" w:type="pct"/>
                  <w:tcBorders>
                    <w:tl2br w:val="nil"/>
                    <w:tr2bl w:val="nil"/>
                  </w:tcBorders>
                  <w:noWrap w:val="0"/>
                  <w:vAlign w:val="center"/>
                </w:tcPr>
                <w:p w14:paraId="42A85A7C">
                  <w:pPr>
                    <w:keepNext w:val="0"/>
                    <w:keepLines w:val="0"/>
                    <w:pageBreakBefore w:val="0"/>
                    <w:widowControl w:val="0"/>
                    <w:kinsoku/>
                    <w:wordWrap/>
                    <w:overflowPunct/>
                    <w:topLinePunct w:val="0"/>
                    <w:autoSpaceDE/>
                    <w:autoSpaceDN/>
                    <w:bidi w:val="0"/>
                    <w:adjustRightInd/>
                    <w:snapToGrid/>
                    <w:spacing w:after="0" w:afterLines="0"/>
                    <w:jc w:val="center"/>
                    <w:textAlignment w:val="auto"/>
                    <w:rPr>
                      <w:rFonts w:hint="default" w:ascii="Times New Roman" w:hAnsi="Times New Roman" w:cs="Times New Roman"/>
                      <w:b/>
                      <w:bCs/>
                      <w:color w:val="auto"/>
                      <w:sz w:val="21"/>
                      <w:szCs w:val="21"/>
                      <w:highlight w:val="none"/>
                      <w:vertAlign w:val="baseline"/>
                      <w:lang w:eastAsia="zh-CN"/>
                    </w:rPr>
                  </w:pPr>
                  <w:r>
                    <w:rPr>
                      <w:rFonts w:hint="default" w:ascii="Times New Roman" w:hAnsi="Times New Roman" w:cs="Times New Roman"/>
                      <w:b w:val="0"/>
                      <w:bCs w:val="0"/>
                      <w:color w:val="auto"/>
                      <w:szCs w:val="21"/>
                    </w:rPr>
                    <w:t>900-099-S59</w:t>
                  </w:r>
                </w:p>
              </w:tc>
              <w:tc>
                <w:tcPr>
                  <w:tcW w:w="547" w:type="pct"/>
                  <w:tcBorders>
                    <w:tl2br w:val="nil"/>
                    <w:tr2bl w:val="nil"/>
                  </w:tcBorders>
                  <w:noWrap w:val="0"/>
                  <w:vAlign w:val="center"/>
                </w:tcPr>
                <w:p w14:paraId="4220E95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w:t>
                  </w:r>
                </w:p>
              </w:tc>
              <w:tc>
                <w:tcPr>
                  <w:tcW w:w="288" w:type="pct"/>
                  <w:tcBorders>
                    <w:tl2br w:val="nil"/>
                    <w:tr2bl w:val="nil"/>
                  </w:tcBorders>
                  <w:noWrap w:val="0"/>
                  <w:vAlign w:val="center"/>
                </w:tcPr>
                <w:p w14:paraId="6A2690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61C11BE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w:t>
                  </w:r>
                </w:p>
              </w:tc>
              <w:tc>
                <w:tcPr>
                  <w:tcW w:w="449" w:type="pct"/>
                  <w:tcBorders>
                    <w:tl2br w:val="nil"/>
                    <w:tr2bl w:val="nil"/>
                  </w:tcBorders>
                  <w:noWrap w:val="0"/>
                  <w:vAlign w:val="center"/>
                </w:tcPr>
                <w:p w14:paraId="61ADFDC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1.6356</w:t>
                  </w:r>
                </w:p>
              </w:tc>
              <w:tc>
                <w:tcPr>
                  <w:tcW w:w="256" w:type="pct"/>
                  <w:tcBorders>
                    <w:tl2br w:val="nil"/>
                    <w:tr2bl w:val="nil"/>
                  </w:tcBorders>
                  <w:noWrap w:val="0"/>
                  <w:vAlign w:val="center"/>
                </w:tcPr>
                <w:p w14:paraId="17D85B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袋装</w:t>
                  </w:r>
                </w:p>
              </w:tc>
              <w:tc>
                <w:tcPr>
                  <w:tcW w:w="696" w:type="pct"/>
                  <w:vMerge w:val="continue"/>
                  <w:tcBorders>
                    <w:tl2br w:val="nil"/>
                    <w:tr2bl w:val="nil"/>
                  </w:tcBorders>
                  <w:noWrap w:val="0"/>
                  <w:vAlign w:val="center"/>
                </w:tcPr>
                <w:p w14:paraId="2FA7776C">
                  <w:pPr>
                    <w:jc w:val="center"/>
                    <w:rPr>
                      <w:rFonts w:hint="default" w:ascii="Times New Roman" w:hAnsi="Times New Roman" w:cs="Times New Roman"/>
                      <w:b/>
                      <w:bCs/>
                      <w:color w:val="auto"/>
                      <w:sz w:val="21"/>
                      <w:szCs w:val="21"/>
                      <w:highlight w:val="none"/>
                      <w:vertAlign w:val="baseline"/>
                    </w:rPr>
                  </w:pPr>
                </w:p>
              </w:tc>
            </w:tr>
            <w:tr w14:paraId="5BD87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408" w:type="pct"/>
                  <w:tcBorders>
                    <w:tl2br w:val="nil"/>
                    <w:tr2bl w:val="nil"/>
                  </w:tcBorders>
                  <w:noWrap w:val="0"/>
                  <w:vAlign w:val="center"/>
                </w:tcPr>
                <w:p w14:paraId="03974903">
                  <w:pPr>
                    <w:keepNext w:val="0"/>
                    <w:keepLines w:val="0"/>
                    <w:widowControl/>
                    <w:suppressLineNumbers w:val="0"/>
                    <w:jc w:val="center"/>
                    <w:textAlignment w:val="center"/>
                    <w:rPr>
                      <w:rFonts w:hint="default" w:ascii="Times New Roman" w:hAnsi="Times New Roman" w:cs="Times New Roman"/>
                      <w:b/>
                      <w:bCs/>
                      <w:color w:val="auto"/>
                      <w:sz w:val="21"/>
                      <w:szCs w:val="21"/>
                      <w:highlight w:val="none"/>
                      <w:vertAlign w:val="baseline"/>
                    </w:rPr>
                  </w:pPr>
                  <w:r>
                    <w:rPr>
                      <w:rFonts w:hint="eastAsia" w:ascii="宋体" w:hAnsi="宋体" w:eastAsia="宋体" w:cs="宋体"/>
                      <w:i w:val="0"/>
                      <w:iCs w:val="0"/>
                      <w:color w:val="000000"/>
                      <w:kern w:val="0"/>
                      <w:sz w:val="21"/>
                      <w:szCs w:val="21"/>
                      <w:u w:val="none"/>
                      <w:lang w:val="en-US" w:eastAsia="zh-CN" w:bidi="ar"/>
                    </w:rPr>
                    <w:t>检验</w:t>
                  </w:r>
                </w:p>
              </w:tc>
              <w:tc>
                <w:tcPr>
                  <w:tcW w:w="590" w:type="pct"/>
                  <w:tcBorders>
                    <w:tl2br w:val="nil"/>
                    <w:tr2bl w:val="nil"/>
                  </w:tcBorders>
                  <w:noWrap w:val="0"/>
                  <w:vAlign w:val="center"/>
                </w:tcPr>
                <w:p w14:paraId="38697EAF">
                  <w:pPr>
                    <w:keepNext w:val="0"/>
                    <w:keepLines w:val="0"/>
                    <w:widowControl/>
                    <w:suppressLineNumbers w:val="0"/>
                    <w:jc w:val="center"/>
                    <w:textAlignment w:val="center"/>
                    <w:rPr>
                      <w:rFonts w:hint="default" w:ascii="Times New Roman" w:hAnsi="Times New Roman" w:cs="Times New Roman"/>
                      <w:b/>
                      <w:bCs/>
                      <w:color w:val="auto"/>
                      <w:sz w:val="21"/>
                      <w:szCs w:val="21"/>
                      <w:highlight w:val="none"/>
                      <w:vertAlign w:val="baseline"/>
                    </w:rPr>
                  </w:pPr>
                  <w:r>
                    <w:rPr>
                      <w:rFonts w:hint="eastAsia" w:ascii="宋体" w:hAnsi="宋体" w:eastAsia="宋体" w:cs="宋体"/>
                      <w:i w:val="0"/>
                      <w:iCs w:val="0"/>
                      <w:color w:val="000000"/>
                      <w:kern w:val="0"/>
                      <w:sz w:val="21"/>
                      <w:szCs w:val="21"/>
                      <w:u w:val="none"/>
                      <w:lang w:val="en-US" w:eastAsia="zh-CN" w:bidi="ar"/>
                    </w:rPr>
                    <w:t>不合格品</w:t>
                  </w:r>
                </w:p>
              </w:tc>
              <w:tc>
                <w:tcPr>
                  <w:tcW w:w="320" w:type="pct"/>
                  <w:vMerge w:val="continue"/>
                  <w:tcBorders>
                    <w:tl2br w:val="nil"/>
                    <w:tr2bl w:val="nil"/>
                  </w:tcBorders>
                  <w:noWrap w:val="0"/>
                  <w:vAlign w:val="center"/>
                </w:tcPr>
                <w:p w14:paraId="34D1F0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p>
              </w:tc>
              <w:tc>
                <w:tcPr>
                  <w:tcW w:w="449" w:type="pct"/>
                  <w:tcBorders>
                    <w:tl2br w:val="nil"/>
                    <w:tr2bl w:val="nil"/>
                  </w:tcBorders>
                  <w:noWrap w:val="0"/>
                  <w:vAlign w:val="center"/>
                </w:tcPr>
                <w:p w14:paraId="4DCF629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lang w:eastAsia="zh-CN"/>
                    </w:rPr>
                  </w:pPr>
                  <w:r>
                    <w:rPr>
                      <w:rFonts w:hint="eastAsia" w:cs="Times New Roman"/>
                      <w:color w:val="auto"/>
                      <w:sz w:val="21"/>
                      <w:szCs w:val="21"/>
                      <w:highlight w:val="none"/>
                      <w:vertAlign w:val="baseline"/>
                      <w:lang w:val="en-US" w:eastAsia="zh-CN"/>
                    </w:rPr>
                    <w:t>-</w:t>
                  </w:r>
                </w:p>
              </w:tc>
              <w:tc>
                <w:tcPr>
                  <w:tcW w:w="543" w:type="pct"/>
                  <w:tcBorders>
                    <w:tl2br w:val="nil"/>
                    <w:tr2bl w:val="nil"/>
                  </w:tcBorders>
                  <w:noWrap w:val="0"/>
                  <w:vAlign w:val="center"/>
                </w:tcPr>
                <w:p w14:paraId="53E2E8F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lang w:eastAsia="zh-CN"/>
                    </w:rPr>
                  </w:pPr>
                  <w:r>
                    <w:rPr>
                      <w:rFonts w:hint="default" w:ascii="Times New Roman" w:hAnsi="Times New Roman" w:cs="Times New Roman"/>
                      <w:b w:val="0"/>
                      <w:bCs w:val="0"/>
                      <w:color w:val="auto"/>
                      <w:szCs w:val="21"/>
                    </w:rPr>
                    <w:t>900-099-S59</w:t>
                  </w:r>
                </w:p>
              </w:tc>
              <w:tc>
                <w:tcPr>
                  <w:tcW w:w="547" w:type="pct"/>
                  <w:tcBorders>
                    <w:tl2br w:val="nil"/>
                    <w:tr2bl w:val="nil"/>
                  </w:tcBorders>
                  <w:noWrap w:val="0"/>
                  <w:vAlign w:val="center"/>
                </w:tcPr>
                <w:p w14:paraId="5F1742C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w:t>
                  </w:r>
                </w:p>
              </w:tc>
              <w:tc>
                <w:tcPr>
                  <w:tcW w:w="288" w:type="pct"/>
                  <w:tcBorders>
                    <w:tl2br w:val="nil"/>
                    <w:tr2bl w:val="nil"/>
                  </w:tcBorders>
                  <w:noWrap w:val="0"/>
                  <w:vAlign w:val="center"/>
                </w:tcPr>
                <w:p w14:paraId="26933A8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54A41AA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w:t>
                  </w:r>
                </w:p>
              </w:tc>
              <w:tc>
                <w:tcPr>
                  <w:tcW w:w="449" w:type="pct"/>
                  <w:tcBorders>
                    <w:tl2br w:val="nil"/>
                    <w:tr2bl w:val="nil"/>
                  </w:tcBorders>
                  <w:noWrap w:val="0"/>
                  <w:vAlign w:val="center"/>
                </w:tcPr>
                <w:p w14:paraId="09E60B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2</w:t>
                  </w:r>
                </w:p>
              </w:tc>
              <w:tc>
                <w:tcPr>
                  <w:tcW w:w="256" w:type="pct"/>
                  <w:tcBorders>
                    <w:tl2br w:val="nil"/>
                    <w:tr2bl w:val="nil"/>
                  </w:tcBorders>
                  <w:noWrap w:val="0"/>
                  <w:vAlign w:val="center"/>
                </w:tcPr>
                <w:p w14:paraId="4A2412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袋装</w:t>
                  </w:r>
                </w:p>
              </w:tc>
              <w:tc>
                <w:tcPr>
                  <w:tcW w:w="696" w:type="pct"/>
                  <w:vMerge w:val="continue"/>
                  <w:tcBorders>
                    <w:tl2br w:val="nil"/>
                    <w:tr2bl w:val="nil"/>
                  </w:tcBorders>
                  <w:noWrap w:val="0"/>
                  <w:vAlign w:val="center"/>
                </w:tcPr>
                <w:p w14:paraId="217F1D21">
                  <w:pPr>
                    <w:jc w:val="center"/>
                    <w:rPr>
                      <w:rFonts w:hint="default" w:ascii="Times New Roman" w:hAnsi="Times New Roman" w:cs="Times New Roman"/>
                      <w:b/>
                      <w:bCs/>
                      <w:color w:val="auto"/>
                      <w:sz w:val="21"/>
                      <w:szCs w:val="21"/>
                      <w:highlight w:val="none"/>
                      <w:vertAlign w:val="baseline"/>
                    </w:rPr>
                  </w:pPr>
                </w:p>
              </w:tc>
            </w:tr>
            <w:tr w14:paraId="1B26E5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08" w:type="pct"/>
                  <w:tcBorders>
                    <w:tl2br w:val="nil"/>
                    <w:tr2bl w:val="nil"/>
                  </w:tcBorders>
                  <w:noWrap w:val="0"/>
                  <w:vAlign w:val="center"/>
                </w:tcPr>
                <w:p w14:paraId="67C8449A">
                  <w:pPr>
                    <w:keepNext w:val="0"/>
                    <w:keepLines w:val="0"/>
                    <w:widowControl/>
                    <w:suppressLineNumbers w:val="0"/>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eastAsia" w:ascii="宋体" w:hAnsi="宋体" w:eastAsia="宋体" w:cs="宋体"/>
                      <w:i w:val="0"/>
                      <w:iCs w:val="0"/>
                      <w:color w:val="000000"/>
                      <w:kern w:val="0"/>
                      <w:sz w:val="21"/>
                      <w:szCs w:val="21"/>
                      <w:u w:val="none"/>
                      <w:lang w:val="en-US" w:eastAsia="zh-CN" w:bidi="ar"/>
                    </w:rPr>
                    <w:t>包装</w:t>
                  </w:r>
                </w:p>
              </w:tc>
              <w:tc>
                <w:tcPr>
                  <w:tcW w:w="590" w:type="pct"/>
                  <w:tcBorders>
                    <w:tl2br w:val="nil"/>
                    <w:tr2bl w:val="nil"/>
                  </w:tcBorders>
                  <w:noWrap w:val="0"/>
                  <w:vAlign w:val="center"/>
                </w:tcPr>
                <w:p w14:paraId="76B4A60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eastAsia" w:ascii="宋体" w:hAnsi="宋体" w:eastAsia="宋体" w:cs="宋体"/>
                      <w:i w:val="0"/>
                      <w:iCs w:val="0"/>
                      <w:color w:val="000000"/>
                      <w:kern w:val="0"/>
                      <w:sz w:val="21"/>
                      <w:szCs w:val="21"/>
                      <w:u w:val="none"/>
                      <w:lang w:val="en-US" w:eastAsia="zh-CN" w:bidi="ar"/>
                    </w:rPr>
                    <w:t>废包装桶</w:t>
                  </w:r>
                </w:p>
              </w:tc>
              <w:tc>
                <w:tcPr>
                  <w:tcW w:w="320" w:type="pct"/>
                  <w:vMerge w:val="restart"/>
                  <w:tcBorders>
                    <w:tl2br w:val="nil"/>
                    <w:tr2bl w:val="nil"/>
                  </w:tcBorders>
                  <w:noWrap w:val="0"/>
                  <w:vAlign w:val="center"/>
                </w:tcPr>
                <w:p w14:paraId="7306C7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危险废物</w:t>
                  </w:r>
                </w:p>
              </w:tc>
              <w:tc>
                <w:tcPr>
                  <w:tcW w:w="449" w:type="pct"/>
                  <w:tcBorders>
                    <w:tl2br w:val="nil"/>
                    <w:tr2bl w:val="nil"/>
                  </w:tcBorders>
                  <w:noWrap w:val="0"/>
                  <w:vAlign w:val="center"/>
                </w:tcPr>
                <w:p w14:paraId="1D6244DE">
                  <w:pPr>
                    <w:spacing w:line="240" w:lineRule="auto"/>
                    <w:jc w:val="cente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lang w:val="en-US" w:eastAsia="zh-CN"/>
                    </w:rPr>
                    <w:t>HW08</w:t>
                  </w:r>
                </w:p>
              </w:tc>
              <w:tc>
                <w:tcPr>
                  <w:tcW w:w="543" w:type="pct"/>
                  <w:tcBorders>
                    <w:tl2br w:val="nil"/>
                    <w:tr2bl w:val="nil"/>
                  </w:tcBorders>
                  <w:noWrap w:val="0"/>
                  <w:vAlign w:val="center"/>
                </w:tcPr>
                <w:p w14:paraId="5C4A62F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lang w:val="en-US" w:eastAsia="zh-CN"/>
                    </w:rPr>
                    <w:t>900-041-49</w:t>
                  </w:r>
                </w:p>
              </w:tc>
              <w:tc>
                <w:tcPr>
                  <w:tcW w:w="547" w:type="pct"/>
                  <w:tcBorders>
                    <w:tl2br w:val="nil"/>
                    <w:tr2bl w:val="nil"/>
                  </w:tcBorders>
                  <w:noWrap w:val="0"/>
                  <w:vAlign w:val="center"/>
                </w:tcPr>
                <w:p w14:paraId="629A34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胶水</w:t>
                  </w:r>
                </w:p>
              </w:tc>
              <w:tc>
                <w:tcPr>
                  <w:tcW w:w="288" w:type="pct"/>
                  <w:tcBorders>
                    <w:tl2br w:val="nil"/>
                    <w:tr2bl w:val="nil"/>
                  </w:tcBorders>
                  <w:noWrap w:val="0"/>
                  <w:vAlign w:val="center"/>
                </w:tcPr>
                <w:p w14:paraId="2574D72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376875A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T/In</w:t>
                  </w:r>
                </w:p>
              </w:tc>
              <w:tc>
                <w:tcPr>
                  <w:tcW w:w="449" w:type="pct"/>
                  <w:tcBorders>
                    <w:tl2br w:val="nil"/>
                    <w:tr2bl w:val="nil"/>
                  </w:tcBorders>
                  <w:noWrap w:val="0"/>
                  <w:vAlign w:val="center"/>
                </w:tcPr>
                <w:p w14:paraId="67E1FFB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1.2</w:t>
                  </w:r>
                </w:p>
              </w:tc>
              <w:tc>
                <w:tcPr>
                  <w:tcW w:w="256" w:type="pct"/>
                  <w:tcBorders>
                    <w:tl2br w:val="nil"/>
                    <w:tr2bl w:val="nil"/>
                  </w:tcBorders>
                  <w:noWrap w:val="0"/>
                  <w:vAlign w:val="center"/>
                </w:tcPr>
                <w:p w14:paraId="333CF92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桶装</w:t>
                  </w:r>
                </w:p>
              </w:tc>
              <w:tc>
                <w:tcPr>
                  <w:tcW w:w="696" w:type="pct"/>
                  <w:vMerge w:val="restart"/>
                  <w:tcBorders>
                    <w:tl2br w:val="nil"/>
                    <w:tr2bl w:val="nil"/>
                  </w:tcBorders>
                  <w:noWrap w:val="0"/>
                  <w:vAlign w:val="center"/>
                </w:tcPr>
                <w:p w14:paraId="3E1C64D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eastAsia="zh-CN"/>
                    </w:rPr>
                    <w:t>委托资质单位</w:t>
                  </w:r>
                  <w:r>
                    <w:rPr>
                      <w:rFonts w:hint="default" w:ascii="Times New Roman" w:hAnsi="Times New Roman" w:cs="Times New Roman"/>
                      <w:color w:val="auto"/>
                      <w:sz w:val="21"/>
                      <w:szCs w:val="21"/>
                      <w:highlight w:val="none"/>
                      <w:vertAlign w:val="baseline"/>
                      <w:lang w:val="en-US" w:eastAsia="zh-CN"/>
                    </w:rPr>
                    <w:t>处置</w:t>
                  </w:r>
                </w:p>
              </w:tc>
            </w:tr>
            <w:tr w14:paraId="1AB62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08" w:type="pct"/>
                  <w:tcBorders>
                    <w:tl2br w:val="nil"/>
                    <w:tr2bl w:val="nil"/>
                  </w:tcBorders>
                  <w:noWrap w:val="0"/>
                  <w:vAlign w:val="center"/>
                </w:tcPr>
                <w:p w14:paraId="53521A3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废气处理</w:t>
                  </w:r>
                </w:p>
              </w:tc>
              <w:tc>
                <w:tcPr>
                  <w:tcW w:w="590" w:type="pct"/>
                  <w:tcBorders>
                    <w:tl2br w:val="nil"/>
                    <w:tr2bl w:val="nil"/>
                  </w:tcBorders>
                  <w:noWrap w:val="0"/>
                  <w:vAlign w:val="center"/>
                </w:tcPr>
                <w:p w14:paraId="5963438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废活性炭</w:t>
                  </w:r>
                </w:p>
              </w:tc>
              <w:tc>
                <w:tcPr>
                  <w:tcW w:w="320" w:type="pct"/>
                  <w:vMerge w:val="continue"/>
                  <w:tcBorders>
                    <w:tl2br w:val="nil"/>
                    <w:tr2bl w:val="nil"/>
                  </w:tcBorders>
                  <w:noWrap w:val="0"/>
                  <w:vAlign w:val="center"/>
                </w:tcPr>
                <w:p w14:paraId="09E98B5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vertAlign w:val="baseline"/>
                      <w:lang w:val="en-US" w:eastAsia="zh-CN"/>
                    </w:rPr>
                  </w:pPr>
                </w:p>
              </w:tc>
              <w:tc>
                <w:tcPr>
                  <w:tcW w:w="449" w:type="pct"/>
                  <w:tcBorders>
                    <w:tl2br w:val="nil"/>
                    <w:tr2bl w:val="nil"/>
                  </w:tcBorders>
                  <w:noWrap w:val="0"/>
                  <w:vAlign w:val="center"/>
                </w:tcPr>
                <w:p w14:paraId="0602E3B5">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HW49</w:t>
                  </w:r>
                </w:p>
              </w:tc>
              <w:tc>
                <w:tcPr>
                  <w:tcW w:w="543" w:type="pct"/>
                  <w:tcBorders>
                    <w:tl2br w:val="nil"/>
                    <w:tr2bl w:val="nil"/>
                  </w:tcBorders>
                  <w:noWrap w:val="0"/>
                  <w:vAlign w:val="center"/>
                </w:tcPr>
                <w:p w14:paraId="1BE60BE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w:t>
                  </w:r>
                  <w:r>
                    <w:rPr>
                      <w:rFonts w:hint="eastAsia" w:ascii="Times New Roman" w:hAnsi="Times New Roman" w:eastAsia="宋体" w:cs="Times New Roman"/>
                      <w:color w:val="auto"/>
                      <w:sz w:val="21"/>
                      <w:szCs w:val="21"/>
                      <w:lang w:val="en-US" w:eastAsia="zh-CN"/>
                    </w:rPr>
                    <w:t>039</w:t>
                  </w:r>
                  <w:r>
                    <w:rPr>
                      <w:rFonts w:hint="default" w:ascii="Times New Roman" w:hAnsi="Times New Roman" w:eastAsia="宋体" w:cs="Times New Roman"/>
                      <w:color w:val="auto"/>
                      <w:sz w:val="21"/>
                      <w:szCs w:val="21"/>
                      <w:lang w:val="en-US" w:eastAsia="zh-CN"/>
                    </w:rPr>
                    <w:t>-49</w:t>
                  </w:r>
                </w:p>
              </w:tc>
              <w:tc>
                <w:tcPr>
                  <w:tcW w:w="547" w:type="pct"/>
                  <w:tcBorders>
                    <w:tl2br w:val="nil"/>
                    <w:tr2bl w:val="nil"/>
                  </w:tcBorders>
                  <w:noWrap w:val="0"/>
                  <w:vAlign w:val="center"/>
                </w:tcPr>
                <w:p w14:paraId="7BECF34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活性炭</w:t>
                  </w:r>
                </w:p>
              </w:tc>
              <w:tc>
                <w:tcPr>
                  <w:tcW w:w="288" w:type="pct"/>
                  <w:tcBorders>
                    <w:tl2br w:val="nil"/>
                    <w:tr2bl w:val="nil"/>
                  </w:tcBorders>
                  <w:noWrap w:val="0"/>
                  <w:vAlign w:val="center"/>
                </w:tcPr>
                <w:p w14:paraId="1B36B5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183376E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T/In</w:t>
                  </w:r>
                </w:p>
              </w:tc>
              <w:tc>
                <w:tcPr>
                  <w:tcW w:w="449" w:type="pct"/>
                  <w:tcBorders>
                    <w:tl2br w:val="nil"/>
                    <w:tr2bl w:val="nil"/>
                  </w:tcBorders>
                  <w:noWrap w:val="0"/>
                  <w:vAlign w:val="center"/>
                </w:tcPr>
                <w:p w14:paraId="30A7191D">
                  <w:pPr>
                    <w:keepNext w:val="0"/>
                    <w:keepLines w:val="0"/>
                    <w:pageBreakBefore w:val="0"/>
                    <w:widowControl w:val="0"/>
                    <w:kinsoku/>
                    <w:wordWrap/>
                    <w:overflowPunct/>
                    <w:topLinePunct w:val="0"/>
                    <w:autoSpaceDE/>
                    <w:autoSpaceDN/>
                    <w:bidi w:val="0"/>
                    <w:adjustRightInd/>
                    <w:snapToGrid/>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18.545</w:t>
                  </w:r>
                </w:p>
              </w:tc>
              <w:tc>
                <w:tcPr>
                  <w:tcW w:w="256" w:type="pct"/>
                  <w:tcBorders>
                    <w:tl2br w:val="nil"/>
                    <w:tr2bl w:val="nil"/>
                  </w:tcBorders>
                  <w:noWrap w:val="0"/>
                  <w:vAlign w:val="center"/>
                </w:tcPr>
                <w:p w14:paraId="10A2EEB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桶装</w:t>
                  </w:r>
                </w:p>
              </w:tc>
              <w:tc>
                <w:tcPr>
                  <w:tcW w:w="696" w:type="pct"/>
                  <w:vMerge w:val="continue"/>
                  <w:tcBorders>
                    <w:tl2br w:val="nil"/>
                    <w:tr2bl w:val="nil"/>
                  </w:tcBorders>
                  <w:noWrap w:val="0"/>
                  <w:vAlign w:val="center"/>
                </w:tcPr>
                <w:p w14:paraId="660BBDD5">
                  <w:pPr>
                    <w:jc w:val="center"/>
                    <w:rPr>
                      <w:rFonts w:hint="default" w:ascii="Times New Roman" w:hAnsi="Times New Roman" w:cs="Times New Roman"/>
                      <w:color w:val="auto"/>
                      <w:sz w:val="21"/>
                      <w:szCs w:val="21"/>
                      <w:highlight w:val="none"/>
                      <w:vertAlign w:val="baseline"/>
                      <w:lang w:eastAsia="zh-CN"/>
                    </w:rPr>
                  </w:pPr>
                </w:p>
              </w:tc>
            </w:tr>
            <w:tr w14:paraId="7C738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408" w:type="pct"/>
                  <w:tcBorders>
                    <w:tl2br w:val="nil"/>
                    <w:tr2bl w:val="nil"/>
                  </w:tcBorders>
                  <w:noWrap w:val="0"/>
                  <w:vAlign w:val="center"/>
                </w:tcPr>
                <w:p w14:paraId="0AA9692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设备保养</w:t>
                  </w:r>
                </w:p>
              </w:tc>
              <w:tc>
                <w:tcPr>
                  <w:tcW w:w="590" w:type="pct"/>
                  <w:tcBorders>
                    <w:tl2br w:val="nil"/>
                    <w:tr2bl w:val="nil"/>
                  </w:tcBorders>
                  <w:noWrap w:val="0"/>
                  <w:vAlign w:val="center"/>
                </w:tcPr>
                <w:p w14:paraId="7A42C6D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废润滑油</w:t>
                  </w:r>
                </w:p>
              </w:tc>
              <w:tc>
                <w:tcPr>
                  <w:tcW w:w="320" w:type="pct"/>
                  <w:vMerge w:val="continue"/>
                  <w:tcBorders>
                    <w:tl2br w:val="nil"/>
                    <w:tr2bl w:val="nil"/>
                  </w:tcBorders>
                  <w:noWrap w:val="0"/>
                  <w:vAlign w:val="center"/>
                </w:tcPr>
                <w:p w14:paraId="45D17A9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p>
              </w:tc>
              <w:tc>
                <w:tcPr>
                  <w:tcW w:w="449" w:type="pct"/>
                  <w:tcBorders>
                    <w:tl2br w:val="nil"/>
                    <w:tr2bl w:val="nil"/>
                  </w:tcBorders>
                  <w:noWrap w:val="0"/>
                  <w:vAlign w:val="center"/>
                </w:tcPr>
                <w:p w14:paraId="4607F4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HW08</w:t>
                  </w:r>
                </w:p>
              </w:tc>
              <w:tc>
                <w:tcPr>
                  <w:tcW w:w="543" w:type="pct"/>
                  <w:tcBorders>
                    <w:tl2br w:val="nil"/>
                    <w:tr2bl w:val="nil"/>
                  </w:tcBorders>
                  <w:noWrap w:val="0"/>
                  <w:vAlign w:val="center"/>
                </w:tcPr>
                <w:p w14:paraId="67085B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900-249-08</w:t>
                  </w:r>
                </w:p>
              </w:tc>
              <w:tc>
                <w:tcPr>
                  <w:tcW w:w="547" w:type="pct"/>
                  <w:tcBorders>
                    <w:tl2br w:val="nil"/>
                    <w:tr2bl w:val="nil"/>
                  </w:tcBorders>
                  <w:noWrap w:val="0"/>
                  <w:vAlign w:val="center"/>
                </w:tcPr>
                <w:p w14:paraId="3436F75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矿物油</w:t>
                  </w:r>
                </w:p>
              </w:tc>
              <w:tc>
                <w:tcPr>
                  <w:tcW w:w="288" w:type="pct"/>
                  <w:tcBorders>
                    <w:tl2br w:val="nil"/>
                    <w:tr2bl w:val="nil"/>
                  </w:tcBorders>
                  <w:noWrap w:val="0"/>
                  <w:vAlign w:val="center"/>
                </w:tcPr>
                <w:p w14:paraId="5EC812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007752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T/In</w:t>
                  </w:r>
                </w:p>
              </w:tc>
              <w:tc>
                <w:tcPr>
                  <w:tcW w:w="449" w:type="pct"/>
                  <w:tcBorders>
                    <w:tl2br w:val="nil"/>
                    <w:tr2bl w:val="nil"/>
                  </w:tcBorders>
                  <w:noWrap w:val="0"/>
                  <w:vAlign w:val="center"/>
                </w:tcPr>
                <w:p w14:paraId="5D7A11FE">
                  <w:pPr>
                    <w:keepNext w:val="0"/>
                    <w:keepLines w:val="0"/>
                    <w:pageBreakBefore w:val="0"/>
                    <w:widowControl w:val="0"/>
                    <w:kinsoku/>
                    <w:wordWrap/>
                    <w:overflowPunct/>
                    <w:topLinePunct w:val="0"/>
                    <w:autoSpaceDE/>
                    <w:autoSpaceDN/>
                    <w:bidi w:val="0"/>
                    <w:adjustRightInd/>
                    <w:snapToGrid/>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0.02</w:t>
                  </w:r>
                </w:p>
              </w:tc>
              <w:tc>
                <w:tcPr>
                  <w:tcW w:w="256" w:type="pct"/>
                  <w:tcBorders>
                    <w:tl2br w:val="nil"/>
                    <w:tr2bl w:val="nil"/>
                  </w:tcBorders>
                  <w:noWrap w:val="0"/>
                  <w:vAlign w:val="center"/>
                </w:tcPr>
                <w:p w14:paraId="0896B1E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桶装</w:t>
                  </w:r>
                </w:p>
              </w:tc>
              <w:tc>
                <w:tcPr>
                  <w:tcW w:w="696" w:type="pct"/>
                  <w:vMerge w:val="continue"/>
                  <w:tcBorders>
                    <w:tl2br w:val="nil"/>
                    <w:tr2bl w:val="nil"/>
                  </w:tcBorders>
                  <w:noWrap w:val="0"/>
                  <w:vAlign w:val="center"/>
                </w:tcPr>
                <w:p w14:paraId="4B44D468">
                  <w:pPr>
                    <w:jc w:val="center"/>
                    <w:rPr>
                      <w:rFonts w:hint="default" w:ascii="Times New Roman" w:hAnsi="Times New Roman" w:cs="Times New Roman"/>
                      <w:color w:val="auto"/>
                      <w:sz w:val="21"/>
                      <w:szCs w:val="21"/>
                      <w:highlight w:val="none"/>
                      <w:vertAlign w:val="baseline"/>
                      <w:lang w:eastAsia="zh-CN"/>
                    </w:rPr>
                  </w:pPr>
                </w:p>
              </w:tc>
            </w:tr>
            <w:tr w14:paraId="4F5676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408" w:type="pct"/>
                  <w:tcBorders>
                    <w:tl2br w:val="nil"/>
                    <w:tr2bl w:val="nil"/>
                  </w:tcBorders>
                  <w:noWrap w:val="0"/>
                  <w:vAlign w:val="center"/>
                </w:tcPr>
                <w:p w14:paraId="701AC189">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设备保养</w:t>
                  </w:r>
                </w:p>
              </w:tc>
              <w:tc>
                <w:tcPr>
                  <w:tcW w:w="590" w:type="pct"/>
                  <w:tcBorders>
                    <w:tl2br w:val="nil"/>
                    <w:tr2bl w:val="nil"/>
                  </w:tcBorders>
                  <w:noWrap w:val="0"/>
                  <w:vAlign w:val="center"/>
                </w:tcPr>
                <w:p w14:paraId="465BCAC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含油抹布及手套</w:t>
                  </w:r>
                </w:p>
              </w:tc>
              <w:tc>
                <w:tcPr>
                  <w:tcW w:w="320" w:type="pct"/>
                  <w:vMerge w:val="continue"/>
                  <w:tcBorders>
                    <w:tl2br w:val="nil"/>
                    <w:tr2bl w:val="nil"/>
                  </w:tcBorders>
                  <w:noWrap w:val="0"/>
                  <w:vAlign w:val="center"/>
                </w:tcPr>
                <w:p w14:paraId="05E126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c>
                <w:tcPr>
                  <w:tcW w:w="449" w:type="pct"/>
                  <w:tcBorders>
                    <w:tl2br w:val="nil"/>
                    <w:tr2bl w:val="nil"/>
                  </w:tcBorders>
                  <w:noWrap w:val="0"/>
                  <w:vAlign w:val="center"/>
                </w:tcPr>
                <w:p w14:paraId="4CE332D3">
                  <w:pPr>
                    <w:spacing w:line="240" w:lineRule="auto"/>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lang w:val="en-US" w:eastAsia="zh-CN"/>
                    </w:rPr>
                    <w:t>HW49</w:t>
                  </w:r>
                </w:p>
              </w:tc>
              <w:tc>
                <w:tcPr>
                  <w:tcW w:w="543" w:type="pct"/>
                  <w:tcBorders>
                    <w:tl2br w:val="nil"/>
                    <w:tr2bl w:val="nil"/>
                  </w:tcBorders>
                  <w:noWrap w:val="0"/>
                  <w:vAlign w:val="center"/>
                </w:tcPr>
                <w:p w14:paraId="6371C21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lang w:val="en-US" w:eastAsia="zh-CN"/>
                    </w:rPr>
                    <w:t>900-041-49</w:t>
                  </w:r>
                </w:p>
              </w:tc>
              <w:tc>
                <w:tcPr>
                  <w:tcW w:w="547" w:type="pct"/>
                  <w:tcBorders>
                    <w:tl2br w:val="nil"/>
                    <w:tr2bl w:val="nil"/>
                  </w:tcBorders>
                  <w:noWrap w:val="0"/>
                  <w:vAlign w:val="center"/>
                </w:tcPr>
                <w:p w14:paraId="28DDC6F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矿物油</w:t>
                  </w:r>
                </w:p>
              </w:tc>
              <w:tc>
                <w:tcPr>
                  <w:tcW w:w="288" w:type="pct"/>
                  <w:tcBorders>
                    <w:tl2br w:val="nil"/>
                    <w:tr2bl w:val="nil"/>
                  </w:tcBorders>
                  <w:noWrap w:val="0"/>
                  <w:vAlign w:val="center"/>
                </w:tcPr>
                <w:p w14:paraId="2793E8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21AD52F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T</w:t>
                  </w:r>
                </w:p>
              </w:tc>
              <w:tc>
                <w:tcPr>
                  <w:tcW w:w="449" w:type="pct"/>
                  <w:tcBorders>
                    <w:tl2br w:val="nil"/>
                    <w:tr2bl w:val="nil"/>
                  </w:tcBorders>
                  <w:noWrap w:val="0"/>
                  <w:vAlign w:val="center"/>
                </w:tcPr>
                <w:p w14:paraId="5A3E121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0.001</w:t>
                  </w:r>
                </w:p>
              </w:tc>
              <w:tc>
                <w:tcPr>
                  <w:tcW w:w="256" w:type="pct"/>
                  <w:tcBorders>
                    <w:tl2br w:val="nil"/>
                    <w:tr2bl w:val="nil"/>
                  </w:tcBorders>
                  <w:noWrap w:val="0"/>
                  <w:vAlign w:val="center"/>
                </w:tcPr>
                <w:p w14:paraId="6DB9AF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袋装</w:t>
                  </w:r>
                </w:p>
              </w:tc>
              <w:tc>
                <w:tcPr>
                  <w:tcW w:w="696" w:type="pct"/>
                  <w:vMerge w:val="continue"/>
                  <w:tcBorders>
                    <w:tl2br w:val="nil"/>
                    <w:tr2bl w:val="nil"/>
                  </w:tcBorders>
                  <w:noWrap w:val="0"/>
                  <w:vAlign w:val="center"/>
                </w:tcPr>
                <w:p w14:paraId="4BE11A60">
                  <w:pPr>
                    <w:jc w:val="center"/>
                    <w:rPr>
                      <w:rFonts w:hint="eastAsia" w:ascii="Times New Roman" w:hAnsi="Times New Roman" w:eastAsia="宋体" w:cs="Times New Roman"/>
                      <w:color w:val="auto"/>
                      <w:kern w:val="2"/>
                      <w:sz w:val="21"/>
                      <w:szCs w:val="21"/>
                      <w:highlight w:val="none"/>
                      <w:vertAlign w:val="baseline"/>
                      <w:lang w:val="en-US" w:eastAsia="zh-CN" w:bidi="ar-SA"/>
                    </w:rPr>
                  </w:pPr>
                </w:p>
              </w:tc>
            </w:tr>
            <w:tr w14:paraId="6F6D1B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08" w:type="pct"/>
                  <w:tcBorders>
                    <w:tl2br w:val="nil"/>
                    <w:tr2bl w:val="nil"/>
                  </w:tcBorders>
                  <w:noWrap w:val="0"/>
                  <w:vAlign w:val="center"/>
                </w:tcPr>
                <w:p w14:paraId="2229C0B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生活、办公</w:t>
                  </w:r>
                </w:p>
              </w:tc>
              <w:tc>
                <w:tcPr>
                  <w:tcW w:w="590" w:type="pct"/>
                  <w:tcBorders>
                    <w:tl2br w:val="nil"/>
                    <w:tr2bl w:val="nil"/>
                  </w:tcBorders>
                  <w:noWrap w:val="0"/>
                  <w:vAlign w:val="center"/>
                </w:tcPr>
                <w:p w14:paraId="1A539E4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生活垃圾</w:t>
                  </w:r>
                </w:p>
              </w:tc>
              <w:tc>
                <w:tcPr>
                  <w:tcW w:w="320" w:type="pct"/>
                  <w:tcBorders>
                    <w:tl2br w:val="nil"/>
                    <w:tr2bl w:val="nil"/>
                  </w:tcBorders>
                  <w:noWrap w:val="0"/>
                  <w:vAlign w:val="center"/>
                </w:tcPr>
                <w:p w14:paraId="26738BF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w:t>
                  </w:r>
                </w:p>
              </w:tc>
              <w:tc>
                <w:tcPr>
                  <w:tcW w:w="449" w:type="pct"/>
                  <w:tcBorders>
                    <w:tl2br w:val="nil"/>
                    <w:tr2bl w:val="nil"/>
                  </w:tcBorders>
                  <w:noWrap w:val="0"/>
                  <w:vAlign w:val="center"/>
                </w:tcPr>
                <w:p w14:paraId="16464E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c>
                <w:tcPr>
                  <w:tcW w:w="543" w:type="pct"/>
                  <w:tcBorders>
                    <w:tl2br w:val="nil"/>
                    <w:tr2bl w:val="nil"/>
                  </w:tcBorders>
                  <w:noWrap w:val="0"/>
                  <w:vAlign w:val="center"/>
                </w:tcPr>
                <w:p w14:paraId="55D842B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b w:val="0"/>
                      <w:bCs w:val="0"/>
                      <w:color w:val="auto"/>
                      <w:szCs w:val="21"/>
                    </w:rPr>
                    <w:t>900-099-S64</w:t>
                  </w:r>
                </w:p>
              </w:tc>
              <w:tc>
                <w:tcPr>
                  <w:tcW w:w="547" w:type="pct"/>
                  <w:tcBorders>
                    <w:tl2br w:val="nil"/>
                    <w:tr2bl w:val="nil"/>
                  </w:tcBorders>
                  <w:noWrap w:val="0"/>
                  <w:vAlign w:val="center"/>
                </w:tcPr>
                <w:p w14:paraId="2D66089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c>
                <w:tcPr>
                  <w:tcW w:w="288" w:type="pct"/>
                  <w:tcBorders>
                    <w:tl2br w:val="nil"/>
                    <w:tr2bl w:val="nil"/>
                  </w:tcBorders>
                  <w:noWrap w:val="0"/>
                  <w:vAlign w:val="center"/>
                </w:tcPr>
                <w:p w14:paraId="37E5BAE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eastAsia="zh-CN"/>
                    </w:rPr>
                    <w:t>固态</w:t>
                  </w:r>
                </w:p>
              </w:tc>
              <w:tc>
                <w:tcPr>
                  <w:tcW w:w="449" w:type="pct"/>
                  <w:tcBorders>
                    <w:tl2br w:val="nil"/>
                    <w:tr2bl w:val="nil"/>
                  </w:tcBorders>
                  <w:noWrap w:val="0"/>
                  <w:vAlign w:val="center"/>
                </w:tcPr>
                <w:p w14:paraId="05780B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c>
                <w:tcPr>
                  <w:tcW w:w="449" w:type="pct"/>
                  <w:tcBorders>
                    <w:tl2br w:val="nil"/>
                    <w:tr2bl w:val="nil"/>
                  </w:tcBorders>
                  <w:noWrap w:val="0"/>
                  <w:vAlign w:val="center"/>
                </w:tcPr>
                <w:p w14:paraId="7087377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6</w:t>
                  </w:r>
                </w:p>
              </w:tc>
              <w:tc>
                <w:tcPr>
                  <w:tcW w:w="256" w:type="pct"/>
                  <w:tcBorders>
                    <w:tl2br w:val="nil"/>
                    <w:tr2bl w:val="nil"/>
                  </w:tcBorders>
                  <w:noWrap w:val="0"/>
                  <w:vAlign w:val="center"/>
                </w:tcPr>
                <w:p w14:paraId="6778EE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袋装</w:t>
                  </w:r>
                </w:p>
              </w:tc>
              <w:tc>
                <w:tcPr>
                  <w:tcW w:w="696" w:type="pct"/>
                  <w:tcBorders>
                    <w:tl2br w:val="nil"/>
                    <w:tr2bl w:val="nil"/>
                  </w:tcBorders>
                  <w:noWrap w:val="0"/>
                  <w:vAlign w:val="center"/>
                </w:tcPr>
                <w:p w14:paraId="7E8D9E19">
                  <w:pPr>
                    <w:jc w:val="cente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委托环卫部门处置</w:t>
                  </w:r>
                </w:p>
              </w:tc>
            </w:tr>
          </w:tbl>
          <w:p w14:paraId="7BB79DC3">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1</w:t>
            </w:r>
            <w:r>
              <w:rPr>
                <w:rFonts w:hint="eastAsia" w:ascii="Times New Roman" w:hAnsi="Times New Roman" w:cs="Times New Roman"/>
                <w:color w:val="auto"/>
                <w:sz w:val="24"/>
                <w:highlight w:val="none"/>
                <w:lang w:eastAsia="zh-CN"/>
              </w:rPr>
              <w:t>）废钢丸</w:t>
            </w:r>
          </w:p>
          <w:p w14:paraId="27072FE0">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sz w:val="24"/>
                <w:szCs w:val="24"/>
                <w:lang w:eastAsia="zh-CN"/>
              </w:rPr>
              <w:t>项目根据客户的需求，部分产品需采用抛光工艺。在抛光的过程中会产生一定量的废钢丸。</w:t>
            </w:r>
            <w:r>
              <w:rPr>
                <w:rFonts w:hint="eastAsia" w:ascii="Times New Roman" w:hAnsi="Times New Roman" w:eastAsia="宋体" w:cs="Times New Roman"/>
                <w:bCs/>
                <w:color w:val="auto"/>
                <w:sz w:val="24"/>
              </w:rPr>
              <w:t>根据建设单位提供的资料，项目</w:t>
            </w:r>
            <w:r>
              <w:rPr>
                <w:rFonts w:hint="eastAsia" w:ascii="Times New Roman" w:hAnsi="Times New Roman" w:eastAsia="宋体" w:cs="Times New Roman"/>
                <w:bCs/>
                <w:color w:val="auto"/>
                <w:sz w:val="24"/>
                <w:lang w:eastAsia="zh-CN"/>
              </w:rPr>
              <w:t>废钢丸</w:t>
            </w:r>
            <w:r>
              <w:rPr>
                <w:rFonts w:hint="eastAsia" w:ascii="Times New Roman" w:hAnsi="Times New Roman" w:cs="Times New Roman"/>
                <w:color w:val="auto"/>
                <w:sz w:val="24"/>
                <w:szCs w:val="24"/>
                <w:lang w:eastAsia="zh-CN"/>
              </w:rPr>
              <w:t>的产生量约为钢丸量的</w:t>
            </w:r>
            <w:r>
              <w:rPr>
                <w:rFonts w:hint="eastAsia" w:ascii="Times New Roman" w:hAnsi="Times New Roman" w:cs="Times New Roman"/>
                <w:color w:val="auto"/>
                <w:sz w:val="24"/>
                <w:szCs w:val="24"/>
                <w:lang w:val="en-US" w:eastAsia="zh-CN"/>
              </w:rPr>
              <w:t>50%，则</w:t>
            </w:r>
            <w:r>
              <w:rPr>
                <w:rFonts w:hint="eastAsia" w:ascii="Times New Roman" w:hAnsi="Times New Roman" w:cs="Times New Roman"/>
                <w:color w:val="auto"/>
                <w:sz w:val="24"/>
                <w:szCs w:val="24"/>
                <w:lang w:eastAsia="zh-CN"/>
              </w:rPr>
              <w:t>废钢丸的产生量约为</w:t>
            </w:r>
            <w:r>
              <w:rPr>
                <w:rFonts w:hint="eastAsia" w:cs="Times New Roman"/>
                <w:color w:val="auto"/>
                <w:sz w:val="24"/>
                <w:szCs w:val="24"/>
                <w:lang w:val="en-US" w:eastAsia="zh-CN"/>
              </w:rPr>
              <w:t>1</w:t>
            </w:r>
            <w:r>
              <w:rPr>
                <w:rFonts w:hint="eastAsia" w:ascii="Times New Roman" w:hAnsi="Times New Roman" w:eastAsia="宋体" w:cs="Times New Roman"/>
                <w:bCs/>
                <w:color w:val="auto"/>
                <w:sz w:val="24"/>
                <w:lang w:val="en-US" w:eastAsia="zh-CN"/>
              </w:rPr>
              <w:t>t/a，</w:t>
            </w:r>
            <w:r>
              <w:rPr>
                <w:rFonts w:hint="eastAsia" w:ascii="Times New Roman" w:hAnsi="Times New Roman" w:eastAsia="宋体" w:cs="Times New Roman"/>
                <w:bCs/>
                <w:color w:val="auto"/>
                <w:sz w:val="24"/>
              </w:rPr>
              <w:t>收集后综合利用</w:t>
            </w:r>
            <w:r>
              <w:rPr>
                <w:rFonts w:hint="eastAsia" w:ascii="Times New Roman" w:hAnsi="Times New Roman" w:eastAsia="宋体" w:cs="Times New Roman"/>
                <w:bCs/>
                <w:color w:val="auto"/>
                <w:sz w:val="24"/>
                <w:lang w:eastAsia="zh-CN"/>
              </w:rPr>
              <w:t>。</w:t>
            </w:r>
          </w:p>
          <w:p w14:paraId="3EDCA80C">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2</w:t>
            </w:r>
            <w:r>
              <w:rPr>
                <w:rFonts w:hint="eastAsia" w:ascii="Times New Roman" w:hAnsi="Times New Roman" w:cs="Times New Roman"/>
                <w:color w:val="auto"/>
                <w:sz w:val="24"/>
                <w:highlight w:val="none"/>
                <w:lang w:eastAsia="zh-CN"/>
              </w:rPr>
              <w:t>）边角料</w:t>
            </w:r>
          </w:p>
          <w:p w14:paraId="7B567DB4">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eastAsia="zh-CN"/>
              </w:rPr>
              <w:t>项目磨加工开槽、倒角等工序会产生边角料，产生量约占原料的 1%，根据前文所述，项目使用钢材和摩擦材料共</w:t>
            </w:r>
            <w:r>
              <w:rPr>
                <w:rFonts w:hint="eastAsia" w:ascii="Times New Roman" w:hAnsi="Times New Roman" w:cs="Times New Roman"/>
                <w:color w:val="auto"/>
                <w:sz w:val="24"/>
                <w:highlight w:val="none"/>
                <w:lang w:val="en-US" w:eastAsia="zh-CN"/>
              </w:rPr>
              <w:t>670</w:t>
            </w:r>
            <w:r>
              <w:rPr>
                <w:rFonts w:hint="eastAsia" w:ascii="Times New Roman" w:hAnsi="Times New Roman" w:cs="Times New Roman"/>
                <w:color w:val="auto"/>
                <w:sz w:val="24"/>
                <w:highlight w:val="none"/>
                <w:lang w:eastAsia="zh-CN"/>
              </w:rPr>
              <w:t>t/a，则项目磨加工产生的边角料约为</w:t>
            </w:r>
            <w:r>
              <w:rPr>
                <w:rFonts w:hint="eastAsia" w:ascii="Times New Roman" w:hAnsi="Times New Roman" w:cs="Times New Roman"/>
                <w:color w:val="auto"/>
                <w:sz w:val="24"/>
                <w:highlight w:val="none"/>
                <w:lang w:val="en-US" w:eastAsia="zh-CN"/>
              </w:rPr>
              <w:t>6.7</w:t>
            </w:r>
            <w:r>
              <w:rPr>
                <w:rFonts w:hint="eastAsia" w:ascii="Times New Roman" w:hAnsi="Times New Roman" w:cs="Times New Roman"/>
                <w:color w:val="auto"/>
                <w:sz w:val="24"/>
                <w:highlight w:val="none"/>
                <w:lang w:eastAsia="zh-CN"/>
              </w:rPr>
              <w:t>t/a，磨加工产生的边角料为一般工业固废，统一收集后外售综合利用。</w:t>
            </w:r>
          </w:p>
          <w:p w14:paraId="5A12162F">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3</w:t>
            </w:r>
            <w:r>
              <w:rPr>
                <w:rFonts w:hint="eastAsia" w:ascii="Times New Roman" w:hAnsi="Times New Roman" w:cs="Times New Roman"/>
                <w:color w:val="auto"/>
                <w:sz w:val="24"/>
                <w:highlight w:val="none"/>
                <w:lang w:eastAsia="zh-CN"/>
              </w:rPr>
              <w:t>）废塑粉</w:t>
            </w:r>
          </w:p>
          <w:p w14:paraId="6EE5B7D1">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根据工程分析，</w:t>
            </w:r>
            <w:r>
              <w:rPr>
                <w:rFonts w:hint="eastAsia" w:ascii="Times New Roman" w:hAnsi="Times New Roman" w:eastAsia="宋体" w:cs="Times New Roman"/>
                <w:color w:val="auto"/>
                <w:sz w:val="24"/>
                <w:highlight w:val="none"/>
                <w:lang w:val="en-US" w:eastAsia="zh-CN"/>
              </w:rPr>
              <w:t>喷塑</w:t>
            </w:r>
            <w:r>
              <w:rPr>
                <w:rFonts w:hint="eastAsia" w:ascii="Times New Roman" w:hAnsi="Times New Roman" w:eastAsia="宋体" w:cs="Times New Roman"/>
                <w:color w:val="auto"/>
                <w:sz w:val="24"/>
                <w:highlight w:val="none"/>
                <w:lang w:eastAsia="zh-CN"/>
              </w:rPr>
              <w:t>布袋除尘器收集的粉尘量为</w:t>
            </w:r>
            <w:r>
              <w:rPr>
                <w:rFonts w:hint="eastAsia" w:ascii="Times New Roman" w:hAnsi="Times New Roman" w:eastAsia="宋体" w:cs="Times New Roman"/>
                <w:color w:val="auto"/>
                <w:sz w:val="24"/>
                <w:highlight w:val="none"/>
                <w:lang w:val="en-US" w:eastAsia="zh-CN"/>
              </w:rPr>
              <w:t>2.5393t/a，</w:t>
            </w:r>
            <w:r>
              <w:rPr>
                <w:rFonts w:hint="eastAsia" w:ascii="Times New Roman" w:hAnsi="Times New Roman" w:eastAsia="宋体" w:cs="Times New Roman"/>
                <w:color w:val="auto"/>
                <w:sz w:val="24"/>
                <w:highlight w:val="none"/>
                <w:lang w:eastAsia="zh-CN"/>
              </w:rPr>
              <w:t>收集后</w:t>
            </w:r>
            <w:r>
              <w:rPr>
                <w:rFonts w:hint="eastAsia" w:ascii="Times New Roman" w:hAnsi="Times New Roman" w:eastAsia="宋体" w:cs="Times New Roman"/>
                <w:color w:val="auto"/>
                <w:sz w:val="24"/>
                <w:highlight w:val="none"/>
                <w:lang w:val="en-US" w:eastAsia="zh-CN"/>
              </w:rPr>
              <w:t>外售综合利用。</w:t>
            </w:r>
          </w:p>
          <w:p w14:paraId="1A9C380A">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4</w:t>
            </w:r>
            <w:r>
              <w:rPr>
                <w:rFonts w:hint="eastAsia" w:ascii="Times New Roman" w:hAnsi="Times New Roman" w:cs="Times New Roman"/>
                <w:color w:val="auto"/>
                <w:sz w:val="24"/>
                <w:highlight w:val="none"/>
                <w:lang w:eastAsia="zh-CN"/>
              </w:rPr>
              <w:t>）不合格品</w:t>
            </w:r>
          </w:p>
          <w:p w14:paraId="162AE92C">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szCs w:val="22"/>
                <w:lang w:val="en-US" w:eastAsia="zh-CN"/>
              </w:rPr>
              <w:t>本项目</w:t>
            </w:r>
            <w:r>
              <w:rPr>
                <w:rFonts w:hint="default" w:ascii="Times New Roman" w:hAnsi="Times New Roman" w:cs="Times New Roman"/>
                <w:color w:val="auto"/>
                <w:sz w:val="24"/>
                <w:szCs w:val="22"/>
                <w:lang w:val="en-US" w:eastAsia="zh-CN"/>
              </w:rPr>
              <w:t>装配</w:t>
            </w:r>
            <w:r>
              <w:rPr>
                <w:rFonts w:hint="eastAsia" w:ascii="Times New Roman" w:hAnsi="Times New Roman" w:cs="Times New Roman"/>
                <w:color w:val="auto"/>
                <w:sz w:val="24"/>
                <w:szCs w:val="22"/>
                <w:lang w:val="en-US" w:eastAsia="zh-CN"/>
              </w:rPr>
              <w:t>检验</w:t>
            </w:r>
            <w:r>
              <w:rPr>
                <w:rFonts w:hint="default" w:ascii="Times New Roman" w:hAnsi="Times New Roman" w:cs="Times New Roman"/>
                <w:color w:val="auto"/>
                <w:sz w:val="24"/>
                <w:szCs w:val="22"/>
                <w:lang w:val="en-US" w:eastAsia="zh-CN"/>
              </w:rPr>
              <w:t>过程中</w:t>
            </w:r>
            <w:r>
              <w:rPr>
                <w:rFonts w:hint="default" w:ascii="Times New Roman" w:hAnsi="Times New Roman" w:eastAsia="宋体" w:cs="Times New Roman"/>
                <w:color w:val="auto"/>
                <w:sz w:val="24"/>
                <w:szCs w:val="22"/>
                <w:lang w:val="en-US" w:eastAsia="zh-CN"/>
              </w:rPr>
              <w:t>会产生一定量的不合格品</w:t>
            </w:r>
            <w:r>
              <w:rPr>
                <w:rFonts w:hint="default" w:ascii="Times New Roman" w:hAnsi="Times New Roman" w:cs="Times New Roman"/>
                <w:b w:val="0"/>
                <w:bCs w:val="0"/>
                <w:color w:val="auto"/>
                <w:sz w:val="24"/>
                <w:szCs w:val="24"/>
              </w:rPr>
              <w:t>，经建设单位确认</w:t>
            </w:r>
            <w:r>
              <w:rPr>
                <w:rFonts w:hint="default" w:ascii="Times New Roman" w:hAnsi="Times New Roman" w:cs="Times New Roman"/>
                <w:b w:val="0"/>
                <w:bCs w:val="0"/>
                <w:color w:val="auto"/>
                <w:sz w:val="24"/>
                <w:szCs w:val="24"/>
                <w:lang w:val="en-US" w:eastAsia="zh-CN"/>
              </w:rPr>
              <w:t>，</w:t>
            </w:r>
            <w:r>
              <w:rPr>
                <w:rFonts w:hint="default" w:ascii="Times New Roman" w:hAnsi="Times New Roman" w:cs="Times New Roman"/>
                <w:b w:val="0"/>
                <w:bCs w:val="0"/>
                <w:color w:val="auto"/>
                <w:sz w:val="24"/>
                <w:szCs w:val="24"/>
              </w:rPr>
              <w:t>不合格</w:t>
            </w:r>
            <w:r>
              <w:rPr>
                <w:rFonts w:hint="default" w:ascii="Times New Roman" w:hAnsi="Times New Roman" w:cs="Times New Roman"/>
                <w:color w:val="auto"/>
                <w:sz w:val="24"/>
                <w:szCs w:val="22"/>
                <w:lang w:val="en-US" w:eastAsia="zh-CN"/>
              </w:rPr>
              <w:t>品</w:t>
            </w:r>
            <w:r>
              <w:rPr>
                <w:rFonts w:hint="default" w:ascii="Times New Roman" w:hAnsi="Times New Roman" w:cs="Times New Roman"/>
                <w:b w:val="0"/>
                <w:bCs w:val="0"/>
                <w:color w:val="auto"/>
                <w:sz w:val="24"/>
                <w:szCs w:val="24"/>
              </w:rPr>
              <w:t>产生量约为</w:t>
            </w:r>
            <w:r>
              <w:rPr>
                <w:rFonts w:hint="eastAsia" w:ascii="Times New Roman" w:hAnsi="Times New Roman"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t/a</w:t>
            </w:r>
            <w:r>
              <w:rPr>
                <w:rFonts w:hint="default" w:ascii="Times New Roman" w:hAnsi="Times New Roman" w:cs="Times New Roman"/>
                <w:b w:val="0"/>
                <w:bCs w:val="0"/>
                <w:color w:val="auto"/>
                <w:sz w:val="24"/>
                <w:szCs w:val="24"/>
              </w:rPr>
              <w:t>，</w:t>
            </w:r>
            <w:r>
              <w:rPr>
                <w:rFonts w:hint="default" w:ascii="Times New Roman" w:hAnsi="Times New Roman" w:cs="Times New Roman"/>
                <w:b w:val="0"/>
                <w:bCs w:val="0"/>
                <w:color w:val="auto"/>
                <w:sz w:val="24"/>
                <w:szCs w:val="24"/>
                <w:lang w:val="en-US" w:eastAsia="zh-CN"/>
              </w:rPr>
              <w:t>集中收集后</w:t>
            </w:r>
            <w:r>
              <w:rPr>
                <w:rFonts w:hint="default" w:ascii="Times New Roman" w:hAnsi="Times New Roman" w:eastAsia="宋体" w:cs="Times New Roman"/>
                <w:color w:val="auto"/>
                <w:sz w:val="24"/>
                <w:szCs w:val="24"/>
                <w:lang w:val="en-US" w:eastAsia="zh-CN"/>
              </w:rPr>
              <w:t>送入</w:t>
            </w:r>
            <w:r>
              <w:rPr>
                <w:rFonts w:hint="eastAsia" w:ascii="Times New Roman" w:hAnsi="Times New Roman" w:eastAsia="宋体" w:cs="Times New Roman"/>
                <w:color w:val="auto"/>
                <w:sz w:val="24"/>
                <w:szCs w:val="24"/>
                <w:lang w:val="en-US" w:eastAsia="zh-CN"/>
              </w:rPr>
              <w:t>一般固废库</w:t>
            </w:r>
            <w:r>
              <w:rPr>
                <w:rFonts w:hint="default" w:ascii="Times New Roman" w:hAnsi="Times New Roman" w:eastAsia="宋体" w:cs="Times New Roman"/>
                <w:color w:val="auto"/>
                <w:sz w:val="24"/>
                <w:szCs w:val="24"/>
                <w:lang w:val="en-US" w:eastAsia="zh-CN"/>
              </w:rPr>
              <w:t>暂存，</w:t>
            </w:r>
            <w:r>
              <w:rPr>
                <w:rFonts w:hint="eastAsia" w:ascii="Times New Roman" w:hAnsi="Times New Roman" w:eastAsia="宋体" w:cs="Times New Roman"/>
                <w:color w:val="auto"/>
                <w:sz w:val="24"/>
                <w:highlight w:val="none"/>
                <w:lang w:eastAsia="zh-CN"/>
              </w:rPr>
              <w:t>收集后</w:t>
            </w:r>
            <w:r>
              <w:rPr>
                <w:rFonts w:hint="eastAsia" w:ascii="Times New Roman" w:hAnsi="Times New Roman" w:eastAsia="宋体" w:cs="Times New Roman"/>
                <w:color w:val="auto"/>
                <w:sz w:val="24"/>
                <w:highlight w:val="none"/>
                <w:lang w:val="en-US" w:eastAsia="zh-CN"/>
              </w:rPr>
              <w:t>外售综合利用</w:t>
            </w:r>
            <w:r>
              <w:rPr>
                <w:rFonts w:hint="eastAsia" w:ascii="Times New Roman" w:hAnsi="Times New Roman" w:eastAsia="宋体" w:cs="Times New Roman"/>
                <w:color w:val="auto"/>
                <w:sz w:val="24"/>
                <w:szCs w:val="24"/>
                <w:lang w:val="en-US" w:eastAsia="zh-CN"/>
              </w:rPr>
              <w:t>。</w:t>
            </w:r>
          </w:p>
          <w:p w14:paraId="7E19325E">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5</w:t>
            </w:r>
            <w:r>
              <w:rPr>
                <w:rFonts w:hint="eastAsia" w:ascii="Times New Roman" w:hAnsi="Times New Roman" w:cs="Times New Roman"/>
                <w:color w:val="auto"/>
                <w:sz w:val="24"/>
                <w:highlight w:val="none"/>
                <w:lang w:eastAsia="zh-CN"/>
              </w:rPr>
              <w:t>）布袋收集的粉尘</w:t>
            </w:r>
          </w:p>
          <w:p w14:paraId="6A5B7498">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根据工程分析，布袋除尘器收集（</w:t>
            </w:r>
            <w:r>
              <w:rPr>
                <w:rFonts w:hint="eastAsia" w:ascii="Times New Roman" w:hAnsi="Times New Roman" w:eastAsia="宋体" w:cs="Times New Roman"/>
                <w:color w:val="auto"/>
                <w:sz w:val="24"/>
                <w:highlight w:val="none"/>
                <w:lang w:val="en-US" w:eastAsia="zh-CN"/>
              </w:rPr>
              <w:t>除喷塑外</w:t>
            </w:r>
            <w:r>
              <w:rPr>
                <w:rFonts w:hint="eastAsia" w:ascii="Times New Roman" w:hAnsi="Times New Roman" w:eastAsia="宋体" w:cs="Times New Roman"/>
                <w:color w:val="auto"/>
                <w:sz w:val="24"/>
                <w:highlight w:val="none"/>
                <w:lang w:eastAsia="zh-CN"/>
              </w:rPr>
              <w:t>）的粉尘量为</w:t>
            </w:r>
            <w:r>
              <w:rPr>
                <w:rFonts w:hint="eastAsia" w:ascii="Times New Roman" w:hAnsi="Times New Roman" w:eastAsia="宋体" w:cs="Times New Roman"/>
                <w:color w:val="auto"/>
                <w:sz w:val="24"/>
                <w:highlight w:val="none"/>
                <w:lang w:val="en-US" w:eastAsia="zh-CN"/>
              </w:rPr>
              <w:t>1.6356t/a，</w:t>
            </w:r>
            <w:r>
              <w:rPr>
                <w:rFonts w:hint="eastAsia" w:ascii="Times New Roman" w:hAnsi="Times New Roman" w:eastAsia="宋体" w:cs="Times New Roman"/>
                <w:color w:val="auto"/>
                <w:sz w:val="24"/>
                <w:highlight w:val="none"/>
                <w:lang w:eastAsia="zh-CN"/>
              </w:rPr>
              <w:t>收集后</w:t>
            </w:r>
            <w:r>
              <w:rPr>
                <w:rFonts w:hint="eastAsia" w:ascii="Times New Roman" w:hAnsi="Times New Roman" w:eastAsia="宋体" w:cs="Times New Roman"/>
                <w:color w:val="auto"/>
                <w:sz w:val="24"/>
                <w:highlight w:val="none"/>
                <w:lang w:val="en-US" w:eastAsia="zh-CN"/>
              </w:rPr>
              <w:t>外售综合利用。</w:t>
            </w:r>
          </w:p>
          <w:p w14:paraId="63906D3B">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6</w:t>
            </w:r>
            <w:r>
              <w:rPr>
                <w:rFonts w:hint="eastAsia" w:ascii="Times New Roman" w:hAnsi="Times New Roman" w:cs="Times New Roman"/>
                <w:color w:val="auto"/>
                <w:sz w:val="24"/>
                <w:highlight w:val="none"/>
                <w:lang w:eastAsia="zh-CN"/>
              </w:rPr>
              <w:t>）废包装桶</w:t>
            </w:r>
          </w:p>
          <w:p w14:paraId="40ECAD2F">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default" w:ascii="Times New Roman" w:hAnsi="Times New Roman" w:cs="Times New Roman"/>
                <w:color w:val="auto"/>
                <w:sz w:val="24"/>
                <w:highlight w:val="none"/>
                <w:lang w:val="en-US" w:eastAsia="zh-CN"/>
              </w:rPr>
            </w:pPr>
            <w:r>
              <w:rPr>
                <w:rFonts w:hint="eastAsia" w:ascii="Times New Roman" w:hAnsi="Times New Roman" w:cs="Times New Roman"/>
                <w:b w:val="0"/>
                <w:color w:val="auto"/>
                <w:sz w:val="24"/>
                <w:szCs w:val="24"/>
                <w:lang w:val="en-US" w:eastAsia="zh-CN"/>
              </w:rPr>
              <w:t>本项目胶水、润滑油等使用后会产生废包装桶。经计算年产生废铁桶约600个，铁桶内壁沾染少量原料，单个废铁桶重约2kg。合计原料废包装桶为1.2t/a，根据《国家危险废物名录》（2025年版），废包装桶属于危险废物，废物类别HW49，废物代码为900-041-49，</w:t>
            </w:r>
            <w:r>
              <w:rPr>
                <w:rFonts w:hint="default" w:ascii="Times New Roman" w:hAnsi="Times New Roman" w:eastAsia="宋体" w:cs="Times New Roman"/>
                <w:b w:val="0"/>
                <w:color w:val="auto"/>
                <w:kern w:val="2"/>
                <w:sz w:val="24"/>
                <w:szCs w:val="24"/>
                <w:highlight w:val="none"/>
                <w:lang w:val="en-US" w:eastAsia="zh-CN" w:bidi="ar-SA"/>
              </w:rPr>
              <w:t>在危险废物暂存间暂存后</w:t>
            </w:r>
            <w:r>
              <w:rPr>
                <w:rFonts w:hint="default" w:ascii="Times New Roman" w:hAnsi="Times New Roman" w:eastAsia="宋体" w:cs="Times New Roman"/>
                <w:b w:val="0"/>
                <w:color w:val="auto"/>
                <w:kern w:val="2"/>
                <w:sz w:val="24"/>
                <w:szCs w:val="24"/>
                <w:lang w:val="en-US" w:eastAsia="zh-CN" w:bidi="ar-SA"/>
              </w:rPr>
              <w:t>，委托有资质处置单位安全处置</w:t>
            </w:r>
            <w:r>
              <w:rPr>
                <w:rFonts w:hint="eastAsia" w:ascii="Times New Roman" w:hAnsi="Times New Roman" w:cs="Times New Roman"/>
                <w:b w:val="0"/>
                <w:color w:val="auto"/>
                <w:sz w:val="24"/>
                <w:szCs w:val="24"/>
                <w:lang w:val="en-US" w:eastAsia="zh-CN"/>
              </w:rPr>
              <w:t>。</w:t>
            </w:r>
          </w:p>
          <w:p w14:paraId="3C70EDF2">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7</w:t>
            </w:r>
            <w:r>
              <w:rPr>
                <w:rFonts w:hint="eastAsia" w:ascii="Times New Roman" w:hAnsi="Times New Roman" w:cs="Times New Roman"/>
                <w:color w:val="auto"/>
                <w:sz w:val="24"/>
                <w:highlight w:val="none"/>
                <w:lang w:eastAsia="zh-CN"/>
              </w:rPr>
              <w:t>）废活性炭</w:t>
            </w:r>
          </w:p>
          <w:p w14:paraId="2069088B">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eastAsia="宋体" w:cs="Times New Roman"/>
                <w:b w:val="0"/>
                <w:color w:val="auto"/>
                <w:kern w:val="2"/>
                <w:sz w:val="24"/>
                <w:szCs w:val="24"/>
                <w:highlight w:val="none"/>
                <w:lang w:val="en-US" w:eastAsia="zh-CN" w:bidi="ar-SA"/>
              </w:rPr>
              <w:t>根据计算，两套废活性炭产生量为18.544</w:t>
            </w:r>
            <w:r>
              <w:rPr>
                <w:rFonts w:hint="default" w:ascii="Times New Roman" w:hAnsi="Times New Roman" w:eastAsia="宋体" w:cs="Times New Roman"/>
                <w:b w:val="0"/>
                <w:color w:val="auto"/>
                <w:kern w:val="2"/>
                <w:sz w:val="24"/>
                <w:szCs w:val="24"/>
                <w:highlight w:val="none"/>
                <w:lang w:val="en-US" w:eastAsia="zh-CN" w:bidi="ar-SA"/>
              </w:rPr>
              <w:t>t。根据《国家危险废物名录（2025年版）》，废活性炭属危险废物，危废类别为HW49其他废物，危废代码为900-039-49，在危险废物暂存间暂存后</w:t>
            </w:r>
            <w:r>
              <w:rPr>
                <w:rFonts w:hint="default" w:ascii="Times New Roman" w:hAnsi="Times New Roman" w:eastAsia="宋体" w:cs="Times New Roman"/>
                <w:b w:val="0"/>
                <w:color w:val="auto"/>
                <w:kern w:val="2"/>
                <w:sz w:val="24"/>
                <w:szCs w:val="24"/>
                <w:lang w:val="en-US" w:eastAsia="zh-CN" w:bidi="ar-SA"/>
              </w:rPr>
              <w:t>，委托有资质处置单位安全处置</w:t>
            </w:r>
            <w:r>
              <w:rPr>
                <w:rFonts w:hint="eastAsia" w:ascii="Times New Roman" w:hAnsi="Times New Roman" w:eastAsia="宋体" w:cs="Times New Roman"/>
                <w:b w:val="0"/>
                <w:color w:val="auto"/>
                <w:kern w:val="2"/>
                <w:sz w:val="24"/>
                <w:szCs w:val="24"/>
                <w:lang w:val="en-US" w:eastAsia="zh-CN" w:bidi="ar-SA"/>
              </w:rPr>
              <w:t>。</w:t>
            </w:r>
          </w:p>
          <w:p w14:paraId="3BBFE878">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8</w:t>
            </w:r>
            <w:r>
              <w:rPr>
                <w:rFonts w:hint="eastAsia" w:ascii="Times New Roman" w:hAnsi="Times New Roman" w:cs="Times New Roman"/>
                <w:color w:val="auto"/>
                <w:sz w:val="24"/>
                <w:highlight w:val="none"/>
                <w:lang w:eastAsia="zh-CN"/>
              </w:rPr>
              <w:t>）废润滑油</w:t>
            </w:r>
          </w:p>
          <w:p w14:paraId="736036E0">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default" w:ascii="Times New Roman" w:hAnsi="Times New Roman" w:eastAsia="宋体" w:cs="Times New Roman"/>
                <w:b w:val="0"/>
                <w:color w:val="auto"/>
                <w:kern w:val="2"/>
                <w:sz w:val="24"/>
                <w:szCs w:val="24"/>
                <w:lang w:val="en-US" w:eastAsia="zh-CN" w:bidi="ar-SA"/>
              </w:rPr>
              <w:t>本项目设备维护过程中会产生一定量的</w:t>
            </w:r>
            <w:r>
              <w:rPr>
                <w:rFonts w:hint="default" w:ascii="Times New Roman" w:hAnsi="Times New Roman" w:cs="Times New Roman"/>
                <w:color w:val="auto"/>
                <w:sz w:val="24"/>
                <w:highlight w:val="none"/>
                <w:lang w:eastAsia="zh-CN"/>
              </w:rPr>
              <w:t>废润滑油</w:t>
            </w:r>
            <w:r>
              <w:rPr>
                <w:rFonts w:hint="default" w:ascii="Times New Roman" w:hAnsi="Times New Roman" w:eastAsia="宋体" w:cs="Times New Roman"/>
                <w:b w:val="0"/>
                <w:color w:val="auto"/>
                <w:kern w:val="2"/>
                <w:sz w:val="24"/>
                <w:szCs w:val="24"/>
                <w:lang w:val="en-US" w:eastAsia="zh-CN" w:bidi="ar-SA"/>
              </w:rPr>
              <w:t>，根据企业</w:t>
            </w:r>
            <w:r>
              <w:rPr>
                <w:rFonts w:hint="eastAsia" w:ascii="Times New Roman" w:hAnsi="Times New Roman" w:eastAsia="宋体" w:cs="Times New Roman"/>
                <w:b w:val="0"/>
                <w:color w:val="auto"/>
                <w:kern w:val="2"/>
                <w:sz w:val="24"/>
                <w:szCs w:val="24"/>
                <w:lang w:val="en-US" w:eastAsia="zh-CN" w:bidi="ar-SA"/>
              </w:rPr>
              <w:t>提供</w:t>
            </w:r>
            <w:r>
              <w:rPr>
                <w:rFonts w:hint="default" w:ascii="Times New Roman" w:hAnsi="Times New Roman" w:eastAsia="宋体" w:cs="Times New Roman"/>
                <w:b w:val="0"/>
                <w:color w:val="auto"/>
                <w:kern w:val="2"/>
                <w:sz w:val="24"/>
                <w:szCs w:val="24"/>
                <w:lang w:val="en-US" w:eastAsia="zh-CN" w:bidi="ar-SA"/>
              </w:rPr>
              <w:t>的资料，产生量约0.</w:t>
            </w:r>
            <w:r>
              <w:rPr>
                <w:rFonts w:hint="eastAsia" w:ascii="Times New Roman" w:hAnsi="Times New Roman" w:eastAsia="宋体" w:cs="Times New Roman"/>
                <w:b w:val="0"/>
                <w:color w:val="auto"/>
                <w:kern w:val="2"/>
                <w:sz w:val="24"/>
                <w:szCs w:val="24"/>
                <w:lang w:val="en-US" w:eastAsia="zh-CN" w:bidi="ar-SA"/>
              </w:rPr>
              <w:t>02</w:t>
            </w:r>
            <w:r>
              <w:rPr>
                <w:rFonts w:hint="default" w:ascii="Times New Roman" w:hAnsi="Times New Roman" w:eastAsia="宋体" w:cs="Times New Roman"/>
                <w:b w:val="0"/>
                <w:color w:val="auto"/>
                <w:kern w:val="2"/>
                <w:sz w:val="24"/>
                <w:szCs w:val="24"/>
                <w:lang w:val="en-US" w:eastAsia="zh-CN" w:bidi="ar-SA"/>
              </w:rPr>
              <w:t>t/a，需要集中收集处理，危废类别为HW08，危废代码为900-249-08，</w:t>
            </w:r>
            <w:r>
              <w:rPr>
                <w:rFonts w:hint="default" w:ascii="Times New Roman" w:hAnsi="Times New Roman" w:eastAsia="宋体" w:cs="Times New Roman"/>
                <w:b w:val="0"/>
                <w:color w:val="auto"/>
                <w:kern w:val="2"/>
                <w:sz w:val="24"/>
                <w:szCs w:val="24"/>
                <w:highlight w:val="none"/>
                <w:lang w:val="en-US" w:eastAsia="zh-CN" w:bidi="ar-SA"/>
              </w:rPr>
              <w:t>在危险废物暂存间暂存后</w:t>
            </w:r>
            <w:r>
              <w:rPr>
                <w:rFonts w:hint="default" w:ascii="Times New Roman" w:hAnsi="Times New Roman" w:eastAsia="宋体" w:cs="Times New Roman"/>
                <w:b w:val="0"/>
                <w:color w:val="auto"/>
                <w:kern w:val="2"/>
                <w:sz w:val="24"/>
                <w:szCs w:val="24"/>
                <w:lang w:val="en-US" w:eastAsia="zh-CN" w:bidi="ar-SA"/>
              </w:rPr>
              <w:t>，委托有资质处置单位安全处置</w:t>
            </w:r>
            <w:r>
              <w:rPr>
                <w:rFonts w:hint="eastAsia" w:ascii="Times New Roman" w:hAnsi="Times New Roman" w:eastAsia="宋体" w:cs="Times New Roman"/>
                <w:b w:val="0"/>
                <w:color w:val="auto"/>
                <w:kern w:val="2"/>
                <w:sz w:val="24"/>
                <w:szCs w:val="24"/>
                <w:lang w:val="en-US" w:eastAsia="zh-CN" w:bidi="ar-SA"/>
              </w:rPr>
              <w:t>。</w:t>
            </w:r>
          </w:p>
          <w:p w14:paraId="351FB036">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9</w:t>
            </w:r>
            <w:r>
              <w:rPr>
                <w:rFonts w:hint="eastAsia" w:ascii="Times New Roman" w:hAnsi="Times New Roman" w:cs="Times New Roman"/>
                <w:color w:val="auto"/>
                <w:sz w:val="24"/>
                <w:highlight w:val="none"/>
                <w:lang w:eastAsia="zh-CN"/>
              </w:rPr>
              <w:t>）含油抹布及手套</w:t>
            </w:r>
          </w:p>
          <w:p w14:paraId="3131AD06">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default" w:ascii="Times New Roman" w:hAnsi="Times New Roman" w:eastAsia="宋体" w:cs="Times New Roman"/>
                <w:b w:val="0"/>
                <w:color w:val="auto"/>
                <w:kern w:val="2"/>
                <w:sz w:val="24"/>
                <w:szCs w:val="24"/>
                <w:lang w:val="en-US" w:eastAsia="zh-CN" w:bidi="ar-SA"/>
              </w:rPr>
              <w:t>本项目生产以及设备维护过程中会产生一定量的含油手套、抹布等，</w:t>
            </w:r>
            <w:r>
              <w:rPr>
                <w:rFonts w:hint="eastAsia" w:ascii="Times New Roman" w:cs="Times New Roman"/>
                <w:b w:val="0"/>
                <w:color w:val="auto"/>
                <w:kern w:val="2"/>
                <w:sz w:val="24"/>
                <w:szCs w:val="24"/>
                <w:highlight w:val="none"/>
                <w:lang w:val="en-US" w:eastAsia="zh-CN" w:bidi="ar-SA"/>
              </w:rPr>
              <w:t>根据企业提供的资料</w:t>
            </w:r>
            <w:r>
              <w:rPr>
                <w:rFonts w:hint="default" w:ascii="Times New Roman" w:hAnsi="Times New Roman" w:eastAsia="宋体" w:cs="Times New Roman"/>
                <w:b w:val="0"/>
                <w:color w:val="auto"/>
                <w:kern w:val="2"/>
                <w:sz w:val="24"/>
                <w:szCs w:val="24"/>
                <w:highlight w:val="none"/>
                <w:lang w:val="en-US" w:eastAsia="zh-CN" w:bidi="ar-SA"/>
              </w:rPr>
              <w:t>，</w:t>
            </w:r>
            <w:r>
              <w:rPr>
                <w:rFonts w:hint="eastAsia" w:ascii="Times New Roman" w:cs="Times New Roman"/>
                <w:b w:val="0"/>
                <w:color w:val="auto"/>
                <w:kern w:val="2"/>
                <w:sz w:val="24"/>
                <w:szCs w:val="24"/>
                <w:highlight w:val="none"/>
                <w:lang w:val="en-US" w:eastAsia="zh-CN" w:bidi="ar-SA"/>
              </w:rPr>
              <w:t>含油手套及抹布</w:t>
            </w:r>
            <w:r>
              <w:rPr>
                <w:rFonts w:hint="default" w:ascii="Times New Roman" w:hAnsi="Times New Roman" w:eastAsia="宋体" w:cs="Times New Roman"/>
                <w:b w:val="0"/>
                <w:color w:val="auto"/>
                <w:kern w:val="2"/>
                <w:sz w:val="24"/>
                <w:szCs w:val="24"/>
                <w:highlight w:val="none"/>
                <w:lang w:val="en-US" w:eastAsia="zh-CN" w:bidi="ar-SA"/>
              </w:rPr>
              <w:t>产生量约0.</w:t>
            </w:r>
            <w:r>
              <w:rPr>
                <w:rFonts w:hint="eastAsia" w:ascii="Times New Roman" w:cs="Times New Roman"/>
                <w:b w:val="0"/>
                <w:color w:val="auto"/>
                <w:kern w:val="2"/>
                <w:sz w:val="24"/>
                <w:szCs w:val="24"/>
                <w:highlight w:val="none"/>
                <w:lang w:val="en-US" w:eastAsia="zh-CN" w:bidi="ar-SA"/>
              </w:rPr>
              <w:t>001</w:t>
            </w:r>
            <w:r>
              <w:rPr>
                <w:rFonts w:hint="default" w:ascii="Times New Roman" w:hAnsi="Times New Roman" w:eastAsia="宋体" w:cs="Times New Roman"/>
                <w:b w:val="0"/>
                <w:color w:val="auto"/>
                <w:kern w:val="2"/>
                <w:sz w:val="24"/>
                <w:szCs w:val="24"/>
                <w:highlight w:val="none"/>
                <w:lang w:val="en-US" w:eastAsia="zh-CN" w:bidi="ar-SA"/>
              </w:rPr>
              <w:t>t/a，危废类别为HW49，危废代码为900-041-49，在危险废物暂存间暂存后</w:t>
            </w:r>
            <w:r>
              <w:rPr>
                <w:rFonts w:hint="default" w:ascii="Times New Roman" w:hAnsi="Times New Roman" w:eastAsia="宋体" w:cs="Times New Roman"/>
                <w:b w:val="0"/>
                <w:color w:val="auto"/>
                <w:kern w:val="2"/>
                <w:sz w:val="24"/>
                <w:szCs w:val="24"/>
                <w:lang w:val="en-US" w:eastAsia="zh-CN" w:bidi="ar-SA"/>
              </w:rPr>
              <w:t>，</w:t>
            </w:r>
            <w:r>
              <w:rPr>
                <w:rFonts w:hint="default" w:ascii="Times New Roman" w:hAnsi="Times New Roman" w:eastAsia="宋体" w:cs="Times New Roman"/>
                <w:b w:val="0"/>
                <w:color w:val="auto"/>
                <w:kern w:val="2"/>
                <w:sz w:val="24"/>
                <w:szCs w:val="24"/>
                <w:highlight w:val="none"/>
                <w:lang w:val="en-US" w:eastAsia="zh-CN" w:bidi="ar-SA"/>
              </w:rPr>
              <w:t>委托有资质处置单位安全处置</w:t>
            </w:r>
            <w:r>
              <w:rPr>
                <w:rFonts w:hint="eastAsia" w:ascii="Times New Roman" w:hAnsi="Times New Roman" w:eastAsia="宋体" w:cs="Times New Roman"/>
                <w:b w:val="0"/>
                <w:color w:val="auto"/>
                <w:kern w:val="2"/>
                <w:sz w:val="24"/>
                <w:szCs w:val="24"/>
                <w:lang w:val="en-US" w:eastAsia="zh-CN" w:bidi="ar-SA"/>
              </w:rPr>
              <w:t>。</w:t>
            </w:r>
          </w:p>
          <w:p w14:paraId="48B37583">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10</w:t>
            </w:r>
            <w:r>
              <w:rPr>
                <w:rFonts w:hint="eastAsia" w:ascii="Times New Roman" w:hAnsi="Times New Roman" w:cs="Times New Roman"/>
                <w:color w:val="auto"/>
                <w:sz w:val="24"/>
                <w:highlight w:val="none"/>
                <w:lang w:eastAsia="zh-CN"/>
              </w:rPr>
              <w:t>）生活垃圾</w:t>
            </w:r>
          </w:p>
          <w:p w14:paraId="22639D3C">
            <w:pPr>
              <w:keepNext w:val="0"/>
              <w:keepLines w:val="0"/>
              <w:pageBreakBefore w:val="0"/>
              <w:widowControl w:val="0"/>
              <w:kinsoku/>
              <w:wordWrap/>
              <w:overflowPunct/>
              <w:topLinePunct/>
              <w:autoSpaceDE w:val="0"/>
              <w:autoSpaceDN/>
              <w:bidi w:val="0"/>
              <w:adjustRightInd w:val="0"/>
              <w:snapToGrid w:val="0"/>
              <w:spacing w:line="360" w:lineRule="auto"/>
              <w:ind w:leftChars="0"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szCs w:val="24"/>
                <w:lang w:eastAsia="zh-CN"/>
              </w:rPr>
              <w:t>本项目劳动定员</w:t>
            </w:r>
            <w:r>
              <w:rPr>
                <w:rFonts w:hint="eastAsia" w:ascii="Times New Roman" w:hAnsi="Times New Roman" w:cs="Times New Roman"/>
                <w:color w:val="auto"/>
                <w:sz w:val="24"/>
                <w:szCs w:val="24"/>
                <w:lang w:val="en-US" w:eastAsia="zh-CN"/>
              </w:rPr>
              <w:t>4</w:t>
            </w:r>
            <w:r>
              <w:rPr>
                <w:rFonts w:hint="eastAsia" w:ascii="Times New Roman" w:hAnsi="Times New Roman" w:cs="Times New Roman"/>
                <w:color w:val="auto"/>
                <w:sz w:val="24"/>
                <w:szCs w:val="24"/>
                <w:lang w:eastAsia="zh-CN"/>
              </w:rPr>
              <w:t>0人，年生产</w:t>
            </w:r>
            <w:r>
              <w:rPr>
                <w:rFonts w:hint="eastAsia" w:ascii="Times New Roman" w:hAnsi="Times New Roman" w:cs="Times New Roman"/>
                <w:color w:val="auto"/>
                <w:sz w:val="24"/>
                <w:szCs w:val="24"/>
                <w:lang w:val="en-US" w:eastAsia="zh-CN"/>
              </w:rPr>
              <w:t>300天</w:t>
            </w:r>
            <w:r>
              <w:rPr>
                <w:rFonts w:hint="eastAsia" w:ascii="Times New Roman" w:hAnsi="Times New Roman" w:cs="Times New Roman"/>
                <w:color w:val="auto"/>
                <w:sz w:val="24"/>
                <w:szCs w:val="24"/>
                <w:lang w:eastAsia="zh-CN"/>
              </w:rPr>
              <w:t>，生活垃圾产生量按0.5kg/人·天计算，则生活垃圾产生量为</w:t>
            </w:r>
            <w:r>
              <w:rPr>
                <w:rFonts w:hint="eastAsia" w:ascii="Times New Roman" w:hAnsi="Times New Roman" w:cs="Times New Roman"/>
                <w:color w:val="auto"/>
                <w:sz w:val="24"/>
                <w:szCs w:val="24"/>
                <w:lang w:val="en-US" w:eastAsia="zh-CN"/>
              </w:rPr>
              <w:t>6</w:t>
            </w:r>
            <w:r>
              <w:rPr>
                <w:rFonts w:hint="eastAsia" w:ascii="Times New Roman" w:hAnsi="Times New Roman" w:cs="Times New Roman"/>
                <w:color w:val="auto"/>
                <w:sz w:val="24"/>
                <w:szCs w:val="24"/>
                <w:lang w:eastAsia="zh-CN"/>
              </w:rPr>
              <w:t>t/a，由环卫部门统一清运。</w:t>
            </w:r>
          </w:p>
          <w:p w14:paraId="3600070B">
            <w:pPr>
              <w:keepNext w:val="0"/>
              <w:keepLines w:val="0"/>
              <w:pageBreakBefore w:val="0"/>
              <w:widowControl w:val="0"/>
              <w:kinsoku/>
              <w:wordWrap/>
              <w:overflowPunct/>
              <w:topLinePunct/>
              <w:autoSpaceDE/>
              <w:autoSpaceDN/>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auto"/>
                <w:sz w:val="24"/>
                <w:highlight w:val="none"/>
                <w:lang w:eastAsia="zh-CN"/>
              </w:rPr>
            </w:pPr>
            <w:r>
              <w:rPr>
                <w:rFonts w:hint="default" w:ascii="Times New Roman" w:hAnsi="Times New Roman" w:cs="Times New Roman"/>
                <w:b/>
                <w:bCs/>
                <w:color w:val="auto"/>
                <w:sz w:val="24"/>
                <w:highlight w:val="none"/>
              </w:rPr>
              <w:t>2、固</w:t>
            </w:r>
            <w:r>
              <w:rPr>
                <w:rFonts w:hint="default" w:ascii="Times New Roman" w:hAnsi="Times New Roman" w:cs="Times New Roman"/>
                <w:b/>
                <w:bCs/>
                <w:color w:val="auto"/>
                <w:sz w:val="24"/>
                <w:highlight w:val="none"/>
                <w:lang w:val="en-US" w:eastAsia="zh-CN"/>
              </w:rPr>
              <w:t>废</w:t>
            </w:r>
            <w:r>
              <w:rPr>
                <w:rFonts w:hint="default" w:ascii="Times New Roman" w:hAnsi="Times New Roman" w:cs="Times New Roman"/>
                <w:b/>
                <w:bCs/>
                <w:color w:val="auto"/>
                <w:sz w:val="24"/>
                <w:highlight w:val="none"/>
                <w:lang w:eastAsia="zh-CN"/>
              </w:rPr>
              <w:t>环境管理要求</w:t>
            </w:r>
          </w:p>
          <w:p w14:paraId="70128865">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）危险固废环境管理要求</w:t>
            </w:r>
          </w:p>
          <w:p w14:paraId="6E352110">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①厂内转运过程的污染防治措施</w:t>
            </w:r>
          </w:p>
          <w:p w14:paraId="2CC5DA34">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危险废物产生后立即放入专门承装危险废物的容器中，由带有防漏托盘的容器用拖车转运至危废暂存间内，同时加强对危废管理人员的培训。防止危废厂内转运过程发生散落等情况。</w:t>
            </w:r>
          </w:p>
          <w:p w14:paraId="5D307A31">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②危废间暂存场所污染防治措施</w:t>
            </w:r>
          </w:p>
          <w:p w14:paraId="229850CC">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lang w:val="en-US" w:eastAsia="zh-CN"/>
              </w:rPr>
              <w:t>在厂房内设置</w:t>
            </w:r>
            <w:r>
              <w:rPr>
                <w:rFonts w:hint="default" w:ascii="Times New Roman" w:hAnsi="Times New Roman" w:cs="Times New Roman"/>
                <w:color w:val="auto"/>
                <w:sz w:val="24"/>
                <w:highlight w:val="none"/>
              </w:rPr>
              <w:t>1座</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危废暂存间，其建设需根据《危险废物贮存污染控制标准》（GB18597-2023）中的相关规定建设。危险废物应尽快送往委托单位处理，不宜存放过长时间，确需暂存的，应做到以下几点：</w:t>
            </w:r>
          </w:p>
          <w:p w14:paraId="4FBC3C87">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A.一般规定</w:t>
            </w:r>
          </w:p>
          <w:p w14:paraId="7BD5EAA0">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贮存设施应根据危险废物的形态、物理化学性质、包装形式和污染物迁移途径，采取必要的防风、防晒、防雨、防漏、防渗、防腐以及其他环境污染防治措施，不应露天堆放危险废物。</w:t>
            </w:r>
          </w:p>
          <w:p w14:paraId="2266FBD5">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贮存设施应根据危险废物的类别、数量、形态、物理化学性质和污染防治等要求设置必要的贮存分区，避免不相容的危险废物接触、混合。</w:t>
            </w:r>
          </w:p>
          <w:p w14:paraId="0CF7D2A0">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贮存设施或贮存分区内地面、墙面裙脚、堵截泄漏的围堰、接触危险废物的隔板和墙体等应采用坚固的材料建造，表面无裂缝。</w:t>
            </w:r>
          </w:p>
          <w:p w14:paraId="1474CB32">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cs="Times New Roman"/>
                <w:color w:val="auto"/>
                <w:sz w:val="24"/>
                <w:highlight w:val="none"/>
                <w:vertAlign w:val="superscript"/>
              </w:rPr>
              <w:t>-7</w:t>
            </w:r>
            <w:r>
              <w:rPr>
                <w:rFonts w:hint="default" w:ascii="Times New Roman" w:hAnsi="Times New Roman" w:cs="Times New Roman"/>
                <w:color w:val="auto"/>
                <w:sz w:val="24"/>
                <w:highlight w:val="none"/>
              </w:rPr>
              <w:t>cm/s），或至少2mm厚高密度聚乙烯膜等人工防渗材料（渗透系数不大于10</w:t>
            </w:r>
            <w:r>
              <w:rPr>
                <w:rFonts w:hint="default" w:ascii="Times New Roman" w:hAnsi="Times New Roman" w:cs="Times New Roman"/>
                <w:color w:val="auto"/>
                <w:sz w:val="24"/>
                <w:highlight w:val="none"/>
                <w:vertAlign w:val="superscript"/>
              </w:rPr>
              <w:t>-10</w:t>
            </w:r>
            <w:r>
              <w:rPr>
                <w:rFonts w:hint="default" w:ascii="Times New Roman" w:hAnsi="Times New Roman" w:cs="Times New Roman"/>
                <w:color w:val="auto"/>
                <w:sz w:val="24"/>
                <w:highlight w:val="none"/>
              </w:rPr>
              <w:t>cm/s），或其他防渗性能等效的材料。</w:t>
            </w:r>
          </w:p>
          <w:p w14:paraId="0AE8B6FA">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同一贮存设施宜采用相同的防渗、防腐工艺（包括防渗、防腐结构或材料），防渗、防腐材料应覆盖所有可能与废物及其渗滤液、渗漏液等接触的构筑物表面；采用不同防渗、防腐工艺应分别建设贮存分区。</w:t>
            </w:r>
          </w:p>
          <w:p w14:paraId="212B3E08">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贮存设施应采取技术和管理措施防止无关人员进入。</w:t>
            </w:r>
          </w:p>
          <w:p w14:paraId="1D3036C3">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B.</w:t>
            </w:r>
            <w:r>
              <w:rPr>
                <w:rFonts w:hint="default" w:ascii="Times New Roman" w:hAnsi="Times New Roman" w:cs="Times New Roman"/>
                <w:color w:val="auto"/>
                <w:sz w:val="24"/>
                <w:highlight w:val="none"/>
              </w:rPr>
              <w:t>贮存库</w:t>
            </w:r>
          </w:p>
          <w:p w14:paraId="3C372594">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贮存库内不同贮存分区之间应采取隔离措施。隔离措施可根据危险废物特性采用过道、隔板或隔墙等方式。</w:t>
            </w:r>
          </w:p>
          <w:p w14:paraId="4E0F0E98">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p>
          <w:p w14:paraId="3C53B47E">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贮存易产生VOCs和刺激性气味气体的危险废物贮存库，应设置气体收集装置和气体净化设施。</w:t>
            </w:r>
          </w:p>
          <w:p w14:paraId="50F09931">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rPr>
                <w:rFonts w:hint="default" w:ascii="Times New Roman" w:hAnsi="Times New Roman" w:cs="Times New Roman"/>
                <w:b/>
                <w:color w:val="auto"/>
                <w:sz w:val="24"/>
                <w:highlight w:val="none"/>
              </w:rPr>
            </w:pPr>
            <w:r>
              <w:rPr>
                <w:rFonts w:hint="eastAsia"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危险废物暂存间基本情况见</w:t>
            </w:r>
            <w:r>
              <w:rPr>
                <w:rFonts w:hint="default" w:ascii="Times New Roman" w:hAnsi="Times New Roman" w:cs="Times New Roman"/>
                <w:color w:val="auto"/>
                <w:sz w:val="24"/>
                <w:highlight w:val="none"/>
                <w:lang w:val="en-US" w:eastAsia="zh-CN"/>
              </w:rPr>
              <w:t>下</w:t>
            </w:r>
            <w:r>
              <w:rPr>
                <w:rFonts w:hint="default" w:ascii="Times New Roman" w:hAnsi="Times New Roman" w:cs="Times New Roman"/>
                <w:color w:val="auto"/>
                <w:sz w:val="24"/>
                <w:highlight w:val="none"/>
              </w:rPr>
              <w:t>表。</w:t>
            </w:r>
          </w:p>
          <w:p w14:paraId="73E8BD4E">
            <w:pPr>
              <w:autoSpaceDE w:val="0"/>
              <w:autoSpaceDN w:val="0"/>
              <w:adjustRightInd w:val="0"/>
              <w:snapToGrid w:val="0"/>
              <w:ind w:firstLine="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表4-</w:t>
            </w:r>
            <w:r>
              <w:rPr>
                <w:rFonts w:hint="eastAsia" w:ascii="Times New Roman" w:hAnsi="Times New Roman" w:eastAsia="宋体" w:cs="Times New Roman"/>
                <w:b/>
                <w:bCs/>
                <w:color w:val="auto"/>
                <w:sz w:val="24"/>
                <w:szCs w:val="24"/>
                <w:highlight w:val="none"/>
                <w:lang w:val="en-US" w:eastAsia="zh-CN"/>
              </w:rPr>
              <w:t>11</w:t>
            </w:r>
            <w:r>
              <w:rPr>
                <w:rFonts w:hint="default" w:ascii="Times New Roman" w:hAnsi="Times New Roman" w:eastAsia="宋体" w:cs="Times New Roman"/>
                <w:b/>
                <w:bCs/>
                <w:color w:val="auto"/>
                <w:sz w:val="24"/>
                <w:szCs w:val="24"/>
                <w:highlight w:val="none"/>
              </w:rPr>
              <w:t xml:space="preserve"> </w:t>
            </w:r>
            <w:r>
              <w:rPr>
                <w:rFonts w:hint="eastAsia" w:ascii="Times New Roman" w:hAnsi="Times New Roman" w:eastAsia="宋体" w:cs="Times New Roman"/>
                <w:b/>
                <w:bCs/>
                <w:color w:val="auto"/>
                <w:sz w:val="24"/>
                <w:szCs w:val="24"/>
                <w:highlight w:val="none"/>
                <w:lang w:val="en-US" w:eastAsia="zh-CN"/>
              </w:rPr>
              <w:t>项目</w:t>
            </w:r>
            <w:r>
              <w:rPr>
                <w:rFonts w:hint="default" w:ascii="Times New Roman" w:hAnsi="Times New Roman" w:eastAsia="宋体" w:cs="Times New Roman"/>
                <w:b/>
                <w:bCs/>
                <w:color w:val="auto"/>
                <w:sz w:val="24"/>
                <w:szCs w:val="24"/>
                <w:highlight w:val="none"/>
              </w:rPr>
              <w:t>危险废物贮存场所（设施）基本情况表</w:t>
            </w:r>
          </w:p>
          <w:tbl>
            <w:tblPr>
              <w:tblStyle w:val="25"/>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6"/>
              <w:gridCol w:w="1013"/>
              <w:gridCol w:w="916"/>
              <w:gridCol w:w="825"/>
              <w:gridCol w:w="957"/>
              <w:gridCol w:w="747"/>
              <w:gridCol w:w="683"/>
              <w:gridCol w:w="721"/>
              <w:gridCol w:w="861"/>
              <w:gridCol w:w="717"/>
            </w:tblGrid>
            <w:tr w14:paraId="05F644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8" w:type="pct"/>
                  <w:noWrap w:val="0"/>
                  <w:vAlign w:val="center"/>
                </w:tcPr>
                <w:p w14:paraId="11880765">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序号</w:t>
                  </w:r>
                </w:p>
              </w:tc>
              <w:tc>
                <w:tcPr>
                  <w:tcW w:w="649" w:type="pct"/>
                  <w:noWrap w:val="0"/>
                  <w:vAlign w:val="center"/>
                </w:tcPr>
                <w:p w14:paraId="5DE3D394">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贮存场所（设施）名称</w:t>
                  </w:r>
                </w:p>
              </w:tc>
              <w:tc>
                <w:tcPr>
                  <w:tcW w:w="587" w:type="pct"/>
                  <w:noWrap w:val="0"/>
                  <w:vAlign w:val="center"/>
                </w:tcPr>
                <w:p w14:paraId="457BFB47">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危险废物名称</w:t>
                  </w:r>
                </w:p>
              </w:tc>
              <w:tc>
                <w:tcPr>
                  <w:tcW w:w="1142" w:type="pct"/>
                  <w:gridSpan w:val="2"/>
                  <w:noWrap w:val="0"/>
                  <w:vAlign w:val="center"/>
                </w:tcPr>
                <w:p w14:paraId="01AEA576">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危险废物类别及代码</w:t>
                  </w:r>
                </w:p>
              </w:tc>
              <w:tc>
                <w:tcPr>
                  <w:tcW w:w="479" w:type="pct"/>
                  <w:noWrap w:val="0"/>
                  <w:vAlign w:val="center"/>
                </w:tcPr>
                <w:p w14:paraId="72AB1EE7">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位置</w:t>
                  </w:r>
                </w:p>
              </w:tc>
              <w:tc>
                <w:tcPr>
                  <w:tcW w:w="438" w:type="pct"/>
                  <w:noWrap w:val="0"/>
                  <w:vAlign w:val="center"/>
                </w:tcPr>
                <w:p w14:paraId="5AEBB30D">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占地面积</w:t>
                  </w:r>
                </w:p>
              </w:tc>
              <w:tc>
                <w:tcPr>
                  <w:tcW w:w="462" w:type="pct"/>
                  <w:noWrap w:val="0"/>
                  <w:vAlign w:val="center"/>
                </w:tcPr>
                <w:p w14:paraId="35220A64">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贮存方式</w:t>
                  </w:r>
                </w:p>
              </w:tc>
              <w:tc>
                <w:tcPr>
                  <w:tcW w:w="552" w:type="pct"/>
                  <w:noWrap w:val="0"/>
                  <w:vAlign w:val="center"/>
                </w:tcPr>
                <w:p w14:paraId="2105398A">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贮存</w:t>
                  </w:r>
                </w:p>
                <w:p w14:paraId="6FAFF32F">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eastAsia="宋体" w:cs="Times New Roman"/>
                      <w:b/>
                      <w:color w:val="auto"/>
                      <w:kern w:val="0"/>
                      <w:sz w:val="21"/>
                      <w:szCs w:val="21"/>
                      <w:highlight w:val="none"/>
                      <w:lang w:eastAsia="zh-CN"/>
                    </w:rPr>
                  </w:pPr>
                  <w:r>
                    <w:rPr>
                      <w:rFonts w:hint="default" w:ascii="Times New Roman" w:hAnsi="Times New Roman" w:cs="Times New Roman"/>
                      <w:b/>
                      <w:color w:val="auto"/>
                      <w:kern w:val="0"/>
                      <w:sz w:val="21"/>
                      <w:szCs w:val="21"/>
                      <w:highlight w:val="none"/>
                    </w:rPr>
                    <w:t>能力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lang w:eastAsia="zh-CN"/>
                    </w:rPr>
                    <w:t>）</w:t>
                  </w:r>
                </w:p>
              </w:tc>
              <w:tc>
                <w:tcPr>
                  <w:tcW w:w="459" w:type="pct"/>
                  <w:noWrap w:val="0"/>
                  <w:vAlign w:val="center"/>
                </w:tcPr>
                <w:p w14:paraId="456F88D0">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b/>
                      <w:color w:val="auto"/>
                      <w:kern w:val="0"/>
                      <w:sz w:val="21"/>
                      <w:szCs w:val="21"/>
                      <w:highlight w:val="none"/>
                    </w:rPr>
                  </w:pPr>
                  <w:r>
                    <w:rPr>
                      <w:rFonts w:hint="eastAsia" w:ascii="Times New Roman" w:hAnsi="Times New Roman" w:cs="Times New Roman"/>
                      <w:b/>
                      <w:color w:val="auto"/>
                      <w:kern w:val="0"/>
                      <w:sz w:val="21"/>
                      <w:szCs w:val="21"/>
                      <w:highlight w:val="none"/>
                      <w:lang w:val="en-US" w:eastAsia="zh-CN"/>
                    </w:rPr>
                    <w:t>产废</w:t>
                  </w:r>
                  <w:r>
                    <w:rPr>
                      <w:rFonts w:hint="default" w:ascii="Times New Roman" w:hAnsi="Times New Roman" w:cs="Times New Roman"/>
                      <w:b/>
                      <w:color w:val="auto"/>
                      <w:kern w:val="0"/>
                      <w:sz w:val="21"/>
                      <w:szCs w:val="21"/>
                      <w:highlight w:val="none"/>
                    </w:rPr>
                    <w:t>周期</w:t>
                  </w:r>
                </w:p>
              </w:tc>
            </w:tr>
            <w:tr w14:paraId="59A835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228" w:type="pct"/>
                  <w:noWrap w:val="0"/>
                  <w:vAlign w:val="center"/>
                </w:tcPr>
                <w:p w14:paraId="70CA3438">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w:t>
                  </w:r>
                </w:p>
              </w:tc>
              <w:tc>
                <w:tcPr>
                  <w:tcW w:w="649" w:type="pct"/>
                  <w:vMerge w:val="restart"/>
                  <w:noWrap w:val="0"/>
                  <w:vAlign w:val="center"/>
                </w:tcPr>
                <w:p w14:paraId="3363DC32">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危废暂存间</w:t>
                  </w:r>
                </w:p>
              </w:tc>
              <w:tc>
                <w:tcPr>
                  <w:tcW w:w="587" w:type="pct"/>
                  <w:noWrap w:val="0"/>
                  <w:vAlign w:val="center"/>
                </w:tcPr>
                <w:p w14:paraId="02FE93EC">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废包装桶</w:t>
                  </w:r>
                </w:p>
              </w:tc>
              <w:tc>
                <w:tcPr>
                  <w:tcW w:w="825" w:type="dxa"/>
                  <w:noWrap w:val="0"/>
                  <w:vAlign w:val="center"/>
                </w:tcPr>
                <w:p w14:paraId="74232DBD">
                  <w:pPr>
                    <w:spacing w:line="240" w:lineRule="auto"/>
                    <w:jc w:val="center"/>
                    <w:rPr>
                      <w:rFonts w:hint="default" w:ascii="Times New Roman" w:hAnsi="Times New Roman" w:cs="Times New Roman"/>
                      <w:bCs/>
                      <w:color w:val="auto"/>
                      <w:sz w:val="21"/>
                      <w:szCs w:val="21"/>
                      <w:highlight w:val="none"/>
                    </w:rPr>
                  </w:pPr>
                  <w:r>
                    <w:rPr>
                      <w:rFonts w:hint="default" w:ascii="Times New Roman" w:hAnsi="Times New Roman" w:eastAsia="宋体" w:cs="Times New Roman"/>
                      <w:color w:val="auto"/>
                      <w:sz w:val="21"/>
                      <w:szCs w:val="21"/>
                      <w:lang w:val="en-US" w:eastAsia="zh-CN"/>
                    </w:rPr>
                    <w:t>HW08</w:t>
                  </w:r>
                </w:p>
              </w:tc>
              <w:tc>
                <w:tcPr>
                  <w:tcW w:w="957" w:type="dxa"/>
                  <w:noWrap w:val="0"/>
                  <w:vAlign w:val="center"/>
                </w:tcPr>
                <w:p w14:paraId="1799909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eastAsia="宋体" w:cs="Times New Roman"/>
                      <w:color w:val="auto"/>
                      <w:sz w:val="21"/>
                      <w:szCs w:val="21"/>
                      <w:lang w:val="en-US" w:eastAsia="zh-CN"/>
                    </w:rPr>
                    <w:t>900-041-49</w:t>
                  </w:r>
                </w:p>
              </w:tc>
              <w:tc>
                <w:tcPr>
                  <w:tcW w:w="479" w:type="pct"/>
                  <w:vMerge w:val="restart"/>
                  <w:noWrap w:val="0"/>
                  <w:vAlign w:val="center"/>
                </w:tcPr>
                <w:p w14:paraId="37604D1F">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9号厂房内</w:t>
                  </w:r>
                </w:p>
              </w:tc>
              <w:tc>
                <w:tcPr>
                  <w:tcW w:w="438" w:type="pct"/>
                  <w:vMerge w:val="restart"/>
                  <w:noWrap w:val="0"/>
                  <w:vAlign w:val="center"/>
                </w:tcPr>
                <w:p w14:paraId="03B3AA49">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1</w:t>
                  </w:r>
                  <w:r>
                    <w:rPr>
                      <w:rFonts w:hint="default" w:ascii="Times New Roman" w:hAnsi="Times New Roman" w:cs="Times New Roman"/>
                      <w:color w:val="auto"/>
                      <w:kern w:val="0"/>
                      <w:sz w:val="21"/>
                      <w:szCs w:val="21"/>
                      <w:highlight w:val="none"/>
                      <w:lang w:val="en-US" w:eastAsia="zh-CN"/>
                    </w:rPr>
                    <w:t>0</w:t>
                  </w:r>
                  <w:r>
                    <w:rPr>
                      <w:rFonts w:hint="default" w:ascii="Times New Roman" w:hAnsi="Times New Roman" w:cs="Times New Roman"/>
                      <w:color w:val="auto"/>
                      <w:kern w:val="0"/>
                      <w:sz w:val="21"/>
                      <w:szCs w:val="21"/>
                      <w:highlight w:val="none"/>
                    </w:rPr>
                    <w:t>m</w:t>
                  </w:r>
                  <w:r>
                    <w:rPr>
                      <w:rFonts w:hint="default" w:ascii="Times New Roman" w:hAnsi="Times New Roman" w:cs="Times New Roman"/>
                      <w:color w:val="auto"/>
                      <w:kern w:val="0"/>
                      <w:sz w:val="21"/>
                      <w:szCs w:val="21"/>
                      <w:highlight w:val="none"/>
                      <w:vertAlign w:val="superscript"/>
                    </w:rPr>
                    <w:t>2</w:t>
                  </w:r>
                </w:p>
              </w:tc>
              <w:tc>
                <w:tcPr>
                  <w:tcW w:w="462" w:type="pct"/>
                  <w:noWrap w:val="0"/>
                  <w:vAlign w:val="center"/>
                </w:tcPr>
                <w:p w14:paraId="185AE0C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sz w:val="21"/>
                      <w:szCs w:val="21"/>
                      <w:highlight w:val="none"/>
                      <w:vertAlign w:val="baseline"/>
                      <w:lang w:val="en-US" w:eastAsia="zh-CN"/>
                    </w:rPr>
                    <w:t>桶装</w:t>
                  </w:r>
                </w:p>
              </w:tc>
              <w:tc>
                <w:tcPr>
                  <w:tcW w:w="861" w:type="dxa"/>
                  <w:noWrap w:val="0"/>
                  <w:vAlign w:val="center"/>
                </w:tcPr>
                <w:p w14:paraId="35B7D6E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kern w:val="0"/>
                      <w:sz w:val="21"/>
                      <w:szCs w:val="21"/>
                      <w:highlight w:val="none"/>
                      <w:lang w:val="en-US"/>
                    </w:rPr>
                  </w:pPr>
                  <w:r>
                    <w:rPr>
                      <w:rFonts w:hint="eastAsia" w:ascii="Times New Roman" w:hAnsi="Times New Roman" w:cs="Times New Roman"/>
                      <w:b w:val="0"/>
                      <w:bCs w:val="0"/>
                      <w:color w:val="auto"/>
                      <w:sz w:val="21"/>
                      <w:szCs w:val="21"/>
                      <w:highlight w:val="none"/>
                      <w:vertAlign w:val="baseline"/>
                      <w:lang w:val="en-US" w:eastAsia="zh-CN"/>
                    </w:rPr>
                    <w:t>1.2</w:t>
                  </w:r>
                </w:p>
              </w:tc>
              <w:tc>
                <w:tcPr>
                  <w:tcW w:w="459" w:type="pct"/>
                  <w:noWrap w:val="0"/>
                  <w:vAlign w:val="center"/>
                </w:tcPr>
                <w:p w14:paraId="0B952E30">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1次/年</w:t>
                  </w:r>
                </w:p>
              </w:tc>
            </w:tr>
            <w:tr w14:paraId="151EB9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8" w:type="pct"/>
                  <w:noWrap w:val="0"/>
                  <w:vAlign w:val="center"/>
                </w:tcPr>
                <w:p w14:paraId="3FA30558">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w:t>
                  </w:r>
                </w:p>
              </w:tc>
              <w:tc>
                <w:tcPr>
                  <w:tcW w:w="649" w:type="pct"/>
                  <w:vMerge w:val="continue"/>
                  <w:noWrap w:val="0"/>
                  <w:vAlign w:val="center"/>
                </w:tcPr>
                <w:p w14:paraId="55CFD48C">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rPr>
                  </w:pPr>
                </w:p>
              </w:tc>
              <w:tc>
                <w:tcPr>
                  <w:tcW w:w="587" w:type="pct"/>
                  <w:noWrap w:val="0"/>
                  <w:vAlign w:val="center"/>
                </w:tcPr>
                <w:p w14:paraId="21EE75B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eastAsia="zh-CN"/>
                    </w:rPr>
                  </w:pPr>
                  <w:r>
                    <w:rPr>
                      <w:rFonts w:hint="eastAsia" w:ascii="宋体" w:hAnsi="宋体" w:eastAsia="宋体" w:cs="宋体"/>
                      <w:i w:val="0"/>
                      <w:iCs w:val="0"/>
                      <w:color w:val="000000"/>
                      <w:kern w:val="0"/>
                      <w:sz w:val="21"/>
                      <w:szCs w:val="21"/>
                      <w:u w:val="none"/>
                      <w:lang w:val="en-US" w:eastAsia="zh-CN" w:bidi="ar"/>
                    </w:rPr>
                    <w:t>废活性炭</w:t>
                  </w:r>
                </w:p>
              </w:tc>
              <w:tc>
                <w:tcPr>
                  <w:tcW w:w="825" w:type="dxa"/>
                  <w:noWrap w:val="0"/>
                  <w:vAlign w:val="center"/>
                </w:tcPr>
                <w:p w14:paraId="2B4303E6">
                  <w:pPr>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color w:val="auto"/>
                      <w:sz w:val="21"/>
                      <w:szCs w:val="21"/>
                      <w:lang w:val="en-US" w:eastAsia="zh-CN"/>
                    </w:rPr>
                    <w:t>HW49</w:t>
                  </w:r>
                </w:p>
              </w:tc>
              <w:tc>
                <w:tcPr>
                  <w:tcW w:w="957" w:type="dxa"/>
                  <w:noWrap w:val="0"/>
                  <w:vAlign w:val="center"/>
                </w:tcPr>
                <w:p w14:paraId="4603EB0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lang w:val="en-US" w:eastAsia="zh-CN"/>
                    </w:rPr>
                    <w:t>900-</w:t>
                  </w:r>
                  <w:r>
                    <w:rPr>
                      <w:rFonts w:hint="eastAsia" w:ascii="Times New Roman" w:hAnsi="Times New Roman" w:eastAsia="宋体" w:cs="Times New Roman"/>
                      <w:color w:val="auto"/>
                      <w:sz w:val="21"/>
                      <w:szCs w:val="21"/>
                      <w:lang w:val="en-US" w:eastAsia="zh-CN"/>
                    </w:rPr>
                    <w:t>039</w:t>
                  </w:r>
                  <w:r>
                    <w:rPr>
                      <w:rFonts w:hint="default" w:ascii="Times New Roman" w:hAnsi="Times New Roman" w:eastAsia="宋体" w:cs="Times New Roman"/>
                      <w:color w:val="auto"/>
                      <w:sz w:val="21"/>
                      <w:szCs w:val="21"/>
                      <w:lang w:val="en-US" w:eastAsia="zh-CN"/>
                    </w:rPr>
                    <w:t>-49</w:t>
                  </w:r>
                </w:p>
              </w:tc>
              <w:tc>
                <w:tcPr>
                  <w:tcW w:w="479" w:type="pct"/>
                  <w:vMerge w:val="continue"/>
                  <w:noWrap w:val="0"/>
                  <w:vAlign w:val="center"/>
                </w:tcPr>
                <w:p w14:paraId="12A1C11C">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p>
              </w:tc>
              <w:tc>
                <w:tcPr>
                  <w:tcW w:w="438" w:type="pct"/>
                  <w:vMerge w:val="continue"/>
                  <w:noWrap w:val="0"/>
                  <w:vAlign w:val="center"/>
                </w:tcPr>
                <w:p w14:paraId="4588DB9C">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lang w:val="en-US" w:eastAsia="zh-CN"/>
                    </w:rPr>
                  </w:pPr>
                </w:p>
              </w:tc>
              <w:tc>
                <w:tcPr>
                  <w:tcW w:w="462" w:type="pct"/>
                  <w:noWrap w:val="0"/>
                  <w:vAlign w:val="center"/>
                </w:tcPr>
                <w:p w14:paraId="7F9494B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sz w:val="21"/>
                      <w:szCs w:val="21"/>
                      <w:highlight w:val="none"/>
                      <w:vertAlign w:val="baseline"/>
                      <w:lang w:val="en-US" w:eastAsia="zh-CN"/>
                    </w:rPr>
                    <w:t>桶装</w:t>
                  </w:r>
                </w:p>
              </w:tc>
              <w:tc>
                <w:tcPr>
                  <w:tcW w:w="861" w:type="dxa"/>
                  <w:noWrap w:val="0"/>
                  <w:vAlign w:val="center"/>
                </w:tcPr>
                <w:p w14:paraId="64946D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kern w:val="0"/>
                      <w:sz w:val="21"/>
                      <w:szCs w:val="21"/>
                      <w:highlight w:val="none"/>
                      <w:lang w:val="en-US" w:eastAsia="zh-CN"/>
                    </w:rPr>
                  </w:pPr>
                  <w:r>
                    <w:rPr>
                      <w:rFonts w:hint="eastAsia" w:cs="Times New Roman"/>
                      <w:b w:val="0"/>
                      <w:bCs w:val="0"/>
                      <w:color w:val="auto"/>
                      <w:sz w:val="21"/>
                      <w:szCs w:val="21"/>
                      <w:highlight w:val="none"/>
                      <w:vertAlign w:val="baseline"/>
                      <w:lang w:val="en-US" w:eastAsia="zh-CN"/>
                    </w:rPr>
                    <w:t>18.544</w:t>
                  </w:r>
                </w:p>
              </w:tc>
              <w:tc>
                <w:tcPr>
                  <w:tcW w:w="459" w:type="pct"/>
                  <w:noWrap w:val="0"/>
                  <w:vAlign w:val="center"/>
                </w:tcPr>
                <w:p w14:paraId="2CF755EC">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1次/年</w:t>
                  </w:r>
                </w:p>
              </w:tc>
            </w:tr>
            <w:tr w14:paraId="5CB15A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8" w:type="pct"/>
                  <w:noWrap w:val="0"/>
                  <w:vAlign w:val="center"/>
                </w:tcPr>
                <w:p w14:paraId="160C9595">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3</w:t>
                  </w:r>
                </w:p>
              </w:tc>
              <w:tc>
                <w:tcPr>
                  <w:tcW w:w="649" w:type="pct"/>
                  <w:vMerge w:val="continue"/>
                  <w:noWrap w:val="0"/>
                  <w:vAlign w:val="center"/>
                </w:tcPr>
                <w:p w14:paraId="6199B883">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rPr>
                  </w:pPr>
                </w:p>
              </w:tc>
              <w:tc>
                <w:tcPr>
                  <w:tcW w:w="587" w:type="pct"/>
                  <w:noWrap w:val="0"/>
                  <w:vAlign w:val="center"/>
                </w:tcPr>
                <w:p w14:paraId="4BD382C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废润滑油</w:t>
                  </w:r>
                </w:p>
              </w:tc>
              <w:tc>
                <w:tcPr>
                  <w:tcW w:w="825" w:type="dxa"/>
                  <w:noWrap w:val="0"/>
                  <w:vAlign w:val="center"/>
                </w:tcPr>
                <w:p w14:paraId="74180C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HW08</w:t>
                  </w:r>
                </w:p>
              </w:tc>
              <w:tc>
                <w:tcPr>
                  <w:tcW w:w="957" w:type="dxa"/>
                  <w:noWrap w:val="0"/>
                  <w:vAlign w:val="center"/>
                </w:tcPr>
                <w:p w14:paraId="1B6C53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eastAsia="宋体" w:cs="Times New Roman"/>
                      <w:color w:val="auto"/>
                      <w:sz w:val="21"/>
                      <w:szCs w:val="21"/>
                      <w:lang w:val="en-US" w:eastAsia="zh-CN"/>
                    </w:rPr>
                    <w:t>900-249-08</w:t>
                  </w:r>
                </w:p>
              </w:tc>
              <w:tc>
                <w:tcPr>
                  <w:tcW w:w="479" w:type="pct"/>
                  <w:vMerge w:val="continue"/>
                  <w:noWrap w:val="0"/>
                  <w:vAlign w:val="center"/>
                </w:tcPr>
                <w:p w14:paraId="4DA743F0">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438" w:type="pct"/>
                  <w:vMerge w:val="continue"/>
                  <w:noWrap w:val="0"/>
                  <w:vAlign w:val="center"/>
                </w:tcPr>
                <w:p w14:paraId="4B48BF14">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rPr>
                  </w:pPr>
                </w:p>
              </w:tc>
              <w:tc>
                <w:tcPr>
                  <w:tcW w:w="462" w:type="pct"/>
                  <w:noWrap w:val="0"/>
                  <w:vAlign w:val="center"/>
                </w:tcPr>
                <w:p w14:paraId="2C676F8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vertAlign w:val="baseline"/>
                      <w:lang w:val="en-US" w:eastAsia="zh-CN"/>
                    </w:rPr>
                    <w:t>桶装</w:t>
                  </w:r>
                </w:p>
              </w:tc>
              <w:tc>
                <w:tcPr>
                  <w:tcW w:w="861" w:type="dxa"/>
                  <w:noWrap w:val="0"/>
                  <w:vAlign w:val="center"/>
                </w:tcPr>
                <w:p w14:paraId="3C2B8C5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b w:val="0"/>
                      <w:bCs w:val="0"/>
                      <w:color w:val="auto"/>
                      <w:sz w:val="21"/>
                      <w:szCs w:val="21"/>
                      <w:highlight w:val="none"/>
                      <w:vertAlign w:val="baseline"/>
                      <w:lang w:val="en-US" w:eastAsia="zh-CN"/>
                    </w:rPr>
                    <w:t>0.02</w:t>
                  </w:r>
                </w:p>
              </w:tc>
              <w:tc>
                <w:tcPr>
                  <w:tcW w:w="459" w:type="pct"/>
                  <w:noWrap w:val="0"/>
                  <w:vAlign w:val="center"/>
                </w:tcPr>
                <w:p w14:paraId="26C756A6">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1次/年</w:t>
                  </w:r>
                </w:p>
              </w:tc>
            </w:tr>
            <w:tr w14:paraId="7ACC26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8" w:type="pct"/>
                  <w:noWrap w:val="0"/>
                  <w:vAlign w:val="center"/>
                </w:tcPr>
                <w:p w14:paraId="642AE6C0">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4</w:t>
                  </w:r>
                </w:p>
              </w:tc>
              <w:tc>
                <w:tcPr>
                  <w:tcW w:w="649" w:type="pct"/>
                  <w:vMerge w:val="continue"/>
                  <w:noWrap w:val="0"/>
                  <w:vAlign w:val="center"/>
                </w:tcPr>
                <w:p w14:paraId="196FE4B0">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rPr>
                  </w:pPr>
                </w:p>
              </w:tc>
              <w:tc>
                <w:tcPr>
                  <w:tcW w:w="587" w:type="pct"/>
                  <w:noWrap w:val="0"/>
                  <w:vAlign w:val="center"/>
                </w:tcPr>
                <w:p w14:paraId="7F295A9C">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含油抹布及手套</w:t>
                  </w:r>
                </w:p>
              </w:tc>
              <w:tc>
                <w:tcPr>
                  <w:tcW w:w="825" w:type="dxa"/>
                  <w:noWrap w:val="0"/>
                  <w:vAlign w:val="center"/>
                </w:tcPr>
                <w:p w14:paraId="4501F02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lang w:val="en-US" w:eastAsia="zh-CN"/>
                    </w:rPr>
                    <w:t>HW49</w:t>
                  </w:r>
                </w:p>
              </w:tc>
              <w:tc>
                <w:tcPr>
                  <w:tcW w:w="957" w:type="dxa"/>
                  <w:noWrap w:val="0"/>
                  <w:vAlign w:val="center"/>
                </w:tcPr>
                <w:p w14:paraId="1FE6A38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eastAsia="宋体" w:cs="Times New Roman"/>
                      <w:color w:val="auto"/>
                      <w:sz w:val="21"/>
                      <w:szCs w:val="21"/>
                      <w:lang w:val="en-US" w:eastAsia="zh-CN"/>
                    </w:rPr>
                    <w:t>900-041-49</w:t>
                  </w:r>
                </w:p>
              </w:tc>
              <w:tc>
                <w:tcPr>
                  <w:tcW w:w="479" w:type="pct"/>
                  <w:vMerge w:val="continue"/>
                  <w:noWrap w:val="0"/>
                  <w:vAlign w:val="center"/>
                </w:tcPr>
                <w:p w14:paraId="3A2EABE7">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438" w:type="pct"/>
                  <w:vMerge w:val="continue"/>
                  <w:noWrap w:val="0"/>
                  <w:vAlign w:val="center"/>
                </w:tcPr>
                <w:p w14:paraId="421314E4">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rPr>
                  </w:pPr>
                </w:p>
              </w:tc>
              <w:tc>
                <w:tcPr>
                  <w:tcW w:w="462" w:type="pct"/>
                  <w:noWrap w:val="0"/>
                  <w:vAlign w:val="center"/>
                </w:tcPr>
                <w:p w14:paraId="6E299AE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vertAlign w:val="baseline"/>
                      <w:lang w:val="en-US" w:eastAsia="zh-CN"/>
                    </w:rPr>
                    <w:t>桶装</w:t>
                  </w:r>
                </w:p>
              </w:tc>
              <w:tc>
                <w:tcPr>
                  <w:tcW w:w="861" w:type="dxa"/>
                  <w:noWrap w:val="0"/>
                  <w:vAlign w:val="center"/>
                </w:tcPr>
                <w:p w14:paraId="1C639EB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0.001</w:t>
                  </w:r>
                </w:p>
              </w:tc>
              <w:tc>
                <w:tcPr>
                  <w:tcW w:w="459" w:type="pct"/>
                  <w:noWrap w:val="0"/>
                  <w:vAlign w:val="center"/>
                </w:tcPr>
                <w:p w14:paraId="162BFD29">
                  <w:pPr>
                    <w:keepNext w:val="0"/>
                    <w:keepLines w:val="0"/>
                    <w:pageBreakBefore w:val="0"/>
                    <w:widowControl w:val="0"/>
                    <w:kinsoku/>
                    <w:wordWrap/>
                    <w:overflowPunct/>
                    <w:topLinePunct/>
                    <w:autoSpaceDE/>
                    <w:autoSpaceDN/>
                    <w:bidi w:val="0"/>
                    <w:adjustRightInd w:val="0"/>
                    <w:snapToGrid w:val="0"/>
                    <w:ind w:left="0" w:left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1次/年</w:t>
                  </w:r>
                </w:p>
              </w:tc>
            </w:tr>
          </w:tbl>
          <w:p w14:paraId="59DB9C22">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本项目危废产生量约</w:t>
            </w:r>
            <w:r>
              <w:rPr>
                <w:rFonts w:hint="eastAsia" w:ascii="Times New Roman" w:hAnsi="Times New Roman" w:cs="Times New Roman"/>
                <w:color w:val="auto"/>
                <w:sz w:val="24"/>
                <w:highlight w:val="none"/>
                <w:lang w:val="en-US" w:eastAsia="zh-CN"/>
              </w:rPr>
              <w:t>19.765</w:t>
            </w:r>
            <w:r>
              <w:rPr>
                <w:rFonts w:hint="default" w:ascii="Times New Roman" w:hAnsi="Times New Roman" w:cs="Times New Roman"/>
                <w:color w:val="auto"/>
                <w:sz w:val="24"/>
                <w:highlight w:val="none"/>
              </w:rPr>
              <w:t>t/a，危废间各类危废采取分区存放，建设单位拟每</w:t>
            </w:r>
            <w:r>
              <w:rPr>
                <w:rFonts w:hint="eastAsia" w:ascii="Times New Roman" w:hAnsi="Times New Roman" w:cs="Times New Roman"/>
                <w:color w:val="auto"/>
                <w:sz w:val="24"/>
                <w:highlight w:val="none"/>
                <w:lang w:val="en-US" w:eastAsia="zh-CN"/>
              </w:rPr>
              <w:t>三</w:t>
            </w:r>
            <w:r>
              <w:rPr>
                <w:rFonts w:hint="default" w:ascii="Times New Roman" w:hAnsi="Times New Roman" w:cs="Times New Roman"/>
                <w:color w:val="auto"/>
                <w:sz w:val="24"/>
                <w:highlight w:val="none"/>
              </w:rPr>
              <w:t>个月将液态危废交由有资质单位处置，</w:t>
            </w:r>
            <w:r>
              <w:rPr>
                <w:rFonts w:hint="eastAsia" w:ascii="Times New Roman" w:hAnsi="Times New Roman" w:cs="Times New Roman"/>
                <w:color w:val="auto"/>
                <w:sz w:val="24"/>
                <w:highlight w:val="none"/>
                <w:lang w:val="en-US" w:eastAsia="zh-CN"/>
              </w:rPr>
              <w:t>平均每次转运4.94125t，危废</w:t>
            </w:r>
            <w:r>
              <w:rPr>
                <w:rFonts w:hint="default" w:ascii="Times New Roman" w:hAnsi="Times New Roman" w:cs="Times New Roman"/>
                <w:color w:val="auto"/>
                <w:sz w:val="24"/>
                <w:highlight w:val="none"/>
              </w:rPr>
              <w:t>密度按1t/m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计，则液态危废所需的贮存空间约为</w:t>
            </w:r>
            <w:r>
              <w:rPr>
                <w:rFonts w:hint="eastAsia" w:ascii="Times New Roman" w:hAnsi="Times New Roman" w:cs="Times New Roman"/>
                <w:color w:val="auto"/>
                <w:sz w:val="24"/>
                <w:highlight w:val="none"/>
                <w:lang w:val="en-US" w:eastAsia="zh-CN"/>
              </w:rPr>
              <w:t>4.95</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；项目拟设置</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0m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危废间一座，能够满足项目危废贮存、转运的需求。</w:t>
            </w:r>
          </w:p>
          <w:p w14:paraId="3070693B">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通过该系列措施后对危险废物有效安全贮存是可行的。</w:t>
            </w:r>
          </w:p>
          <w:p w14:paraId="2D884C09">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③委托利用或者处置的污染防治措施</w:t>
            </w:r>
          </w:p>
          <w:p w14:paraId="0754DC2E">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危险废物委托有资质单位安全处置，不自行处置，在项目建设试运行过程中须履行相应的环保“三同时”手续，及时签订危废协议并向环境主管部门备案，及时将生产过程中产生的危废进行无害化委托处理，通过该系列措施后对危险废物的处置是可行的。</w:t>
            </w:r>
          </w:p>
          <w:p w14:paraId="6E32BD31">
            <w:pPr>
              <w:topLinePunct/>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④危废其他环境管理要求</w:t>
            </w:r>
          </w:p>
          <w:p w14:paraId="6AEC380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A.危险固废暂存间应配套设立监控设施，危废暂存间周围应设置围墙或者防护栅栏，与周边区域严格分离开，并按GB15562.2的规定设置警示标志，现场需配置安全防护服装与工具、通讯设备、照明设施等；</w:t>
            </w:r>
          </w:p>
          <w:p w14:paraId="4708C0AA">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B.危废暂存间需按要求采取防渗措施；</w:t>
            </w:r>
          </w:p>
          <w:p w14:paraId="645A3F4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C.危险固废及时入</w:t>
            </w:r>
            <w:r>
              <w:rPr>
                <w:rFonts w:hint="default" w:ascii="Times New Roman" w:hAnsi="Times New Roman" w:cs="Times New Roman"/>
                <w:color w:val="auto"/>
                <w:sz w:val="24"/>
                <w:highlight w:val="none"/>
                <w:lang w:val="en-US" w:eastAsia="zh-CN"/>
              </w:rPr>
              <w:t>暂存间</w:t>
            </w:r>
            <w:r>
              <w:rPr>
                <w:rFonts w:hint="default" w:ascii="Times New Roman" w:hAnsi="Times New Roman" w:cs="Times New Roman"/>
                <w:color w:val="auto"/>
                <w:sz w:val="24"/>
                <w:highlight w:val="none"/>
              </w:rPr>
              <w:t>存放，并及时通知协议处理单位进行回收处理；</w:t>
            </w:r>
          </w:p>
          <w:p w14:paraId="1442252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D.建设单位需严格落实危险废物转移台账管理，做到每一笔危险废物的去向都有台账记录，包括厂区内部的和行政管理部门的。</w:t>
            </w:r>
          </w:p>
          <w:p w14:paraId="68967835">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）一般固废环境管理要求</w:t>
            </w:r>
          </w:p>
          <w:p w14:paraId="7251B965">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新建1座</w:t>
            </w:r>
            <w:r>
              <w:rPr>
                <w:rFonts w:hint="default" w:ascii="Times New Roman" w:hAnsi="Times New Roman" w:cs="Times New Roman"/>
                <w:color w:val="auto"/>
                <w:sz w:val="24"/>
                <w:highlight w:val="none"/>
                <w:lang w:eastAsia="zh-CN"/>
              </w:rPr>
              <w:t>一般固废暂存间</w:t>
            </w:r>
            <w:r>
              <w:rPr>
                <w:rFonts w:hint="default" w:ascii="Times New Roman" w:hAnsi="Times New Roman" w:cs="Times New Roman"/>
                <w:color w:val="auto"/>
                <w:sz w:val="24"/>
                <w:highlight w:val="none"/>
              </w:rPr>
              <w:t>，面积</w:t>
            </w:r>
            <w:r>
              <w:rPr>
                <w:rFonts w:hint="default"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，一般固废储存库需满足防渗漏、防雨淋、防扬尘等环境保护要求</w:t>
            </w:r>
            <w:r>
              <w:rPr>
                <w:rFonts w:hint="default" w:ascii="Times New Roman" w:hAnsi="Times New Roman" w:cs="Times New Roman"/>
                <w:color w:val="auto"/>
                <w:sz w:val="24"/>
                <w:highlight w:val="none"/>
                <w:lang w:eastAsia="zh-CN"/>
              </w:rPr>
              <w:t>。</w:t>
            </w:r>
          </w:p>
          <w:p w14:paraId="01CAD1C1">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综上所述，</w:t>
            </w:r>
            <w:r>
              <w:rPr>
                <w:rFonts w:hint="eastAsia"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产生的固废均能合理有效处理处置，不会产生二次环境污染。</w:t>
            </w:r>
          </w:p>
          <w:p w14:paraId="7A9D88EB">
            <w:pPr>
              <w:keepNext w:val="0"/>
              <w:keepLines w:val="0"/>
              <w:pageBreakBefore w:val="0"/>
              <w:widowControl w:val="0"/>
              <w:kinsoku/>
              <w:wordWrap/>
              <w:overflowPunct/>
              <w:topLinePunct/>
              <w:autoSpaceDE/>
              <w:autoSpaceDN/>
              <w:bidi w:val="0"/>
              <w:adjustRightInd w:val="0"/>
              <w:snapToGrid w:val="0"/>
              <w:spacing w:line="360" w:lineRule="auto"/>
              <w:ind w:left="0" w:leftChars="0" w:firstLine="482" w:firstLineChars="20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五、地下水、土壤环境影响和保护措施</w:t>
            </w:r>
          </w:p>
          <w:p w14:paraId="604A1D73">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（1）污染源及污染途径</w:t>
            </w:r>
          </w:p>
          <w:p w14:paraId="158CF444">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本项目污染物可能造成地下水和土壤污染的主要污染源和途径为危废暂存间和生产车间防渗措施不到位，在危废和油类贮存及转运过程中操作不当引起物料泄漏，通过垂直入渗和地面漫流等途径造成污染。</w:t>
            </w:r>
          </w:p>
          <w:p w14:paraId="5C1E05E3">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（2）污染防控措施</w:t>
            </w:r>
          </w:p>
          <w:p w14:paraId="0257D7D0">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b/>
                <w:color w:val="auto"/>
                <w:sz w:val="24"/>
                <w:highlight w:val="none"/>
              </w:rPr>
            </w:pPr>
            <w:r>
              <w:rPr>
                <w:rFonts w:hint="default" w:ascii="Times New Roman" w:hAnsi="Times New Roman" w:cs="Times New Roman"/>
                <w:color w:val="auto"/>
                <w:kern w:val="0"/>
                <w:sz w:val="24"/>
                <w:highlight w:val="none"/>
              </w:rPr>
              <w:t>具体分区防治措施详见下表</w:t>
            </w:r>
            <w:r>
              <w:rPr>
                <w:rFonts w:hint="default" w:ascii="Times New Roman" w:hAnsi="Times New Roman" w:cs="Times New Roman"/>
                <w:color w:val="auto"/>
                <w:sz w:val="24"/>
                <w:highlight w:val="none"/>
              </w:rPr>
              <w:t>。</w:t>
            </w:r>
          </w:p>
          <w:p w14:paraId="0454AE80">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表4-</w:t>
            </w:r>
            <w:r>
              <w:rPr>
                <w:rFonts w:hint="eastAsia" w:ascii="Times New Roman" w:hAnsi="Times New Roman" w:cs="Times New Roman"/>
                <w:b/>
                <w:color w:val="auto"/>
                <w:sz w:val="24"/>
                <w:highlight w:val="none"/>
                <w:lang w:val="en-US" w:eastAsia="zh-CN"/>
              </w:rPr>
              <w:t>1</w:t>
            </w:r>
            <w:r>
              <w:rPr>
                <w:rFonts w:hint="default" w:ascii="Times New Roman" w:hAnsi="Times New Roman" w:cs="Times New Roman"/>
                <w:b/>
                <w:color w:val="auto"/>
                <w:sz w:val="24"/>
                <w:highlight w:val="none"/>
                <w:lang w:val="en-US" w:eastAsia="zh-CN"/>
              </w:rPr>
              <w:t>2</w:t>
            </w:r>
            <w:r>
              <w:rPr>
                <w:rFonts w:hint="default" w:ascii="Times New Roman" w:hAnsi="Times New Roman" w:cs="Times New Roman"/>
                <w:b/>
                <w:color w:val="auto"/>
                <w:sz w:val="24"/>
                <w:highlight w:val="none"/>
              </w:rPr>
              <w:t xml:space="preserve"> </w:t>
            </w:r>
            <w:r>
              <w:rPr>
                <w:rFonts w:hint="eastAsia" w:ascii="Times New Roman" w:hAnsi="Times New Roman" w:cs="Times New Roman"/>
                <w:b/>
                <w:color w:val="auto"/>
                <w:sz w:val="24"/>
                <w:highlight w:val="none"/>
                <w:lang w:eastAsia="zh-CN"/>
              </w:rPr>
              <w:t>本项目土壤和地下水污染防渗分区</w:t>
            </w:r>
          </w:p>
          <w:tbl>
            <w:tblPr>
              <w:tblStyle w:val="25"/>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28"/>
              <w:gridCol w:w="902"/>
              <w:gridCol w:w="986"/>
              <w:gridCol w:w="571"/>
              <w:gridCol w:w="1947"/>
              <w:gridCol w:w="2489"/>
              <w:gridCol w:w="576"/>
            </w:tblGrid>
            <w:tr w14:paraId="5CF8C2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10" w:type="pct"/>
                  <w:noWrap w:val="0"/>
                  <w:vAlign w:val="center"/>
                </w:tcPr>
                <w:p w14:paraId="3D2CE896">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578" w:type="pct"/>
                  <w:noWrap w:val="0"/>
                  <w:vAlign w:val="center"/>
                </w:tcPr>
                <w:p w14:paraId="7838A86E">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装置、单元名称</w:t>
                  </w:r>
                </w:p>
              </w:tc>
              <w:tc>
                <w:tcPr>
                  <w:tcW w:w="632" w:type="pct"/>
                  <w:noWrap w:val="0"/>
                  <w:vAlign w:val="center"/>
                </w:tcPr>
                <w:p w14:paraId="0F6C9B2C">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防渗区域及部位</w:t>
                  </w:r>
                </w:p>
              </w:tc>
              <w:tc>
                <w:tcPr>
                  <w:tcW w:w="366" w:type="pct"/>
                  <w:noWrap w:val="0"/>
                  <w:vAlign w:val="center"/>
                </w:tcPr>
                <w:p w14:paraId="1259C666">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1248" w:type="pct"/>
                  <w:noWrap w:val="0"/>
                  <w:vAlign w:val="center"/>
                </w:tcPr>
                <w:p w14:paraId="2725A2A4">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防渗</w:t>
                  </w:r>
                  <w:r>
                    <w:rPr>
                      <w:rFonts w:hint="default" w:ascii="Times New Roman" w:hAnsi="Times New Roman" w:eastAsia="宋体" w:cs="Times New Roman"/>
                      <w:b/>
                      <w:bCs/>
                      <w:color w:val="auto"/>
                      <w:sz w:val="21"/>
                      <w:szCs w:val="21"/>
                      <w:highlight w:val="none"/>
                      <w:lang w:val="en-US" w:eastAsia="zh-CN"/>
                    </w:rPr>
                    <w:t>技术</w:t>
                  </w:r>
                  <w:r>
                    <w:rPr>
                      <w:rFonts w:hint="default" w:ascii="Times New Roman" w:hAnsi="Times New Roman" w:eastAsia="宋体" w:cs="Times New Roman"/>
                      <w:b/>
                      <w:bCs/>
                      <w:color w:val="auto"/>
                      <w:sz w:val="21"/>
                      <w:szCs w:val="21"/>
                      <w:highlight w:val="none"/>
                    </w:rPr>
                    <w:t>要求</w:t>
                  </w:r>
                </w:p>
              </w:tc>
              <w:tc>
                <w:tcPr>
                  <w:tcW w:w="1595" w:type="pct"/>
                  <w:noWrap w:val="0"/>
                  <w:vAlign w:val="center"/>
                </w:tcPr>
                <w:p w14:paraId="3E957C26">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具体措施</w:t>
                  </w:r>
                </w:p>
              </w:tc>
              <w:tc>
                <w:tcPr>
                  <w:tcW w:w="369" w:type="pct"/>
                  <w:noWrap w:val="0"/>
                  <w:vAlign w:val="center"/>
                </w:tcPr>
                <w:p w14:paraId="51B242D9">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lang w:val="en-US" w:eastAsia="zh-CN"/>
                    </w:rPr>
                    <w:t>备注</w:t>
                  </w:r>
                </w:p>
              </w:tc>
            </w:tr>
            <w:tr w14:paraId="1BD626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10" w:type="pct"/>
                  <w:noWrap w:val="0"/>
                  <w:vAlign w:val="center"/>
                </w:tcPr>
                <w:p w14:paraId="0E10E591">
                  <w:pPr>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578" w:type="pct"/>
                  <w:noWrap w:val="0"/>
                  <w:vAlign w:val="center"/>
                </w:tcPr>
                <w:p w14:paraId="4314D233">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val="0"/>
                      <w:bCs w:val="0"/>
                      <w:color w:val="auto"/>
                      <w:sz w:val="21"/>
                      <w:szCs w:val="21"/>
                      <w:lang w:val="en-US" w:eastAsia="zh-CN"/>
                    </w:rPr>
                    <w:t>危废暂存间</w:t>
                  </w:r>
                </w:p>
              </w:tc>
              <w:tc>
                <w:tcPr>
                  <w:tcW w:w="632" w:type="pct"/>
                  <w:noWrap w:val="0"/>
                  <w:vAlign w:val="center"/>
                </w:tcPr>
                <w:p w14:paraId="21EFDC4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lang w:val="en-US" w:eastAsia="zh-CN"/>
                    </w:rPr>
                    <w:t>危废暂存间</w:t>
                  </w:r>
                  <w:r>
                    <w:rPr>
                      <w:rFonts w:hint="default" w:ascii="Times New Roman" w:hAnsi="Times New Roman" w:eastAsia="宋体" w:cs="Times New Roman"/>
                      <w:color w:val="auto"/>
                      <w:sz w:val="21"/>
                      <w:szCs w:val="21"/>
                      <w:highlight w:val="none"/>
                      <w:lang w:val="en-US" w:eastAsia="zh-CN"/>
                    </w:rPr>
                    <w:t>地面</w:t>
                  </w:r>
                </w:p>
              </w:tc>
              <w:tc>
                <w:tcPr>
                  <w:tcW w:w="366" w:type="pct"/>
                  <w:vMerge w:val="restart"/>
                  <w:noWrap w:val="0"/>
                  <w:vAlign w:val="center"/>
                </w:tcPr>
                <w:p w14:paraId="786469F3">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color w:val="auto"/>
                      <w:sz w:val="21"/>
                      <w:szCs w:val="21"/>
                      <w:highlight w:val="none"/>
                    </w:rPr>
                    <w:t>重点防渗</w:t>
                  </w:r>
                </w:p>
              </w:tc>
              <w:tc>
                <w:tcPr>
                  <w:tcW w:w="1248" w:type="pct"/>
                  <w:noWrap w:val="0"/>
                  <w:vAlign w:val="center"/>
                </w:tcPr>
                <w:p w14:paraId="487175D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危废间应满足</w:t>
                  </w:r>
                  <w:r>
                    <w:rPr>
                      <w:rFonts w:hint="default" w:ascii="Times New Roman" w:hAnsi="Times New Roman" w:eastAsia="宋体" w:cs="Times New Roman"/>
                      <w:color w:val="auto"/>
                      <w:sz w:val="21"/>
                      <w:szCs w:val="21"/>
                      <w:highlight w:val="none"/>
                    </w:rPr>
                    <w:t>《危险废物贮存污染控制标准》（GB18597-20</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要求</w:t>
                  </w:r>
                </w:p>
              </w:tc>
              <w:tc>
                <w:tcPr>
                  <w:tcW w:w="1595" w:type="pct"/>
                  <w:noWrap w:val="0"/>
                  <w:vAlign w:val="center"/>
                </w:tcPr>
                <w:p w14:paraId="34139460">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拟采用</w:t>
                  </w:r>
                  <w:r>
                    <w:rPr>
                      <w:rFonts w:hint="eastAsia" w:ascii="Times New Roman" w:hAnsi="Times New Roman" w:eastAsia="宋体" w:cs="Times New Roman"/>
                      <w:color w:val="auto"/>
                      <w:sz w:val="21"/>
                      <w:szCs w:val="21"/>
                      <w:highlight w:val="none"/>
                      <w:lang w:val="en-US" w:eastAsia="zh-CN"/>
                    </w:rPr>
                    <w:t>20cm厚水泥</w:t>
                  </w:r>
                  <w:r>
                    <w:rPr>
                      <w:rFonts w:hint="eastAsia" w:ascii="Times New Roman" w:hAnsi="Times New Roman" w:eastAsia="宋体" w:cs="Times New Roman"/>
                      <w:color w:val="auto"/>
                      <w:sz w:val="21"/>
                      <w:szCs w:val="21"/>
                      <w:highlight w:val="none"/>
                      <w:lang w:eastAsia="zh-CN"/>
                    </w:rPr>
                    <w:t>地面硬化</w:t>
                  </w:r>
                  <w:r>
                    <w:rPr>
                      <w:rFonts w:hint="default" w:ascii="Times New Roman" w:hAnsi="Times New Roman" w:eastAsia="宋体" w:cs="Times New Roman"/>
                      <w:color w:val="auto"/>
                      <w:sz w:val="21"/>
                      <w:szCs w:val="21"/>
                      <w:highlight w:val="none"/>
                      <w:lang w:val="en-US" w:eastAsia="zh-CN"/>
                    </w:rPr>
                    <w:t>+环氧树脂防腐</w:t>
                  </w:r>
                  <w:r>
                    <w:rPr>
                      <w:rFonts w:hint="eastAsia" w:ascii="Times New Roman" w:hAnsi="Times New Roman" w:eastAsia="宋体" w:cs="Times New Roman"/>
                      <w:color w:val="auto"/>
                      <w:sz w:val="21"/>
                      <w:szCs w:val="21"/>
                      <w:highlight w:val="none"/>
                      <w:lang w:val="en-US" w:eastAsia="zh-CN"/>
                    </w:rPr>
                    <w:t>防渗</w:t>
                  </w:r>
                  <w:r>
                    <w:rPr>
                      <w:rFonts w:hint="default" w:ascii="Times New Roman" w:hAnsi="Times New Roman" w:eastAsia="宋体" w:cs="Times New Roman"/>
                      <w:color w:val="auto"/>
                      <w:sz w:val="21"/>
                      <w:szCs w:val="21"/>
                      <w:highlight w:val="none"/>
                      <w:lang w:val="en-US" w:eastAsia="zh-CN"/>
                    </w:rPr>
                    <w:t>层</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eastAsia="zh-CN"/>
                    </w:rPr>
                    <w:t>同步设置导流沟和收集池，</w:t>
                  </w:r>
                  <w:r>
                    <w:rPr>
                      <w:rFonts w:hint="default" w:ascii="Times New Roman" w:hAnsi="Times New Roman" w:eastAsia="宋体" w:cs="Times New Roman"/>
                      <w:color w:val="auto"/>
                      <w:sz w:val="21"/>
                      <w:szCs w:val="21"/>
                      <w:highlight w:val="none"/>
                    </w:rPr>
                    <w:t>，保证</w:t>
                  </w:r>
                  <w:r>
                    <w:rPr>
                      <w:rFonts w:hint="eastAsia" w:ascii="Times New Roman" w:hAnsi="Times New Roman" w:eastAsia="宋体" w:cs="Times New Roman"/>
                      <w:color w:val="auto"/>
                      <w:sz w:val="21"/>
                      <w:szCs w:val="21"/>
                      <w:highlight w:val="none"/>
                      <w:lang w:eastAsia="zh-CN"/>
                    </w:rPr>
                    <w:t>泄漏</w:t>
                  </w:r>
                  <w:r>
                    <w:rPr>
                      <w:rFonts w:hint="default" w:ascii="Times New Roman" w:hAnsi="Times New Roman" w:eastAsia="宋体" w:cs="Times New Roman"/>
                      <w:color w:val="auto"/>
                      <w:sz w:val="21"/>
                      <w:szCs w:val="21"/>
                      <w:highlight w:val="none"/>
                    </w:rPr>
                    <w:t>液体全部收集</w:t>
                  </w:r>
                </w:p>
              </w:tc>
              <w:tc>
                <w:tcPr>
                  <w:tcW w:w="369" w:type="pct"/>
                  <w:noWrap w:val="0"/>
                  <w:vAlign w:val="center"/>
                </w:tcPr>
                <w:p w14:paraId="520A8663">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58BBCE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10" w:type="pct"/>
                  <w:noWrap w:val="0"/>
                  <w:vAlign w:val="center"/>
                </w:tcPr>
                <w:p w14:paraId="60BF8E71">
                  <w:pPr>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578" w:type="pct"/>
                  <w:noWrap w:val="0"/>
                  <w:vAlign w:val="center"/>
                </w:tcPr>
                <w:p w14:paraId="2F8C2F16">
                  <w:pPr>
                    <w:jc w:val="center"/>
                    <w:rPr>
                      <w:rFonts w:hint="default" w:ascii="Times New Roman" w:hAnsi="Times New Roman" w:eastAsia="宋体" w:cs="Times New Roman"/>
                      <w:b/>
                      <w:bCs/>
                      <w:color w:val="auto"/>
                      <w:sz w:val="21"/>
                      <w:szCs w:val="21"/>
                      <w:highlight w:val="none"/>
                      <w:lang w:val="en-US"/>
                    </w:rPr>
                  </w:pPr>
                  <w:r>
                    <w:rPr>
                      <w:rFonts w:hint="eastAsia" w:eastAsia="宋体" w:cs="Times New Roman"/>
                      <w:b w:val="0"/>
                      <w:bCs/>
                      <w:color w:val="auto"/>
                      <w:sz w:val="21"/>
                      <w:szCs w:val="21"/>
                      <w:lang w:val="en-US" w:eastAsia="zh-CN"/>
                    </w:rPr>
                    <w:t>辅料暂存区</w:t>
                  </w:r>
                </w:p>
              </w:tc>
              <w:tc>
                <w:tcPr>
                  <w:tcW w:w="632" w:type="pct"/>
                  <w:noWrap w:val="0"/>
                  <w:vAlign w:val="center"/>
                </w:tcPr>
                <w:p w14:paraId="7F813534">
                  <w:pPr>
                    <w:jc w:val="center"/>
                    <w:rPr>
                      <w:rFonts w:hint="default" w:ascii="Times New Roman" w:hAnsi="Times New Roman" w:eastAsia="宋体" w:cs="Times New Roman"/>
                      <w:b w:val="0"/>
                      <w:bCs w:val="0"/>
                      <w:color w:val="auto"/>
                      <w:kern w:val="2"/>
                      <w:sz w:val="21"/>
                      <w:szCs w:val="21"/>
                      <w:lang w:val="en-US" w:eastAsia="zh-CN" w:bidi="ar-SA"/>
                    </w:rPr>
                  </w:pPr>
                  <w:r>
                    <w:rPr>
                      <w:rFonts w:hint="eastAsia" w:eastAsia="宋体" w:cs="Times New Roman"/>
                      <w:b w:val="0"/>
                      <w:bCs/>
                      <w:color w:val="auto"/>
                      <w:sz w:val="21"/>
                      <w:szCs w:val="21"/>
                      <w:lang w:val="en-US" w:eastAsia="zh-CN"/>
                    </w:rPr>
                    <w:t>区域</w:t>
                  </w:r>
                  <w:r>
                    <w:rPr>
                      <w:rFonts w:hint="default" w:ascii="Times New Roman" w:hAnsi="Times New Roman" w:eastAsia="宋体" w:cs="Times New Roman"/>
                      <w:color w:val="auto"/>
                      <w:sz w:val="21"/>
                      <w:szCs w:val="21"/>
                      <w:highlight w:val="none"/>
                      <w:lang w:val="en-US" w:eastAsia="zh-CN"/>
                    </w:rPr>
                    <w:t>地面</w:t>
                  </w:r>
                </w:p>
              </w:tc>
              <w:tc>
                <w:tcPr>
                  <w:tcW w:w="366" w:type="pct"/>
                  <w:vMerge w:val="continue"/>
                  <w:noWrap w:val="0"/>
                  <w:vAlign w:val="center"/>
                </w:tcPr>
                <w:p w14:paraId="5A65DC9D">
                  <w:pPr>
                    <w:jc w:val="center"/>
                    <w:rPr>
                      <w:rFonts w:hint="default" w:ascii="Times New Roman" w:hAnsi="Times New Roman" w:eastAsia="宋体" w:cs="Times New Roman"/>
                      <w:b/>
                      <w:bCs/>
                      <w:color w:val="auto"/>
                      <w:sz w:val="21"/>
                      <w:szCs w:val="21"/>
                      <w:highlight w:val="none"/>
                    </w:rPr>
                  </w:pPr>
                </w:p>
              </w:tc>
              <w:tc>
                <w:tcPr>
                  <w:tcW w:w="1248" w:type="pct"/>
                  <w:noWrap w:val="0"/>
                  <w:vAlign w:val="center"/>
                </w:tcPr>
                <w:p w14:paraId="6CB44807">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highlight w:val="none"/>
                    </w:rPr>
                    <w:t>等效黏土防渗层Mb≥6.0m，满足K≤10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w:t>
                  </w:r>
                  <w:r>
                    <w:rPr>
                      <w:rFonts w:hint="default" w:ascii="Times New Roman" w:hAnsi="Times New Roman" w:eastAsia="宋体" w:cs="Times New Roman"/>
                      <w:color w:val="auto"/>
                      <w:sz w:val="21"/>
                      <w:szCs w:val="21"/>
                      <w:highlight w:val="none"/>
                      <w:lang w:eastAsia="zh-CN"/>
                    </w:rPr>
                    <w:t>；</w:t>
                  </w:r>
                </w:p>
              </w:tc>
              <w:tc>
                <w:tcPr>
                  <w:tcW w:w="1595" w:type="pct"/>
                  <w:noWrap w:val="0"/>
                  <w:vAlign w:val="center"/>
                </w:tcPr>
                <w:p w14:paraId="715EFCEB">
                  <w:pPr>
                    <w:pStyle w:val="8"/>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拟采用</w:t>
                  </w:r>
                  <w:r>
                    <w:rPr>
                      <w:rFonts w:hint="default" w:ascii="Times New Roman" w:hAnsi="Times New Roman" w:eastAsia="宋体" w:cs="Times New Roman"/>
                      <w:color w:val="auto"/>
                      <w:sz w:val="21"/>
                      <w:szCs w:val="21"/>
                      <w:highlight w:val="none"/>
                      <w:lang w:val="en-US" w:eastAsia="zh-CN"/>
                    </w:rPr>
                    <w:t>至少</w:t>
                  </w:r>
                  <w:r>
                    <w:rPr>
                      <w:rFonts w:hint="eastAsia"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lang w:val="en-US" w:eastAsia="zh-CN"/>
                    </w:rPr>
                    <w:t>厘米厚</w:t>
                  </w:r>
                  <w:r>
                    <w:rPr>
                      <w:rFonts w:hint="default" w:ascii="Times New Roman" w:hAnsi="Times New Roman" w:eastAsia="宋体" w:cs="Times New Roman"/>
                      <w:color w:val="auto"/>
                      <w:sz w:val="21"/>
                      <w:szCs w:val="21"/>
                      <w:highlight w:val="none"/>
                      <w:lang w:eastAsia="zh-CN"/>
                    </w:rPr>
                    <w:t>C30混凝土</w:t>
                  </w:r>
                  <w:r>
                    <w:rPr>
                      <w:rFonts w:hint="default" w:ascii="Times New Roman" w:hAnsi="Times New Roman" w:eastAsia="宋体" w:cs="Times New Roman"/>
                      <w:color w:val="auto"/>
                      <w:sz w:val="21"/>
                      <w:szCs w:val="21"/>
                      <w:highlight w:val="none"/>
                      <w:lang w:val="en-US" w:eastAsia="zh-CN"/>
                    </w:rPr>
                    <w:t>+环氧树脂防腐</w:t>
                  </w:r>
                  <w:r>
                    <w:rPr>
                      <w:rFonts w:hint="eastAsia" w:ascii="Times New Roman" w:hAnsi="Times New Roman" w:eastAsia="宋体" w:cs="Times New Roman"/>
                      <w:color w:val="auto"/>
                      <w:sz w:val="21"/>
                      <w:szCs w:val="21"/>
                      <w:highlight w:val="none"/>
                      <w:lang w:val="en-US" w:eastAsia="zh-CN"/>
                    </w:rPr>
                    <w:t>防渗</w:t>
                  </w:r>
                  <w:r>
                    <w:rPr>
                      <w:rFonts w:hint="default" w:ascii="Times New Roman" w:hAnsi="Times New Roman" w:eastAsia="宋体" w:cs="Times New Roman"/>
                      <w:color w:val="auto"/>
                      <w:sz w:val="21"/>
                      <w:szCs w:val="21"/>
                      <w:highlight w:val="none"/>
                      <w:lang w:val="en-US" w:eastAsia="zh-CN"/>
                    </w:rPr>
                    <w:t>层</w:t>
                  </w:r>
                  <w:r>
                    <w:rPr>
                      <w:rFonts w:hint="default" w:ascii="Times New Roman" w:hAnsi="Times New Roman" w:eastAsia="宋体" w:cs="Times New Roman"/>
                      <w:color w:val="auto"/>
                      <w:sz w:val="21"/>
                      <w:szCs w:val="21"/>
                      <w:highlight w:val="none"/>
                      <w:lang w:eastAsia="zh-CN"/>
                    </w:rPr>
                    <w:t>，抗渗等级为P8（</w:t>
                  </w:r>
                  <w:r>
                    <w:rPr>
                      <w:rFonts w:hint="default" w:ascii="Times New Roman" w:hAnsi="Times New Roman" w:eastAsia="宋体" w:cs="Times New Roman"/>
                      <w:color w:val="auto"/>
                      <w:sz w:val="21"/>
                      <w:szCs w:val="21"/>
                      <w:highlight w:val="none"/>
                      <w:lang w:val="en-US" w:eastAsia="zh-CN"/>
                    </w:rPr>
                    <w:t>K≤0.26×10</w:t>
                  </w:r>
                  <w:r>
                    <w:rPr>
                      <w:rFonts w:hint="default" w:ascii="Times New Roman" w:hAnsi="Times New Roman" w:eastAsia="宋体" w:cs="Times New Roman"/>
                      <w:color w:val="auto"/>
                      <w:sz w:val="21"/>
                      <w:szCs w:val="21"/>
                      <w:highlight w:val="none"/>
                      <w:vertAlign w:val="superscript"/>
                      <w:lang w:val="en-US" w:eastAsia="zh-CN"/>
                    </w:rPr>
                    <w:t>-8</w:t>
                  </w:r>
                  <w:r>
                    <w:rPr>
                      <w:rFonts w:hint="default" w:ascii="Times New Roman" w:hAnsi="Times New Roman" w:eastAsia="宋体" w:cs="Times New Roman"/>
                      <w:color w:val="auto"/>
                      <w:sz w:val="21"/>
                      <w:szCs w:val="21"/>
                      <w:highlight w:val="none"/>
                      <w:lang w:val="en-US" w:eastAsia="zh-CN"/>
                    </w:rPr>
                    <w:t>cm/s</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eastAsia="zh-CN"/>
                    </w:rPr>
                    <w:t>，设备放置于半地下防渗基础内</w:t>
                  </w:r>
                  <w:r>
                    <w:rPr>
                      <w:rFonts w:hint="default" w:ascii="Times New Roman" w:hAnsi="Times New Roman" w:eastAsia="宋体" w:cs="Times New Roman"/>
                      <w:color w:val="auto"/>
                      <w:sz w:val="21"/>
                      <w:szCs w:val="21"/>
                      <w:highlight w:val="none"/>
                    </w:rPr>
                    <w:t>，保证</w:t>
                  </w:r>
                  <w:r>
                    <w:rPr>
                      <w:rFonts w:hint="eastAsia" w:ascii="Times New Roman" w:hAnsi="Times New Roman" w:eastAsia="宋体" w:cs="Times New Roman"/>
                      <w:color w:val="auto"/>
                      <w:sz w:val="21"/>
                      <w:szCs w:val="21"/>
                      <w:highlight w:val="none"/>
                      <w:lang w:eastAsia="zh-CN"/>
                    </w:rPr>
                    <w:t>泄漏</w:t>
                  </w:r>
                  <w:r>
                    <w:rPr>
                      <w:rFonts w:hint="default" w:ascii="Times New Roman" w:hAnsi="Times New Roman" w:eastAsia="宋体" w:cs="Times New Roman"/>
                      <w:color w:val="auto"/>
                      <w:sz w:val="21"/>
                      <w:szCs w:val="21"/>
                      <w:highlight w:val="none"/>
                    </w:rPr>
                    <w:t>液体全部收集</w:t>
                  </w:r>
                </w:p>
              </w:tc>
              <w:tc>
                <w:tcPr>
                  <w:tcW w:w="369" w:type="pct"/>
                  <w:noWrap w:val="0"/>
                  <w:vAlign w:val="center"/>
                </w:tcPr>
                <w:p w14:paraId="5C22BB97">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新建</w:t>
                  </w:r>
                </w:p>
              </w:tc>
            </w:tr>
            <w:tr w14:paraId="603407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10" w:type="pct"/>
                  <w:noWrap w:val="0"/>
                  <w:vAlign w:val="center"/>
                </w:tcPr>
                <w:p w14:paraId="2603DA3C">
                  <w:pPr>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c>
                <w:tcPr>
                  <w:tcW w:w="578" w:type="pct"/>
                  <w:noWrap w:val="0"/>
                  <w:vAlign w:val="center"/>
                </w:tcPr>
                <w:p w14:paraId="2FA0597C">
                  <w:pPr>
                    <w:jc w:val="center"/>
                    <w:rPr>
                      <w:rFonts w:hint="default" w:ascii="Times New Roman" w:hAnsi="Times New Roman" w:eastAsia="宋体" w:cs="Times New Roman"/>
                      <w:color w:val="auto"/>
                      <w:sz w:val="21"/>
                      <w:szCs w:val="21"/>
                      <w:highlight w:val="none"/>
                      <w:lang w:val="en-US" w:eastAsia="zh-CN"/>
                    </w:rPr>
                  </w:pPr>
                  <w:r>
                    <w:rPr>
                      <w:rFonts w:hint="eastAsia" w:eastAsia="宋体" w:cs="Times New Roman"/>
                      <w:b w:val="0"/>
                      <w:bCs/>
                      <w:color w:val="auto"/>
                      <w:sz w:val="21"/>
                      <w:szCs w:val="21"/>
                      <w:lang w:val="en-US" w:eastAsia="zh-CN"/>
                    </w:rPr>
                    <w:t>9号厂房</w:t>
                  </w:r>
                  <w:r>
                    <w:rPr>
                      <w:rFonts w:hint="default" w:ascii="Times New Roman" w:hAnsi="Times New Roman" w:eastAsia="宋体" w:cs="Times New Roman"/>
                      <w:b w:val="0"/>
                      <w:bCs/>
                      <w:color w:val="auto"/>
                      <w:sz w:val="21"/>
                      <w:szCs w:val="21"/>
                      <w:lang w:val="en-US" w:eastAsia="zh-CN"/>
                    </w:rPr>
                    <w:t>其他区域</w:t>
                  </w:r>
                </w:p>
              </w:tc>
              <w:tc>
                <w:tcPr>
                  <w:tcW w:w="632" w:type="pct"/>
                  <w:noWrap w:val="0"/>
                  <w:vAlign w:val="center"/>
                </w:tcPr>
                <w:p w14:paraId="7862140D">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厂房</w:t>
                  </w:r>
                  <w:r>
                    <w:rPr>
                      <w:rFonts w:hint="default" w:ascii="Times New Roman" w:hAnsi="Times New Roman" w:eastAsia="宋体" w:cs="Times New Roman"/>
                      <w:color w:val="auto"/>
                      <w:sz w:val="21"/>
                      <w:szCs w:val="21"/>
                      <w:highlight w:val="none"/>
                      <w:lang w:val="en-US" w:eastAsia="zh-CN"/>
                    </w:rPr>
                    <w:t>地面</w:t>
                  </w:r>
                </w:p>
              </w:tc>
              <w:tc>
                <w:tcPr>
                  <w:tcW w:w="366" w:type="pct"/>
                  <w:noWrap w:val="0"/>
                  <w:vAlign w:val="center"/>
                </w:tcPr>
                <w:p w14:paraId="1121DCCD">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一般防渗</w:t>
                  </w:r>
                </w:p>
              </w:tc>
              <w:tc>
                <w:tcPr>
                  <w:tcW w:w="1248" w:type="pct"/>
                  <w:noWrap w:val="0"/>
                  <w:vAlign w:val="center"/>
                </w:tcPr>
                <w:p w14:paraId="05D7CE1F">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满足《一般工业固体废物贮存和填埋污染控制标准》（GB18599-2020），等效黏土防渗层Mb≥1.5m，K＜10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cm/s；或参照GB16889执行</w:t>
                  </w:r>
                </w:p>
              </w:tc>
              <w:tc>
                <w:tcPr>
                  <w:tcW w:w="1595" w:type="pct"/>
                  <w:noWrap w:val="0"/>
                  <w:vAlign w:val="center"/>
                </w:tcPr>
                <w:p w14:paraId="529B4A68">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25cm厚P6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K≤0.419×10</w:t>
                  </w:r>
                  <w:r>
                    <w:rPr>
                      <w:rFonts w:hint="default" w:ascii="Times New Roman" w:hAnsi="Times New Roman" w:eastAsia="宋体" w:cs="Times New Roman"/>
                      <w:color w:val="auto"/>
                      <w:sz w:val="21"/>
                      <w:szCs w:val="21"/>
                      <w:highlight w:val="none"/>
                      <w:vertAlign w:val="superscript"/>
                      <w:lang w:val="en-US" w:eastAsia="zh-CN"/>
                    </w:rPr>
                    <w:t>-8</w:t>
                  </w:r>
                  <w:r>
                    <w:rPr>
                      <w:rFonts w:hint="default" w:ascii="Times New Roman" w:hAnsi="Times New Roman" w:eastAsia="宋体" w:cs="Times New Roman"/>
                      <w:color w:val="auto"/>
                      <w:sz w:val="21"/>
                      <w:szCs w:val="21"/>
                      <w:highlight w:val="none"/>
                      <w:lang w:val="en-US" w:eastAsia="zh-CN"/>
                    </w:rPr>
                    <w:t>cm/s</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等级抗渗混凝土</w:t>
                  </w:r>
                </w:p>
              </w:tc>
              <w:tc>
                <w:tcPr>
                  <w:tcW w:w="369" w:type="pct"/>
                  <w:noWrap w:val="0"/>
                  <w:vAlign w:val="center"/>
                </w:tcPr>
                <w:p w14:paraId="6BD715AA">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新建</w:t>
                  </w:r>
                </w:p>
              </w:tc>
            </w:tr>
          </w:tbl>
          <w:p w14:paraId="37CFC3E8">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①运行期间严格管理，加强巡检，及时发现污染物泄漏；一旦出现泄漏及时处理，检查检修设备，将污染物泄漏的环境风险事故降到最低。</w:t>
            </w:r>
          </w:p>
          <w:p w14:paraId="7D8421D9">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②固体废物转运、贮存等各环节做好防风、防雨、防渗措施，禁止随意弃置、堆放、填埋。</w:t>
            </w:r>
          </w:p>
          <w:p w14:paraId="5A7017F4">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按照有关规范要求采取上述污染防治措施，可以避免项目对周边地下水和土壤产生明显影响，营运期地下水和土壤污染防治措施是可行的。</w:t>
            </w:r>
          </w:p>
          <w:p w14:paraId="1E626854">
            <w:pPr>
              <w:keepNext w:val="0"/>
              <w:keepLines w:val="0"/>
              <w:pageBreakBefore w:val="0"/>
              <w:widowControl w:val="0"/>
              <w:kinsoku/>
              <w:wordWrap/>
              <w:overflowPunct/>
              <w:topLinePunct/>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六、环境风险影响和保护措施</w:t>
            </w:r>
          </w:p>
          <w:p w14:paraId="06A6D5E1">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1、Q值计算</w:t>
            </w:r>
          </w:p>
          <w:p w14:paraId="05FA096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项目环境风险评价技术导则》（HJ169-2018），对照附录C，计算本项目所涉及的每种危险物质在厂界内的最大存在总量与其在附录B中对应临界量的比值Q。当只涉及一种危险物质时，计算该物质的总量与其临界量比值，即为Q；当存在多种危险物质时，则按式（C.1）计算物质总量与其临界量比值（Q）；</w:t>
            </w:r>
          </w:p>
          <w:p w14:paraId="0440782C">
            <w:pPr>
              <w:adjustRightInd w:val="0"/>
              <w:snapToGrid w:val="0"/>
              <w:spacing w:line="360" w:lineRule="auto"/>
              <w:ind w:firstLine="480" w:firstLineChars="20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drawing>
                <wp:inline distT="0" distB="0" distL="114300" distR="114300">
                  <wp:extent cx="1438910" cy="488315"/>
                  <wp:effectExtent l="0" t="0" r="8890" b="1460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26"/>
                          <a:stretch>
                            <a:fillRect/>
                          </a:stretch>
                        </pic:blipFill>
                        <pic:spPr>
                          <a:xfrm>
                            <a:off x="0" y="0"/>
                            <a:ext cx="1438910" cy="488315"/>
                          </a:xfrm>
                          <a:prstGeom prst="rect">
                            <a:avLst/>
                          </a:prstGeom>
                          <a:noFill/>
                          <a:ln>
                            <a:noFill/>
                          </a:ln>
                        </pic:spPr>
                      </pic:pic>
                    </a:graphicData>
                  </a:graphic>
                </wp:inline>
              </w:drawing>
            </w:r>
          </w:p>
          <w:p w14:paraId="646C12B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式中：q1，q2，...，qn——每种危险物质的最大存在总量，t；</w:t>
            </w:r>
          </w:p>
          <w:p w14:paraId="34A802A1">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Q1，Q2，...，Qn——每种危险物质的临界量，t。</w:t>
            </w:r>
          </w:p>
          <w:p w14:paraId="3CB37F16">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当Q＜1时，该项目环境风险潜势为1。</w:t>
            </w:r>
          </w:p>
          <w:p w14:paraId="3C94EEAE">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当Q≥1时，将Q值划分为：（1）1≤Q＜10；（2）10≤Q＜100；（3）Q≥100。</w:t>
            </w:r>
          </w:p>
          <w:p w14:paraId="05C5F16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对照《建设项目环境风险评价技术导则》（HJ169-2018）附录B，</w:t>
            </w:r>
            <w:r>
              <w:rPr>
                <w:rFonts w:hint="eastAsia" w:ascii="Times New Roman" w:hAnsi="Times New Roman" w:cs="Times New Roman"/>
                <w:color w:val="auto"/>
                <w:sz w:val="24"/>
                <w:highlight w:val="none"/>
                <w:lang w:eastAsia="zh-CN"/>
              </w:rPr>
              <w:t>项目</w:t>
            </w:r>
            <w:r>
              <w:rPr>
                <w:rFonts w:hint="default" w:ascii="Times New Roman" w:hAnsi="Times New Roman" w:cs="Times New Roman"/>
                <w:color w:val="auto"/>
                <w:sz w:val="24"/>
                <w:highlight w:val="none"/>
              </w:rPr>
              <w:t>涉及的风险物质临界量见</w:t>
            </w:r>
            <w:r>
              <w:rPr>
                <w:rFonts w:hint="default" w:ascii="Times New Roman" w:hAnsi="Times New Roman" w:cs="Times New Roman"/>
                <w:color w:val="auto"/>
                <w:sz w:val="24"/>
                <w:highlight w:val="none"/>
                <w:lang w:val="en-US" w:eastAsia="zh-CN"/>
              </w:rPr>
              <w:t>下</w:t>
            </w:r>
            <w:r>
              <w:rPr>
                <w:rFonts w:hint="default" w:ascii="Times New Roman" w:hAnsi="Times New Roman" w:cs="Times New Roman"/>
                <w:color w:val="auto"/>
                <w:sz w:val="24"/>
                <w:highlight w:val="none"/>
              </w:rPr>
              <w:t>表。</w:t>
            </w:r>
          </w:p>
          <w:p w14:paraId="0C5174F9">
            <w:pPr>
              <w:adjustRightInd w:val="0"/>
              <w:snapToGrid w:val="0"/>
              <w:spacing w:line="24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表4</w:t>
            </w:r>
            <w:r>
              <w:rPr>
                <w:rFonts w:hint="default" w:ascii="Times New Roman" w:hAnsi="Times New Roman" w:cs="Times New Roman"/>
                <w:b/>
                <w:color w:val="auto"/>
                <w:sz w:val="24"/>
                <w:highlight w:val="none"/>
                <w:lang w:val="en-US" w:eastAsia="zh-CN"/>
              </w:rPr>
              <w:t>-</w:t>
            </w:r>
            <w:r>
              <w:rPr>
                <w:rFonts w:hint="eastAsia" w:ascii="Times New Roman" w:hAnsi="Times New Roman" w:cs="Times New Roman"/>
                <w:b/>
                <w:color w:val="auto"/>
                <w:sz w:val="24"/>
                <w:highlight w:val="none"/>
                <w:lang w:val="en-US" w:eastAsia="zh-CN"/>
              </w:rPr>
              <w:t>13</w:t>
            </w:r>
            <w:r>
              <w:rPr>
                <w:rFonts w:hint="default" w:ascii="Times New Roman" w:hAnsi="Times New Roman" w:cs="Times New Roman"/>
                <w:b/>
                <w:color w:val="auto"/>
                <w:sz w:val="24"/>
                <w:highlight w:val="none"/>
              </w:rPr>
              <w:t xml:space="preserve"> 主要危险物质贮存量一览表</w:t>
            </w:r>
          </w:p>
          <w:tbl>
            <w:tblPr>
              <w:tblStyle w:val="25"/>
              <w:tblW w:w="4996"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5"/>
              <w:gridCol w:w="772"/>
              <w:gridCol w:w="794"/>
              <w:gridCol w:w="752"/>
              <w:gridCol w:w="795"/>
              <w:gridCol w:w="1321"/>
              <w:gridCol w:w="886"/>
              <w:gridCol w:w="642"/>
              <w:gridCol w:w="1349"/>
            </w:tblGrid>
            <w:tr w14:paraId="4DF8B5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11" w:type="pct"/>
                  <w:vMerge w:val="restart"/>
                  <w:noWrap w:val="0"/>
                  <w:vAlign w:val="center"/>
                </w:tcPr>
                <w:p w14:paraId="38594469">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r>
                    <w:rPr>
                      <w:rFonts w:hint="default" w:ascii="Times New Roman" w:hAnsi="Times New Roman" w:eastAsia="宋体" w:cs="Times New Roman"/>
                      <w:b/>
                      <w:color w:val="auto"/>
                      <w:szCs w:val="21"/>
                      <w:u w:val="none"/>
                    </w:rPr>
                    <w:t>序号</w:t>
                  </w:r>
                </w:p>
              </w:tc>
              <w:tc>
                <w:tcPr>
                  <w:tcW w:w="495" w:type="pct"/>
                  <w:vMerge w:val="restart"/>
                  <w:noWrap w:val="0"/>
                  <w:vAlign w:val="center"/>
                </w:tcPr>
                <w:p w14:paraId="137FA8C3">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r>
                    <w:rPr>
                      <w:rFonts w:hint="default" w:ascii="Times New Roman" w:hAnsi="Times New Roman" w:eastAsia="宋体" w:cs="Times New Roman"/>
                      <w:b/>
                      <w:color w:val="auto"/>
                      <w:szCs w:val="21"/>
                      <w:u w:val="none"/>
                    </w:rPr>
                    <w:t>名称</w:t>
                  </w:r>
                </w:p>
              </w:tc>
              <w:tc>
                <w:tcPr>
                  <w:tcW w:w="1501" w:type="pct"/>
                  <w:gridSpan w:val="3"/>
                  <w:noWrap w:val="0"/>
                  <w:vAlign w:val="center"/>
                </w:tcPr>
                <w:p w14:paraId="3FFC4456">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lang w:val="en-US" w:eastAsia="zh-CN"/>
                    </w:rPr>
                  </w:pPr>
                  <w:r>
                    <w:rPr>
                      <w:rFonts w:hint="default" w:ascii="Times New Roman" w:hAnsi="Times New Roman" w:eastAsia="宋体" w:cs="Times New Roman"/>
                      <w:b/>
                      <w:color w:val="auto"/>
                      <w:szCs w:val="21"/>
                      <w:u w:val="none"/>
                      <w:lang w:val="en-US" w:eastAsia="zh-CN"/>
                    </w:rPr>
                    <w:t>存在量（t）</w:t>
                  </w:r>
                </w:p>
              </w:tc>
              <w:tc>
                <w:tcPr>
                  <w:tcW w:w="847" w:type="pct"/>
                  <w:vMerge w:val="restart"/>
                  <w:noWrap w:val="0"/>
                  <w:vAlign w:val="center"/>
                </w:tcPr>
                <w:p w14:paraId="712E8977">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lang w:eastAsia="zh-CN"/>
                    </w:rPr>
                  </w:pPr>
                  <w:r>
                    <w:rPr>
                      <w:rFonts w:hint="default" w:ascii="Times New Roman" w:hAnsi="Times New Roman" w:eastAsia="宋体" w:cs="Times New Roman"/>
                      <w:b/>
                      <w:color w:val="auto"/>
                      <w:szCs w:val="21"/>
                      <w:u w:val="none"/>
                      <w:lang w:eastAsia="zh-CN"/>
                    </w:rPr>
                    <w:t>涉及危险物质</w:t>
                  </w:r>
                </w:p>
              </w:tc>
              <w:tc>
                <w:tcPr>
                  <w:tcW w:w="568" w:type="pct"/>
                  <w:vMerge w:val="restart"/>
                  <w:noWrap w:val="0"/>
                  <w:vAlign w:val="center"/>
                </w:tcPr>
                <w:p w14:paraId="3A22CD16">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r>
                    <w:rPr>
                      <w:rFonts w:hint="default" w:ascii="Times New Roman" w:hAnsi="Times New Roman" w:eastAsia="宋体" w:cs="Times New Roman"/>
                      <w:b/>
                      <w:color w:val="auto"/>
                      <w:szCs w:val="21"/>
                      <w:u w:val="none"/>
                    </w:rPr>
                    <w:t>位置</w:t>
                  </w:r>
                </w:p>
              </w:tc>
              <w:tc>
                <w:tcPr>
                  <w:tcW w:w="411" w:type="pct"/>
                  <w:vMerge w:val="restart"/>
                  <w:noWrap w:val="0"/>
                  <w:vAlign w:val="center"/>
                </w:tcPr>
                <w:p w14:paraId="7064461E">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r>
                    <w:rPr>
                      <w:rFonts w:hint="default" w:ascii="Times New Roman" w:hAnsi="Times New Roman" w:eastAsia="宋体" w:cs="Times New Roman"/>
                      <w:b/>
                      <w:bCs w:val="0"/>
                      <w:color w:val="auto"/>
                      <w:szCs w:val="21"/>
                      <w:u w:val="none"/>
                    </w:rPr>
                    <w:t>临界量</w:t>
                  </w:r>
                  <w:r>
                    <w:rPr>
                      <w:rFonts w:hint="default" w:ascii="Times New Roman" w:hAnsi="Times New Roman" w:eastAsia="宋体" w:cs="Times New Roman"/>
                      <w:bCs/>
                      <w:color w:val="auto"/>
                      <w:szCs w:val="21"/>
                      <w:u w:val="none"/>
                    </w:rPr>
                    <w:t>t</w:t>
                  </w:r>
                </w:p>
              </w:tc>
              <w:tc>
                <w:tcPr>
                  <w:tcW w:w="865" w:type="pct"/>
                  <w:vMerge w:val="restart"/>
                  <w:noWrap w:val="0"/>
                  <w:vAlign w:val="center"/>
                </w:tcPr>
                <w:p w14:paraId="7718EA89">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r>
                    <w:rPr>
                      <w:rFonts w:hint="default" w:ascii="Times New Roman" w:hAnsi="Times New Roman" w:eastAsia="宋体" w:cs="Times New Roman"/>
                      <w:b/>
                      <w:bCs w:val="0"/>
                      <w:color w:val="auto"/>
                      <w:szCs w:val="21"/>
                      <w:u w:val="none"/>
                    </w:rPr>
                    <w:t>危险物质Q值</w:t>
                  </w:r>
                </w:p>
              </w:tc>
            </w:tr>
            <w:tr w14:paraId="496A83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11" w:type="pct"/>
                  <w:vMerge w:val="continue"/>
                  <w:noWrap w:val="0"/>
                  <w:vAlign w:val="center"/>
                </w:tcPr>
                <w:p w14:paraId="765ABAC8">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u w:val="none"/>
                    </w:rPr>
                  </w:pPr>
                </w:p>
              </w:tc>
              <w:tc>
                <w:tcPr>
                  <w:tcW w:w="495" w:type="pct"/>
                  <w:vMerge w:val="continue"/>
                  <w:noWrap w:val="0"/>
                  <w:vAlign w:val="center"/>
                </w:tcPr>
                <w:p w14:paraId="15CDD487">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u w:val="none"/>
                    </w:rPr>
                  </w:pPr>
                </w:p>
              </w:tc>
              <w:tc>
                <w:tcPr>
                  <w:tcW w:w="509" w:type="pct"/>
                  <w:noWrap w:val="0"/>
                  <w:vAlign w:val="center"/>
                </w:tcPr>
                <w:p w14:paraId="482AD6A9">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r>
                    <w:rPr>
                      <w:rFonts w:hint="default" w:ascii="Times New Roman" w:hAnsi="Times New Roman" w:eastAsia="宋体" w:cs="Times New Roman"/>
                      <w:b/>
                      <w:color w:val="auto"/>
                      <w:szCs w:val="21"/>
                      <w:u w:val="none"/>
                    </w:rPr>
                    <w:t>储存量</w:t>
                  </w:r>
                </w:p>
              </w:tc>
              <w:tc>
                <w:tcPr>
                  <w:tcW w:w="482" w:type="pct"/>
                  <w:noWrap w:val="0"/>
                  <w:vAlign w:val="center"/>
                </w:tcPr>
                <w:p w14:paraId="07E65C7B">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r>
                    <w:rPr>
                      <w:rFonts w:hint="default" w:ascii="Times New Roman" w:hAnsi="Times New Roman" w:eastAsia="宋体" w:cs="Times New Roman"/>
                      <w:b/>
                      <w:color w:val="auto"/>
                      <w:szCs w:val="21"/>
                      <w:u w:val="none"/>
                      <w:lang w:val="en-US" w:eastAsia="zh-CN"/>
                    </w:rPr>
                    <w:t>在线量</w:t>
                  </w:r>
                </w:p>
              </w:tc>
              <w:tc>
                <w:tcPr>
                  <w:tcW w:w="509" w:type="pct"/>
                  <w:noWrap w:val="0"/>
                  <w:vAlign w:val="center"/>
                </w:tcPr>
                <w:p w14:paraId="1B293C0B">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lang w:val="en-US" w:eastAsia="zh-CN"/>
                    </w:rPr>
                  </w:pPr>
                  <w:r>
                    <w:rPr>
                      <w:rFonts w:hint="default" w:ascii="Times New Roman" w:hAnsi="Times New Roman" w:eastAsia="宋体" w:cs="Times New Roman"/>
                      <w:b/>
                      <w:color w:val="auto"/>
                      <w:szCs w:val="21"/>
                      <w:u w:val="none"/>
                      <w:lang w:val="en-US" w:eastAsia="zh-CN"/>
                    </w:rPr>
                    <w:t>合计</w:t>
                  </w:r>
                </w:p>
              </w:tc>
              <w:tc>
                <w:tcPr>
                  <w:tcW w:w="847" w:type="pct"/>
                  <w:vMerge w:val="continue"/>
                  <w:noWrap w:val="0"/>
                  <w:vAlign w:val="center"/>
                </w:tcPr>
                <w:p w14:paraId="76FED5A7">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p>
              </w:tc>
              <w:tc>
                <w:tcPr>
                  <w:tcW w:w="568" w:type="pct"/>
                  <w:vMerge w:val="continue"/>
                  <w:noWrap w:val="0"/>
                  <w:vAlign w:val="center"/>
                </w:tcPr>
                <w:p w14:paraId="446C2382">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p>
              </w:tc>
              <w:tc>
                <w:tcPr>
                  <w:tcW w:w="411" w:type="pct"/>
                  <w:vMerge w:val="continue"/>
                  <w:noWrap w:val="0"/>
                  <w:vAlign w:val="center"/>
                </w:tcPr>
                <w:p w14:paraId="6B729E16">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p>
              </w:tc>
              <w:tc>
                <w:tcPr>
                  <w:tcW w:w="865" w:type="pct"/>
                  <w:vMerge w:val="continue"/>
                  <w:noWrap w:val="0"/>
                  <w:vAlign w:val="center"/>
                </w:tcPr>
                <w:p w14:paraId="55C8562E">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
                      <w:color w:val="auto"/>
                      <w:szCs w:val="21"/>
                      <w:u w:val="none"/>
                    </w:rPr>
                  </w:pPr>
                </w:p>
              </w:tc>
            </w:tr>
            <w:tr w14:paraId="0459ED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1" w:type="pct"/>
                  <w:noWrap w:val="0"/>
                  <w:vAlign w:val="center"/>
                </w:tcPr>
                <w:p w14:paraId="0629013D">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Cs w:val="21"/>
                      <w:u w:val="none"/>
                      <w:lang w:val="en-US" w:eastAsia="zh-CN"/>
                    </w:rPr>
                  </w:pPr>
                  <w:r>
                    <w:rPr>
                      <w:rFonts w:hint="eastAsia" w:ascii="Times New Roman" w:hAnsi="Times New Roman" w:eastAsia="宋体" w:cs="Times New Roman"/>
                      <w:color w:val="auto"/>
                      <w:szCs w:val="21"/>
                      <w:u w:val="none"/>
                      <w:lang w:val="en-US" w:eastAsia="zh-CN"/>
                    </w:rPr>
                    <w:t>1</w:t>
                  </w:r>
                </w:p>
              </w:tc>
              <w:tc>
                <w:tcPr>
                  <w:tcW w:w="495" w:type="pct"/>
                  <w:noWrap w:val="0"/>
                  <w:vAlign w:val="center"/>
                </w:tcPr>
                <w:p w14:paraId="549C7548">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default" w:ascii="Times New Roman" w:hAnsi="Times New Roman" w:eastAsia="宋体" w:cs="Times New Roman"/>
                      <w:iCs/>
                      <w:color w:val="auto"/>
                      <w:szCs w:val="21"/>
                      <w:u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胶水</w:t>
                  </w:r>
                </w:p>
              </w:tc>
              <w:tc>
                <w:tcPr>
                  <w:tcW w:w="509" w:type="pct"/>
                  <w:noWrap w:val="0"/>
                  <w:vAlign w:val="center"/>
                </w:tcPr>
                <w:p w14:paraId="10B034B9">
                  <w:pPr>
                    <w:jc w:val="center"/>
                    <w:rPr>
                      <w:rFonts w:hint="default" w:ascii="Times New Roman" w:hAnsi="Times New Roman" w:eastAsia="宋体" w:cs="Times New Roman"/>
                      <w:color w:val="auto"/>
                      <w:szCs w:val="21"/>
                      <w:u w:val="none"/>
                      <w:lang w:val="en-US" w:eastAsia="zh-CN"/>
                    </w:rPr>
                  </w:pPr>
                  <w:r>
                    <w:rPr>
                      <w:rFonts w:hint="eastAsia" w:ascii="Times New Roman" w:hAnsi="Times New Roman" w:cs="Times New Roman"/>
                      <w:color w:val="auto"/>
                      <w:sz w:val="21"/>
                      <w:szCs w:val="21"/>
                      <w:highlight w:val="none"/>
                      <w:lang w:val="en-US" w:eastAsia="zh-CN"/>
                    </w:rPr>
                    <w:t>0.5</w:t>
                  </w:r>
                </w:p>
              </w:tc>
              <w:tc>
                <w:tcPr>
                  <w:tcW w:w="482" w:type="pct"/>
                  <w:noWrap w:val="0"/>
                  <w:vAlign w:val="center"/>
                </w:tcPr>
                <w:p w14:paraId="7ED67368">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0.05</w:t>
                  </w:r>
                </w:p>
              </w:tc>
              <w:tc>
                <w:tcPr>
                  <w:tcW w:w="509" w:type="pct"/>
                  <w:noWrap w:val="0"/>
                  <w:vAlign w:val="center"/>
                </w:tcPr>
                <w:p w14:paraId="03E5625B">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0.55</w:t>
                  </w:r>
                </w:p>
              </w:tc>
              <w:tc>
                <w:tcPr>
                  <w:tcW w:w="847" w:type="pct"/>
                  <w:noWrap w:val="0"/>
                  <w:vAlign w:val="center"/>
                </w:tcPr>
                <w:p w14:paraId="76B40A72">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Cs w:val="21"/>
                      <w:u w:val="none"/>
                      <w:lang w:val="en-US" w:eastAsia="zh-CN"/>
                    </w:rPr>
                  </w:pPr>
                  <w:r>
                    <w:rPr>
                      <w:rFonts w:hint="default" w:ascii="Times New Roman" w:hAnsi="Times New Roman" w:eastAsia="宋体" w:cs="Times New Roman"/>
                      <w:bCs/>
                      <w:color w:val="auto"/>
                      <w:szCs w:val="21"/>
                      <w:u w:val="none"/>
                    </w:rPr>
                    <w:t>危害水环境物质</w:t>
                  </w:r>
                  <w:r>
                    <w:rPr>
                      <w:rFonts w:hint="default" w:ascii="Times New Roman" w:hAnsi="Times New Roman" w:eastAsia="宋体" w:cs="Times New Roman"/>
                      <w:color w:val="auto"/>
                      <w:szCs w:val="21"/>
                      <w:u w:val="none"/>
                    </w:rPr>
                    <w:t>（</w:t>
                  </w:r>
                  <w:r>
                    <w:rPr>
                      <w:rFonts w:hint="default" w:ascii="Times New Roman" w:hAnsi="Times New Roman" w:eastAsia="宋体" w:cs="Times New Roman"/>
                      <w:bCs/>
                      <w:color w:val="auto"/>
                      <w:szCs w:val="21"/>
                      <w:u w:val="none"/>
                    </w:rPr>
                    <w:t>急性毒性类别1</w:t>
                  </w:r>
                  <w:r>
                    <w:rPr>
                      <w:rFonts w:hint="default" w:ascii="Times New Roman" w:hAnsi="Times New Roman" w:eastAsia="宋体" w:cs="Times New Roman"/>
                      <w:color w:val="auto"/>
                      <w:szCs w:val="21"/>
                      <w:u w:val="none"/>
                    </w:rPr>
                    <w:t>）</w:t>
                  </w:r>
                </w:p>
              </w:tc>
              <w:tc>
                <w:tcPr>
                  <w:tcW w:w="568" w:type="pct"/>
                  <w:noWrap w:val="0"/>
                  <w:vAlign w:val="center"/>
                </w:tcPr>
                <w:p w14:paraId="79421BBC">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Cs w:val="21"/>
                      <w:u w:val="none"/>
                      <w:lang w:val="en-US" w:eastAsia="zh-CN"/>
                    </w:rPr>
                  </w:pPr>
                  <w:r>
                    <w:rPr>
                      <w:rFonts w:hint="default" w:ascii="Times New Roman" w:hAnsi="Times New Roman" w:eastAsia="宋体" w:cs="Times New Roman"/>
                      <w:bCs/>
                      <w:color w:val="auto"/>
                      <w:szCs w:val="21"/>
                      <w:u w:val="none"/>
                      <w:lang w:val="en-US" w:eastAsia="zh-CN"/>
                    </w:rPr>
                    <w:t>原料仓</w:t>
                  </w:r>
                  <w:r>
                    <w:rPr>
                      <w:rFonts w:hint="default" w:ascii="Times New Roman" w:hAnsi="Times New Roman" w:eastAsia="宋体" w:cs="Times New Roman"/>
                      <w:bCs/>
                      <w:color w:val="auto"/>
                      <w:szCs w:val="21"/>
                      <w:u w:val="none"/>
                    </w:rPr>
                    <w:t>库</w:t>
                  </w:r>
                  <w:r>
                    <w:rPr>
                      <w:rFonts w:hint="default" w:ascii="Times New Roman" w:hAnsi="Times New Roman" w:eastAsia="宋体" w:cs="Times New Roman"/>
                      <w:bCs/>
                      <w:color w:val="auto"/>
                      <w:szCs w:val="21"/>
                      <w:u w:val="none"/>
                      <w:lang w:eastAsia="zh-CN"/>
                    </w:rPr>
                    <w:t>、</w:t>
                  </w:r>
                  <w:r>
                    <w:rPr>
                      <w:rFonts w:hint="default" w:ascii="Times New Roman" w:hAnsi="Times New Roman" w:eastAsia="宋体" w:cs="Times New Roman"/>
                      <w:color w:val="auto"/>
                      <w:szCs w:val="21"/>
                      <w:u w:val="none"/>
                      <w:lang w:val="en-US" w:eastAsia="zh-CN"/>
                    </w:rPr>
                    <w:t>机加工车间</w:t>
                  </w:r>
                </w:p>
              </w:tc>
              <w:tc>
                <w:tcPr>
                  <w:tcW w:w="411" w:type="pct"/>
                  <w:noWrap w:val="0"/>
                  <w:vAlign w:val="center"/>
                </w:tcPr>
                <w:p w14:paraId="6BCC4C73">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default" w:ascii="Times New Roman" w:hAnsi="Times New Roman" w:eastAsia="宋体" w:cs="Times New Roman"/>
                      <w:bCs/>
                      <w:color w:val="auto"/>
                      <w:szCs w:val="21"/>
                      <w:u w:val="none"/>
                      <w:lang w:val="en-US" w:eastAsia="zh-CN"/>
                    </w:rPr>
                    <w:t>100</w:t>
                  </w:r>
                </w:p>
              </w:tc>
              <w:tc>
                <w:tcPr>
                  <w:tcW w:w="1349" w:type="dxa"/>
                  <w:noWrap w:val="0"/>
                  <w:vAlign w:val="center"/>
                </w:tcPr>
                <w:p w14:paraId="33F11420">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0.0055</w:t>
                  </w:r>
                </w:p>
              </w:tc>
            </w:tr>
            <w:tr w14:paraId="57CDE1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1" w:type="pct"/>
                  <w:noWrap w:val="0"/>
                  <w:vAlign w:val="center"/>
                </w:tcPr>
                <w:p w14:paraId="5E9E249F">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Cs w:val="21"/>
                      <w:u w:val="none"/>
                      <w:lang w:val="en-US" w:eastAsia="zh-CN"/>
                    </w:rPr>
                  </w:pPr>
                  <w:r>
                    <w:rPr>
                      <w:rFonts w:hint="eastAsia" w:ascii="Times New Roman" w:hAnsi="Times New Roman" w:eastAsia="宋体" w:cs="Times New Roman"/>
                      <w:color w:val="auto"/>
                      <w:szCs w:val="21"/>
                      <w:u w:val="none"/>
                      <w:lang w:val="en-US" w:eastAsia="zh-CN"/>
                    </w:rPr>
                    <w:t>2</w:t>
                  </w:r>
                </w:p>
              </w:tc>
              <w:tc>
                <w:tcPr>
                  <w:tcW w:w="495" w:type="pct"/>
                  <w:noWrap w:val="0"/>
                  <w:vAlign w:val="center"/>
                </w:tcPr>
                <w:p w14:paraId="2AF87A42">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default" w:ascii="Times New Roman" w:hAnsi="Times New Roman" w:eastAsia="宋体" w:cs="Times New Roman"/>
                      <w:iCs/>
                      <w:color w:val="auto"/>
                      <w:szCs w:val="21"/>
                      <w:u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酚醛树脂（按苯酚计）</w:t>
                  </w:r>
                </w:p>
              </w:tc>
              <w:tc>
                <w:tcPr>
                  <w:tcW w:w="509" w:type="pct"/>
                  <w:noWrap w:val="0"/>
                  <w:vAlign w:val="center"/>
                </w:tcPr>
                <w:p w14:paraId="41111BE2">
                  <w:pPr>
                    <w:jc w:val="center"/>
                    <w:rPr>
                      <w:rFonts w:hint="default" w:ascii="Times New Roman" w:hAnsi="Times New Roman" w:eastAsia="宋体" w:cs="Times New Roman"/>
                      <w:color w:val="auto"/>
                      <w:szCs w:val="21"/>
                      <w:u w:val="none"/>
                      <w:lang w:val="en-US" w:eastAsia="zh-CN"/>
                    </w:rPr>
                  </w:pPr>
                  <w:r>
                    <w:rPr>
                      <w:rFonts w:hint="eastAsia" w:ascii="Times New Roman" w:hAnsi="Times New Roman" w:cs="Times New Roman"/>
                      <w:color w:val="auto"/>
                      <w:sz w:val="21"/>
                      <w:szCs w:val="21"/>
                      <w:highlight w:val="none"/>
                      <w:lang w:val="en-US" w:eastAsia="zh-CN"/>
                    </w:rPr>
                    <w:t>0.14</w:t>
                  </w:r>
                </w:p>
              </w:tc>
              <w:tc>
                <w:tcPr>
                  <w:tcW w:w="482" w:type="pct"/>
                  <w:noWrap w:val="0"/>
                  <w:vAlign w:val="center"/>
                </w:tcPr>
                <w:p w14:paraId="1060A124">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default" w:ascii="Times New Roman" w:hAnsi="Times New Roman" w:eastAsia="宋体" w:cs="Times New Roman"/>
                      <w:bCs/>
                      <w:color w:val="auto"/>
                      <w:szCs w:val="21"/>
                      <w:u w:val="none"/>
                      <w:lang w:val="en-US" w:eastAsia="zh-CN"/>
                    </w:rPr>
                    <w:t>-</w:t>
                  </w:r>
                </w:p>
              </w:tc>
              <w:tc>
                <w:tcPr>
                  <w:tcW w:w="509" w:type="pct"/>
                  <w:noWrap w:val="0"/>
                  <w:vAlign w:val="center"/>
                </w:tcPr>
                <w:p w14:paraId="2AC97873">
                  <w:pPr>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cs="Times New Roman"/>
                      <w:color w:val="auto"/>
                      <w:sz w:val="21"/>
                      <w:szCs w:val="21"/>
                      <w:highlight w:val="none"/>
                      <w:lang w:val="en-US" w:eastAsia="zh-CN"/>
                    </w:rPr>
                    <w:t>0.14</w:t>
                  </w:r>
                </w:p>
              </w:tc>
              <w:tc>
                <w:tcPr>
                  <w:tcW w:w="847" w:type="pct"/>
                  <w:noWrap w:val="0"/>
                  <w:vAlign w:val="center"/>
                </w:tcPr>
                <w:p w14:paraId="21BD4CB9">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Cs w:val="21"/>
                      <w:u w:val="none"/>
                    </w:rPr>
                  </w:pPr>
                  <w:r>
                    <w:rPr>
                      <w:rFonts w:hint="eastAsia" w:ascii="Times New Roman" w:hAnsi="Times New Roman" w:eastAsia="宋体" w:cs="Times New Roman"/>
                      <w:color w:val="auto"/>
                      <w:szCs w:val="21"/>
                      <w:u w:val="none"/>
                      <w:lang w:val="en-US" w:eastAsia="zh-CN"/>
                    </w:rPr>
                    <w:t>苯酚</w:t>
                  </w:r>
                </w:p>
              </w:tc>
              <w:tc>
                <w:tcPr>
                  <w:tcW w:w="568" w:type="pct"/>
                  <w:noWrap w:val="0"/>
                  <w:vAlign w:val="center"/>
                </w:tcPr>
                <w:p w14:paraId="5BC32359">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Cs w:val="21"/>
                      <w:u w:val="none"/>
                      <w:lang w:val="en-US" w:eastAsia="zh-CN"/>
                    </w:rPr>
                  </w:pPr>
                  <w:r>
                    <w:rPr>
                      <w:rFonts w:hint="default" w:ascii="Times New Roman" w:hAnsi="Times New Roman" w:eastAsia="宋体" w:cs="Times New Roman"/>
                      <w:bCs/>
                      <w:color w:val="auto"/>
                      <w:szCs w:val="21"/>
                      <w:u w:val="none"/>
                      <w:lang w:val="en-US" w:eastAsia="zh-CN"/>
                    </w:rPr>
                    <w:t>原料仓</w:t>
                  </w:r>
                  <w:r>
                    <w:rPr>
                      <w:rFonts w:hint="default" w:ascii="Times New Roman" w:hAnsi="Times New Roman" w:eastAsia="宋体" w:cs="Times New Roman"/>
                      <w:bCs/>
                      <w:color w:val="auto"/>
                      <w:szCs w:val="21"/>
                      <w:u w:val="none"/>
                    </w:rPr>
                    <w:t>库</w:t>
                  </w:r>
                </w:p>
              </w:tc>
              <w:tc>
                <w:tcPr>
                  <w:tcW w:w="411" w:type="pct"/>
                  <w:noWrap w:val="0"/>
                  <w:vAlign w:val="center"/>
                </w:tcPr>
                <w:p w14:paraId="544714EE">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5</w:t>
                  </w:r>
                </w:p>
              </w:tc>
              <w:tc>
                <w:tcPr>
                  <w:tcW w:w="1349" w:type="dxa"/>
                  <w:noWrap w:val="0"/>
                  <w:vAlign w:val="center"/>
                </w:tcPr>
                <w:p w14:paraId="75838E7B">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0.028</w:t>
                  </w:r>
                </w:p>
              </w:tc>
            </w:tr>
            <w:tr w14:paraId="7C3965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1" w:type="pct"/>
                  <w:noWrap w:val="0"/>
                  <w:vAlign w:val="center"/>
                </w:tcPr>
                <w:p w14:paraId="79FC1F9B">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Cs w:val="21"/>
                      <w:u w:val="none"/>
                      <w:lang w:val="en-US" w:eastAsia="zh-CN"/>
                    </w:rPr>
                  </w:pPr>
                  <w:r>
                    <w:rPr>
                      <w:rFonts w:hint="eastAsia" w:ascii="Times New Roman" w:hAnsi="Times New Roman" w:eastAsia="宋体" w:cs="Times New Roman"/>
                      <w:color w:val="auto"/>
                      <w:szCs w:val="21"/>
                      <w:u w:val="none"/>
                      <w:lang w:val="en-US" w:eastAsia="zh-CN"/>
                    </w:rPr>
                    <w:t>3</w:t>
                  </w:r>
                </w:p>
              </w:tc>
              <w:tc>
                <w:tcPr>
                  <w:tcW w:w="495" w:type="pct"/>
                  <w:noWrap w:val="0"/>
                  <w:vAlign w:val="center"/>
                </w:tcPr>
                <w:p w14:paraId="5FBCF113">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润滑油</w:t>
                  </w:r>
                </w:p>
              </w:tc>
              <w:tc>
                <w:tcPr>
                  <w:tcW w:w="509" w:type="pct"/>
                  <w:noWrap w:val="0"/>
                  <w:vAlign w:val="center"/>
                </w:tcPr>
                <w:p w14:paraId="5DF13E9F">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0.01</w:t>
                  </w:r>
                </w:p>
              </w:tc>
              <w:tc>
                <w:tcPr>
                  <w:tcW w:w="482" w:type="pct"/>
                  <w:noWrap w:val="0"/>
                  <w:vAlign w:val="center"/>
                </w:tcPr>
                <w:p w14:paraId="517C0892">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w:t>
                  </w:r>
                </w:p>
              </w:tc>
              <w:tc>
                <w:tcPr>
                  <w:tcW w:w="509" w:type="pct"/>
                  <w:noWrap w:val="0"/>
                  <w:vAlign w:val="center"/>
                </w:tcPr>
                <w:p w14:paraId="739AB101">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0.01</w:t>
                  </w:r>
                </w:p>
              </w:tc>
              <w:tc>
                <w:tcPr>
                  <w:tcW w:w="847" w:type="pct"/>
                  <w:noWrap w:val="0"/>
                  <w:vAlign w:val="center"/>
                </w:tcPr>
                <w:p w14:paraId="157D4173">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rPr>
                  </w:pPr>
                  <w:r>
                    <w:rPr>
                      <w:rFonts w:hint="default" w:ascii="Times New Roman" w:hAnsi="Times New Roman" w:eastAsia="宋体" w:cs="Times New Roman"/>
                      <w:color w:val="auto"/>
                      <w:szCs w:val="21"/>
                      <w:u w:val="none"/>
                      <w:lang w:val="en-US" w:eastAsia="zh-CN"/>
                    </w:rPr>
                    <w:t>油类物质</w:t>
                  </w:r>
                </w:p>
              </w:tc>
              <w:tc>
                <w:tcPr>
                  <w:tcW w:w="568" w:type="pct"/>
                  <w:noWrap w:val="0"/>
                  <w:vAlign w:val="center"/>
                </w:tcPr>
                <w:p w14:paraId="3ABE29C4">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default" w:ascii="Times New Roman" w:hAnsi="Times New Roman" w:eastAsia="宋体" w:cs="Times New Roman"/>
                      <w:bCs/>
                      <w:color w:val="auto"/>
                      <w:szCs w:val="21"/>
                      <w:u w:val="none"/>
                      <w:lang w:val="en-US" w:eastAsia="zh-CN"/>
                    </w:rPr>
                    <w:t>原料仓</w:t>
                  </w:r>
                  <w:r>
                    <w:rPr>
                      <w:rFonts w:hint="default" w:ascii="Times New Roman" w:hAnsi="Times New Roman" w:eastAsia="宋体" w:cs="Times New Roman"/>
                      <w:bCs/>
                      <w:color w:val="auto"/>
                      <w:szCs w:val="21"/>
                      <w:u w:val="none"/>
                    </w:rPr>
                    <w:t>库</w:t>
                  </w:r>
                </w:p>
              </w:tc>
              <w:tc>
                <w:tcPr>
                  <w:tcW w:w="411" w:type="pct"/>
                  <w:noWrap w:val="0"/>
                  <w:vAlign w:val="center"/>
                </w:tcPr>
                <w:p w14:paraId="040B4F16">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default" w:ascii="Times New Roman" w:hAnsi="Times New Roman" w:eastAsia="宋体" w:cs="Times New Roman"/>
                      <w:bCs/>
                      <w:color w:val="auto"/>
                      <w:szCs w:val="21"/>
                      <w:u w:val="none"/>
                      <w:lang w:val="en-US" w:eastAsia="zh-CN"/>
                    </w:rPr>
                    <w:t>2500</w:t>
                  </w:r>
                </w:p>
              </w:tc>
              <w:tc>
                <w:tcPr>
                  <w:tcW w:w="1349" w:type="dxa"/>
                  <w:noWrap w:val="0"/>
                  <w:vAlign w:val="center"/>
                </w:tcPr>
                <w:p w14:paraId="1BF4ECDD">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0.000004</w:t>
                  </w:r>
                </w:p>
              </w:tc>
            </w:tr>
            <w:tr w14:paraId="4A26E5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1" w:type="pct"/>
                  <w:noWrap w:val="0"/>
                  <w:vAlign w:val="center"/>
                </w:tcPr>
                <w:p w14:paraId="1F8630B2">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Cs w:val="21"/>
                      <w:u w:val="none"/>
                      <w:lang w:val="en-US" w:eastAsia="zh-CN"/>
                    </w:rPr>
                  </w:pPr>
                  <w:r>
                    <w:rPr>
                      <w:rFonts w:hint="eastAsia" w:ascii="Times New Roman" w:hAnsi="Times New Roman" w:eastAsia="宋体" w:cs="Times New Roman"/>
                      <w:color w:val="auto"/>
                      <w:szCs w:val="21"/>
                      <w:u w:val="none"/>
                      <w:lang w:val="en-US" w:eastAsia="zh-CN"/>
                    </w:rPr>
                    <w:t>4</w:t>
                  </w:r>
                </w:p>
              </w:tc>
              <w:tc>
                <w:tcPr>
                  <w:tcW w:w="495" w:type="pct"/>
                  <w:noWrap w:val="0"/>
                  <w:vAlign w:val="center"/>
                </w:tcPr>
                <w:p w14:paraId="0B6732BC">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u w:val="none"/>
                      <w:lang w:eastAsia="zh-CN"/>
                    </w:rPr>
                  </w:pPr>
                  <w:r>
                    <w:rPr>
                      <w:rFonts w:hint="default" w:ascii="Times New Roman" w:hAnsi="Times New Roman" w:eastAsia="宋体" w:cs="Times New Roman"/>
                      <w:color w:val="auto"/>
                      <w:sz w:val="21"/>
                      <w:szCs w:val="21"/>
                      <w:u w:val="none"/>
                      <w:lang w:val="en-US" w:eastAsia="zh-CN"/>
                    </w:rPr>
                    <w:t>危险废物</w:t>
                  </w:r>
                </w:p>
              </w:tc>
              <w:tc>
                <w:tcPr>
                  <w:tcW w:w="509" w:type="pct"/>
                  <w:noWrap w:val="0"/>
                  <w:vAlign w:val="center"/>
                </w:tcPr>
                <w:p w14:paraId="0304D08C">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bCs/>
                      <w:color w:val="auto"/>
                      <w:szCs w:val="21"/>
                      <w:u w:val="none"/>
                      <w:lang w:val="en-US" w:eastAsia="zh-CN"/>
                    </w:rPr>
                    <w:t>4.94125</w:t>
                  </w:r>
                </w:p>
              </w:tc>
              <w:tc>
                <w:tcPr>
                  <w:tcW w:w="482" w:type="pct"/>
                  <w:noWrap w:val="0"/>
                  <w:vAlign w:val="center"/>
                </w:tcPr>
                <w:p w14:paraId="1C549BDD">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default" w:ascii="Times New Roman" w:hAnsi="Times New Roman" w:eastAsia="宋体" w:cs="Times New Roman"/>
                      <w:bCs/>
                      <w:color w:val="auto"/>
                      <w:szCs w:val="21"/>
                      <w:u w:val="none"/>
                      <w:lang w:val="en-US" w:eastAsia="zh-CN"/>
                    </w:rPr>
                    <w:t>-</w:t>
                  </w:r>
                </w:p>
              </w:tc>
              <w:tc>
                <w:tcPr>
                  <w:tcW w:w="509" w:type="pct"/>
                  <w:noWrap w:val="0"/>
                  <w:vAlign w:val="center"/>
                </w:tcPr>
                <w:p w14:paraId="539CCDFD">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2.666</w:t>
                  </w:r>
                </w:p>
              </w:tc>
              <w:tc>
                <w:tcPr>
                  <w:tcW w:w="847" w:type="pct"/>
                  <w:noWrap w:val="0"/>
                  <w:vAlign w:val="center"/>
                </w:tcPr>
                <w:p w14:paraId="6F9C1F7C">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default" w:ascii="Times New Roman" w:hAnsi="Times New Roman" w:eastAsia="宋体" w:cs="Times New Roman"/>
                      <w:bCs/>
                      <w:color w:val="auto"/>
                      <w:szCs w:val="21"/>
                      <w:u w:val="none"/>
                      <w:lang w:val="en-US" w:eastAsia="zh-CN"/>
                    </w:rPr>
                    <w:t>健康危险急性毒性物质（类别2，类别3）</w:t>
                  </w:r>
                </w:p>
              </w:tc>
              <w:tc>
                <w:tcPr>
                  <w:tcW w:w="568" w:type="pct"/>
                  <w:noWrap w:val="0"/>
                  <w:vAlign w:val="center"/>
                </w:tcPr>
                <w:p w14:paraId="45045B70">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color w:val="auto"/>
                      <w:szCs w:val="21"/>
                      <w:u w:val="none"/>
                    </w:rPr>
                  </w:pPr>
                  <w:r>
                    <w:rPr>
                      <w:rFonts w:hint="default" w:ascii="Times New Roman" w:hAnsi="Times New Roman" w:eastAsia="宋体" w:cs="Times New Roman"/>
                      <w:bCs/>
                      <w:color w:val="auto"/>
                      <w:szCs w:val="21"/>
                      <w:u w:val="none"/>
                      <w:lang w:val="en-US" w:eastAsia="zh-CN"/>
                    </w:rPr>
                    <w:t>危废暂存间</w:t>
                  </w:r>
                </w:p>
              </w:tc>
              <w:tc>
                <w:tcPr>
                  <w:tcW w:w="411" w:type="pct"/>
                  <w:noWrap w:val="0"/>
                  <w:vAlign w:val="center"/>
                </w:tcPr>
                <w:p w14:paraId="66883B68">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default" w:ascii="Times New Roman" w:hAnsi="Times New Roman" w:eastAsia="宋体" w:cs="Times New Roman"/>
                      <w:bCs/>
                      <w:color w:val="auto"/>
                      <w:szCs w:val="21"/>
                      <w:u w:val="none"/>
                      <w:lang w:val="en-US" w:eastAsia="zh-CN"/>
                    </w:rPr>
                    <w:t>50</w:t>
                  </w:r>
                </w:p>
              </w:tc>
              <w:tc>
                <w:tcPr>
                  <w:tcW w:w="1349" w:type="dxa"/>
                  <w:noWrap w:val="0"/>
                  <w:vAlign w:val="center"/>
                </w:tcPr>
                <w:p w14:paraId="754CB683">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0.05332</w:t>
                  </w:r>
                </w:p>
              </w:tc>
            </w:tr>
            <w:tr w14:paraId="6B9E09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34" w:type="pct"/>
                  <w:gridSpan w:val="8"/>
                  <w:noWrap w:val="0"/>
                  <w:vAlign w:val="center"/>
                </w:tcPr>
                <w:p w14:paraId="3093443D">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default" w:ascii="Times New Roman" w:hAnsi="Times New Roman" w:eastAsia="宋体" w:cs="Times New Roman"/>
                      <w:bCs/>
                      <w:color w:val="auto"/>
                      <w:szCs w:val="21"/>
                      <w:u w:val="none"/>
                      <w:lang w:val="en-US" w:eastAsia="zh-CN"/>
                    </w:rPr>
                    <w:t>合计</w:t>
                  </w:r>
                </w:p>
              </w:tc>
              <w:tc>
                <w:tcPr>
                  <w:tcW w:w="1349" w:type="dxa"/>
                  <w:noWrap w:val="0"/>
                  <w:vAlign w:val="center"/>
                </w:tcPr>
                <w:p w14:paraId="77DB6F64">
                  <w:pPr>
                    <w:keepNext w:val="0"/>
                    <w:keepLines w:val="0"/>
                    <w:pageBreakBefore w:val="0"/>
                    <w:widowControl/>
                    <w:kinsoku w:val="0"/>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Cs w:val="21"/>
                      <w:u w:val="none"/>
                      <w:lang w:val="en-US" w:eastAsia="zh-CN"/>
                    </w:rPr>
                  </w:pPr>
                  <w:r>
                    <w:rPr>
                      <w:rFonts w:hint="eastAsia" w:ascii="Times New Roman" w:hAnsi="Times New Roman" w:eastAsia="宋体" w:cs="Times New Roman"/>
                      <w:bCs/>
                      <w:color w:val="auto"/>
                      <w:szCs w:val="21"/>
                      <w:u w:val="none"/>
                      <w:lang w:val="en-US" w:eastAsia="zh-CN"/>
                    </w:rPr>
                    <w:t>0.086824</w:t>
                  </w:r>
                </w:p>
              </w:tc>
            </w:tr>
          </w:tbl>
          <w:p w14:paraId="460765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color w:val="auto"/>
                <w:sz w:val="24"/>
                <w:szCs w:val="24"/>
                <w:highlight w:val="none"/>
              </w:rPr>
              <w:t>由上表可知，</w:t>
            </w:r>
            <w:r>
              <w:rPr>
                <w:rFonts w:hint="eastAsia" w:ascii="Times New Roman" w:hAnsi="Times New Roman" w:cs="Times New Roman"/>
                <w:color w:val="auto"/>
                <w:sz w:val="24"/>
                <w:szCs w:val="24"/>
                <w:highlight w:val="none"/>
                <w:lang w:eastAsia="zh-CN"/>
              </w:rPr>
              <w:t>项目</w:t>
            </w:r>
            <w:r>
              <w:rPr>
                <w:rFonts w:hint="default" w:ascii="Times New Roman" w:hAnsi="Times New Roman" w:cs="Times New Roman"/>
                <w:color w:val="auto"/>
                <w:sz w:val="24"/>
                <w:szCs w:val="24"/>
                <w:highlight w:val="none"/>
              </w:rPr>
              <w:t>危险物质总量与其临界量比值Q＜1。</w:t>
            </w:r>
          </w:p>
          <w:p w14:paraId="32A3B7E3">
            <w:pPr>
              <w:keepNext w:val="0"/>
              <w:keepLines w:val="0"/>
              <w:pageBreakBefore w:val="0"/>
              <w:widowControl w:val="0"/>
              <w:tabs>
                <w:tab w:val="left" w:pos="0"/>
                <w:tab w:val="left" w:pos="851"/>
              </w:tabs>
              <w:kinsoku/>
              <w:wordWrap/>
              <w:overflowPunct/>
              <w:topLinePunct/>
              <w:autoSpaceDE/>
              <w:autoSpaceDN/>
              <w:bidi w:val="0"/>
              <w:adjustRightInd w:val="0"/>
              <w:snapToGrid w:val="0"/>
              <w:spacing w:line="360" w:lineRule="auto"/>
              <w:ind w:left="0" w:leftChars="0"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w:t>
            </w:r>
            <w:r>
              <w:rPr>
                <w:rFonts w:hint="default" w:ascii="Times New Roman" w:hAnsi="Times New Roman" w:cs="Times New Roman"/>
                <w:b/>
                <w:color w:val="auto"/>
                <w:kern w:val="0"/>
                <w:sz w:val="24"/>
                <w:highlight w:val="none"/>
              </w:rPr>
              <w:t>环境风险识别</w:t>
            </w:r>
          </w:p>
          <w:p w14:paraId="0A7159D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经识别，本项目涉及的风险物质主要为胶水、酚醛树脂和危险废物等，遇明火、火花则可能发生火灾爆炸事故，同时燃烧产生烟尘等废气进入大气环境，导致周围大气环境中相应污染物浓度增高，造成环境空气质量污染。对大气环境产生不利影响。发生泄漏以及火灾、爆炸事故也可能会导致有毒有害物质渗透入土壤中，造成土壤、地下水污染。</w:t>
            </w:r>
          </w:p>
          <w:p w14:paraId="23EBF647">
            <w:pPr>
              <w:pStyle w:val="61"/>
              <w:snapToGrid w:val="0"/>
              <w:spacing w:line="240" w:lineRule="auto"/>
              <w:ind w:left="0" w:leftChars="0" w:firstLine="0" w:firstLineChars="0"/>
              <w:jc w:val="center"/>
              <w:rPr>
                <w:rFonts w:hint="eastAsia"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表4-</w:t>
            </w:r>
            <w:r>
              <w:rPr>
                <w:rFonts w:hint="eastAsia" w:ascii="Times New Roman" w:hAnsi="Times New Roman" w:eastAsia="宋体" w:cs="Times New Roman"/>
                <w:b/>
                <w:color w:val="auto"/>
                <w:sz w:val="21"/>
                <w:szCs w:val="21"/>
                <w:lang w:val="en-US" w:eastAsia="zh-CN"/>
              </w:rPr>
              <w:t>14</w:t>
            </w:r>
            <w:r>
              <w:rPr>
                <w:rFonts w:hint="default" w:ascii="Times New Roman" w:hAnsi="Times New Roman" w:eastAsia="宋体" w:cs="Times New Roman"/>
                <w:b/>
                <w:color w:val="auto"/>
                <w:sz w:val="21"/>
                <w:szCs w:val="21"/>
                <w:lang w:val="en-US" w:eastAsia="zh-CN"/>
              </w:rPr>
              <w:t xml:space="preserve"> 主要危险物质环境风险识别</w:t>
            </w:r>
          </w:p>
          <w:tbl>
            <w:tblPr>
              <w:tblStyle w:val="26"/>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170"/>
              <w:gridCol w:w="2888"/>
              <w:gridCol w:w="3011"/>
            </w:tblGrid>
            <w:tr w14:paraId="0707E1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8" w:type="pct"/>
                  <w:noWrap w:val="0"/>
                  <w:vAlign w:val="center"/>
                </w:tcPr>
                <w:p w14:paraId="44FE352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序号</w:t>
                  </w:r>
                </w:p>
              </w:tc>
              <w:tc>
                <w:tcPr>
                  <w:tcW w:w="750" w:type="pct"/>
                  <w:noWrap w:val="0"/>
                  <w:vAlign w:val="center"/>
                </w:tcPr>
                <w:p w14:paraId="5FBD35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风险单元</w:t>
                  </w:r>
                </w:p>
              </w:tc>
              <w:tc>
                <w:tcPr>
                  <w:tcW w:w="1851" w:type="pct"/>
                  <w:noWrap w:val="0"/>
                  <w:vAlign w:val="center"/>
                </w:tcPr>
                <w:p w14:paraId="53AAD6A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涉及风险物质</w:t>
                  </w:r>
                </w:p>
              </w:tc>
              <w:tc>
                <w:tcPr>
                  <w:tcW w:w="1929" w:type="pct"/>
                  <w:noWrap w:val="0"/>
                  <w:vAlign w:val="center"/>
                </w:tcPr>
                <w:p w14:paraId="50765FD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可能影响环境的途径</w:t>
                  </w:r>
                </w:p>
              </w:tc>
            </w:tr>
            <w:tr w14:paraId="4695F6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8" w:type="pct"/>
                  <w:noWrap w:val="0"/>
                  <w:vAlign w:val="center"/>
                </w:tcPr>
                <w:p w14:paraId="7A4541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1</w:t>
                  </w:r>
                </w:p>
              </w:tc>
              <w:tc>
                <w:tcPr>
                  <w:tcW w:w="750" w:type="pct"/>
                  <w:noWrap w:val="0"/>
                  <w:vAlign w:val="center"/>
                </w:tcPr>
                <w:p w14:paraId="2CA90D3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生产车间、原料仓库</w:t>
                  </w:r>
                </w:p>
              </w:tc>
              <w:tc>
                <w:tcPr>
                  <w:tcW w:w="1851" w:type="pct"/>
                  <w:noWrap w:val="0"/>
                  <w:vAlign w:val="center"/>
                </w:tcPr>
                <w:p w14:paraId="1990305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胶水、酚醛树脂</w:t>
                  </w:r>
                  <w:r>
                    <w:rPr>
                      <w:rFonts w:hint="eastAsia" w:ascii="Times New Roman" w:hAnsi="Times New Roman" w:eastAsia="宋体" w:cs="Times New Roman"/>
                      <w:b w:val="0"/>
                      <w:bCs w:val="0"/>
                      <w:color w:val="auto"/>
                      <w:sz w:val="21"/>
                      <w:szCs w:val="21"/>
                      <w:u w:val="none"/>
                      <w:vertAlign w:val="baseline"/>
                      <w:lang w:val="en-US" w:eastAsia="zh-CN"/>
                    </w:rPr>
                    <w:t>等</w:t>
                  </w:r>
                </w:p>
              </w:tc>
              <w:tc>
                <w:tcPr>
                  <w:tcW w:w="1929" w:type="pct"/>
                  <w:noWrap w:val="0"/>
                  <w:vAlign w:val="center"/>
                </w:tcPr>
                <w:p w14:paraId="1A86029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泄漏以及火灾、爆炸等引起的伴生/次生污染物排放。</w:t>
                  </w:r>
                </w:p>
              </w:tc>
            </w:tr>
            <w:tr w14:paraId="1E99C3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8" w:type="pct"/>
                  <w:noWrap w:val="0"/>
                  <w:vAlign w:val="center"/>
                </w:tcPr>
                <w:p w14:paraId="7995A3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2</w:t>
                  </w:r>
                </w:p>
              </w:tc>
              <w:tc>
                <w:tcPr>
                  <w:tcW w:w="750" w:type="pct"/>
                  <w:noWrap w:val="0"/>
                  <w:vAlign w:val="center"/>
                </w:tcPr>
                <w:p w14:paraId="219A1D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危废暂存库</w:t>
                  </w:r>
                </w:p>
              </w:tc>
              <w:tc>
                <w:tcPr>
                  <w:tcW w:w="1851" w:type="pct"/>
                  <w:noWrap w:val="0"/>
                  <w:vAlign w:val="center"/>
                </w:tcPr>
                <w:p w14:paraId="0D05A58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eastAsia" w:ascii="Times New Roman" w:hAnsi="Times New Roman" w:eastAsia="宋体" w:cs="Times New Roman"/>
                      <w:b w:val="0"/>
                      <w:bCs w:val="0"/>
                      <w:color w:val="auto"/>
                      <w:sz w:val="21"/>
                      <w:szCs w:val="21"/>
                      <w:u w:val="none"/>
                      <w:vertAlign w:val="baseline"/>
                      <w:lang w:val="en-US" w:eastAsia="zh-CN"/>
                    </w:rPr>
                    <w:t>危险废物</w:t>
                  </w:r>
                </w:p>
              </w:tc>
              <w:tc>
                <w:tcPr>
                  <w:tcW w:w="1929" w:type="pct"/>
                  <w:noWrap w:val="0"/>
                  <w:vAlign w:val="center"/>
                </w:tcPr>
                <w:p w14:paraId="60FA707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u w:val="none"/>
                      <w:vertAlign w:val="baseline"/>
                      <w:lang w:val="en-US" w:eastAsia="zh-CN"/>
                    </w:rPr>
                    <w:t>泄漏以及火灾、爆炸等引起的伴生/次生污染物排放。</w:t>
                  </w:r>
                </w:p>
              </w:tc>
            </w:tr>
          </w:tbl>
          <w:p w14:paraId="27D88C4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u w:val="none"/>
                <w:lang w:val="en-US" w:eastAsia="zh-CN"/>
              </w:rPr>
            </w:pPr>
            <w:r>
              <w:rPr>
                <w:rFonts w:hint="eastAsia" w:ascii="Times New Roman" w:hAnsi="Times New Roman" w:eastAsia="宋体" w:cs="Times New Roman"/>
                <w:b w:val="0"/>
                <w:bCs w:val="0"/>
                <w:color w:val="auto"/>
                <w:sz w:val="24"/>
                <w:szCs w:val="24"/>
                <w:u w:val="none"/>
                <w:lang w:val="en-US" w:eastAsia="zh-CN"/>
              </w:rPr>
              <w:t>（3）</w:t>
            </w:r>
            <w:r>
              <w:rPr>
                <w:rFonts w:hint="default" w:ascii="Times New Roman" w:hAnsi="Times New Roman" w:eastAsia="宋体" w:cs="Times New Roman"/>
                <w:b w:val="0"/>
                <w:bCs w:val="0"/>
                <w:color w:val="auto"/>
                <w:sz w:val="24"/>
                <w:szCs w:val="24"/>
                <w:u w:val="none"/>
                <w:lang w:val="en-US" w:eastAsia="zh-CN"/>
              </w:rPr>
              <w:t>可能影响途径</w:t>
            </w:r>
          </w:p>
          <w:p w14:paraId="5E57A7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主要环境风险类型为泄漏事故和火灾、爆炸引发的次生/伴生污染物排放。液体泄漏</w:t>
            </w:r>
            <w:r>
              <w:rPr>
                <w:rFonts w:hint="eastAsia" w:ascii="Times New Roman" w:hAnsi="Times New Roman" w:eastAsia="宋体" w:cs="Times New Roman"/>
                <w:color w:val="auto"/>
                <w:sz w:val="24"/>
                <w:szCs w:val="24"/>
                <w:u w:val="none"/>
                <w:lang w:val="en-US" w:eastAsia="zh-CN"/>
              </w:rPr>
              <w:t>流</w:t>
            </w:r>
            <w:r>
              <w:rPr>
                <w:rFonts w:hint="default" w:ascii="Times New Roman" w:hAnsi="Times New Roman" w:eastAsia="宋体" w:cs="Times New Roman"/>
                <w:color w:val="auto"/>
                <w:sz w:val="24"/>
                <w:szCs w:val="24"/>
                <w:u w:val="none"/>
                <w:lang w:val="en-US" w:eastAsia="zh-CN"/>
              </w:rPr>
              <w:t>至外环境，随雨水冲刷至周边地表水环境，渗漏进入土壤和地下水；泄漏后遇热源和明火有燃烧、爆炸的危险，燃烧过程</w:t>
            </w:r>
            <w:r>
              <w:rPr>
                <w:rFonts w:hint="eastAsia" w:ascii="Times New Roman" w:hAnsi="Times New Roman" w:eastAsia="宋体" w:cs="Times New Roman"/>
                <w:color w:val="auto"/>
                <w:sz w:val="24"/>
                <w:szCs w:val="24"/>
                <w:u w:val="none"/>
                <w:lang w:val="en-US" w:eastAsia="zh-CN"/>
              </w:rPr>
              <w:t>中</w:t>
            </w:r>
            <w:r>
              <w:rPr>
                <w:rFonts w:hint="default" w:ascii="Times New Roman" w:hAnsi="Times New Roman" w:eastAsia="宋体" w:cs="Times New Roman"/>
                <w:color w:val="auto"/>
                <w:sz w:val="24"/>
                <w:szCs w:val="24"/>
                <w:u w:val="none"/>
                <w:lang w:val="en-US" w:eastAsia="zh-CN"/>
              </w:rPr>
              <w:t>伴生的有害气体会对周边大气环境造成影响，同时扑救火灾时产生的消防污水沿地面漫流，可能会对地表水、地下水、土壤产生影响。</w:t>
            </w:r>
          </w:p>
          <w:p w14:paraId="5AA837D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环境风险防治措施</w:t>
            </w:r>
          </w:p>
          <w:p w14:paraId="58F6EA0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厂区地面进行防渗、防漏处理，原辅料贮存周围设置明显的标识及警示牌；根据环境风险分析，对项目要求做好以下环境防范措施：</w:t>
            </w:r>
          </w:p>
          <w:p w14:paraId="1A21B8E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合理进行厂区平面布置，合理布置原料及产品的堆放位置，加强对易燃原料和产品的储存管理，降低发生火灾事故的</w:t>
            </w:r>
            <w:r>
              <w:rPr>
                <w:rFonts w:hint="eastAsia" w:ascii="Times New Roman" w:hAnsi="Times New Roman" w:eastAsia="宋体" w:cs="Times New Roman"/>
                <w:color w:val="auto"/>
                <w:sz w:val="24"/>
                <w:szCs w:val="24"/>
                <w:lang w:val="en-US" w:eastAsia="zh-CN"/>
              </w:rPr>
              <w:t>概率</w:t>
            </w:r>
            <w:r>
              <w:rPr>
                <w:rFonts w:hint="default" w:ascii="Times New Roman" w:hAnsi="Times New Roman" w:eastAsia="宋体" w:cs="Times New Roman"/>
                <w:color w:val="auto"/>
                <w:sz w:val="24"/>
                <w:szCs w:val="24"/>
                <w:lang w:val="en-US" w:eastAsia="zh-CN"/>
              </w:rPr>
              <w:t>；</w:t>
            </w:r>
          </w:p>
          <w:p w14:paraId="42A7691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完善危险物质贮存设施，加强对物料储存，原包装贮存在干燥、阴凉、通风、隔热、无阳光直射的区域，</w:t>
            </w:r>
            <w:r>
              <w:rPr>
                <w:rFonts w:hint="eastAsia" w:ascii="Times New Roman" w:hAnsi="Times New Roman" w:eastAsia="宋体" w:cs="Times New Roman"/>
                <w:color w:val="auto"/>
                <w:sz w:val="24"/>
                <w:szCs w:val="24"/>
                <w:lang w:val="en-US" w:eastAsia="zh-CN"/>
              </w:rPr>
              <w:t>使用</w:t>
            </w:r>
            <w:r>
              <w:rPr>
                <w:rFonts w:hint="default" w:ascii="Times New Roman" w:hAnsi="Times New Roman" w:eastAsia="宋体" w:cs="Times New Roman"/>
                <w:color w:val="auto"/>
                <w:sz w:val="24"/>
                <w:szCs w:val="24"/>
                <w:lang w:val="en-US" w:eastAsia="zh-CN"/>
              </w:rPr>
              <w:t xml:space="preserve">安全管理和检查，避免物料出现泄漏、 </w:t>
            </w:r>
          </w:p>
          <w:p w14:paraId="0F750E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使用和存储场所禁止烟火。</w:t>
            </w:r>
          </w:p>
          <w:p w14:paraId="5996A6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制定各项安全生产管理制度、严格的生产操作规则，同时注重加强安全教育，</w:t>
            </w:r>
            <w:r>
              <w:rPr>
                <w:rFonts w:hint="eastAsia" w:ascii="Times New Roman" w:hAnsi="Times New Roman" w:eastAsia="宋体" w:cs="Times New Roman"/>
                <w:color w:val="auto"/>
                <w:sz w:val="24"/>
                <w:szCs w:val="24"/>
                <w:lang w:val="en-US" w:eastAsia="zh-CN"/>
              </w:rPr>
              <w:t>增强</w:t>
            </w:r>
            <w:r>
              <w:rPr>
                <w:rFonts w:hint="default" w:ascii="Times New Roman" w:hAnsi="Times New Roman" w:eastAsia="宋体" w:cs="Times New Roman"/>
                <w:color w:val="auto"/>
                <w:sz w:val="24"/>
                <w:szCs w:val="24"/>
                <w:lang w:val="en-US" w:eastAsia="zh-CN"/>
              </w:rPr>
              <w:t>职工的安全意识和安全防范能力。做好个人预防措施、防护设备和应急程序：如果在有限空间内发生大量溢漏，疏散该区域的人群。</w:t>
            </w:r>
          </w:p>
          <w:p w14:paraId="64BD794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危险物质少量泄漏时可用砂吸收。大量泄漏事故时，应首先控制泄漏源，进行围堵，防止持续泄漏，对泄漏的液体进行收集，可回用于生产，若不能回用需送至有相应危险废物处理资质单位进行处理环境预防措施：不能让泄漏物流入下水道或河道。</w:t>
            </w:r>
          </w:p>
          <w:p w14:paraId="7F2BFBC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应急预案要求</w:t>
            </w:r>
          </w:p>
          <w:p w14:paraId="37E1AE0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根据《企业事业单位突发环境事件应急预案备案管理办法（试行）》（环发〔2015〕4号）</w:t>
            </w:r>
            <w:r>
              <w:rPr>
                <w:rFonts w:hint="eastAsia" w:ascii="Times New Roman" w:hAnsi="Times New Roman" w:eastAsia="宋体" w:cs="Times New Roman"/>
                <w:color w:val="auto"/>
                <w:sz w:val="24"/>
                <w:szCs w:val="24"/>
                <w:lang w:val="en-US" w:eastAsia="zh-CN"/>
              </w:rPr>
              <w:t>等要求</w:t>
            </w:r>
            <w:r>
              <w:rPr>
                <w:rFonts w:hint="default" w:ascii="Times New Roman" w:hAnsi="Times New Roman" w:eastAsia="宋体" w:cs="Times New Roman"/>
                <w:color w:val="auto"/>
                <w:sz w:val="24"/>
                <w:szCs w:val="24"/>
                <w:lang w:val="en-US" w:eastAsia="zh-CN"/>
              </w:rPr>
              <w:t>，企业应自行或委托相关单位编制突发环境事件应急预案并根据相关要求及时修订，报当地环保部门备案，定期做好应急演练。</w:t>
            </w:r>
          </w:p>
          <w:p w14:paraId="681CF3BD">
            <w:pPr>
              <w:keepNext w:val="0"/>
              <w:keepLines w:val="0"/>
              <w:pageBreakBefore w:val="0"/>
              <w:widowControl w:val="0"/>
              <w:tabs>
                <w:tab w:val="left" w:pos="0"/>
                <w:tab w:val="left" w:pos="1247"/>
              </w:tabs>
              <w:kinsoku/>
              <w:wordWrap/>
              <w:overflowPunct/>
              <w:topLinePunct/>
              <w:autoSpaceDE/>
              <w:autoSpaceDN/>
              <w:bidi w:val="0"/>
              <w:adjustRightInd w:val="0"/>
              <w:snapToGrid w:val="0"/>
              <w:spacing w:line="360" w:lineRule="auto"/>
              <w:ind w:left="0" w:leftChars="0" w:firstLine="480" w:firstLineChars="200"/>
              <w:rPr>
                <w:rFonts w:hint="default" w:ascii="Times New Roman" w:hAnsi="Times New Roman" w:cs="Times New Roman"/>
                <w:b/>
                <w:bCs/>
                <w:color w:val="auto"/>
                <w:sz w:val="24"/>
                <w:highlight w:val="none"/>
              </w:rPr>
            </w:pPr>
            <w:r>
              <w:rPr>
                <w:rFonts w:hint="eastAsia" w:ascii="Times New Roman" w:hAnsi="Times New Roman" w:cs="Times New Roman"/>
                <w:color w:val="auto"/>
                <w:sz w:val="24"/>
                <w:lang w:val="en-US" w:eastAsia="zh-CN"/>
              </w:rPr>
              <w:t>综上，</w:t>
            </w:r>
            <w:r>
              <w:rPr>
                <w:rFonts w:hint="default" w:ascii="Times New Roman" w:hAnsi="Times New Roman" w:cs="Times New Roman"/>
                <w:color w:val="auto"/>
                <w:sz w:val="24"/>
              </w:rPr>
              <w:t>通过采取以上的防范措施和制定相应的应急方案，可将该项目风险值降到最低，环境风险达到可控水平。因此从风险角度而言，本项目建设是可行的</w:t>
            </w:r>
            <w:r>
              <w:rPr>
                <w:rFonts w:hint="default" w:ascii="Times New Roman" w:hAnsi="Times New Roman" w:cs="Times New Roman"/>
                <w:color w:val="auto"/>
                <w:sz w:val="24"/>
                <w:highlight w:val="none"/>
              </w:rPr>
              <w:t>。</w:t>
            </w:r>
          </w:p>
          <w:p w14:paraId="56AAB3E5">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2CFABBA7">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6A91CAA8">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23C65E00">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49C619A4">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1E651074">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63276BEA">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21F4EAC2">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19DFDFC3">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677AF64C">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701A4EA8">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429D4EE5">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7054912C">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15E90C59">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1BA8FFEB">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77F8A474">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097C2DEF">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3C090E6D">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3473BF14">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48BEF450">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5518333E">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p w14:paraId="424D74EF">
            <w:pPr>
              <w:keepNext w:val="0"/>
              <w:keepLines w:val="0"/>
              <w:pageBreakBefore w:val="0"/>
              <w:widowControl w:val="0"/>
              <w:numPr>
                <w:ilvl w:val="0"/>
                <w:numId w:val="0"/>
              </w:numPr>
              <w:tabs>
                <w:tab w:val="left" w:pos="2040"/>
              </w:tabs>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vertAlign w:val="baseline"/>
                <w:lang w:eastAsia="zh-CN"/>
              </w:rPr>
            </w:pPr>
          </w:p>
        </w:tc>
      </w:tr>
    </w:tbl>
    <w:p w14:paraId="6BCD3E36">
      <w:pPr>
        <w:pStyle w:val="24"/>
        <w:widowControl w:val="0"/>
        <w:numPr>
          <w:ilvl w:val="0"/>
          <w:numId w:val="0"/>
        </w:numPr>
        <w:spacing w:after="120" w:afterLines="0" w:afterAutospacing="0"/>
        <w:jc w:val="both"/>
        <w:rPr>
          <w:rFonts w:hint="default" w:ascii="Times New Roman" w:hAnsi="Times New Roman" w:cs="Times New Roman"/>
          <w:color w:val="auto"/>
          <w:highlight w:val="none"/>
        </w:rPr>
      </w:pPr>
    </w:p>
    <w:p w14:paraId="363F5AFF">
      <w:pPr>
        <w:keepNext w:val="0"/>
        <w:keepLines w:val="0"/>
        <w:pageBreakBefore w:val="0"/>
        <w:widowControl w:val="0"/>
        <w:kinsoku/>
        <w:wordWrap/>
        <w:overflowPunct/>
        <w:topLinePunct/>
        <w:autoSpaceDE w:val="0"/>
        <w:autoSpaceDN/>
        <w:bidi w:val="0"/>
        <w:adjustRightInd w:val="0"/>
        <w:snapToGrid w:val="0"/>
        <w:ind w:left="0" w:leftChars="0"/>
        <w:jc w:val="center"/>
        <w:outlineLvl w:val="0"/>
        <w:rPr>
          <w:rFonts w:hint="default" w:ascii="Times New Roman" w:hAnsi="Times New Roman" w:eastAsia="黑体" w:cs="Times New Roman"/>
          <w:b/>
          <w:bCs/>
          <w:snapToGrid w:val="0"/>
          <w:color w:val="auto"/>
          <w:sz w:val="30"/>
          <w:szCs w:val="30"/>
          <w:highlight w:val="none"/>
        </w:rPr>
      </w:pPr>
      <w:bookmarkStart w:id="24" w:name="_Toc28137"/>
      <w:r>
        <w:rPr>
          <w:rFonts w:hint="default" w:ascii="Times New Roman" w:hAnsi="Times New Roman" w:eastAsia="黑体" w:cs="Times New Roman"/>
          <w:b/>
          <w:bCs/>
          <w:snapToGrid w:val="0"/>
          <w:color w:val="auto"/>
          <w:sz w:val="30"/>
          <w:szCs w:val="30"/>
          <w:highlight w:val="none"/>
        </w:rPr>
        <w:t>五、</w:t>
      </w:r>
      <w:bookmarkStart w:id="25" w:name="_Hlk54167917"/>
      <w:r>
        <w:rPr>
          <w:rFonts w:hint="default" w:ascii="Times New Roman" w:hAnsi="Times New Roman" w:eastAsia="黑体" w:cs="Times New Roman"/>
          <w:b/>
          <w:bCs/>
          <w:snapToGrid w:val="0"/>
          <w:color w:val="auto"/>
          <w:sz w:val="30"/>
          <w:szCs w:val="30"/>
          <w:highlight w:val="none"/>
        </w:rPr>
        <w:t>环境保护措施监督检查清单</w:t>
      </w:r>
      <w:bookmarkEnd w:id="24"/>
      <w:bookmarkEnd w:id="25"/>
    </w:p>
    <w:tbl>
      <w:tblPr>
        <w:tblStyle w:val="2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230"/>
        <w:gridCol w:w="1376"/>
        <w:gridCol w:w="2094"/>
        <w:gridCol w:w="3024"/>
      </w:tblGrid>
      <w:tr w14:paraId="1B1F24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tcBorders>
              <w:tl2br w:val="single" w:color="auto" w:sz="4" w:space="0"/>
            </w:tcBorders>
            <w:noWrap w:val="0"/>
            <w:vAlign w:val="top"/>
          </w:tcPr>
          <w:p w14:paraId="7A2EB7AD">
            <w:pPr>
              <w:topLinePunct/>
              <w:autoSpaceDE w:val="0"/>
              <w:adjustRightInd w:val="0"/>
              <w:snapToGrid w:val="0"/>
              <w:spacing w:line="240" w:lineRule="auto"/>
              <w:jc w:val="righ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内容</w:t>
            </w:r>
          </w:p>
          <w:p w14:paraId="5E849A85">
            <w:pPr>
              <w:topLinePunct/>
              <w:autoSpaceDE w:val="0"/>
              <w:adjustRightInd w:val="0"/>
              <w:snapToGrid w:val="0"/>
              <w:spacing w:line="240" w:lineRule="auto"/>
              <w:rPr>
                <w:rFonts w:hint="default" w:ascii="Times New Roman" w:hAnsi="Times New Roman" w:cs="Times New Roman"/>
                <w:b/>
                <w:bCs/>
                <w:color w:val="auto"/>
                <w:sz w:val="24"/>
                <w:szCs w:val="24"/>
                <w:highlight w:val="none"/>
              </w:rPr>
            </w:pPr>
          </w:p>
          <w:p w14:paraId="01A4BB1A">
            <w:pPr>
              <w:topLinePunct/>
              <w:autoSpaceDE w:val="0"/>
              <w:adjustRightInd w:val="0"/>
              <w:snapToGrid w:val="0"/>
              <w:spacing w:line="240" w:lineRule="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要素</w:t>
            </w:r>
          </w:p>
        </w:tc>
        <w:tc>
          <w:tcPr>
            <w:tcW w:w="722" w:type="pct"/>
            <w:noWrap w:val="0"/>
            <w:vAlign w:val="center"/>
          </w:tcPr>
          <w:p w14:paraId="53C20776">
            <w:pPr>
              <w:topLinePunct/>
              <w:autoSpaceDE w:val="0"/>
              <w:adjustRightInd w:val="0"/>
              <w:snapToGrid w:val="0"/>
              <w:spacing w:line="24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排放口</w:t>
            </w: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rPr>
              <w:t>编号、名称</w:t>
            </w: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rPr>
              <w:t>/污染源</w:t>
            </w:r>
          </w:p>
        </w:tc>
        <w:tc>
          <w:tcPr>
            <w:tcW w:w="807" w:type="pct"/>
            <w:noWrap w:val="0"/>
            <w:vAlign w:val="center"/>
          </w:tcPr>
          <w:p w14:paraId="5677C65A">
            <w:pPr>
              <w:topLinePunct/>
              <w:autoSpaceDE w:val="0"/>
              <w:adjustRightInd w:val="0"/>
              <w:snapToGrid w:val="0"/>
              <w:spacing w:line="24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污染物</w:t>
            </w:r>
          </w:p>
          <w:p w14:paraId="7DDB44B3">
            <w:pPr>
              <w:topLinePunct/>
              <w:autoSpaceDE w:val="0"/>
              <w:adjustRightInd w:val="0"/>
              <w:snapToGrid w:val="0"/>
              <w:spacing w:line="24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项目</w:t>
            </w:r>
          </w:p>
        </w:tc>
        <w:tc>
          <w:tcPr>
            <w:tcW w:w="1229" w:type="pct"/>
            <w:noWrap w:val="0"/>
            <w:vAlign w:val="center"/>
          </w:tcPr>
          <w:p w14:paraId="0CDE602E">
            <w:pPr>
              <w:topLinePunct/>
              <w:autoSpaceDE w:val="0"/>
              <w:adjustRightInd w:val="0"/>
              <w:snapToGrid w:val="0"/>
              <w:spacing w:line="24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环境保护措施</w:t>
            </w:r>
          </w:p>
        </w:tc>
        <w:tc>
          <w:tcPr>
            <w:tcW w:w="1775" w:type="pct"/>
            <w:noWrap w:val="0"/>
            <w:vAlign w:val="center"/>
          </w:tcPr>
          <w:p w14:paraId="021C26DF">
            <w:pPr>
              <w:topLinePunct/>
              <w:autoSpaceDE w:val="0"/>
              <w:adjustRightInd w:val="0"/>
              <w:snapToGrid w:val="0"/>
              <w:spacing w:line="24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执行标准</w:t>
            </w:r>
          </w:p>
        </w:tc>
      </w:tr>
      <w:tr w14:paraId="6AD9D2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vMerge w:val="restart"/>
            <w:noWrap w:val="0"/>
            <w:vAlign w:val="center"/>
          </w:tcPr>
          <w:p w14:paraId="360E74EA">
            <w:pPr>
              <w:topLinePunct/>
              <w:autoSpaceDE w:val="0"/>
              <w:adjustRightInd w:val="0"/>
              <w:snapToGrid w:val="0"/>
              <w:spacing w:line="24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大气环境</w:t>
            </w:r>
          </w:p>
        </w:tc>
        <w:tc>
          <w:tcPr>
            <w:tcW w:w="722" w:type="pct"/>
            <w:noWrap w:val="0"/>
            <w:vAlign w:val="center"/>
          </w:tcPr>
          <w:p w14:paraId="326FD7B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snapToGrid w:val="0"/>
                <w:color w:val="auto"/>
                <w:kern w:val="0"/>
                <w:sz w:val="24"/>
                <w:szCs w:val="24"/>
                <w:highlight w:val="none"/>
                <w:lang w:val="en-US" w:eastAsia="zh-CN"/>
              </w:rPr>
            </w:pPr>
            <w:r>
              <w:rPr>
                <w:rFonts w:hint="eastAsia" w:ascii="Times New Roman" w:hAnsi="Times New Roman" w:eastAsia="宋体" w:cs="Times New Roman"/>
                <w:color w:val="auto"/>
                <w:sz w:val="21"/>
                <w:szCs w:val="21"/>
                <w:highlight w:val="none"/>
                <w:lang w:val="en-US" w:eastAsia="zh-CN"/>
              </w:rPr>
              <w:t>DA001/</w:t>
            </w:r>
            <w:r>
              <w:rPr>
                <w:rFonts w:hint="default" w:ascii="Times New Roman" w:hAnsi="Times New Roman" w:eastAsia="宋体" w:cs="Times New Roman"/>
                <w:color w:val="auto"/>
                <w:sz w:val="21"/>
                <w:szCs w:val="21"/>
                <w:highlight w:val="none"/>
                <w:lang w:val="en-US" w:eastAsia="zh-CN"/>
              </w:rPr>
              <w:t>抛光、混料、打磨</w:t>
            </w:r>
            <w:r>
              <w:rPr>
                <w:rFonts w:hint="eastAsia" w:ascii="Times New Roman" w:hAnsi="Times New Roman" w:eastAsia="宋体" w:cs="Times New Roman"/>
                <w:color w:val="auto"/>
                <w:sz w:val="21"/>
                <w:szCs w:val="21"/>
                <w:highlight w:val="none"/>
                <w:lang w:val="en-US" w:eastAsia="zh-CN"/>
              </w:rPr>
              <w:t>废气</w:t>
            </w:r>
          </w:p>
        </w:tc>
        <w:tc>
          <w:tcPr>
            <w:tcW w:w="807" w:type="pct"/>
            <w:noWrap w:val="0"/>
            <w:vAlign w:val="center"/>
          </w:tcPr>
          <w:p w14:paraId="793AD0EB">
            <w:pPr>
              <w:autoSpaceDE w:val="0"/>
              <w:autoSpaceDN w:val="0"/>
              <w:adjustRightInd w:val="0"/>
              <w:snapToGrid w:val="0"/>
              <w:spacing w:line="240" w:lineRule="auto"/>
              <w:jc w:val="center"/>
              <w:rPr>
                <w:rFonts w:hint="default" w:ascii="Times New Roman" w:hAnsi="Times New Roman" w:eastAsia="宋体" w:cs="Times New Roman"/>
                <w:snapToGrid w:val="0"/>
                <w:color w:val="auto"/>
                <w:kern w:val="0"/>
                <w:sz w:val="24"/>
                <w:szCs w:val="24"/>
                <w:highlight w:val="none"/>
                <w:lang w:val="en-US" w:eastAsia="zh-CN"/>
              </w:rPr>
            </w:pPr>
            <w:r>
              <w:rPr>
                <w:rFonts w:hint="eastAsia" w:ascii="Times New Roman" w:hAnsi="Times New Roman" w:cs="Times New Roman"/>
                <w:color w:val="auto"/>
                <w:sz w:val="24"/>
                <w:szCs w:val="24"/>
                <w:highlight w:val="none"/>
                <w:lang w:val="en-US" w:eastAsia="zh-CN"/>
              </w:rPr>
              <w:t>颗粒物</w:t>
            </w:r>
          </w:p>
        </w:tc>
        <w:tc>
          <w:tcPr>
            <w:tcW w:w="1229" w:type="pct"/>
            <w:noWrap w:val="0"/>
            <w:vAlign w:val="center"/>
          </w:tcPr>
          <w:p w14:paraId="1218E176">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rPr>
                <w:rFonts w:hint="default" w:ascii="Times New Roman" w:hAnsi="Times New Roman" w:eastAsia="宋体" w:cs="Times New Roman"/>
                <w:snapToGrid w:val="0"/>
                <w:color w:val="auto"/>
                <w:kern w:val="0"/>
                <w:sz w:val="24"/>
                <w:szCs w:val="24"/>
                <w:highlight w:val="none"/>
                <w:lang w:val="en-US" w:eastAsia="zh-CN"/>
              </w:rPr>
            </w:pPr>
            <w:r>
              <w:rPr>
                <w:rFonts w:hint="eastAsia" w:ascii="Times New Roman" w:hAnsi="Times New Roman" w:eastAsia="宋体" w:cs="Times New Roman"/>
                <w:color w:val="auto"/>
                <w:sz w:val="24"/>
                <w:szCs w:val="24"/>
                <w:lang w:val="en-US" w:eastAsia="zh-CN"/>
              </w:rPr>
              <w:t>收集通过布袋除尘器处理后，尾气通过1根20m高的排气筒（DA00</w:t>
            </w:r>
            <w:r>
              <w:rPr>
                <w:rFonts w:hint="eastAsia" w:eastAsia="宋体" w:cs="Times New Roman"/>
                <w:color w:val="auto"/>
                <w:sz w:val="24"/>
                <w:szCs w:val="24"/>
                <w:lang w:val="en-US" w:eastAsia="zh-CN"/>
              </w:rPr>
              <w:t>1</w:t>
            </w:r>
            <w:r>
              <w:rPr>
                <w:rFonts w:hint="eastAsia" w:ascii="Times New Roman" w:hAnsi="Times New Roman" w:eastAsia="宋体" w:cs="Times New Roman"/>
                <w:color w:val="auto"/>
                <w:sz w:val="24"/>
                <w:szCs w:val="24"/>
                <w:lang w:val="en-US" w:eastAsia="zh-CN"/>
              </w:rPr>
              <w:t>）排放</w:t>
            </w:r>
          </w:p>
        </w:tc>
        <w:tc>
          <w:tcPr>
            <w:tcW w:w="1775" w:type="pct"/>
            <w:noWrap w:val="0"/>
            <w:vAlign w:val="center"/>
          </w:tcPr>
          <w:p w14:paraId="3589EC68">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《大气污染物综合排放标准》（GB</w:t>
            </w:r>
            <w:r>
              <w:rPr>
                <w:rFonts w:hint="eastAsia" w:cs="Times New Roman"/>
                <w:color w:val="auto"/>
                <w:sz w:val="24"/>
                <w:szCs w:val="24"/>
                <w:lang w:val="en-US" w:eastAsia="zh-CN"/>
              </w:rPr>
              <w:t>16297‑1996</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中标准限值</w:t>
            </w:r>
          </w:p>
        </w:tc>
      </w:tr>
      <w:tr w14:paraId="61619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vMerge w:val="continue"/>
            <w:noWrap w:val="0"/>
            <w:vAlign w:val="center"/>
          </w:tcPr>
          <w:p w14:paraId="527E576F">
            <w:pPr>
              <w:topLinePunct/>
              <w:autoSpaceDE/>
              <w:adjustRightInd w:val="0"/>
              <w:snapToGrid w:val="0"/>
              <w:spacing w:line="240" w:lineRule="auto"/>
              <w:jc w:val="center"/>
              <w:rPr>
                <w:rFonts w:hint="default" w:ascii="Times New Roman" w:hAnsi="Times New Roman" w:eastAsia="宋体" w:cs="Times New Roman"/>
                <w:bCs/>
                <w:color w:val="auto"/>
                <w:sz w:val="24"/>
                <w:szCs w:val="24"/>
                <w:highlight w:val="none"/>
              </w:rPr>
            </w:pPr>
          </w:p>
        </w:tc>
        <w:tc>
          <w:tcPr>
            <w:tcW w:w="722" w:type="pct"/>
            <w:noWrap w:val="0"/>
            <w:vAlign w:val="center"/>
          </w:tcPr>
          <w:p w14:paraId="60C29F3C">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color w:val="auto"/>
                <w:sz w:val="21"/>
                <w:szCs w:val="21"/>
                <w:highlight w:val="none"/>
                <w:lang w:val="en-US" w:eastAsia="zh-CN"/>
              </w:rPr>
              <w:t>DA002/</w:t>
            </w:r>
            <w:r>
              <w:rPr>
                <w:rFonts w:hint="default" w:ascii="Times New Roman" w:hAnsi="Times New Roman" w:eastAsia="宋体" w:cs="Times New Roman"/>
                <w:color w:val="auto"/>
                <w:sz w:val="21"/>
                <w:szCs w:val="21"/>
                <w:highlight w:val="none"/>
                <w:lang w:val="en-US" w:eastAsia="zh-CN"/>
              </w:rPr>
              <w:t>涂胶、热压、烘干</w:t>
            </w:r>
            <w:r>
              <w:rPr>
                <w:rFonts w:hint="eastAsia" w:ascii="Times New Roman" w:hAnsi="Times New Roman" w:eastAsia="宋体" w:cs="Times New Roman"/>
                <w:color w:val="auto"/>
                <w:sz w:val="21"/>
                <w:szCs w:val="21"/>
                <w:highlight w:val="none"/>
                <w:lang w:val="en-US" w:eastAsia="zh-CN"/>
              </w:rPr>
              <w:t>废气</w:t>
            </w:r>
          </w:p>
        </w:tc>
        <w:tc>
          <w:tcPr>
            <w:tcW w:w="807" w:type="pct"/>
            <w:noWrap w:val="0"/>
            <w:vAlign w:val="center"/>
          </w:tcPr>
          <w:p w14:paraId="05778E04">
            <w:pPr>
              <w:topLinePunct/>
              <w:autoSpaceDE/>
              <w:autoSpaceDN/>
              <w:adjustRightInd w:val="0"/>
              <w:snapToGrid w:val="0"/>
              <w:spacing w:line="240" w:lineRule="auto"/>
              <w:jc w:val="center"/>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非甲烷总烃</w:t>
            </w:r>
            <w:r>
              <w:rPr>
                <w:rFonts w:hint="eastAsia" w:ascii="Times New Roman" w:hAnsi="Times New Roman" w:eastAsia="宋体" w:cs="Times New Roman"/>
                <w:bCs/>
                <w:color w:val="auto"/>
                <w:sz w:val="24"/>
                <w:szCs w:val="24"/>
                <w:highlight w:val="none"/>
                <w:lang w:val="en-US" w:eastAsia="zh-CN"/>
              </w:rPr>
              <w:t>、苯酚、甲醛</w:t>
            </w:r>
          </w:p>
        </w:tc>
        <w:tc>
          <w:tcPr>
            <w:tcW w:w="1229" w:type="pct"/>
            <w:noWrap w:val="0"/>
            <w:vAlign w:val="center"/>
          </w:tcPr>
          <w:p w14:paraId="6C90D995">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color w:val="auto"/>
                <w:sz w:val="24"/>
                <w:szCs w:val="24"/>
                <w:lang w:val="en-US" w:eastAsia="zh-CN"/>
              </w:rPr>
              <w:t>收集通过风冷+二级活性炭处理后，尾气通过1根20m高的排气筒（DA00</w:t>
            </w:r>
            <w:r>
              <w:rPr>
                <w:rFonts w:hint="eastAsia" w:eastAsia="宋体"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）排放</w:t>
            </w:r>
          </w:p>
        </w:tc>
        <w:tc>
          <w:tcPr>
            <w:tcW w:w="1775" w:type="pct"/>
            <w:noWrap w:val="0"/>
            <w:vAlign w:val="center"/>
          </w:tcPr>
          <w:p w14:paraId="6610624F">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《固定源挥发性有机物综合排放标准第6部分：其他行业》（DB34/4812.6-2024）</w:t>
            </w:r>
          </w:p>
        </w:tc>
      </w:tr>
      <w:tr w14:paraId="3232B9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83" w:hRule="atLeast"/>
          <w:jc w:val="center"/>
        </w:trPr>
        <w:tc>
          <w:tcPr>
            <w:tcW w:w="465" w:type="pct"/>
            <w:vMerge w:val="continue"/>
            <w:noWrap w:val="0"/>
            <w:vAlign w:val="center"/>
          </w:tcPr>
          <w:p w14:paraId="77A1358C">
            <w:pPr>
              <w:topLinePunct/>
              <w:autoSpaceDE/>
              <w:adjustRightInd w:val="0"/>
              <w:snapToGrid w:val="0"/>
              <w:spacing w:line="240" w:lineRule="auto"/>
              <w:jc w:val="center"/>
              <w:rPr>
                <w:rFonts w:hint="default" w:ascii="Times New Roman" w:hAnsi="Times New Roman" w:eastAsia="宋体" w:cs="Times New Roman"/>
                <w:bCs/>
                <w:color w:val="auto"/>
                <w:sz w:val="24"/>
                <w:szCs w:val="24"/>
                <w:highlight w:val="none"/>
              </w:rPr>
            </w:pPr>
          </w:p>
        </w:tc>
        <w:tc>
          <w:tcPr>
            <w:tcW w:w="722" w:type="pct"/>
            <w:noWrap w:val="0"/>
            <w:vAlign w:val="center"/>
          </w:tcPr>
          <w:p w14:paraId="6E8A5C5E">
            <w:pPr>
              <w:keepNext w:val="0"/>
              <w:keepLines w:val="0"/>
              <w:pageBreakBefore w:val="0"/>
              <w:kinsoku/>
              <w:wordWrap/>
              <w:overflowPunct/>
              <w:topLinePunct w:val="0"/>
              <w:autoSpaceDE w:val="0"/>
              <w:autoSpaceDN w:val="0"/>
              <w:bidi w:val="0"/>
              <w:adjustRightInd w:val="0"/>
              <w:snapToGrid w:val="0"/>
              <w:jc w:val="center"/>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color w:val="auto"/>
                <w:sz w:val="21"/>
                <w:szCs w:val="21"/>
                <w:highlight w:val="none"/>
                <w:lang w:val="en-US" w:eastAsia="zh-CN"/>
              </w:rPr>
              <w:t>DA003/</w:t>
            </w:r>
            <w:r>
              <w:rPr>
                <w:rFonts w:hint="default" w:ascii="Times New Roman" w:hAnsi="Times New Roman" w:eastAsia="宋体" w:cs="Times New Roman"/>
                <w:color w:val="auto"/>
                <w:sz w:val="21"/>
                <w:szCs w:val="21"/>
                <w:highlight w:val="none"/>
                <w:lang w:val="en-US" w:eastAsia="zh-CN"/>
              </w:rPr>
              <w:t>喷塑</w:t>
            </w:r>
            <w:r>
              <w:rPr>
                <w:rFonts w:hint="eastAsia" w:ascii="Times New Roman" w:hAnsi="Times New Roman" w:eastAsia="宋体" w:cs="Times New Roman"/>
                <w:color w:val="auto"/>
                <w:sz w:val="21"/>
                <w:szCs w:val="21"/>
                <w:highlight w:val="none"/>
                <w:lang w:val="en-US" w:eastAsia="zh-CN"/>
              </w:rPr>
              <w:t>废气</w:t>
            </w:r>
          </w:p>
        </w:tc>
        <w:tc>
          <w:tcPr>
            <w:tcW w:w="807" w:type="pct"/>
            <w:noWrap w:val="0"/>
            <w:vAlign w:val="center"/>
          </w:tcPr>
          <w:p w14:paraId="64C72156">
            <w:pPr>
              <w:topLinePunct/>
              <w:autoSpaceDE/>
              <w:autoSpaceDN/>
              <w:adjustRightInd w:val="0"/>
              <w:snapToGrid w:val="0"/>
              <w:spacing w:line="240" w:lineRule="auto"/>
              <w:jc w:val="center"/>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颗粒物</w:t>
            </w:r>
          </w:p>
        </w:tc>
        <w:tc>
          <w:tcPr>
            <w:tcW w:w="1229" w:type="pct"/>
            <w:noWrap w:val="0"/>
            <w:vAlign w:val="center"/>
          </w:tcPr>
          <w:p w14:paraId="2B394FC2">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color w:val="auto"/>
                <w:sz w:val="24"/>
                <w:szCs w:val="24"/>
                <w:lang w:val="en-US" w:eastAsia="zh-CN"/>
              </w:rPr>
              <w:t>收集通过布袋除尘器处理后，尾气通过1根20m高的排气筒（DA00</w:t>
            </w:r>
            <w:r>
              <w:rPr>
                <w:rFonts w:hint="eastAsia" w:eastAsia="宋体" w:cs="Times New Roman"/>
                <w:color w:val="auto"/>
                <w:sz w:val="24"/>
                <w:szCs w:val="24"/>
                <w:lang w:val="en-US" w:eastAsia="zh-CN"/>
              </w:rPr>
              <w:t>3</w:t>
            </w:r>
            <w:r>
              <w:rPr>
                <w:rFonts w:hint="eastAsia" w:ascii="Times New Roman" w:hAnsi="Times New Roman" w:eastAsia="宋体" w:cs="Times New Roman"/>
                <w:color w:val="auto"/>
                <w:sz w:val="24"/>
                <w:szCs w:val="24"/>
                <w:lang w:val="en-US" w:eastAsia="zh-CN"/>
              </w:rPr>
              <w:t>）排放</w:t>
            </w:r>
          </w:p>
        </w:tc>
        <w:tc>
          <w:tcPr>
            <w:tcW w:w="1775" w:type="pct"/>
            <w:vMerge w:val="restart"/>
            <w:noWrap w:val="0"/>
            <w:vAlign w:val="center"/>
          </w:tcPr>
          <w:p w14:paraId="1996C052">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《合成树脂工业污染物排放标准》（GB31572-2015，含2024年修改单）</w:t>
            </w:r>
          </w:p>
        </w:tc>
      </w:tr>
      <w:tr w14:paraId="0DC4AF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vMerge w:val="continue"/>
            <w:noWrap w:val="0"/>
            <w:vAlign w:val="center"/>
          </w:tcPr>
          <w:p w14:paraId="0AF1D564">
            <w:pPr>
              <w:topLinePunct/>
              <w:autoSpaceDE/>
              <w:adjustRightInd w:val="0"/>
              <w:snapToGrid w:val="0"/>
              <w:spacing w:line="240" w:lineRule="auto"/>
              <w:jc w:val="center"/>
              <w:rPr>
                <w:rFonts w:hint="default" w:ascii="Times New Roman" w:hAnsi="Times New Roman" w:eastAsia="宋体" w:cs="Times New Roman"/>
                <w:bCs/>
                <w:color w:val="auto"/>
                <w:sz w:val="24"/>
                <w:szCs w:val="24"/>
                <w:highlight w:val="none"/>
              </w:rPr>
            </w:pPr>
          </w:p>
        </w:tc>
        <w:tc>
          <w:tcPr>
            <w:tcW w:w="722" w:type="pct"/>
            <w:noWrap w:val="0"/>
            <w:vAlign w:val="center"/>
          </w:tcPr>
          <w:p w14:paraId="1ADBFB4E">
            <w:pPr>
              <w:keepNext w:val="0"/>
              <w:keepLines w:val="0"/>
              <w:pageBreakBefore w:val="0"/>
              <w:kinsoku/>
              <w:wordWrap/>
              <w:overflowPunct/>
              <w:topLinePunct w:val="0"/>
              <w:autoSpaceDE w:val="0"/>
              <w:autoSpaceDN w:val="0"/>
              <w:bidi w:val="0"/>
              <w:adjustRightInd w:val="0"/>
              <w:snapToGrid w:val="0"/>
              <w:jc w:val="center"/>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color w:val="auto"/>
                <w:sz w:val="21"/>
                <w:szCs w:val="21"/>
                <w:highlight w:val="none"/>
                <w:lang w:val="en-US" w:eastAsia="zh-CN"/>
              </w:rPr>
              <w:t>DA004/</w:t>
            </w:r>
            <w:r>
              <w:rPr>
                <w:rFonts w:hint="default" w:ascii="Times New Roman" w:hAnsi="Times New Roman" w:eastAsia="宋体" w:cs="Times New Roman"/>
                <w:color w:val="auto"/>
                <w:sz w:val="21"/>
                <w:szCs w:val="21"/>
                <w:highlight w:val="none"/>
                <w:lang w:val="en-US" w:eastAsia="zh-CN"/>
              </w:rPr>
              <w:t>固化</w:t>
            </w:r>
            <w:r>
              <w:rPr>
                <w:rFonts w:hint="eastAsia" w:ascii="Times New Roman" w:hAnsi="Times New Roman" w:eastAsia="宋体" w:cs="Times New Roman"/>
                <w:color w:val="auto"/>
                <w:sz w:val="21"/>
                <w:szCs w:val="21"/>
                <w:highlight w:val="none"/>
                <w:lang w:val="en-US" w:eastAsia="zh-CN"/>
              </w:rPr>
              <w:t>废气</w:t>
            </w:r>
          </w:p>
        </w:tc>
        <w:tc>
          <w:tcPr>
            <w:tcW w:w="807" w:type="pct"/>
            <w:noWrap w:val="0"/>
            <w:vAlign w:val="center"/>
          </w:tcPr>
          <w:p w14:paraId="25425875">
            <w:pPr>
              <w:topLinePunct/>
              <w:autoSpaceDE/>
              <w:autoSpaceDN/>
              <w:adjustRightInd w:val="0"/>
              <w:snapToGrid w:val="0"/>
              <w:spacing w:line="240" w:lineRule="auto"/>
              <w:jc w:val="center"/>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非甲烷总烃</w:t>
            </w:r>
          </w:p>
        </w:tc>
        <w:tc>
          <w:tcPr>
            <w:tcW w:w="1229" w:type="pct"/>
            <w:noWrap w:val="0"/>
            <w:vAlign w:val="center"/>
          </w:tcPr>
          <w:p w14:paraId="6446A09A">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color w:val="auto"/>
                <w:sz w:val="24"/>
                <w:szCs w:val="24"/>
                <w:lang w:val="en-US" w:eastAsia="zh-CN"/>
              </w:rPr>
              <w:t>收集通过风冷+二级活性炭处理后，尾气通过1根20m高的排气筒（DA00</w:t>
            </w:r>
            <w:r>
              <w:rPr>
                <w:rFonts w:hint="eastAsia" w:eastAsia="宋体" w:cs="Times New Roman"/>
                <w:color w:val="auto"/>
                <w:sz w:val="24"/>
                <w:szCs w:val="24"/>
                <w:lang w:val="en-US" w:eastAsia="zh-CN"/>
              </w:rPr>
              <w:t>4</w:t>
            </w:r>
            <w:r>
              <w:rPr>
                <w:rFonts w:hint="eastAsia" w:ascii="Times New Roman" w:hAnsi="Times New Roman" w:eastAsia="宋体" w:cs="Times New Roman"/>
                <w:color w:val="auto"/>
                <w:sz w:val="24"/>
                <w:szCs w:val="24"/>
                <w:lang w:val="en-US" w:eastAsia="zh-CN"/>
              </w:rPr>
              <w:t>）排放</w:t>
            </w:r>
          </w:p>
        </w:tc>
        <w:tc>
          <w:tcPr>
            <w:tcW w:w="1775" w:type="pct"/>
            <w:vMerge w:val="continue"/>
            <w:noWrap w:val="0"/>
            <w:vAlign w:val="center"/>
          </w:tcPr>
          <w:p w14:paraId="6ABD6845">
            <w:pPr>
              <w:adjustRightInd w:val="0"/>
              <w:snapToGrid w:val="0"/>
              <w:spacing w:line="240" w:lineRule="auto"/>
              <w:ind w:firstLine="0" w:firstLineChars="0"/>
              <w:jc w:val="center"/>
              <w:textAlignment w:val="baseline"/>
              <w:rPr>
                <w:rFonts w:hint="default" w:ascii="Times New Roman" w:hAnsi="Times New Roman" w:eastAsia="宋体" w:cs="Times New Roman"/>
                <w:bCs/>
                <w:snapToGrid/>
                <w:color w:val="auto"/>
                <w:kern w:val="2"/>
                <w:sz w:val="24"/>
                <w:szCs w:val="24"/>
                <w:highlight w:val="none"/>
              </w:rPr>
            </w:pPr>
          </w:p>
        </w:tc>
      </w:tr>
      <w:tr w14:paraId="669392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98" w:hRule="atLeast"/>
          <w:jc w:val="center"/>
        </w:trPr>
        <w:tc>
          <w:tcPr>
            <w:tcW w:w="465" w:type="pct"/>
            <w:noWrap w:val="0"/>
            <w:vAlign w:val="center"/>
          </w:tcPr>
          <w:p w14:paraId="5E25CACF">
            <w:pPr>
              <w:topLinePunct/>
              <w:autoSpaceDE w:val="0"/>
              <w:adjustRightInd w:val="0"/>
              <w:snapToGrid w:val="0"/>
              <w:spacing w:line="24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地表水环境</w:t>
            </w:r>
          </w:p>
        </w:tc>
        <w:tc>
          <w:tcPr>
            <w:tcW w:w="722" w:type="pct"/>
            <w:noWrap w:val="0"/>
            <w:vAlign w:val="center"/>
          </w:tcPr>
          <w:p w14:paraId="7D215124">
            <w:pPr>
              <w:topLinePunct/>
              <w:autoSpaceDE w:val="0"/>
              <w:adjustRightInd w:val="0"/>
              <w:snapToGrid w:val="0"/>
              <w:spacing w:line="240" w:lineRule="auto"/>
              <w:jc w:val="cente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DW001</w:t>
            </w:r>
          </w:p>
        </w:tc>
        <w:tc>
          <w:tcPr>
            <w:tcW w:w="807" w:type="pct"/>
            <w:noWrap w:val="0"/>
            <w:vAlign w:val="center"/>
          </w:tcPr>
          <w:p w14:paraId="77BC319D">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pH、COD、BOD</w:t>
            </w:r>
            <w:r>
              <w:rPr>
                <w:rFonts w:hint="default" w:ascii="Times New Roman" w:hAnsi="Times New Roman" w:eastAsia="宋体" w:cs="Times New Roman"/>
                <w:bCs/>
                <w:color w:val="auto"/>
                <w:sz w:val="24"/>
                <w:szCs w:val="24"/>
                <w:highlight w:val="none"/>
                <w:vertAlign w:val="subscript"/>
                <w:lang w:val="en-US" w:eastAsia="zh-CN"/>
              </w:rPr>
              <w:t>5</w:t>
            </w:r>
            <w:r>
              <w:rPr>
                <w:rFonts w:hint="default" w:ascii="Times New Roman" w:hAnsi="Times New Roman" w:eastAsia="宋体" w:cs="Times New Roman"/>
                <w:bCs/>
                <w:color w:val="auto"/>
                <w:sz w:val="24"/>
                <w:szCs w:val="24"/>
                <w:highlight w:val="none"/>
                <w:lang w:val="en-US" w:eastAsia="zh-CN"/>
              </w:rPr>
              <w:t>、SS、氨氮</w:t>
            </w:r>
          </w:p>
        </w:tc>
        <w:tc>
          <w:tcPr>
            <w:tcW w:w="1229" w:type="pct"/>
            <w:noWrap w:val="0"/>
            <w:vAlign w:val="center"/>
          </w:tcPr>
          <w:p w14:paraId="053FAD41">
            <w:pPr>
              <w:keepNext w:val="0"/>
              <w:keepLines w:val="0"/>
              <w:pageBreakBefore w:val="0"/>
              <w:widowControl w:val="0"/>
              <w:kinsoku/>
              <w:wordWrap/>
              <w:overflowPunct/>
              <w:topLinePunct/>
              <w:autoSpaceDE/>
              <w:autoSpaceDN/>
              <w:bidi w:val="0"/>
              <w:adjustRightInd w:val="0"/>
              <w:snapToGrid w:val="0"/>
              <w:spacing w:line="240" w:lineRule="auto"/>
              <w:ind w:left="0" w:leftChars="0"/>
              <w:jc w:val="center"/>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Cs/>
                <w:color w:val="auto"/>
                <w:sz w:val="24"/>
                <w:szCs w:val="24"/>
                <w:highlight w:val="none"/>
                <w:lang w:val="en-US" w:eastAsia="zh-CN"/>
              </w:rPr>
              <w:t>生活污水和车间保洁排水依托园区化粪池处理后接入市政污水管网，排入山南新区污水处理厂集中处理</w:t>
            </w:r>
          </w:p>
        </w:tc>
        <w:tc>
          <w:tcPr>
            <w:tcW w:w="1775" w:type="pct"/>
            <w:noWrap w:val="0"/>
            <w:vAlign w:val="center"/>
          </w:tcPr>
          <w:p w14:paraId="6AFDB5D1">
            <w:pPr>
              <w:topLinePunct/>
              <w:autoSpaceDE w:val="0"/>
              <w:adjustRightInd w:val="0"/>
              <w:snapToGrid w:val="0"/>
              <w:spacing w:line="240" w:lineRule="auto"/>
              <w:jc w:val="center"/>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山南新区污水处理厂接管标准、《污水综合排放标准》（GB8978-1996）表4</w:t>
            </w:r>
          </w:p>
        </w:tc>
      </w:tr>
      <w:tr w14:paraId="37152C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noWrap w:val="0"/>
            <w:vAlign w:val="center"/>
          </w:tcPr>
          <w:p w14:paraId="22C3E2E3">
            <w:pPr>
              <w:topLinePunct/>
              <w:autoSpaceDE w:val="0"/>
              <w:adjustRightInd w:val="0"/>
              <w:snapToGrid w:val="0"/>
              <w:spacing w:line="24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声环境</w:t>
            </w:r>
          </w:p>
        </w:tc>
        <w:tc>
          <w:tcPr>
            <w:tcW w:w="722" w:type="pct"/>
            <w:noWrap w:val="0"/>
            <w:vAlign w:val="center"/>
          </w:tcPr>
          <w:p w14:paraId="7657EBA5">
            <w:pPr>
              <w:topLinePunct/>
              <w:autoSpaceDE w:val="0"/>
              <w:adjustRightInd w:val="0"/>
              <w:snapToGrid w:val="0"/>
              <w:spacing w:line="24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w:t>
            </w:r>
          </w:p>
        </w:tc>
        <w:tc>
          <w:tcPr>
            <w:tcW w:w="807" w:type="pct"/>
            <w:noWrap w:val="0"/>
            <w:vAlign w:val="center"/>
          </w:tcPr>
          <w:p w14:paraId="76EB0463">
            <w:pPr>
              <w:topLinePunct/>
              <w:autoSpaceDE w:val="0"/>
              <w:adjustRightInd w:val="0"/>
              <w:snapToGrid w:val="0"/>
              <w:spacing w:line="24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Leq</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A</w:t>
            </w:r>
            <w:r>
              <w:rPr>
                <w:rFonts w:hint="default" w:ascii="Times New Roman" w:hAnsi="Times New Roman" w:cs="Times New Roman"/>
                <w:color w:val="auto"/>
                <w:sz w:val="24"/>
                <w:szCs w:val="24"/>
                <w:highlight w:val="none"/>
                <w:lang w:val="en-US" w:eastAsia="zh-CN"/>
              </w:rPr>
              <w:t>）</w:t>
            </w:r>
          </w:p>
        </w:tc>
        <w:tc>
          <w:tcPr>
            <w:tcW w:w="1229" w:type="pct"/>
            <w:noWrap w:val="0"/>
            <w:vAlign w:val="center"/>
          </w:tcPr>
          <w:p w14:paraId="22085572">
            <w:pPr>
              <w:topLinePunct/>
              <w:autoSpaceDE w:val="0"/>
              <w:adjustRightInd w:val="0"/>
              <w:snapToGrid w:val="0"/>
              <w:spacing w:line="24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隔声、减振等</w:t>
            </w:r>
          </w:p>
        </w:tc>
        <w:tc>
          <w:tcPr>
            <w:tcW w:w="1775" w:type="pct"/>
            <w:noWrap w:val="0"/>
            <w:vAlign w:val="center"/>
          </w:tcPr>
          <w:p w14:paraId="689BE047">
            <w:pPr>
              <w:topLinePunct/>
              <w:autoSpaceDE w:val="0"/>
              <w:adjustRightInd w:val="0"/>
              <w:snapToGrid w:val="0"/>
              <w:spacing w:line="24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满足《工业企业厂界环境噪声排放标准》（GB12348-2008）中3类标准</w:t>
            </w:r>
          </w:p>
        </w:tc>
      </w:tr>
      <w:tr w14:paraId="1EF32E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noWrap w:val="0"/>
            <w:vAlign w:val="center"/>
          </w:tcPr>
          <w:p w14:paraId="328C048C">
            <w:pPr>
              <w:topLinePunct/>
              <w:autoSpaceDE w:val="0"/>
              <w:adjustRightInd w:val="0"/>
              <w:snapToGrid w:val="0"/>
              <w:spacing w:line="24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电磁辐射</w:t>
            </w:r>
          </w:p>
        </w:tc>
        <w:tc>
          <w:tcPr>
            <w:tcW w:w="722" w:type="pct"/>
            <w:noWrap w:val="0"/>
            <w:vAlign w:val="center"/>
          </w:tcPr>
          <w:p w14:paraId="203FAA1B">
            <w:pPr>
              <w:topLinePunct/>
              <w:autoSpaceDE w:val="0"/>
              <w:adjustRightInd w:val="0"/>
              <w:snapToGrid w:val="0"/>
              <w:spacing w:line="24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w:t>
            </w:r>
          </w:p>
        </w:tc>
        <w:tc>
          <w:tcPr>
            <w:tcW w:w="807" w:type="pct"/>
            <w:noWrap w:val="0"/>
            <w:vAlign w:val="center"/>
          </w:tcPr>
          <w:p w14:paraId="6C5C575E">
            <w:pPr>
              <w:topLinePunct/>
              <w:autoSpaceDE w:val="0"/>
              <w:adjustRightInd w:val="0"/>
              <w:snapToGrid w:val="0"/>
              <w:spacing w:line="24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w:t>
            </w:r>
          </w:p>
        </w:tc>
        <w:tc>
          <w:tcPr>
            <w:tcW w:w="1229" w:type="pct"/>
            <w:noWrap w:val="0"/>
            <w:vAlign w:val="center"/>
          </w:tcPr>
          <w:p w14:paraId="6F8B742D">
            <w:pPr>
              <w:topLinePunct/>
              <w:autoSpaceDE w:val="0"/>
              <w:adjustRightInd w:val="0"/>
              <w:snapToGrid w:val="0"/>
              <w:spacing w:line="24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w:t>
            </w:r>
          </w:p>
        </w:tc>
        <w:tc>
          <w:tcPr>
            <w:tcW w:w="1775" w:type="pct"/>
            <w:noWrap w:val="0"/>
            <w:vAlign w:val="center"/>
          </w:tcPr>
          <w:p w14:paraId="18346B04">
            <w:pPr>
              <w:topLinePunct/>
              <w:autoSpaceDE w:val="0"/>
              <w:adjustRightInd w:val="0"/>
              <w:snapToGrid w:val="0"/>
              <w:spacing w:line="24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w:t>
            </w:r>
          </w:p>
        </w:tc>
      </w:tr>
      <w:tr w14:paraId="4A4436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noWrap w:val="0"/>
            <w:vAlign w:val="center"/>
          </w:tcPr>
          <w:p w14:paraId="00E71E0A">
            <w:pPr>
              <w:topLinePunct/>
              <w:autoSpaceDE w:val="0"/>
              <w:adjustRightInd w:val="0"/>
              <w:snapToGrid w:val="0"/>
              <w:spacing w:line="24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固体废物</w:t>
            </w:r>
          </w:p>
        </w:tc>
        <w:tc>
          <w:tcPr>
            <w:tcW w:w="4534" w:type="pct"/>
            <w:gridSpan w:val="4"/>
            <w:noWrap w:val="0"/>
            <w:vAlign w:val="center"/>
          </w:tcPr>
          <w:p w14:paraId="49E8BB6D">
            <w:pPr>
              <w:topLinePunct/>
              <w:autoSpaceDE w:val="0"/>
              <w:adjustRightInd w:val="0"/>
              <w:snapToGrid w:val="0"/>
              <w:spacing w:line="240" w:lineRule="auto"/>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设置一座危废暂存间</w:t>
            </w:r>
            <w:r>
              <w:rPr>
                <w:rFonts w:hint="eastAsia"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，危险废物贮存按照《危险废物贮存污染控制标准》（GB18597-2023）要求建设，危险废物委托有资质单位处置；</w:t>
            </w:r>
            <w:r>
              <w:rPr>
                <w:rFonts w:hint="eastAsia" w:ascii="Times New Roman" w:hAnsi="Times New Roman" w:cs="Times New Roman"/>
                <w:color w:val="auto"/>
                <w:sz w:val="24"/>
                <w:szCs w:val="24"/>
                <w:highlight w:val="none"/>
                <w:lang w:eastAsia="zh-CN"/>
              </w:rPr>
              <w:t>项目</w:t>
            </w:r>
            <w:r>
              <w:rPr>
                <w:rFonts w:hint="default" w:ascii="Times New Roman" w:hAnsi="Times New Roman" w:cs="Times New Roman"/>
                <w:color w:val="auto"/>
                <w:sz w:val="24"/>
                <w:szCs w:val="24"/>
                <w:highlight w:val="none"/>
              </w:rPr>
              <w:t>新建1座</w:t>
            </w:r>
            <w:r>
              <w:rPr>
                <w:rFonts w:hint="default" w:ascii="Times New Roman" w:hAnsi="Times New Roman" w:cs="Times New Roman"/>
                <w:color w:val="auto"/>
                <w:sz w:val="24"/>
                <w:szCs w:val="24"/>
                <w:highlight w:val="none"/>
                <w:lang w:val="en-US" w:eastAsia="zh-CN"/>
              </w:rPr>
              <w:t>20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一般固废暂存间，一般固废储存库需满足防渗漏、防雨淋、防扬尘等环境保护要求。</w:t>
            </w:r>
          </w:p>
        </w:tc>
      </w:tr>
      <w:tr w14:paraId="7AC08D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noWrap w:val="0"/>
            <w:vAlign w:val="center"/>
          </w:tcPr>
          <w:p w14:paraId="61A2AF73">
            <w:pPr>
              <w:topLinePunct/>
              <w:autoSpaceDE w:val="0"/>
              <w:adjustRightInd w:val="0"/>
              <w:snapToGrid w:val="0"/>
              <w:spacing w:line="24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土壤及地下水污染防治措施</w:t>
            </w:r>
          </w:p>
        </w:tc>
        <w:tc>
          <w:tcPr>
            <w:tcW w:w="4534" w:type="pct"/>
            <w:gridSpan w:val="4"/>
            <w:noWrap w:val="0"/>
            <w:vAlign w:val="center"/>
          </w:tcPr>
          <w:p w14:paraId="6E55A9FB">
            <w:pPr>
              <w:spacing w:line="240" w:lineRule="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重点防渗区：</w:t>
            </w:r>
            <w:r>
              <w:rPr>
                <w:rFonts w:hint="default" w:ascii="Times New Roman" w:hAnsi="Times New Roman" w:cs="Times New Roman"/>
                <w:color w:val="auto"/>
                <w:sz w:val="24"/>
                <w:szCs w:val="24"/>
                <w:highlight w:val="none"/>
                <w:lang w:eastAsia="zh-CN"/>
              </w:rPr>
              <w:t>危废暂存间</w:t>
            </w:r>
            <w:r>
              <w:rPr>
                <w:rFonts w:hint="default" w:ascii="Times New Roman" w:hAnsi="Times New Roman" w:cs="Times New Roman"/>
                <w:color w:val="auto"/>
                <w:sz w:val="24"/>
                <w:szCs w:val="24"/>
                <w:highlight w:val="none"/>
                <w:lang w:val="en-US" w:eastAsia="zh-CN"/>
              </w:rPr>
              <w:t>及</w:t>
            </w:r>
            <w:r>
              <w:rPr>
                <w:rFonts w:hint="eastAsia" w:ascii="Times New Roman" w:hAnsi="Times New Roman" w:cs="Times New Roman"/>
                <w:bCs/>
                <w:color w:val="auto"/>
                <w:kern w:val="0"/>
                <w:sz w:val="24"/>
                <w:szCs w:val="24"/>
                <w:highlight w:val="none"/>
                <w:lang w:val="en-US" w:eastAsia="zh-CN"/>
              </w:rPr>
              <w:t>辅料暂存区</w:t>
            </w:r>
            <w:r>
              <w:rPr>
                <w:rFonts w:hint="default" w:ascii="Times New Roman" w:hAnsi="Times New Roman" w:cs="Times New Roman"/>
                <w:bCs/>
                <w:color w:val="auto"/>
                <w:kern w:val="0"/>
                <w:sz w:val="24"/>
                <w:szCs w:val="24"/>
                <w:highlight w:val="none"/>
                <w:lang w:val="en-US" w:eastAsia="zh-CN"/>
              </w:rPr>
              <w:t>等区域，</w:t>
            </w:r>
            <w:r>
              <w:rPr>
                <w:rFonts w:hint="default" w:ascii="Times New Roman" w:hAnsi="Times New Roman" w:cs="Times New Roman"/>
                <w:color w:val="auto"/>
                <w:sz w:val="24"/>
                <w:szCs w:val="24"/>
                <w:highlight w:val="none"/>
                <w:lang w:val="en-US" w:eastAsia="zh-CN"/>
              </w:rPr>
              <w:t>混凝土</w:t>
            </w:r>
            <w:r>
              <w:rPr>
                <w:rFonts w:hint="default" w:ascii="Times New Roman" w:hAnsi="Times New Roman" w:cs="Times New Roman"/>
                <w:color w:val="auto"/>
                <w:sz w:val="24"/>
                <w:szCs w:val="24"/>
                <w:highlight w:val="none"/>
              </w:rPr>
              <w:t>基础上铺设</w:t>
            </w:r>
            <w:r>
              <w:rPr>
                <w:rFonts w:hint="default" w:ascii="Times New Roman" w:hAnsi="Times New Roman" w:cs="Times New Roman"/>
                <w:color w:val="auto"/>
                <w:sz w:val="24"/>
                <w:szCs w:val="24"/>
                <w:highlight w:val="none"/>
                <w:lang w:val="en-US" w:eastAsia="zh-CN"/>
              </w:rPr>
              <w:t>人工防渗材料（等效黏土防渗层Mb≥6.0m，K≤1×10</w:t>
            </w:r>
            <w:r>
              <w:rPr>
                <w:rFonts w:hint="default" w:ascii="Times New Roman" w:hAnsi="Times New Roman" w:cs="Times New Roman"/>
                <w:color w:val="auto"/>
                <w:sz w:val="24"/>
                <w:szCs w:val="24"/>
                <w:highlight w:val="none"/>
                <w:vertAlign w:val="superscript"/>
                <w:lang w:val="en-US" w:eastAsia="zh-CN"/>
              </w:rPr>
              <w:t>-7</w:t>
            </w:r>
            <w:r>
              <w:rPr>
                <w:rFonts w:hint="default" w:ascii="Times New Roman" w:hAnsi="Times New Roman" w:cs="Times New Roman"/>
                <w:color w:val="auto"/>
                <w:sz w:val="24"/>
                <w:szCs w:val="24"/>
                <w:highlight w:val="none"/>
                <w:lang w:val="en-US" w:eastAsia="zh-CN"/>
              </w:rPr>
              <w:t>cm/s；或参照GB18598执行）</w:t>
            </w:r>
            <w:r>
              <w:rPr>
                <w:rFonts w:hint="default" w:ascii="Times New Roman" w:hAnsi="Times New Roman" w:cs="Times New Roman"/>
                <w:color w:val="auto"/>
                <w:sz w:val="24"/>
                <w:szCs w:val="24"/>
                <w:highlight w:val="none"/>
              </w:rPr>
              <w:t>。</w:t>
            </w:r>
          </w:p>
          <w:p w14:paraId="600BC084">
            <w:pPr>
              <w:adjustRightInd w:val="0"/>
              <w:snapToGrid w:val="0"/>
              <w:spacing w:line="240" w:lineRule="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一般防渗区：</w:t>
            </w:r>
            <w:r>
              <w:rPr>
                <w:rFonts w:hint="eastAsia" w:ascii="Times New Roman" w:hAnsi="Times New Roman" w:cs="Times New Roman"/>
                <w:color w:val="auto"/>
                <w:sz w:val="24"/>
                <w:szCs w:val="24"/>
                <w:highlight w:val="none"/>
                <w:lang w:val="en-US" w:eastAsia="zh-CN"/>
              </w:rPr>
              <w:t>生产车间其他区域</w:t>
            </w:r>
            <w:r>
              <w:rPr>
                <w:rFonts w:hint="default" w:ascii="Times New Roman" w:hAnsi="Times New Roman" w:cs="Times New Roman"/>
                <w:color w:val="auto"/>
                <w:sz w:val="24"/>
                <w:szCs w:val="24"/>
                <w:highlight w:val="none"/>
              </w:rPr>
              <w:t>。防渗技术要求：混凝土基础上铺设人工防渗材料（等效黏土防渗层Mb≥1.5m，K≤1×10</w:t>
            </w:r>
            <w:r>
              <w:rPr>
                <w:rFonts w:hint="default" w:ascii="Times New Roman" w:hAnsi="Times New Roman" w:cs="Times New Roman"/>
                <w:color w:val="auto"/>
                <w:sz w:val="24"/>
                <w:szCs w:val="24"/>
                <w:highlight w:val="none"/>
                <w:vertAlign w:val="superscript"/>
              </w:rPr>
              <w:t>-7</w:t>
            </w:r>
            <w:r>
              <w:rPr>
                <w:rFonts w:hint="default" w:ascii="Times New Roman" w:hAnsi="Times New Roman" w:cs="Times New Roman"/>
                <w:color w:val="auto"/>
                <w:sz w:val="24"/>
                <w:szCs w:val="24"/>
                <w:highlight w:val="none"/>
              </w:rPr>
              <w:t>cm/s；或参照GB16889执行）。</w:t>
            </w:r>
          </w:p>
        </w:tc>
      </w:tr>
      <w:tr w14:paraId="52EE21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noWrap w:val="0"/>
            <w:vAlign w:val="center"/>
          </w:tcPr>
          <w:p w14:paraId="3FAA679F">
            <w:pPr>
              <w:topLinePunct/>
              <w:autoSpaceDE w:val="0"/>
              <w:adjustRightInd w:val="0"/>
              <w:snapToGrid w:val="0"/>
              <w:spacing w:line="24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生态保护措施</w:t>
            </w:r>
          </w:p>
        </w:tc>
        <w:tc>
          <w:tcPr>
            <w:tcW w:w="4534" w:type="pct"/>
            <w:gridSpan w:val="4"/>
            <w:noWrap w:val="0"/>
            <w:vAlign w:val="center"/>
          </w:tcPr>
          <w:p w14:paraId="1768FD25">
            <w:pPr>
              <w:topLinePunct/>
              <w:autoSpaceDE w:val="0"/>
              <w:adjustRightInd w:val="0"/>
              <w:snapToGrid w:val="0"/>
              <w:spacing w:line="24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lang w:val="en-US" w:eastAsia="zh-CN"/>
              </w:rPr>
              <w:t>-</w:t>
            </w:r>
          </w:p>
        </w:tc>
      </w:tr>
      <w:tr w14:paraId="140564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5" w:type="pct"/>
            <w:noWrap w:val="0"/>
            <w:vAlign w:val="center"/>
          </w:tcPr>
          <w:p w14:paraId="59608126">
            <w:pPr>
              <w:topLinePunct/>
              <w:autoSpaceDE w:val="0"/>
              <w:adjustRightInd w:val="0"/>
              <w:snapToGrid w:val="0"/>
              <w:spacing w:line="240" w:lineRule="auto"/>
              <w:jc w:val="center"/>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环境风险防范措施</w:t>
            </w:r>
          </w:p>
        </w:tc>
        <w:tc>
          <w:tcPr>
            <w:tcW w:w="4534" w:type="pct"/>
            <w:gridSpan w:val="4"/>
            <w:noWrap w:val="0"/>
            <w:vAlign w:val="center"/>
          </w:tcPr>
          <w:p w14:paraId="145C70DC">
            <w:pPr>
              <w:spacing w:line="24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1、大气环境风险防范措施：为防止火灾等其他潜在风险，厂区内应</w:t>
            </w:r>
            <w:r>
              <w:rPr>
                <w:rFonts w:hint="eastAsia" w:ascii="Times New Roman" w:hAnsi="Times New Roman" w:cs="Times New Roman"/>
                <w:color w:val="auto"/>
                <w:sz w:val="24"/>
                <w:szCs w:val="24"/>
                <w:highlight w:val="none"/>
                <w:lang w:val="en-US" w:eastAsia="zh-CN"/>
              </w:rPr>
              <w:t>设置</w:t>
            </w:r>
            <w:r>
              <w:rPr>
                <w:rFonts w:hint="default" w:ascii="Times New Roman" w:hAnsi="Times New Roman" w:eastAsia="宋体" w:cs="Times New Roman"/>
                <w:color w:val="auto"/>
                <w:sz w:val="24"/>
                <w:szCs w:val="24"/>
                <w:highlight w:val="none"/>
                <w:lang w:val="en-US" w:eastAsia="zh-CN"/>
              </w:rPr>
              <w:t>灭火器、火灾报警系统等，并定期专人检查和维护。当火灾事故发生后，企业应及时处理事故，联合外部救援力量进行灭火和转移其他易燃物质的工作，避免产生更大量的有毒烟气。同时，必须紧急疏散周围人群到上风向，并设置隔离区，在事故处理完毕、检测确认空气质量达标前不得进入。</w:t>
            </w:r>
          </w:p>
          <w:p w14:paraId="51D05D44">
            <w:pPr>
              <w:pStyle w:val="8"/>
              <w:spacing w:line="240" w:lineRule="auto"/>
              <w:rPr>
                <w:rFonts w:hint="default" w:ascii="Times New Roman" w:hAnsi="Times New Roman" w:cs="Times New Roman"/>
                <w:color w:val="auto"/>
                <w:spacing w:val="-8"/>
                <w:sz w:val="24"/>
                <w:szCs w:val="24"/>
                <w:highlight w:val="none"/>
                <w:lang w:val="en-US"/>
              </w:rPr>
            </w:pPr>
            <w:r>
              <w:rPr>
                <w:rFonts w:hint="default" w:ascii="Times New Roman" w:hAnsi="Times New Roman" w:eastAsia="宋体" w:cs="Times New Roman"/>
                <w:color w:val="auto"/>
                <w:sz w:val="24"/>
                <w:szCs w:val="24"/>
                <w:highlight w:val="none"/>
                <w:lang w:val="en-US" w:eastAsia="zh-CN"/>
              </w:rPr>
              <w:t>2、危险废物环境风险防范措施：危险废物严格按照《危险废物转移联单管理办法》的相关规定，报批危险废物转移计划，做好危险废物情况的记录。</w:t>
            </w:r>
            <w:r>
              <w:rPr>
                <w:rFonts w:hint="eastAsia" w:ascii="Times New Roman" w:hAnsi="Times New Roman" w:cs="Times New Roman"/>
                <w:color w:val="auto"/>
                <w:sz w:val="24"/>
                <w:szCs w:val="24"/>
                <w:highlight w:val="none"/>
                <w:lang w:val="en-US" w:eastAsia="zh-CN"/>
              </w:rPr>
              <w:t>辅料暂存区</w:t>
            </w:r>
            <w:r>
              <w:rPr>
                <w:rFonts w:hint="default" w:ascii="Times New Roman" w:hAnsi="Times New Roman" w:eastAsia="宋体" w:cs="Times New Roman"/>
                <w:color w:val="auto"/>
                <w:sz w:val="24"/>
                <w:szCs w:val="24"/>
                <w:highlight w:val="none"/>
                <w:lang w:val="en-US" w:eastAsia="zh-CN"/>
              </w:rPr>
              <w:t>设储漏托盘；危废库内截流沟、集液井。</w:t>
            </w:r>
          </w:p>
        </w:tc>
      </w:tr>
      <w:tr w14:paraId="2C0D2D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5" w:type="pct"/>
            <w:noWrap w:val="0"/>
            <w:vAlign w:val="center"/>
          </w:tcPr>
          <w:p w14:paraId="467A9322">
            <w:pPr>
              <w:topLinePunct/>
              <w:autoSpaceDE w:val="0"/>
              <w:adjustRightInd w:val="0"/>
              <w:snapToGrid w:val="0"/>
              <w:spacing w:line="240" w:lineRule="auto"/>
              <w:jc w:val="center"/>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其他环境管理要求</w:t>
            </w:r>
          </w:p>
        </w:tc>
        <w:tc>
          <w:tcPr>
            <w:tcW w:w="4534" w:type="pct"/>
            <w:gridSpan w:val="4"/>
            <w:noWrap w:val="0"/>
            <w:vAlign w:val="center"/>
          </w:tcPr>
          <w:p w14:paraId="3E1961FC">
            <w:pPr>
              <w:keepNext w:val="0"/>
              <w:keepLines w:val="0"/>
              <w:pageBreakBefore w:val="0"/>
              <w:widowControl w:val="0"/>
              <w:kinsoku/>
              <w:wordWrap/>
              <w:overflowPunct/>
              <w:topLinePunct/>
              <w:autoSpaceDE w:val="0"/>
              <w:autoSpaceDN/>
              <w:bidi w:val="0"/>
              <w:adjustRightInd w:val="0"/>
              <w:snapToGrid w:val="0"/>
              <w:spacing w:line="240" w:lineRule="auto"/>
              <w:textAlignment w:val="auto"/>
              <w:outlineLvl w:val="9"/>
              <w:rPr>
                <w:rFonts w:hint="default" w:ascii="Times New Roman" w:hAnsi="Times New Roman" w:eastAsia="宋体" w:cs="Times New Roman"/>
                <w:b/>
                <w:bCs/>
                <w:color w:val="auto"/>
                <w:sz w:val="24"/>
                <w:szCs w:val="24"/>
                <w:highlight w:val="none"/>
                <w:lang w:val="en-US" w:eastAsia="zh-CN"/>
              </w:rPr>
            </w:pPr>
            <w:bookmarkStart w:id="26" w:name="_Toc11689"/>
            <w:r>
              <w:rPr>
                <w:rFonts w:hint="default" w:ascii="Times New Roman" w:hAnsi="Times New Roman"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、排污许可联动</w:t>
            </w:r>
          </w:p>
          <w:p w14:paraId="6C2BD9DF">
            <w:pPr>
              <w:keepNext w:val="0"/>
              <w:keepLines w:val="0"/>
              <w:pageBreakBefore w:val="0"/>
              <w:widowControl w:val="0"/>
              <w:kinsoku/>
              <w:wordWrap/>
              <w:overflowPunct/>
              <w:topLinePunct/>
              <w:autoSpaceDE w:val="0"/>
              <w:autoSpaceDN/>
              <w:bidi w:val="0"/>
              <w:adjustRightInd w:val="0"/>
              <w:snapToGrid w:val="0"/>
              <w:spacing w:line="240" w:lineRule="auto"/>
              <w:ind w:firstLine="48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安徽省生态环境厅于2021年1月30日发布的《安徽省生态环境厅关于统筹做好固定污染源排污许可日常监管工作的通知》（皖环发〔2021〕7号），属于现行《固定污染源排污许可分类管理名录》内重点管理和简化管理的行业，在环评文件中应明确“建设项目环境影响评价与排污许可联动内容”和《建设项目排污许可申请与填发信息表》。</w:t>
            </w:r>
          </w:p>
          <w:p w14:paraId="72036D24">
            <w:pPr>
              <w:keepNext w:val="0"/>
              <w:keepLines w:val="0"/>
              <w:pageBreakBefore w:val="0"/>
              <w:widowControl w:val="0"/>
              <w:kinsoku/>
              <w:wordWrap/>
              <w:overflowPunct/>
              <w:topLinePunct/>
              <w:autoSpaceDE w:val="0"/>
              <w:autoSpaceDN/>
              <w:bidi w:val="0"/>
              <w:adjustRightInd w:val="0"/>
              <w:snapToGrid w:val="0"/>
              <w:spacing w:line="240" w:lineRule="auto"/>
              <w:ind w:firstLine="48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本项目属于登记管理行业，因此无需明确</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项目</w:t>
            </w:r>
            <w:r>
              <w:rPr>
                <w:rFonts w:hint="default" w:ascii="Times New Roman" w:hAnsi="Times New Roman" w:eastAsia="宋体" w:cs="Times New Roman"/>
                <w:color w:val="auto"/>
                <w:sz w:val="24"/>
                <w:szCs w:val="24"/>
                <w:highlight w:val="none"/>
              </w:rPr>
              <w:t>环境影响评价与排污许可联动内容”和《建设项目排污许可申请与填发信息表》</w:t>
            </w:r>
            <w:r>
              <w:rPr>
                <w:rFonts w:hint="default" w:ascii="Times New Roman" w:hAnsi="Times New Roman" w:eastAsia="宋体" w:cs="Times New Roman"/>
                <w:color w:val="auto"/>
                <w:sz w:val="24"/>
                <w:szCs w:val="24"/>
                <w:highlight w:val="none"/>
                <w:lang w:eastAsia="zh-CN"/>
              </w:rPr>
              <w:t>。</w:t>
            </w:r>
          </w:p>
          <w:p w14:paraId="0F206A8F">
            <w:pPr>
              <w:keepNext w:val="0"/>
              <w:keepLines w:val="0"/>
              <w:pageBreakBefore w:val="0"/>
              <w:widowControl w:val="0"/>
              <w:kinsoku/>
              <w:wordWrap/>
              <w:overflowPunct/>
              <w:topLinePunct/>
              <w:autoSpaceDE w:val="0"/>
              <w:autoSpaceDN/>
              <w:bidi w:val="0"/>
              <w:adjustRightInd w:val="0"/>
              <w:snapToGrid w:val="0"/>
              <w:spacing w:line="240" w:lineRule="auto"/>
              <w:textAlignment w:val="auto"/>
              <w:outlineLvl w:val="9"/>
              <w:rPr>
                <w:rFonts w:hint="default" w:ascii="Times New Roman" w:hAnsi="Times New Roman" w:eastAsia="宋体"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排污口规范化设置</w:t>
            </w:r>
            <w:bookmarkEnd w:id="26"/>
          </w:p>
          <w:p w14:paraId="7A4E2C6E">
            <w:pPr>
              <w:keepNext w:val="0"/>
              <w:keepLines w:val="0"/>
              <w:pageBreakBefore w:val="0"/>
              <w:widowControl w:val="0"/>
              <w:kinsoku/>
              <w:wordWrap/>
              <w:overflowPunct/>
              <w:topLinePunct/>
              <w:autoSpaceDE w:val="0"/>
              <w:autoSpaceDN/>
              <w:bidi w:val="0"/>
              <w:adjustRightInd w:val="0"/>
              <w:snapToGrid w:val="0"/>
              <w:spacing w:line="240" w:lineRule="auto"/>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根据原国家环境保护总局《关于开展排放口规范化整治工作的通知》及《安徽省污染源排放口规范化整治管理办法》和</w:t>
            </w:r>
            <w:r>
              <w:rPr>
                <w:rFonts w:hint="eastAsia" w:ascii="Times New Roman" w:hAnsi="Times New Roman" w:cs="Times New Roman"/>
                <w:color w:val="auto"/>
                <w:sz w:val="24"/>
                <w:szCs w:val="24"/>
                <w:highlight w:val="none"/>
                <w:lang w:eastAsia="zh-CN"/>
              </w:rPr>
              <w:t>项目</w:t>
            </w:r>
            <w:r>
              <w:rPr>
                <w:rFonts w:hint="default" w:ascii="Times New Roman" w:hAnsi="Times New Roman" w:eastAsia="宋体" w:cs="Times New Roman"/>
                <w:color w:val="auto"/>
                <w:sz w:val="24"/>
                <w:szCs w:val="24"/>
                <w:highlight w:val="none"/>
              </w:rPr>
              <w:t>污水排放的实际统一规划设置</w:t>
            </w:r>
            <w:r>
              <w:rPr>
                <w:rFonts w:hint="eastAsia" w:ascii="Times New Roman" w:hAnsi="Times New Roman" w:cs="Times New Roman"/>
                <w:color w:val="auto"/>
                <w:sz w:val="24"/>
                <w:szCs w:val="24"/>
                <w:highlight w:val="none"/>
                <w:lang w:eastAsia="zh-CN"/>
              </w:rPr>
              <w:t>项目</w:t>
            </w:r>
            <w:r>
              <w:rPr>
                <w:rFonts w:hint="default" w:ascii="Times New Roman" w:hAnsi="Times New Roman" w:eastAsia="宋体" w:cs="Times New Roman"/>
                <w:color w:val="auto"/>
                <w:sz w:val="24"/>
                <w:szCs w:val="24"/>
                <w:highlight w:val="none"/>
              </w:rPr>
              <w:t>的废气排气筒、废水排放口和固定噪声源，规范固体废物贮存</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处置</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场所。</w:t>
            </w:r>
          </w:p>
          <w:p w14:paraId="35F9C40F">
            <w:pPr>
              <w:keepNext w:val="0"/>
              <w:keepLines w:val="0"/>
              <w:pageBreakBefore w:val="0"/>
              <w:widowControl w:val="0"/>
              <w:kinsoku/>
              <w:wordWrap/>
              <w:overflowPunct/>
              <w:topLinePunct/>
              <w:autoSpaceDE w:val="0"/>
              <w:autoSpaceDN/>
              <w:bidi w:val="0"/>
              <w:adjustRightInd w:val="0"/>
              <w:snapToGrid w:val="0"/>
              <w:spacing w:line="240" w:lineRule="auto"/>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（1）废水排放口：废水排放口必须设置便于采样的采样井，并在其排放口设立明显标志牌，符合GB15562.1-1995《环境保护图形标志》要求。</w:t>
            </w:r>
          </w:p>
          <w:p w14:paraId="405B33CD">
            <w:pPr>
              <w:keepNext w:val="0"/>
              <w:keepLines w:val="0"/>
              <w:pageBreakBefore w:val="0"/>
              <w:widowControl w:val="0"/>
              <w:kinsoku/>
              <w:wordWrap/>
              <w:overflowPunct/>
              <w:topLinePunct/>
              <w:autoSpaceDE w:val="0"/>
              <w:autoSpaceDN/>
              <w:bidi w:val="0"/>
              <w:adjustRightInd w:val="0"/>
              <w:snapToGrid w:val="0"/>
              <w:spacing w:line="240" w:lineRule="auto"/>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（2）废气排放口：对于有组织排放的废气，排气筒应设置便于采样、监测的采样口，采样口的设置应符合《污染源监测技术规范》要求。废气排放口均应设置环保图形标志牌。</w:t>
            </w:r>
          </w:p>
          <w:p w14:paraId="49DDAAAE">
            <w:pPr>
              <w:keepNext w:val="0"/>
              <w:keepLines w:val="0"/>
              <w:pageBreakBefore w:val="0"/>
              <w:widowControl w:val="0"/>
              <w:kinsoku/>
              <w:wordWrap/>
              <w:overflowPunct/>
              <w:topLinePunct/>
              <w:autoSpaceDE w:val="0"/>
              <w:autoSpaceDN/>
              <w:bidi w:val="0"/>
              <w:adjustRightInd w:val="0"/>
              <w:snapToGrid w:val="0"/>
              <w:spacing w:line="240" w:lineRule="auto"/>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（3）固定噪声源：根据不同噪声源的情况，采取减振降噪、吸声、隔声等措施，使厂界达到相应功能区的标准要求。在厂界噪声敏感且对外界影响最大处设置固定噪声源的监测点和噪声环境保护图形标志牌。</w:t>
            </w:r>
          </w:p>
          <w:p w14:paraId="43F2B5F5">
            <w:pPr>
              <w:keepNext w:val="0"/>
              <w:keepLines w:val="0"/>
              <w:pageBreakBefore w:val="0"/>
              <w:widowControl w:val="0"/>
              <w:kinsoku/>
              <w:wordWrap/>
              <w:overflowPunct/>
              <w:topLinePunct/>
              <w:autoSpaceDE w:val="0"/>
              <w:autoSpaceDN/>
              <w:bidi w:val="0"/>
              <w:adjustRightInd w:val="0"/>
              <w:snapToGrid w:val="0"/>
              <w:spacing w:line="24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（4）固废：对于一般固体废物应设置专用贮存、堆放场地。对于危险废物应设置专用堆放场地，并须有防扬散、防流失、防漏防渗措施。</w:t>
            </w:r>
            <w:r>
              <w:rPr>
                <w:rFonts w:hint="eastAsia" w:ascii="Times New Roman" w:hAnsi="Times New Roman" w:cs="Times New Roman"/>
                <w:color w:val="auto"/>
                <w:sz w:val="24"/>
                <w:szCs w:val="24"/>
                <w:highlight w:val="none"/>
                <w:lang w:eastAsia="zh-CN"/>
              </w:rPr>
              <w:t>各类</w:t>
            </w:r>
            <w:r>
              <w:rPr>
                <w:rFonts w:hint="default" w:ascii="Times New Roman" w:hAnsi="Times New Roman" w:eastAsia="宋体" w:cs="Times New Roman"/>
                <w:color w:val="auto"/>
                <w:sz w:val="24"/>
                <w:szCs w:val="24"/>
                <w:highlight w:val="none"/>
              </w:rPr>
              <w:t>固体废物贮存场所均应设置醒目的标志牌。</w:t>
            </w:r>
          </w:p>
          <w:p w14:paraId="60FA1260">
            <w:pPr>
              <w:keepNext w:val="0"/>
              <w:keepLines w:val="0"/>
              <w:pageBreakBefore w:val="0"/>
              <w:widowControl w:val="0"/>
              <w:kinsoku/>
              <w:wordWrap/>
              <w:overflowPunct/>
              <w:topLinePunct/>
              <w:autoSpaceDE w:val="0"/>
              <w:autoSpaceDN/>
              <w:bidi w:val="0"/>
              <w:adjustRightInd w:val="0"/>
              <w:snapToGrid w:val="0"/>
              <w:spacing w:line="240" w:lineRule="auto"/>
              <w:ind w:firstLine="480"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t>环境保护图形标志的形状及颜色见表</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，环境保护图形符号见表</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w:t>
            </w:r>
          </w:p>
          <w:p w14:paraId="50A481E7">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 xml:space="preserve"> 环境保护图形标志的形状及颜色表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9"/>
              <w:gridCol w:w="1344"/>
              <w:gridCol w:w="2051"/>
              <w:gridCol w:w="2051"/>
            </w:tblGrid>
            <w:tr w14:paraId="046E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7" w:type="pct"/>
                  <w:tcBorders>
                    <w:top w:val="single" w:color="auto" w:sz="12" w:space="0"/>
                    <w:left w:val="nil"/>
                  </w:tcBorders>
                  <w:noWrap w:val="0"/>
                  <w:vAlign w:val="center"/>
                </w:tcPr>
                <w:p w14:paraId="6D70DD59">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标志名称</w:t>
                  </w:r>
                </w:p>
              </w:tc>
              <w:tc>
                <w:tcPr>
                  <w:tcW w:w="896" w:type="pct"/>
                  <w:tcBorders>
                    <w:top w:val="single" w:color="auto" w:sz="12" w:space="0"/>
                  </w:tcBorders>
                  <w:noWrap w:val="0"/>
                  <w:vAlign w:val="center"/>
                </w:tcPr>
                <w:p w14:paraId="4719BAA0">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形状</w:t>
                  </w:r>
                </w:p>
              </w:tc>
              <w:tc>
                <w:tcPr>
                  <w:tcW w:w="1368" w:type="pct"/>
                  <w:tcBorders>
                    <w:top w:val="single" w:color="auto" w:sz="12" w:space="0"/>
                  </w:tcBorders>
                  <w:noWrap w:val="0"/>
                  <w:vAlign w:val="center"/>
                </w:tcPr>
                <w:p w14:paraId="50931CC7">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背景颜色</w:t>
                  </w:r>
                </w:p>
              </w:tc>
              <w:tc>
                <w:tcPr>
                  <w:tcW w:w="1368" w:type="pct"/>
                  <w:tcBorders>
                    <w:top w:val="single" w:color="auto" w:sz="12" w:space="0"/>
                    <w:right w:val="nil"/>
                  </w:tcBorders>
                  <w:noWrap w:val="0"/>
                  <w:vAlign w:val="center"/>
                </w:tcPr>
                <w:p w14:paraId="3CF91054">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图形颜色</w:t>
                  </w:r>
                </w:p>
              </w:tc>
            </w:tr>
            <w:tr w14:paraId="32BF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7" w:type="pct"/>
                  <w:tcBorders>
                    <w:left w:val="nil"/>
                  </w:tcBorders>
                  <w:noWrap w:val="0"/>
                  <w:vAlign w:val="center"/>
                </w:tcPr>
                <w:p w14:paraId="574A8118">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警告标志</w:t>
                  </w:r>
                </w:p>
              </w:tc>
              <w:tc>
                <w:tcPr>
                  <w:tcW w:w="896" w:type="pct"/>
                  <w:noWrap w:val="0"/>
                  <w:vAlign w:val="center"/>
                </w:tcPr>
                <w:p w14:paraId="7097C2A0">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三角形边框</w:t>
                  </w:r>
                </w:p>
              </w:tc>
              <w:tc>
                <w:tcPr>
                  <w:tcW w:w="1368" w:type="pct"/>
                  <w:noWrap w:val="0"/>
                  <w:vAlign w:val="center"/>
                </w:tcPr>
                <w:p w14:paraId="1211EDDF">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黄色</w:t>
                  </w:r>
                </w:p>
              </w:tc>
              <w:tc>
                <w:tcPr>
                  <w:tcW w:w="1368" w:type="pct"/>
                  <w:tcBorders>
                    <w:right w:val="nil"/>
                  </w:tcBorders>
                  <w:noWrap w:val="0"/>
                  <w:vAlign w:val="center"/>
                </w:tcPr>
                <w:p w14:paraId="0CF18936">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黑色</w:t>
                  </w:r>
                </w:p>
              </w:tc>
            </w:tr>
            <w:tr w14:paraId="21DA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7" w:type="pct"/>
                  <w:tcBorders>
                    <w:left w:val="nil"/>
                    <w:bottom w:val="single" w:color="auto" w:sz="12" w:space="0"/>
                  </w:tcBorders>
                  <w:noWrap w:val="0"/>
                  <w:vAlign w:val="center"/>
                </w:tcPr>
                <w:p w14:paraId="29EE2F51">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提示标志</w:t>
                  </w:r>
                </w:p>
              </w:tc>
              <w:tc>
                <w:tcPr>
                  <w:tcW w:w="896" w:type="pct"/>
                  <w:tcBorders>
                    <w:bottom w:val="single" w:color="auto" w:sz="12" w:space="0"/>
                  </w:tcBorders>
                  <w:noWrap w:val="0"/>
                  <w:vAlign w:val="center"/>
                </w:tcPr>
                <w:p w14:paraId="5B29BE7D">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正方形边框</w:t>
                  </w:r>
                </w:p>
              </w:tc>
              <w:tc>
                <w:tcPr>
                  <w:tcW w:w="1368" w:type="pct"/>
                  <w:tcBorders>
                    <w:bottom w:val="single" w:color="auto" w:sz="12" w:space="0"/>
                  </w:tcBorders>
                  <w:noWrap w:val="0"/>
                  <w:vAlign w:val="center"/>
                </w:tcPr>
                <w:p w14:paraId="160B5D4A">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绿色</w:t>
                  </w:r>
                </w:p>
              </w:tc>
              <w:tc>
                <w:tcPr>
                  <w:tcW w:w="1368" w:type="pct"/>
                  <w:tcBorders>
                    <w:bottom w:val="single" w:color="auto" w:sz="12" w:space="0"/>
                    <w:right w:val="nil"/>
                  </w:tcBorders>
                  <w:noWrap w:val="0"/>
                  <w:vAlign w:val="center"/>
                </w:tcPr>
                <w:p w14:paraId="4CF8A718">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白色</w:t>
                  </w:r>
                </w:p>
              </w:tc>
            </w:tr>
          </w:tbl>
          <w:p w14:paraId="03A14738">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 xml:space="preserve"> 环境保护图形符号一览表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9"/>
              <w:gridCol w:w="1413"/>
              <w:gridCol w:w="1560"/>
              <w:gridCol w:w="1342"/>
              <w:gridCol w:w="2609"/>
            </w:tblGrid>
            <w:tr w14:paraId="285FC2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noWrap w:val="0"/>
                  <w:vAlign w:val="center"/>
                </w:tcPr>
                <w:p w14:paraId="66D4C701">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序号</w:t>
                  </w:r>
                </w:p>
              </w:tc>
              <w:tc>
                <w:tcPr>
                  <w:tcW w:w="941" w:type="pct"/>
                  <w:tcBorders>
                    <w:tl2br w:val="nil"/>
                    <w:tr2bl w:val="nil"/>
                  </w:tcBorders>
                  <w:noWrap w:val="0"/>
                  <w:vAlign w:val="center"/>
                </w:tcPr>
                <w:p w14:paraId="13EFA29E">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提示图形符号</w:t>
                  </w:r>
                </w:p>
              </w:tc>
              <w:tc>
                <w:tcPr>
                  <w:tcW w:w="1039" w:type="pct"/>
                  <w:tcBorders>
                    <w:tl2br w:val="nil"/>
                    <w:tr2bl w:val="nil"/>
                  </w:tcBorders>
                  <w:noWrap w:val="0"/>
                  <w:vAlign w:val="center"/>
                </w:tcPr>
                <w:p w14:paraId="5170F314">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警告图形符号</w:t>
                  </w:r>
                </w:p>
              </w:tc>
              <w:tc>
                <w:tcPr>
                  <w:tcW w:w="894" w:type="pct"/>
                  <w:tcBorders>
                    <w:tl2br w:val="nil"/>
                    <w:tr2bl w:val="nil"/>
                  </w:tcBorders>
                  <w:noWrap w:val="0"/>
                  <w:vAlign w:val="center"/>
                </w:tcPr>
                <w:p w14:paraId="28FCB31B">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名称</w:t>
                  </w:r>
                </w:p>
              </w:tc>
              <w:tc>
                <w:tcPr>
                  <w:tcW w:w="1738" w:type="pct"/>
                  <w:tcBorders>
                    <w:tl2br w:val="nil"/>
                    <w:tr2bl w:val="nil"/>
                  </w:tcBorders>
                  <w:noWrap w:val="0"/>
                  <w:vAlign w:val="center"/>
                </w:tcPr>
                <w:p w14:paraId="7B3A3C57">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功能</w:t>
                  </w:r>
                </w:p>
              </w:tc>
            </w:tr>
            <w:tr w14:paraId="71D65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noWrap w:val="0"/>
                  <w:vAlign w:val="center"/>
                </w:tcPr>
                <w:p w14:paraId="6BDFF8AE">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p>
              </w:tc>
              <w:tc>
                <w:tcPr>
                  <w:tcW w:w="941" w:type="pct"/>
                  <w:tcBorders>
                    <w:tl2br w:val="nil"/>
                    <w:tr2bl w:val="nil"/>
                  </w:tcBorders>
                  <w:noWrap w:val="0"/>
                  <w:vAlign w:val="center"/>
                </w:tcPr>
                <w:p w14:paraId="70304CA6">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685165" cy="692785"/>
                        <wp:effectExtent l="0" t="0" r="635" b="8255"/>
                        <wp:docPr id="13" name="图片 5" descr="说明: 1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说明: 13001"/>
                                <pic:cNvPicPr>
                                  <a:picLocks noChangeAspect="1"/>
                                </pic:cNvPicPr>
                              </pic:nvPicPr>
                              <pic:blipFill>
                                <a:blip r:embed="rId27"/>
                                <a:stretch>
                                  <a:fillRect/>
                                </a:stretch>
                              </pic:blipFill>
                              <pic:spPr>
                                <a:xfrm>
                                  <a:off x="0" y="0"/>
                                  <a:ext cx="685165" cy="692785"/>
                                </a:xfrm>
                                <a:prstGeom prst="rect">
                                  <a:avLst/>
                                </a:prstGeom>
                                <a:noFill/>
                                <a:ln>
                                  <a:noFill/>
                                </a:ln>
                              </pic:spPr>
                            </pic:pic>
                          </a:graphicData>
                        </a:graphic>
                      </wp:inline>
                    </w:drawing>
                  </w:r>
                </w:p>
              </w:tc>
              <w:tc>
                <w:tcPr>
                  <w:tcW w:w="1039" w:type="pct"/>
                  <w:tcBorders>
                    <w:tl2br w:val="nil"/>
                    <w:tr2bl w:val="nil"/>
                  </w:tcBorders>
                  <w:noWrap w:val="0"/>
                  <w:vAlign w:val="center"/>
                </w:tcPr>
                <w:p w14:paraId="301A3914">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734695" cy="744220"/>
                        <wp:effectExtent l="0" t="0" r="12065" b="2540"/>
                        <wp:docPr id="14" name="图片 6" descr="说明: 1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说明: 13002"/>
                                <pic:cNvPicPr>
                                  <a:picLocks noChangeAspect="1"/>
                                </pic:cNvPicPr>
                              </pic:nvPicPr>
                              <pic:blipFill>
                                <a:blip r:embed="rId28"/>
                                <a:stretch>
                                  <a:fillRect/>
                                </a:stretch>
                              </pic:blipFill>
                              <pic:spPr>
                                <a:xfrm>
                                  <a:off x="0" y="0"/>
                                  <a:ext cx="734695" cy="744220"/>
                                </a:xfrm>
                                <a:prstGeom prst="rect">
                                  <a:avLst/>
                                </a:prstGeom>
                                <a:noFill/>
                                <a:ln>
                                  <a:noFill/>
                                </a:ln>
                              </pic:spPr>
                            </pic:pic>
                          </a:graphicData>
                        </a:graphic>
                      </wp:inline>
                    </w:drawing>
                  </w:r>
                </w:p>
              </w:tc>
              <w:tc>
                <w:tcPr>
                  <w:tcW w:w="894" w:type="pct"/>
                  <w:tcBorders>
                    <w:tl2br w:val="nil"/>
                    <w:tr2bl w:val="nil"/>
                  </w:tcBorders>
                  <w:noWrap w:val="0"/>
                  <w:vAlign w:val="center"/>
                </w:tcPr>
                <w:p w14:paraId="0C20614A">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废水排放口</w:t>
                  </w:r>
                </w:p>
              </w:tc>
              <w:tc>
                <w:tcPr>
                  <w:tcW w:w="1738" w:type="pct"/>
                  <w:tcBorders>
                    <w:tl2br w:val="nil"/>
                    <w:tr2bl w:val="nil"/>
                  </w:tcBorders>
                  <w:noWrap w:val="0"/>
                  <w:vAlign w:val="center"/>
                </w:tcPr>
                <w:p w14:paraId="3801547F">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表示污水向水体排放</w:t>
                  </w:r>
                </w:p>
              </w:tc>
            </w:tr>
            <w:tr w14:paraId="1AE2AD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noWrap w:val="0"/>
                  <w:vAlign w:val="center"/>
                </w:tcPr>
                <w:p w14:paraId="553482A2">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p>
              </w:tc>
              <w:tc>
                <w:tcPr>
                  <w:tcW w:w="941" w:type="pct"/>
                  <w:tcBorders>
                    <w:tl2br w:val="nil"/>
                    <w:tr2bl w:val="nil"/>
                  </w:tcBorders>
                  <w:noWrap w:val="0"/>
                  <w:vAlign w:val="center"/>
                </w:tcPr>
                <w:p w14:paraId="011B4F5C">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708025" cy="716915"/>
                        <wp:effectExtent l="0" t="0" r="8255" b="14605"/>
                        <wp:docPr id="15" name="图片 7" descr="说明: 1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descr="说明: 13003"/>
                                <pic:cNvPicPr>
                                  <a:picLocks noChangeAspect="1"/>
                                </pic:cNvPicPr>
                              </pic:nvPicPr>
                              <pic:blipFill>
                                <a:blip r:embed="rId29"/>
                                <a:stretch>
                                  <a:fillRect/>
                                </a:stretch>
                              </pic:blipFill>
                              <pic:spPr>
                                <a:xfrm>
                                  <a:off x="0" y="0"/>
                                  <a:ext cx="708025" cy="716915"/>
                                </a:xfrm>
                                <a:prstGeom prst="rect">
                                  <a:avLst/>
                                </a:prstGeom>
                                <a:noFill/>
                                <a:ln>
                                  <a:noFill/>
                                </a:ln>
                              </pic:spPr>
                            </pic:pic>
                          </a:graphicData>
                        </a:graphic>
                      </wp:inline>
                    </w:drawing>
                  </w:r>
                </w:p>
              </w:tc>
              <w:tc>
                <w:tcPr>
                  <w:tcW w:w="1039" w:type="pct"/>
                  <w:tcBorders>
                    <w:tl2br w:val="nil"/>
                    <w:tr2bl w:val="nil"/>
                  </w:tcBorders>
                  <w:noWrap w:val="0"/>
                  <w:vAlign w:val="center"/>
                </w:tcPr>
                <w:p w14:paraId="71F510E1">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753745" cy="754380"/>
                        <wp:effectExtent l="0" t="0" r="8255" b="7620"/>
                        <wp:docPr id="16" name="图片 8" descr="说明: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descr="说明: 4"/>
                                <pic:cNvPicPr>
                                  <a:picLocks noChangeAspect="1"/>
                                </pic:cNvPicPr>
                              </pic:nvPicPr>
                              <pic:blipFill>
                                <a:blip r:embed="rId30"/>
                                <a:stretch>
                                  <a:fillRect/>
                                </a:stretch>
                              </pic:blipFill>
                              <pic:spPr>
                                <a:xfrm>
                                  <a:off x="0" y="0"/>
                                  <a:ext cx="753745" cy="754380"/>
                                </a:xfrm>
                                <a:prstGeom prst="rect">
                                  <a:avLst/>
                                </a:prstGeom>
                                <a:noFill/>
                                <a:ln>
                                  <a:noFill/>
                                </a:ln>
                              </pic:spPr>
                            </pic:pic>
                          </a:graphicData>
                        </a:graphic>
                      </wp:inline>
                    </w:drawing>
                  </w:r>
                </w:p>
              </w:tc>
              <w:tc>
                <w:tcPr>
                  <w:tcW w:w="894" w:type="pct"/>
                  <w:tcBorders>
                    <w:tl2br w:val="nil"/>
                    <w:tr2bl w:val="nil"/>
                  </w:tcBorders>
                  <w:noWrap w:val="0"/>
                  <w:vAlign w:val="center"/>
                </w:tcPr>
                <w:p w14:paraId="47B8F609">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废气排放口</w:t>
                  </w:r>
                </w:p>
              </w:tc>
              <w:tc>
                <w:tcPr>
                  <w:tcW w:w="1738" w:type="pct"/>
                  <w:tcBorders>
                    <w:tl2br w:val="nil"/>
                    <w:tr2bl w:val="nil"/>
                  </w:tcBorders>
                  <w:noWrap w:val="0"/>
                  <w:vAlign w:val="center"/>
                </w:tcPr>
                <w:p w14:paraId="152BA9AD">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表示废气向大气环境排放</w:t>
                  </w:r>
                </w:p>
              </w:tc>
            </w:tr>
            <w:tr w14:paraId="0BF0CB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noWrap w:val="0"/>
                  <w:vAlign w:val="center"/>
                </w:tcPr>
                <w:p w14:paraId="048BB70B">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p>
              </w:tc>
              <w:tc>
                <w:tcPr>
                  <w:tcW w:w="941" w:type="pct"/>
                  <w:tcBorders>
                    <w:tl2br w:val="nil"/>
                    <w:tr2bl w:val="nil"/>
                  </w:tcBorders>
                  <w:noWrap w:val="0"/>
                  <w:vAlign w:val="center"/>
                </w:tcPr>
                <w:p w14:paraId="2B17660D">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702945" cy="711200"/>
                        <wp:effectExtent l="0" t="0" r="13335" b="5080"/>
                        <wp:docPr id="17" name="图片 9" descr="说明: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说明: 14001"/>
                                <pic:cNvPicPr>
                                  <a:picLocks noChangeAspect="1"/>
                                </pic:cNvPicPr>
                              </pic:nvPicPr>
                              <pic:blipFill>
                                <a:blip r:embed="rId31"/>
                                <a:stretch>
                                  <a:fillRect/>
                                </a:stretch>
                              </pic:blipFill>
                              <pic:spPr>
                                <a:xfrm>
                                  <a:off x="0" y="0"/>
                                  <a:ext cx="702945" cy="711200"/>
                                </a:xfrm>
                                <a:prstGeom prst="rect">
                                  <a:avLst/>
                                </a:prstGeom>
                                <a:noFill/>
                                <a:ln>
                                  <a:noFill/>
                                </a:ln>
                              </pic:spPr>
                            </pic:pic>
                          </a:graphicData>
                        </a:graphic>
                      </wp:inline>
                    </w:drawing>
                  </w:r>
                </w:p>
              </w:tc>
              <w:tc>
                <w:tcPr>
                  <w:tcW w:w="1039" w:type="pct"/>
                  <w:tcBorders>
                    <w:tl2br w:val="nil"/>
                    <w:tr2bl w:val="nil"/>
                  </w:tcBorders>
                  <w:noWrap w:val="0"/>
                  <w:vAlign w:val="center"/>
                </w:tcPr>
                <w:p w14:paraId="0BB4E91F">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772795" cy="724535"/>
                        <wp:effectExtent l="0" t="0" r="4445" b="6985"/>
                        <wp:docPr id="18" name="图片 10" descr="说明: 1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descr="说明: 14002"/>
                                <pic:cNvPicPr>
                                  <a:picLocks noChangeAspect="1"/>
                                </pic:cNvPicPr>
                              </pic:nvPicPr>
                              <pic:blipFill>
                                <a:blip r:embed="rId32"/>
                                <a:stretch>
                                  <a:fillRect/>
                                </a:stretch>
                              </pic:blipFill>
                              <pic:spPr>
                                <a:xfrm>
                                  <a:off x="0" y="0"/>
                                  <a:ext cx="772795" cy="724535"/>
                                </a:xfrm>
                                <a:prstGeom prst="rect">
                                  <a:avLst/>
                                </a:prstGeom>
                                <a:noFill/>
                                <a:ln>
                                  <a:noFill/>
                                </a:ln>
                              </pic:spPr>
                            </pic:pic>
                          </a:graphicData>
                        </a:graphic>
                      </wp:inline>
                    </w:drawing>
                  </w:r>
                </w:p>
              </w:tc>
              <w:tc>
                <w:tcPr>
                  <w:tcW w:w="894" w:type="pct"/>
                  <w:tcBorders>
                    <w:tl2br w:val="nil"/>
                    <w:tr2bl w:val="nil"/>
                  </w:tcBorders>
                  <w:noWrap w:val="0"/>
                  <w:vAlign w:val="center"/>
                </w:tcPr>
                <w:p w14:paraId="1C81964B">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一般固体废物</w:t>
                  </w:r>
                </w:p>
              </w:tc>
              <w:tc>
                <w:tcPr>
                  <w:tcW w:w="1738" w:type="pct"/>
                  <w:tcBorders>
                    <w:tl2br w:val="nil"/>
                    <w:tr2bl w:val="nil"/>
                  </w:tcBorders>
                  <w:noWrap w:val="0"/>
                  <w:vAlign w:val="center"/>
                </w:tcPr>
                <w:p w14:paraId="266F2072">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表示一般固体废物贮存、处置场</w:t>
                  </w:r>
                </w:p>
              </w:tc>
            </w:tr>
            <w:tr w14:paraId="4C0A5F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noWrap w:val="0"/>
                  <w:vAlign w:val="center"/>
                </w:tcPr>
                <w:p w14:paraId="03F72A5B">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p>
              </w:tc>
              <w:tc>
                <w:tcPr>
                  <w:tcW w:w="941" w:type="pct"/>
                  <w:tcBorders>
                    <w:tl2br w:val="nil"/>
                    <w:tr2bl w:val="nil"/>
                  </w:tcBorders>
                  <w:noWrap w:val="0"/>
                  <w:vAlign w:val="center"/>
                </w:tcPr>
                <w:p w14:paraId="2A334DED">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727710" cy="727710"/>
                        <wp:effectExtent l="0" t="0" r="3810" b="3810"/>
                        <wp:docPr id="19" name="图片 11" descr="说明: 200602201518049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descr="说明: 200602201518049853"/>
                                <pic:cNvPicPr>
                                  <a:picLocks noChangeAspect="1"/>
                                </pic:cNvPicPr>
                              </pic:nvPicPr>
                              <pic:blipFill>
                                <a:blip r:embed="rId33"/>
                                <a:stretch>
                                  <a:fillRect/>
                                </a:stretch>
                              </pic:blipFill>
                              <pic:spPr>
                                <a:xfrm>
                                  <a:off x="0" y="0"/>
                                  <a:ext cx="727710" cy="727710"/>
                                </a:xfrm>
                                <a:prstGeom prst="rect">
                                  <a:avLst/>
                                </a:prstGeom>
                                <a:noFill/>
                                <a:ln>
                                  <a:noFill/>
                                </a:ln>
                              </pic:spPr>
                            </pic:pic>
                          </a:graphicData>
                        </a:graphic>
                      </wp:inline>
                    </w:drawing>
                  </w:r>
                </w:p>
              </w:tc>
              <w:tc>
                <w:tcPr>
                  <w:tcW w:w="1039" w:type="pct"/>
                  <w:tcBorders>
                    <w:tl2br w:val="nil"/>
                    <w:tr2bl w:val="nil"/>
                  </w:tcBorders>
                  <w:noWrap w:val="0"/>
                  <w:vAlign w:val="center"/>
                </w:tcPr>
                <w:p w14:paraId="2EBE19E9">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817880" cy="726440"/>
                        <wp:effectExtent l="0" t="0" r="5080" b="5080"/>
                        <wp:docPr id="20" name="图片 12" descr="说明: 20060220151901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descr="说明: 200602201519018631"/>
                                <pic:cNvPicPr>
                                  <a:picLocks noChangeAspect="1"/>
                                </pic:cNvPicPr>
                              </pic:nvPicPr>
                              <pic:blipFill>
                                <a:blip r:embed="rId34"/>
                                <a:stretch>
                                  <a:fillRect/>
                                </a:stretch>
                              </pic:blipFill>
                              <pic:spPr>
                                <a:xfrm>
                                  <a:off x="0" y="0"/>
                                  <a:ext cx="817880" cy="726440"/>
                                </a:xfrm>
                                <a:prstGeom prst="rect">
                                  <a:avLst/>
                                </a:prstGeom>
                                <a:noFill/>
                                <a:ln>
                                  <a:noFill/>
                                </a:ln>
                              </pic:spPr>
                            </pic:pic>
                          </a:graphicData>
                        </a:graphic>
                      </wp:inline>
                    </w:drawing>
                  </w:r>
                </w:p>
              </w:tc>
              <w:tc>
                <w:tcPr>
                  <w:tcW w:w="894" w:type="pct"/>
                  <w:tcBorders>
                    <w:tl2br w:val="nil"/>
                    <w:tr2bl w:val="nil"/>
                  </w:tcBorders>
                  <w:noWrap w:val="0"/>
                  <w:vAlign w:val="center"/>
                </w:tcPr>
                <w:p w14:paraId="6081EF5A">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噪声排放源</w:t>
                  </w:r>
                </w:p>
              </w:tc>
              <w:tc>
                <w:tcPr>
                  <w:tcW w:w="1738" w:type="pct"/>
                  <w:tcBorders>
                    <w:tl2br w:val="nil"/>
                    <w:tr2bl w:val="nil"/>
                  </w:tcBorders>
                  <w:noWrap w:val="0"/>
                  <w:vAlign w:val="center"/>
                </w:tcPr>
                <w:p w14:paraId="670F682B">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表示噪声向外环境排放</w:t>
                  </w:r>
                </w:p>
              </w:tc>
            </w:tr>
            <w:tr w14:paraId="336FBF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noWrap w:val="0"/>
                  <w:vAlign w:val="center"/>
                </w:tcPr>
                <w:p w14:paraId="17FE80B9">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w:t>
                  </w:r>
                </w:p>
              </w:tc>
              <w:tc>
                <w:tcPr>
                  <w:tcW w:w="941" w:type="pct"/>
                  <w:tcBorders>
                    <w:tl2br w:val="nil"/>
                    <w:tr2bl w:val="nil"/>
                  </w:tcBorders>
                  <w:noWrap w:val="0"/>
                  <w:vAlign w:val="center"/>
                </w:tcPr>
                <w:p w14:paraId="2F826217">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w:t>
                  </w:r>
                </w:p>
              </w:tc>
              <w:tc>
                <w:tcPr>
                  <w:tcW w:w="1039" w:type="pct"/>
                  <w:tcBorders>
                    <w:tl2br w:val="nil"/>
                    <w:tr2bl w:val="nil"/>
                  </w:tcBorders>
                  <w:noWrap w:val="0"/>
                  <w:vAlign w:val="center"/>
                </w:tcPr>
                <w:p w14:paraId="302AD48C">
                  <w:pPr>
                    <w:keepNext w:val="0"/>
                    <w:keepLines w:val="0"/>
                    <w:pageBreakBefore w:val="0"/>
                    <w:widowControl w:val="0"/>
                    <w:kinsoku/>
                    <w:wordWrap/>
                    <w:overflowPunct/>
                    <w:topLinePunct/>
                    <w:autoSpaceDE w:val="0"/>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rPr>
                    <w:drawing>
                      <wp:inline distT="0" distB="0" distL="114300" distR="114300">
                        <wp:extent cx="1010920" cy="639445"/>
                        <wp:effectExtent l="0" t="0" r="10160" b="63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35"/>
                                <a:stretch>
                                  <a:fillRect/>
                                </a:stretch>
                              </pic:blipFill>
                              <pic:spPr>
                                <a:xfrm>
                                  <a:off x="0" y="0"/>
                                  <a:ext cx="1010920" cy="639445"/>
                                </a:xfrm>
                                <a:prstGeom prst="rect">
                                  <a:avLst/>
                                </a:prstGeom>
                                <a:noFill/>
                                <a:ln>
                                  <a:noFill/>
                                </a:ln>
                              </pic:spPr>
                            </pic:pic>
                          </a:graphicData>
                        </a:graphic>
                      </wp:inline>
                    </w:drawing>
                  </w:r>
                </w:p>
              </w:tc>
              <w:tc>
                <w:tcPr>
                  <w:tcW w:w="1523" w:type="dxa"/>
                  <w:tcBorders>
                    <w:tl2br w:val="nil"/>
                    <w:tr2bl w:val="nil"/>
                  </w:tcBorders>
                  <w:noWrap w:val="0"/>
                  <w:vAlign w:val="center"/>
                </w:tcPr>
                <w:p w14:paraId="362CFA70">
                  <w:pPr>
                    <w:topLinePunct/>
                    <w:autoSpaceDE w:val="0"/>
                    <w:spacing w:line="24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危险废物</w:t>
                  </w:r>
                </w:p>
              </w:tc>
              <w:tc>
                <w:tcPr>
                  <w:tcW w:w="2963" w:type="dxa"/>
                  <w:tcBorders>
                    <w:tl2br w:val="nil"/>
                    <w:tr2bl w:val="nil"/>
                  </w:tcBorders>
                  <w:noWrap w:val="0"/>
                  <w:vAlign w:val="center"/>
                </w:tcPr>
                <w:p w14:paraId="3803B9D4">
                  <w:pPr>
                    <w:topLinePunct/>
                    <w:autoSpaceDE w:val="0"/>
                    <w:spacing w:line="24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表示危险废物贮存、处置场</w:t>
                  </w:r>
                </w:p>
              </w:tc>
            </w:tr>
          </w:tbl>
          <w:p w14:paraId="2A75A394">
            <w:pPr>
              <w:topLinePunct/>
              <w:autoSpaceDE w:val="0"/>
              <w:adjustRightInd w:val="0"/>
              <w:snapToGrid w:val="0"/>
              <w:spacing w:line="240" w:lineRule="auto"/>
              <w:rPr>
                <w:rFonts w:hint="default" w:ascii="Times New Roman" w:hAnsi="Times New Roman" w:eastAsia="宋体" w:cs="Times New Roman"/>
                <w:color w:val="auto"/>
                <w:sz w:val="24"/>
                <w:szCs w:val="24"/>
                <w:highlight w:val="none"/>
                <w:lang w:eastAsia="zh-CN"/>
              </w:rPr>
            </w:pPr>
          </w:p>
          <w:p w14:paraId="1737E3C3">
            <w:pPr>
              <w:topLinePunct/>
              <w:autoSpaceDE w:val="0"/>
              <w:adjustRightInd w:val="0"/>
              <w:snapToGrid w:val="0"/>
              <w:spacing w:line="240" w:lineRule="auto"/>
              <w:rPr>
                <w:rFonts w:hint="default" w:ascii="Times New Roman" w:hAnsi="Times New Roman" w:eastAsia="宋体" w:cs="Times New Roman"/>
                <w:color w:val="auto"/>
                <w:sz w:val="24"/>
                <w:szCs w:val="24"/>
                <w:highlight w:val="none"/>
                <w:lang w:eastAsia="zh-CN"/>
              </w:rPr>
            </w:pPr>
          </w:p>
          <w:p w14:paraId="6E8EE444">
            <w:pPr>
              <w:topLinePunct/>
              <w:autoSpaceDE w:val="0"/>
              <w:adjustRightInd w:val="0"/>
              <w:snapToGrid w:val="0"/>
              <w:spacing w:line="240" w:lineRule="auto"/>
              <w:rPr>
                <w:rFonts w:hint="default" w:ascii="Times New Roman" w:hAnsi="Times New Roman" w:eastAsia="宋体" w:cs="Times New Roman"/>
                <w:color w:val="auto"/>
                <w:sz w:val="24"/>
                <w:szCs w:val="24"/>
                <w:highlight w:val="none"/>
                <w:lang w:eastAsia="zh-CN"/>
              </w:rPr>
            </w:pPr>
          </w:p>
          <w:p w14:paraId="286423DD">
            <w:pPr>
              <w:topLinePunct/>
              <w:autoSpaceDE w:val="0"/>
              <w:adjustRightInd w:val="0"/>
              <w:snapToGrid w:val="0"/>
              <w:spacing w:line="240" w:lineRule="auto"/>
              <w:rPr>
                <w:rFonts w:hint="default" w:ascii="Times New Roman" w:hAnsi="Times New Roman" w:eastAsia="宋体" w:cs="Times New Roman"/>
                <w:color w:val="auto"/>
                <w:sz w:val="24"/>
                <w:szCs w:val="24"/>
                <w:highlight w:val="none"/>
                <w:lang w:eastAsia="zh-CN"/>
              </w:rPr>
            </w:pPr>
          </w:p>
        </w:tc>
      </w:tr>
    </w:tbl>
    <w:p w14:paraId="408EE987">
      <w:pPr>
        <w:keepNext w:val="0"/>
        <w:keepLines w:val="0"/>
        <w:pageBreakBefore w:val="0"/>
        <w:widowControl w:val="0"/>
        <w:kinsoku/>
        <w:wordWrap/>
        <w:overflowPunct/>
        <w:topLinePunct/>
        <w:autoSpaceDE w:val="0"/>
        <w:autoSpaceDN/>
        <w:bidi w:val="0"/>
        <w:adjustRightInd w:val="0"/>
        <w:snapToGrid w:val="0"/>
        <w:ind w:left="0" w:leftChars="0"/>
        <w:jc w:val="center"/>
        <w:textAlignment w:val="auto"/>
        <w:outlineLvl w:val="9"/>
        <w:rPr>
          <w:rFonts w:hint="default" w:ascii="Times New Roman" w:hAnsi="Times New Roman" w:cs="Times New Roman"/>
          <w:snapToGrid w:val="0"/>
          <w:color w:val="auto"/>
          <w:highlight w:val="none"/>
        </w:rPr>
      </w:pPr>
    </w:p>
    <w:p w14:paraId="3AE8B5B9">
      <w:pPr>
        <w:keepNext w:val="0"/>
        <w:keepLines w:val="0"/>
        <w:pageBreakBefore w:val="0"/>
        <w:widowControl w:val="0"/>
        <w:kinsoku/>
        <w:wordWrap/>
        <w:overflowPunct/>
        <w:topLinePunct/>
        <w:autoSpaceDE w:val="0"/>
        <w:autoSpaceDN/>
        <w:bidi w:val="0"/>
        <w:adjustRightInd w:val="0"/>
        <w:snapToGrid w:val="0"/>
        <w:ind w:left="0" w:leftChars="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bookmarkStart w:id="27" w:name="_Toc8818"/>
      <w:r>
        <w:rPr>
          <w:rFonts w:hint="default" w:ascii="Times New Roman" w:hAnsi="Times New Roman" w:eastAsia="黑体" w:cs="Times New Roman"/>
          <w:b/>
          <w:bCs/>
          <w:snapToGrid w:val="0"/>
          <w:color w:val="auto"/>
          <w:sz w:val="30"/>
          <w:szCs w:val="30"/>
          <w:highlight w:val="none"/>
        </w:rPr>
        <w:t>六、结论</w:t>
      </w:r>
      <w:bookmarkEnd w:id="27"/>
    </w:p>
    <w:tbl>
      <w:tblPr>
        <w:tblStyle w:val="2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15"/>
      </w:tblGrid>
      <w:tr w14:paraId="39200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83" w:hRule="atLeast"/>
          <w:jc w:val="center"/>
        </w:trPr>
        <w:tc>
          <w:tcPr>
            <w:tcW w:w="5000" w:type="pct"/>
            <w:noWrap w:val="0"/>
            <w:vAlign w:val="center"/>
          </w:tcPr>
          <w:p w14:paraId="4264E3B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642C179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57BDBE52">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12288A9B">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6FD7894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5963EF2A">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35EFC512">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4593B4CB">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1F2ECFF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035C75A1">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2D93ED2C">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6E7EEFA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0C9B340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lang w:eastAsia="zh-CN"/>
              </w:rPr>
            </w:pPr>
          </w:p>
          <w:p w14:paraId="23370C8C">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项目</w:t>
            </w:r>
            <w:r>
              <w:rPr>
                <w:rFonts w:hint="default" w:ascii="Times New Roman" w:hAnsi="Times New Roman" w:cs="Times New Roman"/>
                <w:snapToGrid w:val="0"/>
                <w:color w:val="auto"/>
                <w:kern w:val="0"/>
                <w:sz w:val="24"/>
                <w:highlight w:val="none"/>
              </w:rPr>
              <w:t>符合国家及地方产业政策，符合规划</w:t>
            </w:r>
            <w:r>
              <w:rPr>
                <w:rFonts w:hint="default" w:ascii="Times New Roman" w:hAnsi="Times New Roman" w:cs="Times New Roman"/>
                <w:snapToGrid w:val="0"/>
                <w:color w:val="auto"/>
                <w:kern w:val="0"/>
                <w:sz w:val="24"/>
                <w:highlight w:val="none"/>
                <w:lang w:eastAsia="zh-CN"/>
              </w:rPr>
              <w:t>要求</w:t>
            </w:r>
            <w:r>
              <w:rPr>
                <w:rFonts w:hint="default" w:ascii="Times New Roman" w:hAnsi="Times New Roman" w:cs="Times New Roman"/>
                <w:snapToGrid w:val="0"/>
                <w:color w:val="auto"/>
                <w:kern w:val="0"/>
                <w:sz w:val="24"/>
                <w:highlight w:val="none"/>
              </w:rPr>
              <w:t>，符合相关法律法规及环境政策，选址合理。在落实评价提出的各项污染防治措施后，污染物实现稳定达标排放。</w:t>
            </w:r>
          </w:p>
          <w:p w14:paraId="1A4C9AD5">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综上所述，从环境保护角度，</w:t>
            </w:r>
            <w:r>
              <w:rPr>
                <w:rFonts w:hint="eastAsia" w:ascii="Times New Roman" w:hAnsi="Times New Roman" w:cs="Times New Roman"/>
                <w:snapToGrid w:val="0"/>
                <w:color w:val="auto"/>
                <w:kern w:val="0"/>
                <w:sz w:val="24"/>
                <w:highlight w:val="none"/>
                <w:lang w:eastAsia="zh-CN"/>
              </w:rPr>
              <w:t>项目</w:t>
            </w:r>
            <w:r>
              <w:rPr>
                <w:rFonts w:hint="eastAsia" w:ascii="Times New Roman" w:hAnsi="Times New Roman" w:cs="Times New Roman"/>
                <w:snapToGrid w:val="0"/>
                <w:color w:val="auto"/>
                <w:kern w:val="0"/>
                <w:sz w:val="24"/>
                <w:highlight w:val="none"/>
                <w:lang w:val="en-US" w:eastAsia="zh-CN"/>
              </w:rPr>
              <w:t>建设是</w:t>
            </w:r>
            <w:r>
              <w:rPr>
                <w:rFonts w:hint="default" w:ascii="Times New Roman" w:hAnsi="Times New Roman" w:cs="Times New Roman"/>
                <w:snapToGrid w:val="0"/>
                <w:color w:val="auto"/>
                <w:kern w:val="0"/>
                <w:sz w:val="24"/>
                <w:highlight w:val="none"/>
              </w:rPr>
              <w:t>可行</w:t>
            </w:r>
            <w:r>
              <w:rPr>
                <w:rFonts w:hint="eastAsia" w:ascii="Times New Roman" w:hAnsi="Times New Roman" w:cs="Times New Roman"/>
                <w:snapToGrid w:val="0"/>
                <w:color w:val="auto"/>
                <w:kern w:val="0"/>
                <w:sz w:val="24"/>
                <w:highlight w:val="none"/>
                <w:lang w:val="en-US" w:eastAsia="zh-CN"/>
              </w:rPr>
              <w:t>的</w:t>
            </w:r>
            <w:r>
              <w:rPr>
                <w:rFonts w:hint="default" w:ascii="Times New Roman" w:hAnsi="Times New Roman" w:cs="Times New Roman"/>
                <w:snapToGrid w:val="0"/>
                <w:color w:val="auto"/>
                <w:kern w:val="0"/>
                <w:sz w:val="24"/>
                <w:highlight w:val="none"/>
              </w:rPr>
              <w:t>。</w:t>
            </w:r>
          </w:p>
          <w:p w14:paraId="69D435CD">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4AE7E908">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69F6B7E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6CD4716C">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56F6C2E9">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10B92F82">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50F556D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67BC73CD">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5BDE63AB">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11FA1C5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7AA227A3">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4A034560">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20EAFD8C">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2259789F">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480" w:firstLineChars="200"/>
              <w:rPr>
                <w:rFonts w:hint="default" w:ascii="Times New Roman" w:hAnsi="Times New Roman" w:cs="Times New Roman"/>
                <w:snapToGrid w:val="0"/>
                <w:color w:val="auto"/>
                <w:kern w:val="0"/>
                <w:sz w:val="24"/>
                <w:highlight w:val="none"/>
              </w:rPr>
            </w:pPr>
          </w:p>
          <w:p w14:paraId="416A7326">
            <w:pPr>
              <w:keepNext w:val="0"/>
              <w:keepLines w:val="0"/>
              <w:pageBreakBefore w:val="0"/>
              <w:widowControl w:val="0"/>
              <w:kinsoku/>
              <w:wordWrap/>
              <w:overflowPunct/>
              <w:topLinePunct/>
              <w:autoSpaceDE w:val="0"/>
              <w:autoSpaceDN/>
              <w:bidi w:val="0"/>
              <w:adjustRightInd w:val="0"/>
              <w:snapToGrid w:val="0"/>
              <w:spacing w:line="360" w:lineRule="auto"/>
              <w:ind w:left="0" w:leftChars="0"/>
              <w:rPr>
                <w:rFonts w:hint="default" w:ascii="Times New Roman" w:hAnsi="Times New Roman" w:cs="Times New Roman"/>
                <w:color w:val="auto"/>
                <w:sz w:val="24"/>
                <w:highlight w:val="none"/>
              </w:rPr>
            </w:pPr>
          </w:p>
        </w:tc>
      </w:tr>
    </w:tbl>
    <w:p w14:paraId="79EC5840">
      <w:pPr>
        <w:keepNext w:val="0"/>
        <w:keepLines w:val="0"/>
        <w:pageBreakBefore w:val="0"/>
        <w:widowControl w:val="0"/>
        <w:kinsoku/>
        <w:wordWrap/>
        <w:overflowPunct/>
        <w:topLinePunct/>
        <w:autoSpaceDE w:val="0"/>
        <w:autoSpaceDN/>
        <w:bidi w:val="0"/>
        <w:adjustRightInd w:val="0"/>
        <w:snapToGrid w:val="0"/>
        <w:ind w:left="0" w:leftChars="0"/>
        <w:rPr>
          <w:rFonts w:hint="default" w:ascii="Times New Roman" w:hAnsi="Times New Roman" w:cs="Times New Roman"/>
          <w:color w:val="auto"/>
          <w:highlight w:val="none"/>
        </w:rPr>
        <w:sectPr>
          <w:pgSz w:w="11905" w:h="16838"/>
          <w:pgMar w:top="1440" w:right="1803" w:bottom="1440" w:left="1803"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12646DBC">
      <w:pPr>
        <w:keepNext w:val="0"/>
        <w:keepLines w:val="0"/>
        <w:pageBreakBefore w:val="0"/>
        <w:widowControl w:val="0"/>
        <w:kinsoku/>
        <w:wordWrap/>
        <w:overflowPunct/>
        <w:topLinePunct/>
        <w:autoSpaceDE w:val="0"/>
        <w:autoSpaceDN/>
        <w:bidi w:val="0"/>
        <w:adjustRightInd w:val="0"/>
        <w:snapToGrid w:val="0"/>
        <w:ind w:left="0" w:leftChars="0"/>
        <w:textAlignment w:val="auto"/>
        <w:outlineLvl w:val="0"/>
        <w:rPr>
          <w:rFonts w:hint="default" w:ascii="Times New Roman" w:hAnsi="Times New Roman" w:cs="Times New Roman"/>
          <w:b/>
          <w:bCs/>
          <w:snapToGrid w:val="0"/>
          <w:color w:val="auto"/>
          <w:sz w:val="28"/>
          <w:szCs w:val="28"/>
          <w:highlight w:val="none"/>
        </w:rPr>
      </w:pPr>
      <w:bookmarkStart w:id="28" w:name="_Toc17611"/>
      <w:r>
        <w:rPr>
          <w:rFonts w:hint="default" w:ascii="Times New Roman" w:hAnsi="Times New Roman" w:cs="Times New Roman"/>
          <w:b/>
          <w:bCs/>
          <w:snapToGrid w:val="0"/>
          <w:color w:val="auto"/>
          <w:sz w:val="28"/>
          <w:szCs w:val="28"/>
          <w:highlight w:val="none"/>
        </w:rPr>
        <w:t>附表</w:t>
      </w:r>
      <w:bookmarkEnd w:id="28"/>
    </w:p>
    <w:p w14:paraId="74CF1F9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bCs/>
          <w:snapToGrid w:val="0"/>
          <w:color w:val="auto"/>
          <w:sz w:val="28"/>
          <w:szCs w:val="28"/>
          <w:highlight w:val="none"/>
        </w:rPr>
      </w:pPr>
      <w:r>
        <w:rPr>
          <w:rFonts w:hint="eastAsia" w:ascii="Times New Roman" w:hAnsi="Times New Roman" w:cs="Times New Roman"/>
          <w:b/>
          <w:bCs/>
          <w:snapToGrid w:val="0"/>
          <w:color w:val="auto"/>
          <w:sz w:val="28"/>
          <w:szCs w:val="28"/>
          <w:highlight w:val="none"/>
          <w:lang w:eastAsia="zh-CN"/>
        </w:rPr>
        <w:t>项目</w:t>
      </w:r>
      <w:r>
        <w:rPr>
          <w:rFonts w:hint="default" w:ascii="Times New Roman" w:hAnsi="Times New Roman" w:cs="Times New Roman"/>
          <w:b/>
          <w:bCs/>
          <w:snapToGrid w:val="0"/>
          <w:color w:val="auto"/>
          <w:sz w:val="28"/>
          <w:szCs w:val="28"/>
          <w:highlight w:val="none"/>
        </w:rPr>
        <w:t>污染物排放量汇总表</w:t>
      </w:r>
    </w:p>
    <w:tbl>
      <w:tblPr>
        <w:tblStyle w:val="25"/>
        <w:tblW w:w="1454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8"/>
        <w:gridCol w:w="2433"/>
        <w:gridCol w:w="1509"/>
        <w:gridCol w:w="1091"/>
        <w:gridCol w:w="1828"/>
        <w:gridCol w:w="2004"/>
        <w:gridCol w:w="1635"/>
        <w:gridCol w:w="2085"/>
        <w:gridCol w:w="1261"/>
      </w:tblGrid>
      <w:tr w14:paraId="7B7600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tcBorders>
              <w:tl2br w:val="single" w:color="auto" w:sz="4" w:space="0"/>
            </w:tcBorders>
            <w:noWrap w:val="0"/>
            <w:tcMar>
              <w:left w:w="28" w:type="dxa"/>
              <w:right w:w="28" w:type="dxa"/>
            </w:tcMar>
            <w:vAlign w:val="center"/>
          </w:tcPr>
          <w:p w14:paraId="488A2EF9">
            <w:pPr>
              <w:keepNext w:val="0"/>
              <w:keepLines w:val="0"/>
              <w:pageBreakBefore w:val="0"/>
              <w:widowControl w:val="0"/>
              <w:kinsoku/>
              <w:wordWrap/>
              <w:overflowPunct/>
              <w:topLinePunct/>
              <w:autoSpaceDE w:val="0"/>
              <w:autoSpaceDN/>
              <w:bidi w:val="0"/>
              <w:adjustRightInd w:val="0"/>
              <w:snapToGrid w:val="0"/>
              <w:spacing w:line="240" w:lineRule="auto"/>
              <w:ind w:left="0" w:leftChars="0"/>
              <w:jc w:val="right"/>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t>项目</w:t>
            </w:r>
          </w:p>
          <w:p w14:paraId="2D12F267">
            <w:pPr>
              <w:keepNext w:val="0"/>
              <w:keepLines w:val="0"/>
              <w:pageBreakBefore w:val="0"/>
              <w:widowControl w:val="0"/>
              <w:kinsoku/>
              <w:wordWrap/>
              <w:overflowPunct/>
              <w:topLinePunct/>
              <w:autoSpaceDE w:val="0"/>
              <w:autoSpaceDN/>
              <w:bidi w:val="0"/>
              <w:adjustRightInd w:val="0"/>
              <w:snapToGrid w:val="0"/>
              <w:spacing w:line="240" w:lineRule="auto"/>
              <w:ind w:left="0" w:leftChars="0"/>
              <w:jc w:val="left"/>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t>分类</w:t>
            </w:r>
          </w:p>
        </w:tc>
        <w:tc>
          <w:tcPr>
            <w:tcW w:w="2433" w:type="dxa"/>
            <w:noWrap w:val="0"/>
            <w:tcMar>
              <w:left w:w="28" w:type="dxa"/>
              <w:right w:w="28" w:type="dxa"/>
            </w:tcMar>
            <w:vAlign w:val="center"/>
          </w:tcPr>
          <w:p w14:paraId="1ECC7E7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t>污染物名称</w:t>
            </w:r>
          </w:p>
        </w:tc>
        <w:tc>
          <w:tcPr>
            <w:tcW w:w="1509" w:type="dxa"/>
            <w:noWrap w:val="0"/>
            <w:tcMar>
              <w:left w:w="28" w:type="dxa"/>
              <w:right w:w="28" w:type="dxa"/>
            </w:tcMar>
            <w:vAlign w:val="center"/>
          </w:tcPr>
          <w:p w14:paraId="4BAE84F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t>现有工程排放量（固体废物产生量）</w:t>
            </w:r>
            <w:r>
              <w:rPr>
                <w:rFonts w:hint="default" w:ascii="Times New Roman" w:hAnsi="Times New Roman" w:cs="Times New Roman"/>
                <w:b/>
                <w:bCs/>
                <w:snapToGrid w:val="0"/>
                <w:color w:val="auto"/>
                <w:spacing w:val="-6"/>
                <w:kern w:val="21"/>
                <w:sz w:val="21"/>
                <w:szCs w:val="21"/>
                <w:highlight w:val="none"/>
              </w:rPr>
              <w:fldChar w:fldCharType="begin"/>
            </w:r>
            <w:r>
              <w:rPr>
                <w:rFonts w:hint="default" w:ascii="Times New Roman" w:hAnsi="Times New Roman" w:cs="Times New Roman"/>
                <w:b/>
                <w:bCs/>
                <w:snapToGrid w:val="0"/>
                <w:color w:val="auto"/>
                <w:spacing w:val="-6"/>
                <w:kern w:val="21"/>
                <w:sz w:val="21"/>
                <w:szCs w:val="21"/>
                <w:highlight w:val="none"/>
              </w:rPr>
              <w:instrText xml:space="preserve"> = 1 \* GB3 \* MERGEFORMAT </w:instrText>
            </w:r>
            <w:r>
              <w:rPr>
                <w:rFonts w:hint="default" w:ascii="Times New Roman" w:hAnsi="Times New Roman" w:cs="Times New Roman"/>
                <w:b/>
                <w:bCs/>
                <w:snapToGrid w:val="0"/>
                <w:color w:val="auto"/>
                <w:spacing w:val="-6"/>
                <w:kern w:val="21"/>
                <w:sz w:val="21"/>
                <w:szCs w:val="21"/>
                <w:highlight w:val="none"/>
              </w:rPr>
              <w:fldChar w:fldCharType="separate"/>
            </w:r>
            <w:r>
              <w:rPr>
                <w:rFonts w:hint="default" w:ascii="Times New Roman" w:hAnsi="Times New Roman" w:cs="Times New Roman"/>
                <w:b/>
                <w:bCs/>
                <w:color w:val="auto"/>
                <w:sz w:val="21"/>
                <w:szCs w:val="21"/>
                <w:highlight w:val="none"/>
              </w:rPr>
              <w:t>①</w:t>
            </w:r>
            <w:r>
              <w:rPr>
                <w:rFonts w:hint="default" w:ascii="Times New Roman" w:hAnsi="Times New Roman" w:cs="Times New Roman"/>
                <w:b/>
                <w:bCs/>
                <w:snapToGrid w:val="0"/>
                <w:color w:val="auto"/>
                <w:spacing w:val="-6"/>
                <w:kern w:val="21"/>
                <w:sz w:val="21"/>
                <w:szCs w:val="21"/>
                <w:highlight w:val="none"/>
              </w:rPr>
              <w:fldChar w:fldCharType="end"/>
            </w:r>
          </w:p>
        </w:tc>
        <w:tc>
          <w:tcPr>
            <w:tcW w:w="1091" w:type="dxa"/>
            <w:noWrap w:val="0"/>
            <w:tcMar>
              <w:left w:w="28" w:type="dxa"/>
              <w:right w:w="28" w:type="dxa"/>
            </w:tcMar>
            <w:vAlign w:val="center"/>
          </w:tcPr>
          <w:p w14:paraId="7A1D35C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t>现有工程许</w:t>
            </w:r>
          </w:p>
          <w:p w14:paraId="1CBF014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t>可排放量</w:t>
            </w:r>
            <w:r>
              <w:rPr>
                <w:rFonts w:hint="default" w:ascii="Times New Roman" w:hAnsi="Times New Roman" w:cs="Times New Roman"/>
                <w:b/>
                <w:bCs/>
                <w:snapToGrid w:val="0"/>
                <w:color w:val="auto"/>
                <w:spacing w:val="-6"/>
                <w:kern w:val="21"/>
                <w:sz w:val="21"/>
                <w:szCs w:val="21"/>
                <w:highlight w:val="none"/>
              </w:rPr>
              <w:fldChar w:fldCharType="begin"/>
            </w:r>
            <w:r>
              <w:rPr>
                <w:rFonts w:hint="default" w:ascii="Times New Roman" w:hAnsi="Times New Roman" w:cs="Times New Roman"/>
                <w:b/>
                <w:bCs/>
                <w:snapToGrid w:val="0"/>
                <w:color w:val="auto"/>
                <w:spacing w:val="-6"/>
                <w:kern w:val="21"/>
                <w:sz w:val="21"/>
                <w:szCs w:val="21"/>
                <w:highlight w:val="none"/>
              </w:rPr>
              <w:instrText xml:space="preserve"> = 2 \* GB3 \* MERGEFORMAT </w:instrText>
            </w:r>
            <w:r>
              <w:rPr>
                <w:rFonts w:hint="default" w:ascii="Times New Roman" w:hAnsi="Times New Roman" w:cs="Times New Roman"/>
                <w:b/>
                <w:bCs/>
                <w:snapToGrid w:val="0"/>
                <w:color w:val="auto"/>
                <w:spacing w:val="-6"/>
                <w:kern w:val="21"/>
                <w:sz w:val="21"/>
                <w:szCs w:val="21"/>
                <w:highlight w:val="none"/>
              </w:rPr>
              <w:fldChar w:fldCharType="separate"/>
            </w:r>
            <w:r>
              <w:rPr>
                <w:rFonts w:hint="default" w:ascii="Times New Roman" w:hAnsi="Times New Roman" w:cs="Times New Roman"/>
                <w:b/>
                <w:bCs/>
                <w:snapToGrid w:val="0"/>
                <w:color w:val="auto"/>
                <w:spacing w:val="-6"/>
                <w:kern w:val="21"/>
                <w:sz w:val="21"/>
                <w:szCs w:val="21"/>
                <w:highlight w:val="none"/>
              </w:rPr>
              <w:t>②</w:t>
            </w:r>
            <w:r>
              <w:rPr>
                <w:rFonts w:hint="default" w:ascii="Times New Roman" w:hAnsi="Times New Roman" w:cs="Times New Roman"/>
                <w:b/>
                <w:bCs/>
                <w:snapToGrid w:val="0"/>
                <w:color w:val="auto"/>
                <w:spacing w:val="-6"/>
                <w:kern w:val="21"/>
                <w:sz w:val="21"/>
                <w:szCs w:val="21"/>
                <w:highlight w:val="none"/>
              </w:rPr>
              <w:fldChar w:fldCharType="end"/>
            </w:r>
          </w:p>
        </w:tc>
        <w:tc>
          <w:tcPr>
            <w:tcW w:w="1828" w:type="dxa"/>
            <w:noWrap w:val="0"/>
            <w:tcMar>
              <w:left w:w="28" w:type="dxa"/>
              <w:right w:w="28" w:type="dxa"/>
            </w:tcMar>
            <w:vAlign w:val="center"/>
          </w:tcPr>
          <w:p w14:paraId="6B91110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t>在建工程排放量（固体废物产生量）</w:t>
            </w:r>
            <w:r>
              <w:rPr>
                <w:rFonts w:hint="default" w:ascii="Times New Roman" w:hAnsi="Times New Roman" w:cs="Times New Roman"/>
                <w:b/>
                <w:bCs/>
                <w:snapToGrid w:val="0"/>
                <w:color w:val="auto"/>
                <w:spacing w:val="-6"/>
                <w:kern w:val="21"/>
                <w:sz w:val="21"/>
                <w:szCs w:val="21"/>
                <w:highlight w:val="none"/>
              </w:rPr>
              <w:fldChar w:fldCharType="begin"/>
            </w:r>
            <w:r>
              <w:rPr>
                <w:rFonts w:hint="default" w:ascii="Times New Roman" w:hAnsi="Times New Roman" w:cs="Times New Roman"/>
                <w:b/>
                <w:bCs/>
                <w:snapToGrid w:val="0"/>
                <w:color w:val="auto"/>
                <w:spacing w:val="-6"/>
                <w:kern w:val="21"/>
                <w:sz w:val="21"/>
                <w:szCs w:val="21"/>
                <w:highlight w:val="none"/>
              </w:rPr>
              <w:instrText xml:space="preserve"> = 3 \* GB3 \* MERGEFORMAT </w:instrText>
            </w:r>
            <w:r>
              <w:rPr>
                <w:rFonts w:hint="default" w:ascii="Times New Roman" w:hAnsi="Times New Roman" w:cs="Times New Roman"/>
                <w:b/>
                <w:bCs/>
                <w:snapToGrid w:val="0"/>
                <w:color w:val="auto"/>
                <w:spacing w:val="-6"/>
                <w:kern w:val="21"/>
                <w:sz w:val="21"/>
                <w:szCs w:val="21"/>
                <w:highlight w:val="none"/>
              </w:rPr>
              <w:fldChar w:fldCharType="separate"/>
            </w:r>
            <w:r>
              <w:rPr>
                <w:rFonts w:hint="default" w:ascii="Times New Roman" w:hAnsi="Times New Roman" w:cs="Times New Roman"/>
                <w:b/>
                <w:bCs/>
                <w:color w:val="auto"/>
                <w:sz w:val="21"/>
                <w:szCs w:val="21"/>
                <w:highlight w:val="none"/>
              </w:rPr>
              <w:t>③</w:t>
            </w:r>
            <w:r>
              <w:rPr>
                <w:rFonts w:hint="default" w:ascii="Times New Roman" w:hAnsi="Times New Roman" w:cs="Times New Roman"/>
                <w:b/>
                <w:bCs/>
                <w:snapToGrid w:val="0"/>
                <w:color w:val="auto"/>
                <w:spacing w:val="-6"/>
                <w:kern w:val="21"/>
                <w:sz w:val="21"/>
                <w:szCs w:val="21"/>
                <w:highlight w:val="none"/>
              </w:rPr>
              <w:fldChar w:fldCharType="end"/>
            </w:r>
          </w:p>
        </w:tc>
        <w:tc>
          <w:tcPr>
            <w:tcW w:w="2004" w:type="dxa"/>
            <w:noWrap w:val="0"/>
            <w:tcMar>
              <w:left w:w="28" w:type="dxa"/>
              <w:right w:w="28" w:type="dxa"/>
            </w:tcMar>
            <w:vAlign w:val="center"/>
          </w:tcPr>
          <w:p w14:paraId="5B0D30C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t>本项目排放量（固体废物产生量）</w:t>
            </w:r>
            <w:r>
              <w:rPr>
                <w:rFonts w:hint="default" w:ascii="Times New Roman" w:hAnsi="Times New Roman" w:cs="Times New Roman"/>
                <w:b/>
                <w:bCs/>
                <w:snapToGrid w:val="0"/>
                <w:color w:val="auto"/>
                <w:spacing w:val="-6"/>
                <w:kern w:val="21"/>
                <w:sz w:val="21"/>
                <w:szCs w:val="21"/>
                <w:highlight w:val="none"/>
              </w:rPr>
              <w:fldChar w:fldCharType="begin"/>
            </w:r>
            <w:r>
              <w:rPr>
                <w:rFonts w:hint="default" w:ascii="Times New Roman" w:hAnsi="Times New Roman" w:cs="Times New Roman"/>
                <w:b/>
                <w:bCs/>
                <w:snapToGrid w:val="0"/>
                <w:color w:val="auto"/>
                <w:spacing w:val="-6"/>
                <w:kern w:val="21"/>
                <w:sz w:val="21"/>
                <w:szCs w:val="21"/>
                <w:highlight w:val="none"/>
              </w:rPr>
              <w:instrText xml:space="preserve"> = 4 \* GB3 \* MERGEFORMAT </w:instrText>
            </w:r>
            <w:r>
              <w:rPr>
                <w:rFonts w:hint="default" w:ascii="Times New Roman" w:hAnsi="Times New Roman" w:cs="Times New Roman"/>
                <w:b/>
                <w:bCs/>
                <w:snapToGrid w:val="0"/>
                <w:color w:val="auto"/>
                <w:spacing w:val="-6"/>
                <w:kern w:val="21"/>
                <w:sz w:val="21"/>
                <w:szCs w:val="21"/>
                <w:highlight w:val="none"/>
              </w:rPr>
              <w:fldChar w:fldCharType="separate"/>
            </w:r>
            <w:r>
              <w:rPr>
                <w:rFonts w:hint="default" w:ascii="Times New Roman" w:hAnsi="Times New Roman" w:cs="Times New Roman"/>
                <w:b/>
                <w:bCs/>
                <w:color w:val="auto"/>
                <w:sz w:val="21"/>
                <w:szCs w:val="21"/>
                <w:highlight w:val="none"/>
              </w:rPr>
              <w:t>④</w:t>
            </w:r>
            <w:r>
              <w:rPr>
                <w:rFonts w:hint="default" w:ascii="Times New Roman" w:hAnsi="Times New Roman" w:cs="Times New Roman"/>
                <w:b/>
                <w:bCs/>
                <w:snapToGrid w:val="0"/>
                <w:color w:val="auto"/>
                <w:spacing w:val="-6"/>
                <w:kern w:val="21"/>
                <w:sz w:val="21"/>
                <w:szCs w:val="21"/>
                <w:highlight w:val="none"/>
              </w:rPr>
              <w:fldChar w:fldCharType="end"/>
            </w:r>
          </w:p>
        </w:tc>
        <w:tc>
          <w:tcPr>
            <w:tcW w:w="1635" w:type="dxa"/>
            <w:noWrap w:val="0"/>
            <w:tcMar>
              <w:left w:w="28" w:type="dxa"/>
              <w:right w:w="28" w:type="dxa"/>
            </w:tcMar>
            <w:vAlign w:val="center"/>
          </w:tcPr>
          <w:p w14:paraId="7387ED2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16"/>
                <w:kern w:val="21"/>
                <w:sz w:val="21"/>
                <w:szCs w:val="21"/>
                <w:highlight w:val="none"/>
              </w:rPr>
            </w:pPr>
            <w:r>
              <w:rPr>
                <w:rFonts w:hint="default" w:ascii="Times New Roman" w:hAnsi="Times New Roman" w:cs="Times New Roman"/>
                <w:b/>
                <w:bCs/>
                <w:snapToGrid w:val="0"/>
                <w:color w:val="auto"/>
                <w:spacing w:val="-16"/>
                <w:kern w:val="21"/>
                <w:sz w:val="21"/>
                <w:szCs w:val="21"/>
                <w:highlight w:val="none"/>
              </w:rPr>
              <w:t>以新带老削减量</w:t>
            </w:r>
          </w:p>
          <w:p w14:paraId="331020C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16"/>
                <w:kern w:val="21"/>
                <w:sz w:val="21"/>
                <w:szCs w:val="21"/>
                <w:highlight w:val="none"/>
              </w:rPr>
            </w:pPr>
            <w:r>
              <w:rPr>
                <w:rFonts w:hint="default" w:ascii="Times New Roman" w:hAnsi="Times New Roman" w:cs="Times New Roman"/>
                <w:b/>
                <w:bCs/>
                <w:snapToGrid w:val="0"/>
                <w:color w:val="auto"/>
                <w:spacing w:val="-16"/>
                <w:kern w:val="21"/>
                <w:sz w:val="21"/>
                <w:szCs w:val="21"/>
                <w:highlight w:val="none"/>
              </w:rPr>
              <w:t>（新建项目不填）</w:t>
            </w:r>
            <w:r>
              <w:rPr>
                <w:rFonts w:hint="default" w:ascii="Times New Roman" w:hAnsi="Times New Roman" w:cs="Times New Roman"/>
                <w:b/>
                <w:bCs/>
                <w:snapToGrid w:val="0"/>
                <w:color w:val="auto"/>
                <w:spacing w:val="-16"/>
                <w:kern w:val="21"/>
                <w:sz w:val="21"/>
                <w:szCs w:val="21"/>
                <w:highlight w:val="none"/>
              </w:rPr>
              <w:fldChar w:fldCharType="begin"/>
            </w:r>
            <w:r>
              <w:rPr>
                <w:rFonts w:hint="default" w:ascii="Times New Roman" w:hAnsi="Times New Roman" w:cs="Times New Roman"/>
                <w:b/>
                <w:bCs/>
                <w:snapToGrid w:val="0"/>
                <w:color w:val="auto"/>
                <w:spacing w:val="-16"/>
                <w:kern w:val="21"/>
                <w:sz w:val="21"/>
                <w:szCs w:val="21"/>
                <w:highlight w:val="none"/>
              </w:rPr>
              <w:instrText xml:space="preserve"> = 5 \* GB3 \* MERGEFORMAT </w:instrText>
            </w:r>
            <w:r>
              <w:rPr>
                <w:rFonts w:hint="default" w:ascii="Times New Roman" w:hAnsi="Times New Roman" w:cs="Times New Roman"/>
                <w:b/>
                <w:bCs/>
                <w:snapToGrid w:val="0"/>
                <w:color w:val="auto"/>
                <w:spacing w:val="-16"/>
                <w:kern w:val="21"/>
                <w:sz w:val="21"/>
                <w:szCs w:val="21"/>
                <w:highlight w:val="none"/>
              </w:rPr>
              <w:fldChar w:fldCharType="separate"/>
            </w:r>
            <w:r>
              <w:rPr>
                <w:rFonts w:hint="default" w:ascii="Times New Roman" w:hAnsi="Times New Roman" w:cs="Times New Roman"/>
                <w:b/>
                <w:bCs/>
                <w:color w:val="auto"/>
                <w:sz w:val="21"/>
                <w:szCs w:val="21"/>
                <w:highlight w:val="none"/>
              </w:rPr>
              <w:t>⑤</w:t>
            </w:r>
            <w:r>
              <w:rPr>
                <w:rFonts w:hint="default" w:ascii="Times New Roman" w:hAnsi="Times New Roman" w:cs="Times New Roman"/>
                <w:b/>
                <w:bCs/>
                <w:snapToGrid w:val="0"/>
                <w:color w:val="auto"/>
                <w:spacing w:val="-16"/>
                <w:kern w:val="21"/>
                <w:sz w:val="21"/>
                <w:szCs w:val="21"/>
                <w:highlight w:val="none"/>
              </w:rPr>
              <w:fldChar w:fldCharType="end"/>
            </w:r>
          </w:p>
        </w:tc>
        <w:tc>
          <w:tcPr>
            <w:tcW w:w="2085" w:type="dxa"/>
            <w:noWrap w:val="0"/>
            <w:tcMar>
              <w:left w:w="28" w:type="dxa"/>
              <w:right w:w="28" w:type="dxa"/>
            </w:tcMar>
            <w:vAlign w:val="center"/>
          </w:tcPr>
          <w:p w14:paraId="3BC1DF5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16"/>
                <w:kern w:val="21"/>
                <w:sz w:val="21"/>
                <w:szCs w:val="21"/>
                <w:highlight w:val="none"/>
              </w:rPr>
            </w:pPr>
            <w:r>
              <w:rPr>
                <w:rFonts w:hint="default" w:ascii="Times New Roman" w:hAnsi="Times New Roman" w:cs="Times New Roman"/>
                <w:b/>
                <w:bCs/>
                <w:snapToGrid w:val="0"/>
                <w:color w:val="auto"/>
                <w:spacing w:val="-16"/>
                <w:kern w:val="21"/>
                <w:sz w:val="21"/>
                <w:szCs w:val="21"/>
                <w:highlight w:val="none"/>
              </w:rPr>
              <w:t>本项目建成后全厂排放量（固体废物产生量）</w:t>
            </w:r>
            <w:r>
              <w:rPr>
                <w:rFonts w:hint="default" w:ascii="Times New Roman" w:hAnsi="Times New Roman" w:cs="Times New Roman"/>
                <w:b/>
                <w:bCs/>
                <w:snapToGrid w:val="0"/>
                <w:color w:val="auto"/>
                <w:spacing w:val="-16"/>
                <w:kern w:val="21"/>
                <w:sz w:val="21"/>
                <w:szCs w:val="21"/>
                <w:highlight w:val="none"/>
              </w:rPr>
              <w:fldChar w:fldCharType="begin"/>
            </w:r>
            <w:r>
              <w:rPr>
                <w:rFonts w:hint="default" w:ascii="Times New Roman" w:hAnsi="Times New Roman" w:cs="Times New Roman"/>
                <w:b/>
                <w:bCs/>
                <w:snapToGrid w:val="0"/>
                <w:color w:val="auto"/>
                <w:spacing w:val="-16"/>
                <w:kern w:val="21"/>
                <w:sz w:val="21"/>
                <w:szCs w:val="21"/>
                <w:highlight w:val="none"/>
              </w:rPr>
              <w:instrText xml:space="preserve"> = 6 \* GB3 \* MERGEFORMAT </w:instrText>
            </w:r>
            <w:r>
              <w:rPr>
                <w:rFonts w:hint="default" w:ascii="Times New Roman" w:hAnsi="Times New Roman" w:cs="Times New Roman"/>
                <w:b/>
                <w:bCs/>
                <w:snapToGrid w:val="0"/>
                <w:color w:val="auto"/>
                <w:spacing w:val="-16"/>
                <w:kern w:val="21"/>
                <w:sz w:val="21"/>
                <w:szCs w:val="21"/>
                <w:highlight w:val="none"/>
              </w:rPr>
              <w:fldChar w:fldCharType="separate"/>
            </w:r>
            <w:r>
              <w:rPr>
                <w:rFonts w:hint="default" w:ascii="Times New Roman" w:hAnsi="Times New Roman" w:cs="Times New Roman"/>
                <w:b/>
                <w:bCs/>
                <w:color w:val="auto"/>
                <w:sz w:val="21"/>
                <w:szCs w:val="21"/>
                <w:highlight w:val="none"/>
              </w:rPr>
              <w:t>⑥</w:t>
            </w:r>
            <w:r>
              <w:rPr>
                <w:rFonts w:hint="default" w:ascii="Times New Roman" w:hAnsi="Times New Roman" w:cs="Times New Roman"/>
                <w:b/>
                <w:bCs/>
                <w:snapToGrid w:val="0"/>
                <w:color w:val="auto"/>
                <w:spacing w:val="-16"/>
                <w:kern w:val="21"/>
                <w:sz w:val="21"/>
                <w:szCs w:val="21"/>
                <w:highlight w:val="none"/>
              </w:rPr>
              <w:fldChar w:fldCharType="end"/>
            </w:r>
          </w:p>
        </w:tc>
        <w:tc>
          <w:tcPr>
            <w:tcW w:w="1261" w:type="dxa"/>
            <w:noWrap w:val="0"/>
            <w:tcMar>
              <w:left w:w="28" w:type="dxa"/>
              <w:right w:w="28" w:type="dxa"/>
            </w:tcMar>
            <w:vAlign w:val="center"/>
          </w:tcPr>
          <w:p w14:paraId="7081B61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t>变化量</w:t>
            </w:r>
          </w:p>
          <w:p w14:paraId="6AECDF8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bCs/>
                <w:snapToGrid w:val="0"/>
                <w:color w:val="auto"/>
                <w:spacing w:val="-6"/>
                <w:kern w:val="21"/>
                <w:sz w:val="21"/>
                <w:szCs w:val="21"/>
                <w:highlight w:val="none"/>
              </w:rPr>
            </w:pPr>
            <w:r>
              <w:rPr>
                <w:rFonts w:hint="default" w:ascii="Times New Roman" w:hAnsi="Times New Roman" w:cs="Times New Roman"/>
                <w:b/>
                <w:bCs/>
                <w:snapToGrid w:val="0"/>
                <w:color w:val="auto"/>
                <w:spacing w:val="-6"/>
                <w:kern w:val="21"/>
                <w:sz w:val="21"/>
                <w:szCs w:val="21"/>
                <w:highlight w:val="none"/>
              </w:rPr>
              <w:fldChar w:fldCharType="begin"/>
            </w:r>
            <w:r>
              <w:rPr>
                <w:rFonts w:hint="default" w:ascii="Times New Roman" w:hAnsi="Times New Roman" w:cs="Times New Roman"/>
                <w:b/>
                <w:bCs/>
                <w:snapToGrid w:val="0"/>
                <w:color w:val="auto"/>
                <w:spacing w:val="-6"/>
                <w:kern w:val="21"/>
                <w:sz w:val="21"/>
                <w:szCs w:val="21"/>
                <w:highlight w:val="none"/>
              </w:rPr>
              <w:instrText xml:space="preserve"> = 7 \* GB3 \* MERGEFORMAT </w:instrText>
            </w:r>
            <w:r>
              <w:rPr>
                <w:rFonts w:hint="default" w:ascii="Times New Roman" w:hAnsi="Times New Roman" w:cs="Times New Roman"/>
                <w:b/>
                <w:bCs/>
                <w:snapToGrid w:val="0"/>
                <w:color w:val="auto"/>
                <w:spacing w:val="-6"/>
                <w:kern w:val="21"/>
                <w:sz w:val="21"/>
                <w:szCs w:val="21"/>
                <w:highlight w:val="none"/>
              </w:rPr>
              <w:fldChar w:fldCharType="separate"/>
            </w:r>
            <w:r>
              <w:rPr>
                <w:rFonts w:hint="default" w:ascii="Times New Roman" w:hAnsi="Times New Roman" w:cs="Times New Roman"/>
                <w:b/>
                <w:bCs/>
                <w:color w:val="auto"/>
                <w:sz w:val="21"/>
                <w:szCs w:val="21"/>
                <w:highlight w:val="none"/>
              </w:rPr>
              <w:t>⑦</w:t>
            </w:r>
            <w:r>
              <w:rPr>
                <w:rFonts w:hint="default" w:ascii="Times New Roman" w:hAnsi="Times New Roman" w:cs="Times New Roman"/>
                <w:b/>
                <w:bCs/>
                <w:snapToGrid w:val="0"/>
                <w:color w:val="auto"/>
                <w:spacing w:val="-6"/>
                <w:kern w:val="21"/>
                <w:sz w:val="21"/>
                <w:szCs w:val="21"/>
                <w:highlight w:val="none"/>
              </w:rPr>
              <w:fldChar w:fldCharType="end"/>
            </w:r>
          </w:p>
        </w:tc>
      </w:tr>
      <w:tr w14:paraId="04169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restart"/>
            <w:noWrap w:val="0"/>
            <w:vAlign w:val="center"/>
          </w:tcPr>
          <w:p w14:paraId="74872C6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废气</w:t>
            </w:r>
          </w:p>
        </w:tc>
        <w:tc>
          <w:tcPr>
            <w:tcW w:w="2433" w:type="dxa"/>
            <w:noWrap w:val="0"/>
            <w:vAlign w:val="center"/>
          </w:tcPr>
          <w:p w14:paraId="6B2B0A7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颗粒物</w:t>
            </w:r>
          </w:p>
        </w:tc>
        <w:tc>
          <w:tcPr>
            <w:tcW w:w="1509" w:type="dxa"/>
            <w:noWrap w:val="0"/>
            <w:vAlign w:val="center"/>
          </w:tcPr>
          <w:p w14:paraId="04CA05F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1091" w:type="dxa"/>
            <w:noWrap w:val="0"/>
            <w:vAlign w:val="center"/>
          </w:tcPr>
          <w:p w14:paraId="306F1C6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1828" w:type="dxa"/>
            <w:noWrap w:val="0"/>
            <w:vAlign w:val="center"/>
          </w:tcPr>
          <w:p w14:paraId="3BA02BF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004" w:type="dxa"/>
            <w:noWrap w:val="0"/>
            <w:vAlign w:val="center"/>
          </w:tcPr>
          <w:p w14:paraId="5E7C2F9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0.0422</w:t>
            </w:r>
          </w:p>
        </w:tc>
        <w:tc>
          <w:tcPr>
            <w:tcW w:w="1635" w:type="dxa"/>
            <w:noWrap w:val="0"/>
            <w:vAlign w:val="center"/>
          </w:tcPr>
          <w:p w14:paraId="5780270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2085" w:type="dxa"/>
            <w:noWrap w:val="0"/>
            <w:vAlign w:val="center"/>
          </w:tcPr>
          <w:p w14:paraId="4A808D6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0.0422</w:t>
            </w:r>
          </w:p>
        </w:tc>
        <w:tc>
          <w:tcPr>
            <w:tcW w:w="1261" w:type="dxa"/>
            <w:noWrap w:val="0"/>
            <w:vAlign w:val="center"/>
          </w:tcPr>
          <w:p w14:paraId="6F99F13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0.0422</w:t>
            </w:r>
          </w:p>
        </w:tc>
      </w:tr>
      <w:tr w14:paraId="1027D2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continue"/>
            <w:noWrap w:val="0"/>
            <w:vAlign w:val="center"/>
          </w:tcPr>
          <w:p w14:paraId="1778F8F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lang w:val="en-US" w:eastAsia="zh-CN"/>
              </w:rPr>
            </w:pPr>
          </w:p>
        </w:tc>
        <w:tc>
          <w:tcPr>
            <w:tcW w:w="2433" w:type="dxa"/>
            <w:noWrap w:val="0"/>
            <w:vAlign w:val="center"/>
          </w:tcPr>
          <w:p w14:paraId="217EEBEB">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非甲烷总烃</w:t>
            </w:r>
          </w:p>
        </w:tc>
        <w:tc>
          <w:tcPr>
            <w:tcW w:w="1509" w:type="dxa"/>
            <w:noWrap w:val="0"/>
            <w:vAlign w:val="center"/>
          </w:tcPr>
          <w:p w14:paraId="2DDC38B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091" w:type="dxa"/>
            <w:noWrap w:val="0"/>
            <w:vAlign w:val="center"/>
          </w:tcPr>
          <w:p w14:paraId="4D8487C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28" w:type="dxa"/>
            <w:noWrap w:val="0"/>
            <w:vAlign w:val="center"/>
          </w:tcPr>
          <w:p w14:paraId="20EC841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004" w:type="dxa"/>
            <w:noWrap w:val="0"/>
            <w:vAlign w:val="center"/>
          </w:tcPr>
          <w:p w14:paraId="7DAC071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0.5023</w:t>
            </w:r>
          </w:p>
        </w:tc>
        <w:tc>
          <w:tcPr>
            <w:tcW w:w="1635" w:type="dxa"/>
            <w:noWrap w:val="0"/>
            <w:vAlign w:val="center"/>
          </w:tcPr>
          <w:p w14:paraId="0B4C7BD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2085" w:type="dxa"/>
            <w:noWrap w:val="0"/>
            <w:vAlign w:val="center"/>
          </w:tcPr>
          <w:p w14:paraId="300DB95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0.5023</w:t>
            </w:r>
          </w:p>
        </w:tc>
        <w:tc>
          <w:tcPr>
            <w:tcW w:w="1261" w:type="dxa"/>
            <w:noWrap w:val="0"/>
            <w:vAlign w:val="center"/>
          </w:tcPr>
          <w:p w14:paraId="02888CC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0.5023</w:t>
            </w:r>
          </w:p>
        </w:tc>
      </w:tr>
      <w:tr w14:paraId="3B476B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continue"/>
            <w:noWrap w:val="0"/>
            <w:vAlign w:val="center"/>
          </w:tcPr>
          <w:p w14:paraId="3732920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lang w:val="en-US" w:eastAsia="zh-CN"/>
              </w:rPr>
            </w:pPr>
          </w:p>
        </w:tc>
        <w:tc>
          <w:tcPr>
            <w:tcW w:w="2433" w:type="dxa"/>
            <w:noWrap w:val="0"/>
            <w:vAlign w:val="center"/>
          </w:tcPr>
          <w:p w14:paraId="5EE03B62">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苯酚</w:t>
            </w:r>
          </w:p>
        </w:tc>
        <w:tc>
          <w:tcPr>
            <w:tcW w:w="1509" w:type="dxa"/>
            <w:noWrap w:val="0"/>
            <w:vAlign w:val="center"/>
          </w:tcPr>
          <w:p w14:paraId="5D2BC98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1091" w:type="dxa"/>
            <w:noWrap w:val="0"/>
            <w:vAlign w:val="center"/>
          </w:tcPr>
          <w:p w14:paraId="38BEBE9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1828" w:type="dxa"/>
            <w:noWrap w:val="0"/>
            <w:vAlign w:val="center"/>
          </w:tcPr>
          <w:p w14:paraId="4F00E4E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2004" w:type="dxa"/>
            <w:noWrap w:val="0"/>
            <w:vAlign w:val="center"/>
          </w:tcPr>
          <w:p w14:paraId="4F87D56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0.1575</w:t>
            </w:r>
          </w:p>
        </w:tc>
        <w:tc>
          <w:tcPr>
            <w:tcW w:w="1635" w:type="dxa"/>
            <w:noWrap w:val="0"/>
            <w:vAlign w:val="center"/>
          </w:tcPr>
          <w:p w14:paraId="5C178B3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2085" w:type="dxa"/>
            <w:noWrap w:val="0"/>
            <w:vAlign w:val="center"/>
          </w:tcPr>
          <w:p w14:paraId="7B30DC1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0.1575</w:t>
            </w:r>
          </w:p>
        </w:tc>
        <w:tc>
          <w:tcPr>
            <w:tcW w:w="1261" w:type="dxa"/>
            <w:noWrap w:val="0"/>
            <w:vAlign w:val="center"/>
          </w:tcPr>
          <w:p w14:paraId="438DB89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0.1575</w:t>
            </w:r>
          </w:p>
        </w:tc>
      </w:tr>
      <w:tr w14:paraId="544F0A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continue"/>
            <w:noWrap w:val="0"/>
            <w:vAlign w:val="center"/>
          </w:tcPr>
          <w:p w14:paraId="71C9FE6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lang w:val="en-US" w:eastAsia="zh-CN"/>
              </w:rPr>
            </w:pPr>
          </w:p>
        </w:tc>
        <w:tc>
          <w:tcPr>
            <w:tcW w:w="2433" w:type="dxa"/>
            <w:noWrap w:val="0"/>
            <w:vAlign w:val="center"/>
          </w:tcPr>
          <w:p w14:paraId="004C5458">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甲醛</w:t>
            </w:r>
          </w:p>
        </w:tc>
        <w:tc>
          <w:tcPr>
            <w:tcW w:w="1509" w:type="dxa"/>
            <w:noWrap w:val="0"/>
            <w:vAlign w:val="center"/>
          </w:tcPr>
          <w:p w14:paraId="5518C3D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091" w:type="dxa"/>
            <w:noWrap w:val="0"/>
            <w:vAlign w:val="center"/>
          </w:tcPr>
          <w:p w14:paraId="349F9DA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28" w:type="dxa"/>
            <w:noWrap w:val="0"/>
            <w:vAlign w:val="center"/>
          </w:tcPr>
          <w:p w14:paraId="69842DB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004" w:type="dxa"/>
            <w:noWrap w:val="0"/>
            <w:vAlign w:val="center"/>
          </w:tcPr>
          <w:p w14:paraId="14A59B6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0.0486</w:t>
            </w:r>
          </w:p>
        </w:tc>
        <w:tc>
          <w:tcPr>
            <w:tcW w:w="1635" w:type="dxa"/>
            <w:noWrap w:val="0"/>
            <w:vAlign w:val="center"/>
          </w:tcPr>
          <w:p w14:paraId="0714730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2085" w:type="dxa"/>
            <w:noWrap w:val="0"/>
            <w:vAlign w:val="center"/>
          </w:tcPr>
          <w:p w14:paraId="77F1A04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0.0486</w:t>
            </w:r>
          </w:p>
        </w:tc>
        <w:tc>
          <w:tcPr>
            <w:tcW w:w="1261" w:type="dxa"/>
            <w:noWrap w:val="0"/>
            <w:vAlign w:val="center"/>
          </w:tcPr>
          <w:p w14:paraId="64B1DCB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0.0486</w:t>
            </w:r>
          </w:p>
        </w:tc>
      </w:tr>
      <w:tr w14:paraId="14ABD1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98" w:type="dxa"/>
            <w:vMerge w:val="restart"/>
            <w:noWrap w:val="0"/>
            <w:vAlign w:val="center"/>
          </w:tcPr>
          <w:p w14:paraId="752A4CE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废水</w:t>
            </w:r>
          </w:p>
        </w:tc>
        <w:tc>
          <w:tcPr>
            <w:tcW w:w="2433" w:type="dxa"/>
            <w:noWrap w:val="0"/>
            <w:vAlign w:val="center"/>
          </w:tcPr>
          <w:p w14:paraId="026B5871">
            <w:pPr>
              <w:keepNext w:val="0"/>
              <w:keepLines w:val="0"/>
              <w:widowControl/>
              <w:suppressLineNumbers w:val="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COD</w:t>
            </w:r>
          </w:p>
        </w:tc>
        <w:tc>
          <w:tcPr>
            <w:tcW w:w="1509" w:type="dxa"/>
            <w:noWrap w:val="0"/>
            <w:vAlign w:val="center"/>
          </w:tcPr>
          <w:p w14:paraId="47AE275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1091" w:type="dxa"/>
            <w:noWrap w:val="0"/>
            <w:vAlign w:val="center"/>
          </w:tcPr>
          <w:p w14:paraId="151F1AC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1828" w:type="dxa"/>
            <w:noWrap w:val="0"/>
            <w:vAlign w:val="center"/>
          </w:tcPr>
          <w:p w14:paraId="66CC18F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2004" w:type="dxa"/>
            <w:noWrap w:val="0"/>
            <w:vAlign w:val="center"/>
          </w:tcPr>
          <w:p w14:paraId="0289CE8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0.0352</w:t>
            </w:r>
            <w:r>
              <w:rPr>
                <w:rFonts w:hint="default" w:ascii="Times New Roman" w:hAnsi="Times New Roman" w:cs="Times New Roman"/>
                <w:b w:val="0"/>
                <w:bCs w:val="0"/>
                <w:color w:val="auto"/>
                <w:sz w:val="21"/>
                <w:szCs w:val="21"/>
                <w:highlight w:val="none"/>
                <w:lang w:val="en-US" w:eastAsia="zh-CN"/>
              </w:rPr>
              <w:t xml:space="preserve"> </w:t>
            </w:r>
          </w:p>
        </w:tc>
        <w:tc>
          <w:tcPr>
            <w:tcW w:w="1635" w:type="dxa"/>
            <w:noWrap w:val="0"/>
            <w:vAlign w:val="center"/>
          </w:tcPr>
          <w:p w14:paraId="1EBC626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2085" w:type="dxa"/>
            <w:noWrap w:val="0"/>
            <w:vAlign w:val="center"/>
          </w:tcPr>
          <w:p w14:paraId="4341952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0.0352</w:t>
            </w:r>
            <w:r>
              <w:rPr>
                <w:rFonts w:hint="default" w:ascii="Times New Roman" w:hAnsi="Times New Roman" w:cs="Times New Roman"/>
                <w:b w:val="0"/>
                <w:bCs w:val="0"/>
                <w:color w:val="auto"/>
                <w:sz w:val="21"/>
                <w:szCs w:val="21"/>
                <w:highlight w:val="none"/>
                <w:lang w:val="en-US" w:eastAsia="zh-CN"/>
              </w:rPr>
              <w:t xml:space="preserve"> </w:t>
            </w:r>
          </w:p>
        </w:tc>
        <w:tc>
          <w:tcPr>
            <w:tcW w:w="1261" w:type="dxa"/>
            <w:noWrap w:val="0"/>
            <w:vAlign w:val="center"/>
          </w:tcPr>
          <w:p w14:paraId="34DCF47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0.0352</w:t>
            </w:r>
            <w:r>
              <w:rPr>
                <w:rFonts w:hint="default" w:ascii="Times New Roman" w:hAnsi="Times New Roman" w:cs="Times New Roman"/>
                <w:b w:val="0"/>
                <w:bCs w:val="0"/>
                <w:color w:val="auto"/>
                <w:sz w:val="21"/>
                <w:szCs w:val="21"/>
                <w:highlight w:val="none"/>
                <w:lang w:val="en-US" w:eastAsia="zh-CN"/>
              </w:rPr>
              <w:t xml:space="preserve"> </w:t>
            </w:r>
          </w:p>
        </w:tc>
      </w:tr>
      <w:tr w14:paraId="65CB10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continue"/>
            <w:noWrap w:val="0"/>
            <w:vAlign w:val="center"/>
          </w:tcPr>
          <w:p w14:paraId="1F31725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p>
        </w:tc>
        <w:tc>
          <w:tcPr>
            <w:tcW w:w="2433" w:type="dxa"/>
            <w:noWrap w:val="0"/>
            <w:vAlign w:val="center"/>
          </w:tcPr>
          <w:p w14:paraId="60C1A28E">
            <w:pPr>
              <w:keepNext w:val="0"/>
              <w:keepLines w:val="0"/>
              <w:widowControl/>
              <w:suppressLineNumbers w:val="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NH</w:t>
            </w:r>
            <w:r>
              <w:rPr>
                <w:rStyle w:val="45"/>
                <w:rFonts w:hint="default" w:ascii="Times New Roman" w:hAnsi="Times New Roman" w:eastAsia="宋体" w:cs="Times New Roman"/>
                <w:b w:val="0"/>
                <w:bCs w:val="0"/>
                <w:sz w:val="21"/>
                <w:szCs w:val="21"/>
                <w:lang w:val="en-US" w:eastAsia="zh-CN" w:bidi="ar"/>
              </w:rPr>
              <w:t>3</w:t>
            </w:r>
            <w:r>
              <w:rPr>
                <w:rStyle w:val="41"/>
                <w:rFonts w:hint="default" w:ascii="Times New Roman" w:hAnsi="Times New Roman" w:eastAsia="宋体" w:cs="Times New Roman"/>
                <w:b w:val="0"/>
                <w:bCs w:val="0"/>
                <w:sz w:val="21"/>
                <w:szCs w:val="21"/>
                <w:lang w:val="en-US" w:eastAsia="zh-CN" w:bidi="ar"/>
              </w:rPr>
              <w:t>-N</w:t>
            </w:r>
          </w:p>
        </w:tc>
        <w:tc>
          <w:tcPr>
            <w:tcW w:w="1509" w:type="dxa"/>
            <w:noWrap w:val="0"/>
            <w:vAlign w:val="center"/>
          </w:tcPr>
          <w:p w14:paraId="497C409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1091" w:type="dxa"/>
            <w:noWrap w:val="0"/>
            <w:vAlign w:val="center"/>
          </w:tcPr>
          <w:p w14:paraId="61D153D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1828" w:type="dxa"/>
            <w:noWrap w:val="0"/>
            <w:vAlign w:val="center"/>
          </w:tcPr>
          <w:p w14:paraId="2E4F3FF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2004" w:type="dxa"/>
            <w:noWrap w:val="0"/>
            <w:vAlign w:val="center"/>
          </w:tcPr>
          <w:p w14:paraId="46501B1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0.0035</w:t>
            </w:r>
          </w:p>
        </w:tc>
        <w:tc>
          <w:tcPr>
            <w:tcW w:w="1635" w:type="dxa"/>
            <w:noWrap w:val="0"/>
            <w:vAlign w:val="center"/>
          </w:tcPr>
          <w:p w14:paraId="2D2B7084">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2085" w:type="dxa"/>
            <w:noWrap w:val="0"/>
            <w:vAlign w:val="center"/>
          </w:tcPr>
          <w:p w14:paraId="4C7EABB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0.0035</w:t>
            </w:r>
          </w:p>
        </w:tc>
        <w:tc>
          <w:tcPr>
            <w:tcW w:w="1261" w:type="dxa"/>
            <w:noWrap w:val="0"/>
            <w:vAlign w:val="center"/>
          </w:tcPr>
          <w:p w14:paraId="3F3543D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0.0035</w:t>
            </w:r>
          </w:p>
        </w:tc>
      </w:tr>
      <w:tr w14:paraId="5315B4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8" w:type="dxa"/>
            <w:vMerge w:val="restart"/>
            <w:noWrap w:val="0"/>
            <w:vAlign w:val="center"/>
          </w:tcPr>
          <w:p w14:paraId="193B593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一般工业固体废物</w:t>
            </w:r>
          </w:p>
        </w:tc>
        <w:tc>
          <w:tcPr>
            <w:tcW w:w="2433" w:type="dxa"/>
            <w:noWrap w:val="0"/>
            <w:vAlign w:val="center"/>
          </w:tcPr>
          <w:p w14:paraId="41561A2B">
            <w:pPr>
              <w:keepNext w:val="0"/>
              <w:keepLines w:val="0"/>
              <w:widowControl/>
              <w:suppressLineNumbers w:val="0"/>
              <w:jc w:val="center"/>
              <w:textAlignment w:val="center"/>
              <w:rPr>
                <w:rFonts w:hint="default" w:ascii="Times New Roman" w:hAnsi="Times New Roman" w:cs="Times New Roman"/>
                <w:b w:val="0"/>
                <w:bCs w:val="0"/>
                <w:snapToGrid w:val="0"/>
                <w:color w:val="auto"/>
                <w:kern w:val="21"/>
                <w:sz w:val="21"/>
                <w:szCs w:val="21"/>
                <w:highlight w:val="none"/>
              </w:rPr>
            </w:pPr>
            <w:r>
              <w:rPr>
                <w:rFonts w:hint="eastAsia" w:ascii="宋体" w:hAnsi="宋体" w:eastAsia="宋体" w:cs="宋体"/>
                <w:i w:val="0"/>
                <w:iCs w:val="0"/>
                <w:color w:val="000000"/>
                <w:kern w:val="0"/>
                <w:sz w:val="21"/>
                <w:szCs w:val="21"/>
                <w:u w:val="none"/>
                <w:lang w:val="en-US" w:eastAsia="zh-CN" w:bidi="ar"/>
              </w:rPr>
              <w:t>废钢丸</w:t>
            </w:r>
          </w:p>
        </w:tc>
        <w:tc>
          <w:tcPr>
            <w:tcW w:w="1509" w:type="dxa"/>
            <w:noWrap w:val="0"/>
            <w:vAlign w:val="center"/>
          </w:tcPr>
          <w:p w14:paraId="0588A17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snapToGrid w:val="0"/>
                <w:color w:val="auto"/>
                <w:kern w:val="21"/>
                <w:sz w:val="21"/>
                <w:szCs w:val="21"/>
                <w:highlight w:val="none"/>
              </w:rPr>
            </w:pPr>
            <w:r>
              <w:rPr>
                <w:rFonts w:hint="default" w:ascii="Times New Roman" w:hAnsi="Times New Roman" w:cs="Times New Roman"/>
                <w:b w:val="0"/>
                <w:bCs w:val="0"/>
                <w:color w:val="auto"/>
                <w:sz w:val="21"/>
                <w:szCs w:val="21"/>
                <w:highlight w:val="none"/>
                <w:lang w:val="en-US" w:eastAsia="zh-CN"/>
              </w:rPr>
              <w:t>/</w:t>
            </w:r>
          </w:p>
        </w:tc>
        <w:tc>
          <w:tcPr>
            <w:tcW w:w="1091" w:type="dxa"/>
            <w:noWrap w:val="0"/>
            <w:vAlign w:val="center"/>
          </w:tcPr>
          <w:p w14:paraId="7648640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snapToGrid w:val="0"/>
                <w:color w:val="auto"/>
                <w:kern w:val="21"/>
                <w:sz w:val="21"/>
                <w:szCs w:val="21"/>
                <w:highlight w:val="none"/>
              </w:rPr>
            </w:pPr>
            <w:r>
              <w:rPr>
                <w:rFonts w:hint="default" w:ascii="Times New Roman" w:hAnsi="Times New Roman" w:cs="Times New Roman"/>
                <w:b w:val="0"/>
                <w:bCs w:val="0"/>
                <w:color w:val="auto"/>
                <w:sz w:val="21"/>
                <w:szCs w:val="21"/>
                <w:highlight w:val="none"/>
                <w:lang w:val="en-US" w:eastAsia="zh-CN"/>
              </w:rPr>
              <w:t>/</w:t>
            </w:r>
          </w:p>
        </w:tc>
        <w:tc>
          <w:tcPr>
            <w:tcW w:w="1828" w:type="dxa"/>
            <w:noWrap w:val="0"/>
            <w:vAlign w:val="center"/>
          </w:tcPr>
          <w:p w14:paraId="0102B18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2004" w:type="dxa"/>
            <w:noWrap w:val="0"/>
            <w:vAlign w:val="center"/>
          </w:tcPr>
          <w:p w14:paraId="2D309C28">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635" w:type="dxa"/>
            <w:noWrap w:val="0"/>
            <w:vAlign w:val="center"/>
          </w:tcPr>
          <w:p w14:paraId="62ABCE5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2085" w:type="dxa"/>
            <w:noWrap w:val="0"/>
            <w:vAlign w:val="center"/>
          </w:tcPr>
          <w:p w14:paraId="41528051">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61" w:type="dxa"/>
            <w:noWrap w:val="0"/>
            <w:vAlign w:val="center"/>
          </w:tcPr>
          <w:p w14:paraId="53DDEAD2">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0C18A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8" w:type="dxa"/>
            <w:vMerge w:val="continue"/>
            <w:noWrap w:val="0"/>
            <w:vAlign w:val="center"/>
          </w:tcPr>
          <w:p w14:paraId="0913E22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p>
        </w:tc>
        <w:tc>
          <w:tcPr>
            <w:tcW w:w="2433" w:type="dxa"/>
            <w:noWrap w:val="0"/>
            <w:vAlign w:val="center"/>
          </w:tcPr>
          <w:p w14:paraId="6F2D73C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废塑粉</w:t>
            </w:r>
          </w:p>
        </w:tc>
        <w:tc>
          <w:tcPr>
            <w:tcW w:w="1509" w:type="dxa"/>
            <w:noWrap w:val="0"/>
            <w:vAlign w:val="center"/>
          </w:tcPr>
          <w:p w14:paraId="4224D82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091" w:type="dxa"/>
            <w:noWrap w:val="0"/>
            <w:vAlign w:val="center"/>
          </w:tcPr>
          <w:p w14:paraId="57F717B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828" w:type="dxa"/>
            <w:noWrap w:val="0"/>
            <w:vAlign w:val="center"/>
          </w:tcPr>
          <w:p w14:paraId="2B2F7A1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2004" w:type="dxa"/>
            <w:noWrap w:val="0"/>
            <w:vAlign w:val="center"/>
          </w:tcPr>
          <w:p w14:paraId="4387DF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2.5393</w:t>
            </w:r>
          </w:p>
        </w:tc>
        <w:tc>
          <w:tcPr>
            <w:tcW w:w="1635" w:type="dxa"/>
            <w:noWrap w:val="0"/>
            <w:vAlign w:val="center"/>
          </w:tcPr>
          <w:p w14:paraId="1CD9F84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85" w:type="dxa"/>
            <w:noWrap w:val="0"/>
            <w:vAlign w:val="center"/>
          </w:tcPr>
          <w:p w14:paraId="76DCC2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2.5393</w:t>
            </w:r>
          </w:p>
        </w:tc>
        <w:tc>
          <w:tcPr>
            <w:tcW w:w="1261" w:type="dxa"/>
            <w:noWrap w:val="0"/>
            <w:vAlign w:val="center"/>
          </w:tcPr>
          <w:p w14:paraId="00A03F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2.5393</w:t>
            </w:r>
          </w:p>
        </w:tc>
      </w:tr>
      <w:tr w14:paraId="7013B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continue"/>
            <w:noWrap w:val="0"/>
            <w:vAlign w:val="center"/>
          </w:tcPr>
          <w:p w14:paraId="7E8749D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p>
        </w:tc>
        <w:tc>
          <w:tcPr>
            <w:tcW w:w="2433" w:type="dxa"/>
            <w:noWrap w:val="0"/>
            <w:vAlign w:val="center"/>
          </w:tcPr>
          <w:p w14:paraId="74E044C6">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废边角料</w:t>
            </w:r>
          </w:p>
        </w:tc>
        <w:tc>
          <w:tcPr>
            <w:tcW w:w="1509" w:type="dxa"/>
            <w:noWrap w:val="0"/>
            <w:vAlign w:val="center"/>
          </w:tcPr>
          <w:p w14:paraId="4FCBAEC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091" w:type="dxa"/>
            <w:noWrap w:val="0"/>
            <w:vAlign w:val="center"/>
          </w:tcPr>
          <w:p w14:paraId="5337780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828" w:type="dxa"/>
            <w:noWrap w:val="0"/>
            <w:vAlign w:val="center"/>
          </w:tcPr>
          <w:p w14:paraId="2575A19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04" w:type="dxa"/>
            <w:noWrap w:val="0"/>
            <w:vAlign w:val="center"/>
          </w:tcPr>
          <w:p w14:paraId="2C646EC8">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1635" w:type="dxa"/>
            <w:noWrap w:val="0"/>
            <w:vAlign w:val="center"/>
          </w:tcPr>
          <w:p w14:paraId="25F0C5C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85" w:type="dxa"/>
            <w:noWrap w:val="0"/>
            <w:vAlign w:val="center"/>
          </w:tcPr>
          <w:p w14:paraId="49BB5E32">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1261" w:type="dxa"/>
            <w:noWrap w:val="0"/>
            <w:vAlign w:val="center"/>
          </w:tcPr>
          <w:p w14:paraId="7FFF7B01">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w:t>
            </w:r>
          </w:p>
        </w:tc>
      </w:tr>
      <w:tr w14:paraId="1327D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continue"/>
            <w:noWrap w:val="0"/>
            <w:vAlign w:val="center"/>
          </w:tcPr>
          <w:p w14:paraId="57888DA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p>
        </w:tc>
        <w:tc>
          <w:tcPr>
            <w:tcW w:w="2433" w:type="dxa"/>
            <w:noWrap w:val="0"/>
            <w:vAlign w:val="center"/>
          </w:tcPr>
          <w:p w14:paraId="14DD229E">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布袋收集的粉尘</w:t>
            </w:r>
          </w:p>
        </w:tc>
        <w:tc>
          <w:tcPr>
            <w:tcW w:w="1509" w:type="dxa"/>
            <w:noWrap w:val="0"/>
            <w:vAlign w:val="center"/>
          </w:tcPr>
          <w:p w14:paraId="12E13DD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091" w:type="dxa"/>
            <w:noWrap w:val="0"/>
            <w:vAlign w:val="center"/>
          </w:tcPr>
          <w:p w14:paraId="4EC23E3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828" w:type="dxa"/>
            <w:noWrap w:val="0"/>
            <w:vAlign w:val="center"/>
          </w:tcPr>
          <w:p w14:paraId="032EE37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04" w:type="dxa"/>
            <w:noWrap w:val="0"/>
            <w:vAlign w:val="center"/>
          </w:tcPr>
          <w:p w14:paraId="64839B94">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1.6356</w:t>
            </w:r>
          </w:p>
        </w:tc>
        <w:tc>
          <w:tcPr>
            <w:tcW w:w="1635" w:type="dxa"/>
            <w:noWrap w:val="0"/>
            <w:vAlign w:val="center"/>
          </w:tcPr>
          <w:p w14:paraId="4078439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85" w:type="dxa"/>
            <w:noWrap w:val="0"/>
            <w:vAlign w:val="center"/>
          </w:tcPr>
          <w:p w14:paraId="22979302">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1.6356</w:t>
            </w:r>
          </w:p>
        </w:tc>
        <w:tc>
          <w:tcPr>
            <w:tcW w:w="1261" w:type="dxa"/>
            <w:noWrap w:val="0"/>
            <w:vAlign w:val="center"/>
          </w:tcPr>
          <w:p w14:paraId="736C1124">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1.6356</w:t>
            </w:r>
          </w:p>
        </w:tc>
      </w:tr>
      <w:tr w14:paraId="17E63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continue"/>
            <w:noWrap w:val="0"/>
            <w:vAlign w:val="center"/>
          </w:tcPr>
          <w:p w14:paraId="5871191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p>
        </w:tc>
        <w:tc>
          <w:tcPr>
            <w:tcW w:w="2433" w:type="dxa"/>
            <w:noWrap w:val="0"/>
            <w:vAlign w:val="center"/>
          </w:tcPr>
          <w:p w14:paraId="2D1C85B2">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vertAlign w:val="baseline"/>
              </w:rPr>
            </w:pPr>
            <w:r>
              <w:rPr>
                <w:rFonts w:hint="eastAsia" w:ascii="宋体" w:hAnsi="宋体" w:eastAsia="宋体" w:cs="宋体"/>
                <w:i w:val="0"/>
                <w:iCs w:val="0"/>
                <w:color w:val="000000"/>
                <w:kern w:val="0"/>
                <w:sz w:val="21"/>
                <w:szCs w:val="21"/>
                <w:u w:val="none"/>
                <w:lang w:val="en-US" w:eastAsia="zh-CN" w:bidi="ar"/>
              </w:rPr>
              <w:t>不合格品</w:t>
            </w:r>
          </w:p>
        </w:tc>
        <w:tc>
          <w:tcPr>
            <w:tcW w:w="1509" w:type="dxa"/>
            <w:noWrap w:val="0"/>
            <w:vAlign w:val="center"/>
          </w:tcPr>
          <w:p w14:paraId="23CFB1B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091" w:type="dxa"/>
            <w:noWrap w:val="0"/>
            <w:vAlign w:val="center"/>
          </w:tcPr>
          <w:p w14:paraId="7E7E7AB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8" w:type="dxa"/>
            <w:noWrap w:val="0"/>
            <w:vAlign w:val="center"/>
          </w:tcPr>
          <w:p w14:paraId="00DCB0C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04" w:type="dxa"/>
            <w:noWrap w:val="0"/>
            <w:vAlign w:val="center"/>
          </w:tcPr>
          <w:p w14:paraId="7E25A055">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635" w:type="dxa"/>
            <w:noWrap w:val="0"/>
            <w:vAlign w:val="center"/>
          </w:tcPr>
          <w:p w14:paraId="3D56D5B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85" w:type="dxa"/>
            <w:noWrap w:val="0"/>
            <w:vAlign w:val="center"/>
          </w:tcPr>
          <w:p w14:paraId="6DB26F25">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261" w:type="dxa"/>
            <w:noWrap w:val="0"/>
            <w:vAlign w:val="center"/>
          </w:tcPr>
          <w:p w14:paraId="768FF950">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r>
      <w:tr w14:paraId="46817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restart"/>
            <w:noWrap w:val="0"/>
            <w:vAlign w:val="center"/>
          </w:tcPr>
          <w:p w14:paraId="0AE0DF1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危险废物</w:t>
            </w:r>
          </w:p>
        </w:tc>
        <w:tc>
          <w:tcPr>
            <w:tcW w:w="2433" w:type="dxa"/>
            <w:noWrap w:val="0"/>
            <w:vAlign w:val="center"/>
          </w:tcPr>
          <w:p w14:paraId="1C1AB60F">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vertAlign w:val="baseline"/>
                <w:lang w:val="en-US" w:eastAsia="zh-CN"/>
              </w:rPr>
            </w:pPr>
            <w:r>
              <w:rPr>
                <w:rFonts w:hint="eastAsia" w:ascii="宋体" w:hAnsi="宋体" w:eastAsia="宋体" w:cs="宋体"/>
                <w:i w:val="0"/>
                <w:iCs w:val="0"/>
                <w:color w:val="000000"/>
                <w:kern w:val="0"/>
                <w:sz w:val="21"/>
                <w:szCs w:val="21"/>
                <w:u w:val="none"/>
                <w:lang w:val="en-US" w:eastAsia="zh-CN" w:bidi="ar"/>
              </w:rPr>
              <w:t>废包装桶</w:t>
            </w:r>
          </w:p>
        </w:tc>
        <w:tc>
          <w:tcPr>
            <w:tcW w:w="1509" w:type="dxa"/>
            <w:noWrap w:val="0"/>
            <w:vAlign w:val="center"/>
          </w:tcPr>
          <w:p w14:paraId="488F94D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091" w:type="dxa"/>
            <w:noWrap w:val="0"/>
            <w:vAlign w:val="center"/>
          </w:tcPr>
          <w:p w14:paraId="64008CA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8" w:type="dxa"/>
            <w:noWrap w:val="0"/>
            <w:vAlign w:val="center"/>
          </w:tcPr>
          <w:p w14:paraId="77B4D8F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04" w:type="dxa"/>
            <w:noWrap w:val="0"/>
            <w:vAlign w:val="center"/>
          </w:tcPr>
          <w:p w14:paraId="3804984B">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635" w:type="dxa"/>
            <w:noWrap w:val="0"/>
            <w:vAlign w:val="center"/>
          </w:tcPr>
          <w:p w14:paraId="6A9702B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85" w:type="dxa"/>
            <w:noWrap w:val="0"/>
            <w:vAlign w:val="center"/>
          </w:tcPr>
          <w:p w14:paraId="0B41BB79">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261" w:type="dxa"/>
            <w:noWrap w:val="0"/>
            <w:vAlign w:val="center"/>
          </w:tcPr>
          <w:p w14:paraId="67A1188D">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w:t>
            </w:r>
          </w:p>
        </w:tc>
      </w:tr>
      <w:tr w14:paraId="13B539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98" w:type="dxa"/>
            <w:vMerge w:val="continue"/>
            <w:noWrap w:val="0"/>
            <w:vAlign w:val="center"/>
          </w:tcPr>
          <w:p w14:paraId="17F7798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p>
        </w:tc>
        <w:tc>
          <w:tcPr>
            <w:tcW w:w="2433" w:type="dxa"/>
            <w:noWrap w:val="0"/>
            <w:vAlign w:val="center"/>
          </w:tcPr>
          <w:p w14:paraId="1B903F3B">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废活性炭</w:t>
            </w:r>
          </w:p>
        </w:tc>
        <w:tc>
          <w:tcPr>
            <w:tcW w:w="1509" w:type="dxa"/>
            <w:noWrap w:val="0"/>
            <w:vAlign w:val="center"/>
          </w:tcPr>
          <w:p w14:paraId="74FECD3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091" w:type="dxa"/>
            <w:noWrap w:val="0"/>
            <w:vAlign w:val="center"/>
          </w:tcPr>
          <w:p w14:paraId="3B5B231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828" w:type="dxa"/>
            <w:noWrap w:val="0"/>
            <w:vAlign w:val="center"/>
          </w:tcPr>
          <w:p w14:paraId="31DB8DC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04" w:type="dxa"/>
            <w:noWrap w:val="0"/>
            <w:vAlign w:val="center"/>
          </w:tcPr>
          <w:p w14:paraId="70973ED8">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18.545</w:t>
            </w:r>
          </w:p>
        </w:tc>
        <w:tc>
          <w:tcPr>
            <w:tcW w:w="1635" w:type="dxa"/>
            <w:noWrap w:val="0"/>
            <w:vAlign w:val="center"/>
          </w:tcPr>
          <w:p w14:paraId="1758107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85" w:type="dxa"/>
            <w:noWrap w:val="0"/>
            <w:vAlign w:val="center"/>
          </w:tcPr>
          <w:p w14:paraId="1BB9D3D8">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18.545</w:t>
            </w:r>
          </w:p>
        </w:tc>
        <w:tc>
          <w:tcPr>
            <w:tcW w:w="1261" w:type="dxa"/>
            <w:noWrap w:val="0"/>
            <w:vAlign w:val="center"/>
          </w:tcPr>
          <w:p w14:paraId="46521759">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18.545</w:t>
            </w:r>
          </w:p>
        </w:tc>
      </w:tr>
      <w:tr w14:paraId="1491DA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8" w:type="dxa"/>
            <w:vMerge w:val="continue"/>
            <w:noWrap w:val="0"/>
            <w:vAlign w:val="center"/>
          </w:tcPr>
          <w:p w14:paraId="24D5DBA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p>
        </w:tc>
        <w:tc>
          <w:tcPr>
            <w:tcW w:w="2433" w:type="dxa"/>
            <w:noWrap w:val="0"/>
            <w:vAlign w:val="center"/>
          </w:tcPr>
          <w:p w14:paraId="4EB33080">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vertAlign w:val="baseline"/>
                <w:lang w:val="en-US" w:eastAsia="zh-CN"/>
              </w:rPr>
            </w:pPr>
            <w:r>
              <w:rPr>
                <w:rFonts w:hint="eastAsia" w:ascii="宋体" w:hAnsi="宋体" w:eastAsia="宋体" w:cs="宋体"/>
                <w:i w:val="0"/>
                <w:iCs w:val="0"/>
                <w:color w:val="000000"/>
                <w:kern w:val="0"/>
                <w:sz w:val="21"/>
                <w:szCs w:val="21"/>
                <w:u w:val="none"/>
                <w:lang w:val="en-US" w:eastAsia="zh-CN" w:bidi="ar"/>
              </w:rPr>
              <w:t>废润滑油</w:t>
            </w:r>
          </w:p>
        </w:tc>
        <w:tc>
          <w:tcPr>
            <w:tcW w:w="1509" w:type="dxa"/>
            <w:noWrap w:val="0"/>
            <w:vAlign w:val="center"/>
          </w:tcPr>
          <w:p w14:paraId="552BB41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091" w:type="dxa"/>
            <w:noWrap w:val="0"/>
            <w:vAlign w:val="center"/>
          </w:tcPr>
          <w:p w14:paraId="6D4CC2B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828" w:type="dxa"/>
            <w:noWrap w:val="0"/>
            <w:vAlign w:val="center"/>
          </w:tcPr>
          <w:p w14:paraId="7CFA5A7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04" w:type="dxa"/>
            <w:noWrap w:val="0"/>
            <w:vAlign w:val="center"/>
          </w:tcPr>
          <w:p w14:paraId="0F8FB763">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0.02</w:t>
            </w:r>
          </w:p>
        </w:tc>
        <w:tc>
          <w:tcPr>
            <w:tcW w:w="1635" w:type="dxa"/>
            <w:noWrap w:val="0"/>
            <w:vAlign w:val="center"/>
          </w:tcPr>
          <w:p w14:paraId="0FACA2DD">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85" w:type="dxa"/>
            <w:noWrap w:val="0"/>
            <w:vAlign w:val="center"/>
          </w:tcPr>
          <w:p w14:paraId="651DC8BA">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0.02</w:t>
            </w:r>
          </w:p>
        </w:tc>
        <w:tc>
          <w:tcPr>
            <w:tcW w:w="1261" w:type="dxa"/>
            <w:noWrap w:val="0"/>
            <w:vAlign w:val="center"/>
          </w:tcPr>
          <w:p w14:paraId="2964D743">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0.02</w:t>
            </w:r>
          </w:p>
        </w:tc>
      </w:tr>
      <w:tr w14:paraId="294AD8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8" w:type="dxa"/>
            <w:vMerge w:val="continue"/>
            <w:noWrap w:val="0"/>
            <w:vAlign w:val="center"/>
          </w:tcPr>
          <w:p w14:paraId="4F04FFD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snapToGrid w:val="0"/>
                <w:color w:val="auto"/>
                <w:kern w:val="21"/>
                <w:sz w:val="21"/>
                <w:szCs w:val="21"/>
                <w:highlight w:val="none"/>
              </w:rPr>
            </w:pPr>
          </w:p>
        </w:tc>
        <w:tc>
          <w:tcPr>
            <w:tcW w:w="2433" w:type="dxa"/>
            <w:noWrap w:val="0"/>
            <w:vAlign w:val="center"/>
          </w:tcPr>
          <w:p w14:paraId="00C5735C">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vertAlign w:val="baseline"/>
                <w:lang w:val="en-US" w:eastAsia="zh-CN"/>
              </w:rPr>
            </w:pPr>
            <w:r>
              <w:rPr>
                <w:rFonts w:hint="eastAsia" w:ascii="宋体" w:hAnsi="宋体" w:eastAsia="宋体" w:cs="宋体"/>
                <w:i w:val="0"/>
                <w:iCs w:val="0"/>
                <w:color w:val="000000"/>
                <w:kern w:val="0"/>
                <w:sz w:val="21"/>
                <w:szCs w:val="21"/>
                <w:u w:val="none"/>
                <w:lang w:val="en-US" w:eastAsia="zh-CN" w:bidi="ar"/>
              </w:rPr>
              <w:t>含油抹布及手套</w:t>
            </w:r>
          </w:p>
        </w:tc>
        <w:tc>
          <w:tcPr>
            <w:tcW w:w="1509" w:type="dxa"/>
            <w:noWrap w:val="0"/>
            <w:vAlign w:val="center"/>
          </w:tcPr>
          <w:p w14:paraId="13B4D2D9">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091" w:type="dxa"/>
            <w:noWrap w:val="0"/>
            <w:vAlign w:val="center"/>
          </w:tcPr>
          <w:p w14:paraId="54B7AEE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8" w:type="dxa"/>
            <w:noWrap w:val="0"/>
            <w:vAlign w:val="center"/>
          </w:tcPr>
          <w:p w14:paraId="4616F5C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04" w:type="dxa"/>
            <w:noWrap w:val="0"/>
            <w:vAlign w:val="center"/>
          </w:tcPr>
          <w:p w14:paraId="3CAB7C26">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w:t>
            </w:r>
          </w:p>
        </w:tc>
        <w:tc>
          <w:tcPr>
            <w:tcW w:w="1635" w:type="dxa"/>
            <w:noWrap w:val="0"/>
            <w:vAlign w:val="center"/>
          </w:tcPr>
          <w:p w14:paraId="0A703AE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85" w:type="dxa"/>
            <w:noWrap w:val="0"/>
            <w:vAlign w:val="center"/>
          </w:tcPr>
          <w:p w14:paraId="4E698324">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w:t>
            </w:r>
          </w:p>
        </w:tc>
        <w:tc>
          <w:tcPr>
            <w:tcW w:w="1261" w:type="dxa"/>
            <w:noWrap w:val="0"/>
            <w:vAlign w:val="center"/>
          </w:tcPr>
          <w:p w14:paraId="2DBB2DA5">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w:t>
            </w:r>
          </w:p>
        </w:tc>
      </w:tr>
      <w:tr w14:paraId="27A50A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131" w:type="dxa"/>
            <w:gridSpan w:val="2"/>
            <w:noWrap w:val="0"/>
            <w:vAlign w:val="center"/>
          </w:tcPr>
          <w:p w14:paraId="787965A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生活垃圾</w:t>
            </w:r>
          </w:p>
        </w:tc>
        <w:tc>
          <w:tcPr>
            <w:tcW w:w="1509" w:type="dxa"/>
            <w:noWrap w:val="0"/>
            <w:vAlign w:val="center"/>
          </w:tcPr>
          <w:p w14:paraId="04D52A3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091" w:type="dxa"/>
            <w:noWrap w:val="0"/>
            <w:vAlign w:val="center"/>
          </w:tcPr>
          <w:p w14:paraId="1D42EE8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c>
          <w:tcPr>
            <w:tcW w:w="1828" w:type="dxa"/>
            <w:noWrap w:val="0"/>
            <w:vAlign w:val="center"/>
          </w:tcPr>
          <w:p w14:paraId="1518C38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04" w:type="dxa"/>
            <w:noWrap w:val="0"/>
            <w:vAlign w:val="center"/>
          </w:tcPr>
          <w:p w14:paraId="4420C84C">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635" w:type="dxa"/>
            <w:noWrap w:val="0"/>
            <w:vAlign w:val="center"/>
          </w:tcPr>
          <w:p w14:paraId="08DB478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085" w:type="dxa"/>
            <w:noWrap w:val="0"/>
            <w:vAlign w:val="center"/>
          </w:tcPr>
          <w:p w14:paraId="50937577">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261" w:type="dxa"/>
            <w:noWrap w:val="0"/>
            <w:vAlign w:val="center"/>
          </w:tcPr>
          <w:p w14:paraId="09B234A6">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w:t>
            </w:r>
          </w:p>
        </w:tc>
      </w:tr>
    </w:tbl>
    <w:p w14:paraId="6CC9E6E8">
      <w:pPr>
        <w:keepNext w:val="0"/>
        <w:keepLines w:val="0"/>
        <w:pageBreakBefore w:val="0"/>
        <w:widowControl w:val="0"/>
        <w:kinsoku/>
        <w:wordWrap/>
        <w:overflowPunct/>
        <w:topLinePunct/>
        <w:autoSpaceDE w:val="0"/>
        <w:autoSpaceDN/>
        <w:bidi w:val="0"/>
        <w:adjustRightInd w:val="0"/>
        <w:snapToGrid w:val="0"/>
        <w:ind w:left="0" w:leftChars="0"/>
        <w:jc w:val="left"/>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p>
    <w:p w14:paraId="5CE64D19">
      <w:pPr>
        <w:rPr>
          <w:rFonts w:hint="default" w:ascii="Times New Roman" w:hAnsi="Times New Roman" w:cs="Times New Roman"/>
          <w:color w:val="auto"/>
          <w:highlight w:val="none"/>
        </w:rPr>
        <w:sectPr>
          <w:footerReference r:id="rId8" w:type="default"/>
          <w:pgSz w:w="16838" w:h="11905" w:orient="landscape"/>
          <w:pgMar w:top="1803" w:right="1440" w:bottom="1803" w:left="1440"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3E4F65A4">
      <w:pPr>
        <w:jc w:val="center"/>
        <w:rPr>
          <w:b/>
          <w:snapToGrid w:val="0"/>
          <w:color w:val="auto"/>
          <w:sz w:val="32"/>
          <w:szCs w:val="32"/>
        </w:rPr>
      </w:pPr>
    </w:p>
    <w:p w14:paraId="12F6E65B">
      <w:pPr>
        <w:jc w:val="center"/>
        <w:rPr>
          <w:b/>
          <w:snapToGrid w:val="0"/>
          <w:color w:val="auto"/>
          <w:sz w:val="32"/>
          <w:szCs w:val="32"/>
        </w:rPr>
      </w:pPr>
    </w:p>
    <w:p w14:paraId="302B68A1">
      <w:pPr>
        <w:spacing w:line="240" w:lineRule="auto"/>
        <w:jc w:val="center"/>
        <w:rPr>
          <w:rFonts w:hint="eastAsia" w:eastAsia="宋体"/>
          <w:b/>
          <w:snapToGrid w:val="0"/>
          <w:color w:val="auto"/>
          <w:sz w:val="52"/>
          <w:szCs w:val="52"/>
          <w:lang w:eastAsia="zh-CN"/>
        </w:rPr>
      </w:pPr>
      <w:r>
        <w:rPr>
          <w:rFonts w:hint="eastAsia"/>
          <w:b/>
          <w:snapToGrid w:val="0"/>
          <w:color w:val="auto"/>
          <w:sz w:val="52"/>
          <w:szCs w:val="52"/>
          <w:lang w:eastAsia="zh-CN"/>
        </w:rPr>
        <w:t>安徽博越汽车安全系统有限公司汽车刹车片生产基地项目</w:t>
      </w:r>
    </w:p>
    <w:p w14:paraId="0491A311">
      <w:pPr>
        <w:spacing w:line="240" w:lineRule="auto"/>
        <w:jc w:val="center"/>
        <w:rPr>
          <w:rFonts w:hint="eastAsia" w:eastAsia="宋体"/>
          <w:b/>
          <w:snapToGrid w:val="0"/>
          <w:color w:val="auto"/>
          <w:sz w:val="52"/>
          <w:szCs w:val="52"/>
          <w:lang w:val="en-US" w:eastAsia="zh-CN"/>
        </w:rPr>
      </w:pPr>
      <w:r>
        <w:rPr>
          <w:rFonts w:hint="eastAsia"/>
          <w:b/>
          <w:snapToGrid w:val="0"/>
          <w:color w:val="auto"/>
          <w:sz w:val="52"/>
          <w:szCs w:val="52"/>
        </w:rPr>
        <w:t>大气专项评价</w:t>
      </w:r>
      <w:r>
        <w:rPr>
          <w:rFonts w:hint="eastAsia"/>
          <w:b/>
          <w:snapToGrid w:val="0"/>
          <w:color w:val="auto"/>
          <w:sz w:val="52"/>
          <w:szCs w:val="52"/>
          <w:lang w:val="en-US" w:eastAsia="zh-CN"/>
        </w:rPr>
        <w:t>报告</w:t>
      </w:r>
    </w:p>
    <w:p w14:paraId="3E6DFA93">
      <w:pPr>
        <w:spacing w:line="240" w:lineRule="auto"/>
        <w:jc w:val="center"/>
        <w:rPr>
          <w:b/>
          <w:snapToGrid w:val="0"/>
          <w:color w:val="auto"/>
          <w:sz w:val="32"/>
          <w:szCs w:val="32"/>
        </w:rPr>
      </w:pPr>
    </w:p>
    <w:p w14:paraId="7796D8BB">
      <w:pPr>
        <w:spacing w:line="240" w:lineRule="auto"/>
        <w:jc w:val="center"/>
        <w:rPr>
          <w:b/>
          <w:snapToGrid w:val="0"/>
          <w:color w:val="auto"/>
          <w:sz w:val="32"/>
          <w:szCs w:val="32"/>
        </w:rPr>
      </w:pPr>
    </w:p>
    <w:p w14:paraId="5D890646">
      <w:pPr>
        <w:spacing w:line="240" w:lineRule="auto"/>
        <w:jc w:val="center"/>
        <w:rPr>
          <w:b/>
          <w:snapToGrid w:val="0"/>
          <w:color w:val="auto"/>
          <w:sz w:val="32"/>
          <w:szCs w:val="32"/>
        </w:rPr>
      </w:pPr>
    </w:p>
    <w:p w14:paraId="273A37E3">
      <w:pPr>
        <w:spacing w:line="240" w:lineRule="auto"/>
        <w:jc w:val="center"/>
        <w:rPr>
          <w:b/>
          <w:snapToGrid w:val="0"/>
          <w:color w:val="auto"/>
          <w:sz w:val="32"/>
          <w:szCs w:val="32"/>
        </w:rPr>
      </w:pPr>
    </w:p>
    <w:p w14:paraId="08F9F0DB">
      <w:pPr>
        <w:spacing w:line="240" w:lineRule="auto"/>
        <w:jc w:val="center"/>
        <w:rPr>
          <w:b/>
          <w:snapToGrid w:val="0"/>
          <w:color w:val="auto"/>
          <w:sz w:val="32"/>
          <w:szCs w:val="32"/>
        </w:rPr>
      </w:pPr>
    </w:p>
    <w:p w14:paraId="2E807327">
      <w:pPr>
        <w:spacing w:line="240" w:lineRule="auto"/>
        <w:jc w:val="center"/>
        <w:rPr>
          <w:b/>
          <w:snapToGrid w:val="0"/>
          <w:color w:val="auto"/>
          <w:sz w:val="32"/>
          <w:szCs w:val="32"/>
        </w:rPr>
      </w:pPr>
    </w:p>
    <w:p w14:paraId="748761A7">
      <w:pPr>
        <w:spacing w:line="240" w:lineRule="auto"/>
        <w:jc w:val="center"/>
        <w:rPr>
          <w:b/>
          <w:snapToGrid w:val="0"/>
          <w:color w:val="auto"/>
          <w:sz w:val="32"/>
          <w:szCs w:val="32"/>
        </w:rPr>
      </w:pPr>
    </w:p>
    <w:p w14:paraId="1AB8207B">
      <w:pPr>
        <w:pStyle w:val="43"/>
        <w:tabs>
          <w:tab w:val="left" w:pos="6300"/>
        </w:tabs>
        <w:jc w:val="center"/>
        <w:rPr>
          <w:color w:val="auto"/>
        </w:rPr>
      </w:pPr>
    </w:p>
    <w:p w14:paraId="573B9647">
      <w:pPr>
        <w:pStyle w:val="43"/>
        <w:tabs>
          <w:tab w:val="left" w:pos="6300"/>
        </w:tabs>
        <w:jc w:val="center"/>
        <w:rPr>
          <w:color w:val="auto"/>
        </w:rPr>
      </w:pPr>
    </w:p>
    <w:p w14:paraId="79AD4109">
      <w:pPr>
        <w:pStyle w:val="43"/>
        <w:tabs>
          <w:tab w:val="left" w:pos="6300"/>
        </w:tabs>
        <w:jc w:val="center"/>
        <w:rPr>
          <w:color w:val="auto"/>
        </w:rPr>
      </w:pPr>
    </w:p>
    <w:p w14:paraId="3B3AFD57">
      <w:pPr>
        <w:pStyle w:val="43"/>
        <w:tabs>
          <w:tab w:val="left" w:pos="6300"/>
        </w:tabs>
        <w:jc w:val="center"/>
        <w:rPr>
          <w:color w:val="auto"/>
        </w:rPr>
      </w:pPr>
    </w:p>
    <w:p w14:paraId="486C7D7E">
      <w:pPr>
        <w:pStyle w:val="43"/>
        <w:tabs>
          <w:tab w:val="left" w:pos="6300"/>
        </w:tabs>
        <w:jc w:val="center"/>
        <w:rPr>
          <w:color w:val="auto"/>
        </w:rPr>
      </w:pPr>
    </w:p>
    <w:p w14:paraId="170A639A">
      <w:pPr>
        <w:pStyle w:val="43"/>
        <w:tabs>
          <w:tab w:val="left" w:pos="6300"/>
        </w:tabs>
        <w:jc w:val="center"/>
        <w:rPr>
          <w:color w:val="auto"/>
        </w:rPr>
      </w:pPr>
    </w:p>
    <w:p w14:paraId="4748EED6">
      <w:pPr>
        <w:spacing w:line="240" w:lineRule="auto"/>
        <w:jc w:val="center"/>
        <w:rPr>
          <w:b/>
          <w:snapToGrid w:val="0"/>
          <w:color w:val="auto"/>
          <w:sz w:val="28"/>
          <w:szCs w:val="28"/>
        </w:rPr>
      </w:pPr>
    </w:p>
    <w:p w14:paraId="4E9FEAB1">
      <w:pPr>
        <w:spacing w:line="240" w:lineRule="auto"/>
        <w:jc w:val="center"/>
        <w:rPr>
          <w:b/>
          <w:snapToGrid w:val="0"/>
          <w:color w:val="auto"/>
          <w:sz w:val="28"/>
          <w:szCs w:val="28"/>
        </w:rPr>
      </w:pPr>
    </w:p>
    <w:p w14:paraId="4A11A3C4">
      <w:pPr>
        <w:spacing w:line="240" w:lineRule="auto"/>
        <w:jc w:val="center"/>
        <w:rPr>
          <w:b/>
          <w:snapToGrid w:val="0"/>
          <w:color w:val="auto"/>
          <w:sz w:val="32"/>
          <w:szCs w:val="32"/>
        </w:rPr>
      </w:pPr>
      <w:r>
        <w:rPr>
          <w:rFonts w:hint="eastAsia"/>
          <w:b/>
          <w:snapToGrid w:val="0"/>
          <w:color w:val="auto"/>
          <w:sz w:val="32"/>
          <w:szCs w:val="32"/>
          <w:lang w:val="en-US" w:eastAsia="zh-CN"/>
        </w:rPr>
        <w:t>2026</w:t>
      </w:r>
      <w:r>
        <w:rPr>
          <w:b/>
          <w:snapToGrid w:val="0"/>
          <w:color w:val="auto"/>
          <w:sz w:val="32"/>
          <w:szCs w:val="32"/>
        </w:rPr>
        <w:t>年</w:t>
      </w:r>
      <w:r>
        <w:rPr>
          <w:rFonts w:hint="eastAsia"/>
          <w:b/>
          <w:snapToGrid w:val="0"/>
          <w:color w:val="auto"/>
          <w:sz w:val="32"/>
          <w:szCs w:val="32"/>
          <w:lang w:val="en-US" w:eastAsia="zh-CN"/>
        </w:rPr>
        <w:t>10</w:t>
      </w:r>
      <w:r>
        <w:rPr>
          <w:b/>
          <w:snapToGrid w:val="0"/>
          <w:color w:val="auto"/>
          <w:sz w:val="32"/>
          <w:szCs w:val="32"/>
        </w:rPr>
        <w:t>月</w:t>
      </w:r>
    </w:p>
    <w:p w14:paraId="1F970BB5">
      <w:pPr>
        <w:rPr>
          <w:snapToGrid w:val="0"/>
          <w:color w:val="auto"/>
        </w:rPr>
        <w:sectPr>
          <w:footerReference r:id="rId9" w:type="default"/>
          <w:pgSz w:w="11906" w:h="16838"/>
          <w:pgMar w:top="1440" w:right="1418" w:bottom="1440" w:left="1418" w:header="851" w:footer="992" w:gutter="0"/>
          <w:cols w:space="720" w:num="1"/>
          <w:titlePg/>
          <w:docGrid w:type="linesAndChars" w:linePitch="326" w:charSpace="3920"/>
        </w:sectPr>
      </w:pPr>
    </w:p>
    <w:p w14:paraId="74181E02">
      <w:pPr>
        <w:pStyle w:val="2"/>
        <w:sectPr>
          <w:pgSz w:w="11906" w:h="16838"/>
          <w:pgMar w:top="1440" w:right="1418" w:bottom="1440" w:left="1418" w:header="851" w:footer="992" w:gutter="0"/>
          <w:cols w:space="720" w:num="1"/>
          <w:titlePg/>
          <w:docGrid w:type="linesAndChars" w:linePitch="326" w:charSpace="3920"/>
        </w:sectPr>
      </w:pPr>
    </w:p>
    <w:p w14:paraId="11359661">
      <w:pPr>
        <w:pStyle w:val="19"/>
        <w:tabs>
          <w:tab w:val="right" w:leader="dot" w:pos="9060"/>
        </w:tabs>
        <w:jc w:val="center"/>
        <w:rPr>
          <w:b/>
          <w:bCs/>
          <w:snapToGrid w:val="0"/>
          <w:color w:val="auto"/>
          <w:sz w:val="28"/>
          <w:szCs w:val="24"/>
        </w:rPr>
      </w:pPr>
      <w:r>
        <w:rPr>
          <w:b/>
          <w:bCs/>
          <w:snapToGrid w:val="0"/>
          <w:color w:val="auto"/>
          <w:sz w:val="28"/>
          <w:szCs w:val="24"/>
        </w:rPr>
        <w:t>目       录</w:t>
      </w:r>
    </w:p>
    <w:p w14:paraId="28C4F58E">
      <w:pPr>
        <w:pStyle w:val="19"/>
        <w:tabs>
          <w:tab w:val="right" w:leader="dot" w:pos="9060"/>
        </w:tabs>
        <w:spacing w:line="360" w:lineRule="auto"/>
        <w:rPr>
          <w:rFonts w:ascii="等线" w:hAnsi="等线" w:eastAsia="等线"/>
          <w:b/>
          <w:color w:val="auto"/>
          <w:sz w:val="24"/>
          <w:szCs w:val="32"/>
        </w:rPr>
      </w:pPr>
      <w:r>
        <w:rPr>
          <w:snapToGrid w:val="0"/>
          <w:color w:val="auto"/>
          <w:sz w:val="21"/>
          <w:szCs w:val="20"/>
        </w:rPr>
        <w:fldChar w:fldCharType="begin"/>
      </w:r>
      <w:r>
        <w:rPr>
          <w:snapToGrid w:val="0"/>
          <w:color w:val="auto"/>
          <w:sz w:val="21"/>
          <w:szCs w:val="20"/>
        </w:rPr>
        <w:instrText xml:space="preserve"> TOC \o "1-2" \h \z \u </w:instrText>
      </w:r>
      <w:r>
        <w:rPr>
          <w:snapToGrid w:val="0"/>
          <w:color w:val="auto"/>
          <w:sz w:val="21"/>
          <w:szCs w:val="20"/>
        </w:rPr>
        <w:fldChar w:fldCharType="separate"/>
      </w:r>
      <w:r>
        <w:rPr>
          <w:color w:val="auto"/>
          <w:sz w:val="24"/>
          <w:szCs w:val="32"/>
        </w:rPr>
        <w:fldChar w:fldCharType="begin"/>
      </w:r>
      <w:r>
        <w:rPr>
          <w:color w:val="auto"/>
          <w:sz w:val="24"/>
          <w:szCs w:val="32"/>
        </w:rPr>
        <w:instrText xml:space="preserve"> HYPERLINK \l "_Toc97323084" </w:instrText>
      </w:r>
      <w:r>
        <w:rPr>
          <w:color w:val="auto"/>
          <w:sz w:val="24"/>
          <w:szCs w:val="32"/>
        </w:rPr>
        <w:fldChar w:fldCharType="separate"/>
      </w:r>
      <w:r>
        <w:rPr>
          <w:rStyle w:val="29"/>
          <w:b/>
          <w:snapToGrid w:val="0"/>
          <w:color w:val="auto"/>
          <w:sz w:val="24"/>
          <w:szCs w:val="32"/>
        </w:rPr>
        <w:t>1总论</w:t>
      </w:r>
      <w:r>
        <w:rPr>
          <w:b/>
          <w:color w:val="auto"/>
          <w:sz w:val="24"/>
          <w:szCs w:val="32"/>
        </w:rPr>
        <w:tab/>
      </w:r>
      <w:r>
        <w:rPr>
          <w:b/>
          <w:color w:val="auto"/>
          <w:sz w:val="24"/>
          <w:szCs w:val="32"/>
        </w:rPr>
        <w:fldChar w:fldCharType="begin"/>
      </w:r>
      <w:r>
        <w:rPr>
          <w:b/>
          <w:color w:val="auto"/>
          <w:sz w:val="24"/>
          <w:szCs w:val="32"/>
        </w:rPr>
        <w:instrText xml:space="preserve"> PAGEREF _Toc97323084 \h </w:instrText>
      </w:r>
      <w:r>
        <w:rPr>
          <w:b/>
          <w:color w:val="auto"/>
          <w:sz w:val="24"/>
          <w:szCs w:val="32"/>
        </w:rPr>
        <w:fldChar w:fldCharType="separate"/>
      </w:r>
      <w:r>
        <w:rPr>
          <w:b/>
          <w:color w:val="auto"/>
          <w:sz w:val="24"/>
          <w:szCs w:val="32"/>
        </w:rPr>
        <w:t>- 1 -</w:t>
      </w:r>
      <w:r>
        <w:rPr>
          <w:b/>
          <w:color w:val="auto"/>
          <w:sz w:val="24"/>
          <w:szCs w:val="32"/>
        </w:rPr>
        <w:fldChar w:fldCharType="end"/>
      </w:r>
      <w:r>
        <w:rPr>
          <w:b/>
          <w:color w:val="auto"/>
          <w:sz w:val="24"/>
          <w:szCs w:val="32"/>
        </w:rPr>
        <w:fldChar w:fldCharType="end"/>
      </w:r>
    </w:p>
    <w:p w14:paraId="526D9686">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"_Toc97323085" </w:instrText>
      </w:r>
      <w:r>
        <w:rPr>
          <w:color w:val="auto"/>
          <w:sz w:val="24"/>
          <w:szCs w:val="32"/>
        </w:rPr>
        <w:fldChar w:fldCharType="separate"/>
      </w:r>
      <w:r>
        <w:rPr>
          <w:rStyle w:val="29"/>
          <w:snapToGrid w:val="0"/>
          <w:color w:val="auto"/>
          <w:sz w:val="24"/>
          <w:szCs w:val="32"/>
        </w:rPr>
        <w:t>1.1项目基本情况</w:t>
      </w:r>
      <w:r>
        <w:rPr>
          <w:color w:val="auto"/>
          <w:sz w:val="24"/>
          <w:szCs w:val="32"/>
        </w:rPr>
        <w:tab/>
      </w:r>
      <w:r>
        <w:rPr>
          <w:color w:val="auto"/>
          <w:sz w:val="24"/>
          <w:szCs w:val="32"/>
        </w:rPr>
        <w:fldChar w:fldCharType="begin"/>
      </w:r>
      <w:r>
        <w:rPr>
          <w:color w:val="auto"/>
          <w:sz w:val="24"/>
          <w:szCs w:val="32"/>
        </w:rPr>
        <w:instrText xml:space="preserve"> PAGEREF _Toc97323085 \h </w:instrText>
      </w:r>
      <w:r>
        <w:rPr>
          <w:color w:val="auto"/>
          <w:sz w:val="24"/>
          <w:szCs w:val="32"/>
        </w:rPr>
        <w:fldChar w:fldCharType="separate"/>
      </w:r>
      <w:r>
        <w:rPr>
          <w:color w:val="auto"/>
          <w:sz w:val="24"/>
          <w:szCs w:val="32"/>
        </w:rPr>
        <w:t>- 1 -</w:t>
      </w:r>
      <w:r>
        <w:rPr>
          <w:color w:val="auto"/>
          <w:sz w:val="24"/>
          <w:szCs w:val="32"/>
        </w:rPr>
        <w:fldChar w:fldCharType="end"/>
      </w:r>
      <w:r>
        <w:rPr>
          <w:color w:val="auto"/>
          <w:sz w:val="24"/>
          <w:szCs w:val="32"/>
        </w:rPr>
        <w:fldChar w:fldCharType="end"/>
      </w:r>
    </w:p>
    <w:p w14:paraId="1DF877C0">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"_Toc97323086" </w:instrText>
      </w:r>
      <w:r>
        <w:rPr>
          <w:color w:val="auto"/>
          <w:sz w:val="24"/>
          <w:szCs w:val="32"/>
        </w:rPr>
        <w:fldChar w:fldCharType="separate"/>
      </w:r>
      <w:r>
        <w:rPr>
          <w:rStyle w:val="29"/>
          <w:snapToGrid w:val="0"/>
          <w:color w:val="auto"/>
          <w:sz w:val="24"/>
          <w:szCs w:val="32"/>
        </w:rPr>
        <w:t>1.2编制依据</w:t>
      </w:r>
      <w:r>
        <w:rPr>
          <w:color w:val="auto"/>
          <w:sz w:val="24"/>
          <w:szCs w:val="32"/>
        </w:rPr>
        <w:tab/>
      </w:r>
      <w:r>
        <w:rPr>
          <w:color w:val="auto"/>
          <w:sz w:val="24"/>
          <w:szCs w:val="32"/>
        </w:rPr>
        <w:fldChar w:fldCharType="begin"/>
      </w:r>
      <w:r>
        <w:rPr>
          <w:color w:val="auto"/>
          <w:sz w:val="24"/>
          <w:szCs w:val="32"/>
        </w:rPr>
        <w:instrText xml:space="preserve"> PAGEREF _Toc97323086 \h </w:instrText>
      </w:r>
      <w:r>
        <w:rPr>
          <w:color w:val="auto"/>
          <w:sz w:val="24"/>
          <w:szCs w:val="32"/>
        </w:rPr>
        <w:fldChar w:fldCharType="separate"/>
      </w:r>
      <w:r>
        <w:rPr>
          <w:color w:val="auto"/>
          <w:sz w:val="24"/>
          <w:szCs w:val="32"/>
        </w:rPr>
        <w:t>- 1 -</w:t>
      </w:r>
      <w:r>
        <w:rPr>
          <w:color w:val="auto"/>
          <w:sz w:val="24"/>
          <w:szCs w:val="32"/>
        </w:rPr>
        <w:fldChar w:fldCharType="end"/>
      </w:r>
      <w:r>
        <w:rPr>
          <w:color w:val="auto"/>
          <w:sz w:val="24"/>
          <w:szCs w:val="32"/>
        </w:rPr>
        <w:fldChar w:fldCharType="end"/>
      </w:r>
    </w:p>
    <w:p w14:paraId="0EE7C19D">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"_Toc97323087" </w:instrText>
      </w:r>
      <w:r>
        <w:rPr>
          <w:color w:val="auto"/>
          <w:sz w:val="24"/>
          <w:szCs w:val="32"/>
        </w:rPr>
        <w:fldChar w:fldCharType="separate"/>
      </w:r>
      <w:r>
        <w:rPr>
          <w:rStyle w:val="29"/>
          <w:snapToGrid w:val="0"/>
          <w:color w:val="auto"/>
          <w:sz w:val="24"/>
          <w:szCs w:val="32"/>
        </w:rPr>
        <w:t>1.3环境保护对象和敏感目标</w:t>
      </w:r>
      <w:r>
        <w:rPr>
          <w:color w:val="auto"/>
          <w:sz w:val="24"/>
          <w:szCs w:val="32"/>
        </w:rPr>
        <w:tab/>
      </w:r>
      <w:r>
        <w:rPr>
          <w:color w:val="auto"/>
          <w:sz w:val="24"/>
          <w:szCs w:val="32"/>
        </w:rPr>
        <w:fldChar w:fldCharType="begin"/>
      </w:r>
      <w:r>
        <w:rPr>
          <w:color w:val="auto"/>
          <w:sz w:val="24"/>
          <w:szCs w:val="32"/>
        </w:rPr>
        <w:instrText xml:space="preserve"> PAGEREF _Toc97323087 \h </w:instrText>
      </w:r>
      <w:r>
        <w:rPr>
          <w:color w:val="auto"/>
          <w:sz w:val="24"/>
          <w:szCs w:val="32"/>
        </w:rPr>
        <w:fldChar w:fldCharType="separate"/>
      </w:r>
      <w:r>
        <w:rPr>
          <w:color w:val="auto"/>
          <w:sz w:val="24"/>
          <w:szCs w:val="32"/>
        </w:rPr>
        <w:t>- 1 -</w:t>
      </w:r>
      <w:r>
        <w:rPr>
          <w:color w:val="auto"/>
          <w:sz w:val="24"/>
          <w:szCs w:val="32"/>
        </w:rPr>
        <w:fldChar w:fldCharType="end"/>
      </w:r>
      <w:r>
        <w:rPr>
          <w:color w:val="auto"/>
          <w:sz w:val="24"/>
          <w:szCs w:val="32"/>
        </w:rPr>
        <w:fldChar w:fldCharType="end"/>
      </w:r>
    </w:p>
    <w:p w14:paraId="7644A00E">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"_Toc97323088" </w:instrText>
      </w:r>
      <w:r>
        <w:rPr>
          <w:color w:val="auto"/>
          <w:sz w:val="24"/>
          <w:szCs w:val="32"/>
        </w:rPr>
        <w:fldChar w:fldCharType="separate"/>
      </w:r>
      <w:r>
        <w:rPr>
          <w:rStyle w:val="29"/>
          <w:snapToGrid w:val="0"/>
          <w:color w:val="auto"/>
          <w:sz w:val="24"/>
          <w:szCs w:val="32"/>
        </w:rPr>
        <w:t>1.4评价工作等级和评价范围</w:t>
      </w:r>
      <w:r>
        <w:rPr>
          <w:color w:val="auto"/>
          <w:sz w:val="24"/>
          <w:szCs w:val="32"/>
        </w:rPr>
        <w:tab/>
      </w:r>
      <w:r>
        <w:rPr>
          <w:color w:val="auto"/>
          <w:sz w:val="24"/>
          <w:szCs w:val="32"/>
        </w:rPr>
        <w:fldChar w:fldCharType="begin"/>
      </w:r>
      <w:r>
        <w:rPr>
          <w:color w:val="auto"/>
          <w:sz w:val="24"/>
          <w:szCs w:val="32"/>
        </w:rPr>
        <w:instrText xml:space="preserve"> PAGEREF _Toc97323088 \h </w:instrText>
      </w:r>
      <w:r>
        <w:rPr>
          <w:color w:val="auto"/>
          <w:sz w:val="24"/>
          <w:szCs w:val="32"/>
        </w:rPr>
        <w:fldChar w:fldCharType="separate"/>
      </w:r>
      <w:r>
        <w:rPr>
          <w:color w:val="auto"/>
          <w:sz w:val="24"/>
          <w:szCs w:val="32"/>
        </w:rPr>
        <w:t>- 4 -</w:t>
      </w:r>
      <w:r>
        <w:rPr>
          <w:color w:val="auto"/>
          <w:sz w:val="24"/>
          <w:szCs w:val="32"/>
        </w:rPr>
        <w:fldChar w:fldCharType="end"/>
      </w:r>
      <w:r>
        <w:rPr>
          <w:color w:val="auto"/>
          <w:sz w:val="24"/>
          <w:szCs w:val="32"/>
        </w:rPr>
        <w:fldChar w:fldCharType="end"/>
      </w:r>
    </w:p>
    <w:p w14:paraId="30CFB65B">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"_Toc97323089" </w:instrText>
      </w:r>
      <w:r>
        <w:rPr>
          <w:color w:val="auto"/>
          <w:sz w:val="24"/>
          <w:szCs w:val="32"/>
        </w:rPr>
        <w:fldChar w:fldCharType="separate"/>
      </w:r>
      <w:r>
        <w:rPr>
          <w:rStyle w:val="29"/>
          <w:snapToGrid w:val="0"/>
          <w:color w:val="auto"/>
          <w:sz w:val="24"/>
          <w:szCs w:val="32"/>
        </w:rPr>
        <w:t>1.5工作内容</w:t>
      </w:r>
      <w:r>
        <w:rPr>
          <w:color w:val="auto"/>
          <w:sz w:val="24"/>
          <w:szCs w:val="32"/>
        </w:rPr>
        <w:tab/>
      </w:r>
      <w:r>
        <w:rPr>
          <w:color w:val="auto"/>
          <w:sz w:val="24"/>
          <w:szCs w:val="32"/>
        </w:rPr>
        <w:fldChar w:fldCharType="begin"/>
      </w:r>
      <w:r>
        <w:rPr>
          <w:color w:val="auto"/>
          <w:sz w:val="24"/>
          <w:szCs w:val="32"/>
        </w:rPr>
        <w:instrText xml:space="preserve"> PAGEREF _Toc97323089 \h </w:instrText>
      </w:r>
      <w:r>
        <w:rPr>
          <w:color w:val="auto"/>
          <w:sz w:val="24"/>
          <w:szCs w:val="32"/>
        </w:rPr>
        <w:fldChar w:fldCharType="separate"/>
      </w:r>
      <w:r>
        <w:rPr>
          <w:color w:val="auto"/>
          <w:sz w:val="24"/>
          <w:szCs w:val="32"/>
        </w:rPr>
        <w:t>- 5 -</w:t>
      </w:r>
      <w:r>
        <w:rPr>
          <w:color w:val="auto"/>
          <w:sz w:val="24"/>
          <w:szCs w:val="32"/>
        </w:rPr>
        <w:fldChar w:fldCharType="end"/>
      </w:r>
      <w:r>
        <w:rPr>
          <w:color w:val="auto"/>
          <w:sz w:val="24"/>
          <w:szCs w:val="32"/>
        </w:rPr>
        <w:fldChar w:fldCharType="end"/>
      </w:r>
    </w:p>
    <w:p w14:paraId="3F87CE2B">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"_Toc97323090" </w:instrText>
      </w:r>
      <w:r>
        <w:rPr>
          <w:color w:val="auto"/>
          <w:sz w:val="24"/>
          <w:szCs w:val="32"/>
        </w:rPr>
        <w:fldChar w:fldCharType="separate"/>
      </w:r>
      <w:r>
        <w:rPr>
          <w:rStyle w:val="29"/>
          <w:snapToGrid w:val="0"/>
          <w:color w:val="auto"/>
          <w:sz w:val="24"/>
          <w:szCs w:val="32"/>
        </w:rPr>
        <w:t>1.6评价因子与评价标准</w:t>
      </w:r>
      <w:r>
        <w:rPr>
          <w:color w:val="auto"/>
          <w:sz w:val="24"/>
          <w:szCs w:val="32"/>
        </w:rPr>
        <w:tab/>
      </w:r>
      <w:r>
        <w:rPr>
          <w:color w:val="auto"/>
          <w:sz w:val="24"/>
          <w:szCs w:val="32"/>
        </w:rPr>
        <w:fldChar w:fldCharType="begin"/>
      </w:r>
      <w:r>
        <w:rPr>
          <w:color w:val="auto"/>
          <w:sz w:val="24"/>
          <w:szCs w:val="32"/>
        </w:rPr>
        <w:instrText xml:space="preserve"> PAGEREF _Toc97323090 \h </w:instrText>
      </w:r>
      <w:r>
        <w:rPr>
          <w:color w:val="auto"/>
          <w:sz w:val="24"/>
          <w:szCs w:val="32"/>
        </w:rPr>
        <w:fldChar w:fldCharType="separate"/>
      </w:r>
      <w:r>
        <w:rPr>
          <w:color w:val="auto"/>
          <w:sz w:val="24"/>
          <w:szCs w:val="32"/>
        </w:rPr>
        <w:t>- 5 -</w:t>
      </w:r>
      <w:r>
        <w:rPr>
          <w:color w:val="auto"/>
          <w:sz w:val="24"/>
          <w:szCs w:val="32"/>
        </w:rPr>
        <w:fldChar w:fldCharType="end"/>
      </w:r>
      <w:r>
        <w:rPr>
          <w:color w:val="auto"/>
          <w:sz w:val="24"/>
          <w:szCs w:val="32"/>
        </w:rPr>
        <w:fldChar w:fldCharType="end"/>
      </w:r>
    </w:p>
    <w:p w14:paraId="45326CD4">
      <w:pPr>
        <w:pStyle w:val="19"/>
        <w:tabs>
          <w:tab w:val="right" w:leader="dot" w:pos="9060"/>
        </w:tabs>
        <w:spacing w:line="360" w:lineRule="auto"/>
        <w:rPr>
          <w:rFonts w:ascii="等线" w:hAnsi="等线" w:eastAsia="等线"/>
          <w:b/>
          <w:color w:val="auto"/>
          <w:sz w:val="24"/>
          <w:szCs w:val="32"/>
        </w:rPr>
      </w:pPr>
      <w:r>
        <w:rPr>
          <w:color w:val="auto"/>
          <w:sz w:val="24"/>
          <w:szCs w:val="32"/>
        </w:rPr>
        <w:fldChar w:fldCharType="begin"/>
      </w:r>
      <w:r>
        <w:rPr>
          <w:color w:val="auto"/>
          <w:sz w:val="24"/>
          <w:szCs w:val="32"/>
        </w:rPr>
        <w:instrText xml:space="preserve"> HYPERLINK \l "_Toc97323091" </w:instrText>
      </w:r>
      <w:r>
        <w:rPr>
          <w:color w:val="auto"/>
          <w:sz w:val="24"/>
          <w:szCs w:val="32"/>
        </w:rPr>
        <w:fldChar w:fldCharType="separate"/>
      </w:r>
      <w:r>
        <w:rPr>
          <w:rStyle w:val="29"/>
          <w:b/>
          <w:snapToGrid w:val="0"/>
          <w:color w:val="auto"/>
          <w:sz w:val="24"/>
          <w:szCs w:val="32"/>
        </w:rPr>
        <w:t>2大气环境现状评价</w:t>
      </w:r>
      <w:r>
        <w:rPr>
          <w:b/>
          <w:color w:val="auto"/>
          <w:sz w:val="24"/>
          <w:szCs w:val="32"/>
        </w:rPr>
        <w:tab/>
      </w:r>
      <w:r>
        <w:rPr>
          <w:b/>
          <w:color w:val="auto"/>
          <w:sz w:val="24"/>
          <w:szCs w:val="32"/>
        </w:rPr>
        <w:fldChar w:fldCharType="begin"/>
      </w:r>
      <w:r>
        <w:rPr>
          <w:b/>
          <w:color w:val="auto"/>
          <w:sz w:val="24"/>
          <w:szCs w:val="32"/>
        </w:rPr>
        <w:instrText xml:space="preserve"> PAGEREF _Toc97323091 \h </w:instrText>
      </w:r>
      <w:r>
        <w:rPr>
          <w:b/>
          <w:color w:val="auto"/>
          <w:sz w:val="24"/>
          <w:szCs w:val="32"/>
        </w:rPr>
        <w:fldChar w:fldCharType="separate"/>
      </w:r>
      <w:r>
        <w:rPr>
          <w:b/>
          <w:color w:val="auto"/>
          <w:sz w:val="24"/>
          <w:szCs w:val="32"/>
        </w:rPr>
        <w:t>- 7 -</w:t>
      </w:r>
      <w:r>
        <w:rPr>
          <w:b/>
          <w:color w:val="auto"/>
          <w:sz w:val="24"/>
          <w:szCs w:val="32"/>
        </w:rPr>
        <w:fldChar w:fldCharType="end"/>
      </w:r>
      <w:r>
        <w:rPr>
          <w:b/>
          <w:color w:val="auto"/>
          <w:sz w:val="24"/>
          <w:szCs w:val="32"/>
        </w:rPr>
        <w:fldChar w:fldCharType="end"/>
      </w:r>
    </w:p>
    <w:p w14:paraId="0EDECC64">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"_Toc97323092" </w:instrText>
      </w:r>
      <w:r>
        <w:rPr>
          <w:color w:val="auto"/>
          <w:sz w:val="24"/>
          <w:szCs w:val="32"/>
        </w:rPr>
        <w:fldChar w:fldCharType="separate"/>
      </w:r>
      <w:r>
        <w:rPr>
          <w:rStyle w:val="29"/>
          <w:snapToGrid w:val="0"/>
          <w:color w:val="auto"/>
          <w:sz w:val="24"/>
          <w:szCs w:val="32"/>
        </w:rPr>
        <w:t>2.1达标区判定</w:t>
      </w:r>
      <w:r>
        <w:rPr>
          <w:color w:val="auto"/>
          <w:sz w:val="24"/>
          <w:szCs w:val="32"/>
        </w:rPr>
        <w:tab/>
      </w:r>
      <w:r>
        <w:rPr>
          <w:color w:val="auto"/>
          <w:sz w:val="24"/>
          <w:szCs w:val="32"/>
        </w:rPr>
        <w:fldChar w:fldCharType="begin"/>
      </w:r>
      <w:r>
        <w:rPr>
          <w:color w:val="auto"/>
          <w:sz w:val="24"/>
          <w:szCs w:val="32"/>
        </w:rPr>
        <w:instrText xml:space="preserve"> PAGEREF _Toc97323092 \h </w:instrText>
      </w:r>
      <w:r>
        <w:rPr>
          <w:color w:val="auto"/>
          <w:sz w:val="24"/>
          <w:szCs w:val="32"/>
        </w:rPr>
        <w:fldChar w:fldCharType="separate"/>
      </w:r>
      <w:r>
        <w:rPr>
          <w:color w:val="auto"/>
          <w:sz w:val="24"/>
          <w:szCs w:val="32"/>
        </w:rPr>
        <w:t>- 7 -</w:t>
      </w:r>
      <w:r>
        <w:rPr>
          <w:color w:val="auto"/>
          <w:sz w:val="24"/>
          <w:szCs w:val="32"/>
        </w:rPr>
        <w:fldChar w:fldCharType="end"/>
      </w:r>
      <w:r>
        <w:rPr>
          <w:color w:val="auto"/>
          <w:sz w:val="24"/>
          <w:szCs w:val="32"/>
        </w:rPr>
        <w:fldChar w:fldCharType="end"/>
      </w:r>
    </w:p>
    <w:p w14:paraId="7DD7CA06">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"_Toc97323093" </w:instrText>
      </w:r>
      <w:r>
        <w:rPr>
          <w:color w:val="auto"/>
          <w:sz w:val="24"/>
          <w:szCs w:val="32"/>
        </w:rPr>
        <w:fldChar w:fldCharType="separate"/>
      </w:r>
      <w:r>
        <w:rPr>
          <w:rStyle w:val="29"/>
          <w:snapToGrid w:val="0"/>
          <w:color w:val="auto"/>
          <w:sz w:val="24"/>
          <w:szCs w:val="32"/>
        </w:rPr>
        <w:t>2.2大气环境质量达标战略</w:t>
      </w:r>
      <w:r>
        <w:rPr>
          <w:color w:val="auto"/>
          <w:sz w:val="24"/>
          <w:szCs w:val="32"/>
        </w:rPr>
        <w:tab/>
      </w:r>
      <w:r>
        <w:rPr>
          <w:color w:val="auto"/>
          <w:sz w:val="24"/>
          <w:szCs w:val="32"/>
        </w:rPr>
        <w:fldChar w:fldCharType="begin"/>
      </w:r>
      <w:r>
        <w:rPr>
          <w:color w:val="auto"/>
          <w:sz w:val="24"/>
          <w:szCs w:val="32"/>
        </w:rPr>
        <w:instrText xml:space="preserve"> PAGEREF _Toc97323093 \h </w:instrText>
      </w:r>
      <w:r>
        <w:rPr>
          <w:color w:val="auto"/>
          <w:sz w:val="24"/>
          <w:szCs w:val="32"/>
        </w:rPr>
        <w:fldChar w:fldCharType="separate"/>
      </w:r>
      <w:r>
        <w:rPr>
          <w:color w:val="auto"/>
          <w:sz w:val="24"/>
          <w:szCs w:val="32"/>
        </w:rPr>
        <w:t>- 7 -</w:t>
      </w:r>
      <w:r>
        <w:rPr>
          <w:color w:val="auto"/>
          <w:sz w:val="24"/>
          <w:szCs w:val="32"/>
        </w:rPr>
        <w:fldChar w:fldCharType="end"/>
      </w:r>
      <w:r>
        <w:rPr>
          <w:color w:val="auto"/>
          <w:sz w:val="24"/>
          <w:szCs w:val="32"/>
        </w:rPr>
        <w:fldChar w:fldCharType="end"/>
      </w:r>
    </w:p>
    <w:p w14:paraId="1915781E">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"_Toc97323094" </w:instrText>
      </w:r>
      <w:r>
        <w:rPr>
          <w:color w:val="auto"/>
          <w:sz w:val="24"/>
          <w:szCs w:val="32"/>
        </w:rPr>
        <w:fldChar w:fldCharType="separate"/>
      </w:r>
      <w:r>
        <w:rPr>
          <w:rStyle w:val="29"/>
          <w:snapToGrid w:val="0"/>
          <w:color w:val="auto"/>
          <w:sz w:val="24"/>
          <w:szCs w:val="32"/>
        </w:rPr>
        <w:t>2.3补充监测</w:t>
      </w:r>
      <w:r>
        <w:rPr>
          <w:color w:val="auto"/>
          <w:sz w:val="24"/>
          <w:szCs w:val="32"/>
        </w:rPr>
        <w:tab/>
      </w:r>
      <w:r>
        <w:rPr>
          <w:color w:val="auto"/>
          <w:sz w:val="24"/>
          <w:szCs w:val="32"/>
        </w:rPr>
        <w:fldChar w:fldCharType="begin"/>
      </w:r>
      <w:r>
        <w:rPr>
          <w:color w:val="auto"/>
          <w:sz w:val="24"/>
          <w:szCs w:val="32"/>
        </w:rPr>
        <w:instrText xml:space="preserve"> PAGEREF _Toc97323094 \h </w:instrText>
      </w:r>
      <w:r>
        <w:rPr>
          <w:color w:val="auto"/>
          <w:sz w:val="24"/>
          <w:szCs w:val="32"/>
        </w:rPr>
        <w:fldChar w:fldCharType="separate"/>
      </w:r>
      <w:r>
        <w:rPr>
          <w:color w:val="auto"/>
          <w:sz w:val="24"/>
          <w:szCs w:val="32"/>
        </w:rPr>
        <w:t>- 8 -</w:t>
      </w:r>
      <w:r>
        <w:rPr>
          <w:color w:val="auto"/>
          <w:sz w:val="24"/>
          <w:szCs w:val="32"/>
        </w:rPr>
        <w:fldChar w:fldCharType="end"/>
      </w:r>
      <w:r>
        <w:rPr>
          <w:color w:val="auto"/>
          <w:sz w:val="24"/>
          <w:szCs w:val="32"/>
        </w:rPr>
        <w:fldChar w:fldCharType="end"/>
      </w:r>
    </w:p>
    <w:p w14:paraId="0D237955">
      <w:pPr>
        <w:pStyle w:val="19"/>
        <w:tabs>
          <w:tab w:val="right" w:leader="dot" w:pos="9060"/>
        </w:tabs>
        <w:spacing w:line="360" w:lineRule="auto"/>
        <w:rPr>
          <w:rFonts w:ascii="等线" w:hAnsi="等线" w:eastAsia="等线"/>
          <w:b/>
          <w:color w:val="auto"/>
          <w:sz w:val="24"/>
          <w:szCs w:val="32"/>
        </w:rPr>
      </w:pPr>
      <w:r>
        <w:rPr>
          <w:color w:val="auto"/>
          <w:sz w:val="24"/>
          <w:szCs w:val="32"/>
        </w:rPr>
        <w:fldChar w:fldCharType="begin"/>
      </w:r>
      <w:r>
        <w:rPr>
          <w:color w:val="auto"/>
          <w:sz w:val="24"/>
          <w:szCs w:val="32"/>
        </w:rPr>
        <w:instrText xml:space="preserve"> HYPERLINK \l "_Toc97323095" </w:instrText>
      </w:r>
      <w:r>
        <w:rPr>
          <w:color w:val="auto"/>
          <w:sz w:val="24"/>
          <w:szCs w:val="32"/>
        </w:rPr>
        <w:fldChar w:fldCharType="separate"/>
      </w:r>
      <w:r>
        <w:rPr>
          <w:rStyle w:val="29"/>
          <w:b/>
          <w:snapToGrid w:val="0"/>
          <w:color w:val="auto"/>
          <w:sz w:val="24"/>
          <w:szCs w:val="32"/>
        </w:rPr>
        <w:t>3源强分析与环境影响预测</w:t>
      </w:r>
      <w:r>
        <w:rPr>
          <w:b/>
          <w:color w:val="auto"/>
          <w:sz w:val="24"/>
          <w:szCs w:val="32"/>
        </w:rPr>
        <w:tab/>
      </w:r>
      <w:r>
        <w:rPr>
          <w:b/>
          <w:color w:val="auto"/>
          <w:sz w:val="24"/>
          <w:szCs w:val="32"/>
        </w:rPr>
        <w:fldChar w:fldCharType="begin"/>
      </w:r>
      <w:r>
        <w:rPr>
          <w:b/>
          <w:color w:val="auto"/>
          <w:sz w:val="24"/>
          <w:szCs w:val="32"/>
        </w:rPr>
        <w:instrText xml:space="preserve"> PAGEREF _Toc97323095 \h </w:instrText>
      </w:r>
      <w:r>
        <w:rPr>
          <w:b/>
          <w:color w:val="auto"/>
          <w:sz w:val="24"/>
          <w:szCs w:val="32"/>
        </w:rPr>
        <w:fldChar w:fldCharType="separate"/>
      </w:r>
      <w:r>
        <w:rPr>
          <w:b/>
          <w:color w:val="auto"/>
          <w:sz w:val="24"/>
          <w:szCs w:val="32"/>
        </w:rPr>
        <w:t>- 9 -</w:t>
      </w:r>
      <w:r>
        <w:rPr>
          <w:b/>
          <w:color w:val="auto"/>
          <w:sz w:val="24"/>
          <w:szCs w:val="32"/>
        </w:rPr>
        <w:fldChar w:fldCharType="end"/>
      </w:r>
      <w:r>
        <w:rPr>
          <w:b/>
          <w:color w:val="auto"/>
          <w:sz w:val="24"/>
          <w:szCs w:val="32"/>
        </w:rPr>
        <w:fldChar w:fldCharType="end"/>
      </w:r>
    </w:p>
    <w:p w14:paraId="68B042A2">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"_Toc97323096" </w:instrText>
      </w:r>
      <w:r>
        <w:rPr>
          <w:color w:val="auto"/>
          <w:sz w:val="24"/>
          <w:szCs w:val="32"/>
        </w:rPr>
        <w:fldChar w:fldCharType="separate"/>
      </w:r>
      <w:r>
        <w:rPr>
          <w:rStyle w:val="29"/>
          <w:snapToGrid w:val="0"/>
          <w:color w:val="auto"/>
          <w:sz w:val="24"/>
          <w:szCs w:val="32"/>
        </w:rPr>
        <w:t>3.1废气源强核算</w:t>
      </w:r>
      <w:r>
        <w:rPr>
          <w:color w:val="auto"/>
          <w:sz w:val="24"/>
          <w:szCs w:val="32"/>
        </w:rPr>
        <w:tab/>
      </w:r>
      <w:r>
        <w:rPr>
          <w:color w:val="auto"/>
          <w:sz w:val="24"/>
          <w:szCs w:val="32"/>
        </w:rPr>
        <w:fldChar w:fldCharType="begin"/>
      </w:r>
      <w:r>
        <w:rPr>
          <w:color w:val="auto"/>
          <w:sz w:val="24"/>
          <w:szCs w:val="32"/>
        </w:rPr>
        <w:instrText xml:space="preserve"> PAGEREF _Toc97323096 \h </w:instrText>
      </w:r>
      <w:r>
        <w:rPr>
          <w:color w:val="auto"/>
          <w:sz w:val="24"/>
          <w:szCs w:val="32"/>
        </w:rPr>
        <w:fldChar w:fldCharType="separate"/>
      </w:r>
      <w:r>
        <w:rPr>
          <w:color w:val="auto"/>
          <w:sz w:val="24"/>
          <w:szCs w:val="32"/>
        </w:rPr>
        <w:t>- 9 -</w:t>
      </w:r>
      <w:r>
        <w:rPr>
          <w:color w:val="auto"/>
          <w:sz w:val="24"/>
          <w:szCs w:val="32"/>
        </w:rPr>
        <w:fldChar w:fldCharType="end"/>
      </w:r>
      <w:r>
        <w:rPr>
          <w:color w:val="auto"/>
          <w:sz w:val="24"/>
          <w:szCs w:val="32"/>
        </w:rPr>
        <w:fldChar w:fldCharType="end"/>
      </w:r>
    </w:p>
    <w:p w14:paraId="0CB358AB">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"_Toc97323097" </w:instrText>
      </w:r>
      <w:r>
        <w:rPr>
          <w:color w:val="auto"/>
          <w:sz w:val="24"/>
          <w:szCs w:val="32"/>
        </w:rPr>
        <w:fldChar w:fldCharType="separate"/>
      </w:r>
      <w:r>
        <w:rPr>
          <w:rStyle w:val="29"/>
          <w:snapToGrid w:val="0"/>
          <w:color w:val="auto"/>
          <w:sz w:val="24"/>
          <w:szCs w:val="32"/>
        </w:rPr>
        <w:t>3.2</w:t>
      </w:r>
      <w:r>
        <w:rPr>
          <w:rStyle w:val="29"/>
          <w:snapToGrid w:val="0"/>
          <w:color w:val="auto"/>
          <w:kern w:val="0"/>
          <w:sz w:val="24"/>
          <w:szCs w:val="32"/>
        </w:rPr>
        <w:t>废气收集、处理及排放方式汇总</w:t>
      </w:r>
      <w:r>
        <w:rPr>
          <w:color w:val="auto"/>
          <w:sz w:val="24"/>
          <w:szCs w:val="32"/>
        </w:rPr>
        <w:tab/>
      </w:r>
      <w:r>
        <w:rPr>
          <w:color w:val="auto"/>
          <w:sz w:val="24"/>
          <w:szCs w:val="32"/>
        </w:rPr>
        <w:fldChar w:fldCharType="begin"/>
      </w:r>
      <w:r>
        <w:rPr>
          <w:color w:val="auto"/>
          <w:sz w:val="24"/>
          <w:szCs w:val="32"/>
        </w:rPr>
        <w:instrText xml:space="preserve"> PAGEREF _Toc97323097 \h </w:instrText>
      </w:r>
      <w:r>
        <w:rPr>
          <w:color w:val="auto"/>
          <w:sz w:val="24"/>
          <w:szCs w:val="32"/>
        </w:rPr>
        <w:fldChar w:fldCharType="separate"/>
      </w:r>
      <w:r>
        <w:rPr>
          <w:color w:val="auto"/>
          <w:sz w:val="24"/>
          <w:szCs w:val="32"/>
        </w:rPr>
        <w:t>- 14 -</w:t>
      </w:r>
      <w:r>
        <w:rPr>
          <w:color w:val="auto"/>
          <w:sz w:val="24"/>
          <w:szCs w:val="32"/>
        </w:rPr>
        <w:fldChar w:fldCharType="end"/>
      </w:r>
      <w:r>
        <w:rPr>
          <w:color w:val="auto"/>
          <w:sz w:val="24"/>
          <w:szCs w:val="32"/>
        </w:rPr>
        <w:fldChar w:fldCharType="end"/>
      </w:r>
    </w:p>
    <w:p w14:paraId="38FE49C0">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"_Toc97323098" </w:instrText>
      </w:r>
      <w:r>
        <w:rPr>
          <w:color w:val="auto"/>
          <w:sz w:val="24"/>
          <w:szCs w:val="32"/>
        </w:rPr>
        <w:fldChar w:fldCharType="separate"/>
      </w:r>
      <w:r>
        <w:rPr>
          <w:rStyle w:val="29"/>
          <w:snapToGrid w:val="0"/>
          <w:color w:val="auto"/>
          <w:sz w:val="24"/>
          <w:szCs w:val="32"/>
        </w:rPr>
        <w:t>3.3</w:t>
      </w:r>
      <w:r>
        <w:rPr>
          <w:rStyle w:val="29"/>
          <w:snapToGrid w:val="0"/>
          <w:color w:val="auto"/>
          <w:kern w:val="0"/>
          <w:sz w:val="24"/>
          <w:szCs w:val="32"/>
        </w:rPr>
        <w:t>大气环境影响预测与评价</w:t>
      </w:r>
      <w:r>
        <w:rPr>
          <w:color w:val="auto"/>
          <w:sz w:val="24"/>
          <w:szCs w:val="32"/>
        </w:rPr>
        <w:tab/>
      </w:r>
      <w:r>
        <w:rPr>
          <w:color w:val="auto"/>
          <w:sz w:val="24"/>
          <w:szCs w:val="32"/>
        </w:rPr>
        <w:fldChar w:fldCharType="begin"/>
      </w:r>
      <w:r>
        <w:rPr>
          <w:color w:val="auto"/>
          <w:sz w:val="24"/>
          <w:szCs w:val="32"/>
        </w:rPr>
        <w:instrText xml:space="preserve"> PAGEREF _Toc97323098 \h </w:instrText>
      </w:r>
      <w:r>
        <w:rPr>
          <w:color w:val="auto"/>
          <w:sz w:val="24"/>
          <w:szCs w:val="32"/>
        </w:rPr>
        <w:fldChar w:fldCharType="separate"/>
      </w:r>
      <w:r>
        <w:rPr>
          <w:color w:val="auto"/>
          <w:sz w:val="24"/>
          <w:szCs w:val="32"/>
        </w:rPr>
        <w:t>- 16 -</w:t>
      </w:r>
      <w:r>
        <w:rPr>
          <w:color w:val="auto"/>
          <w:sz w:val="24"/>
          <w:szCs w:val="32"/>
        </w:rPr>
        <w:fldChar w:fldCharType="end"/>
      </w:r>
      <w:r>
        <w:rPr>
          <w:color w:val="auto"/>
          <w:sz w:val="24"/>
          <w:szCs w:val="32"/>
        </w:rPr>
        <w:fldChar w:fldCharType="end"/>
      </w:r>
    </w:p>
    <w:p w14:paraId="30437516">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"_Toc97323101" </w:instrText>
      </w:r>
      <w:r>
        <w:rPr>
          <w:color w:val="auto"/>
          <w:sz w:val="24"/>
          <w:szCs w:val="32"/>
        </w:rPr>
        <w:fldChar w:fldCharType="separate"/>
      </w:r>
      <w:r>
        <w:rPr>
          <w:rStyle w:val="29"/>
          <w:snapToGrid w:val="0"/>
          <w:color w:val="auto"/>
          <w:sz w:val="24"/>
          <w:szCs w:val="32"/>
        </w:rPr>
        <w:t>3.</w:t>
      </w:r>
      <w:r>
        <w:rPr>
          <w:rStyle w:val="29"/>
          <w:rFonts w:hint="eastAsia"/>
          <w:snapToGrid w:val="0"/>
          <w:color w:val="auto"/>
          <w:sz w:val="24"/>
          <w:szCs w:val="32"/>
          <w:lang w:val="en-US" w:eastAsia="zh-CN"/>
        </w:rPr>
        <w:t>4</w:t>
      </w:r>
      <w:r>
        <w:rPr>
          <w:rStyle w:val="29"/>
          <w:snapToGrid w:val="0"/>
          <w:color w:val="auto"/>
          <w:kern w:val="0"/>
          <w:sz w:val="24"/>
          <w:szCs w:val="32"/>
        </w:rPr>
        <w:t>监测计划</w:t>
      </w:r>
      <w:r>
        <w:rPr>
          <w:color w:val="auto"/>
          <w:sz w:val="24"/>
          <w:szCs w:val="32"/>
        </w:rPr>
        <w:tab/>
      </w:r>
      <w:r>
        <w:rPr>
          <w:color w:val="auto"/>
          <w:sz w:val="24"/>
          <w:szCs w:val="32"/>
        </w:rPr>
        <w:fldChar w:fldCharType="begin"/>
      </w:r>
      <w:r>
        <w:rPr>
          <w:color w:val="auto"/>
          <w:sz w:val="24"/>
          <w:szCs w:val="32"/>
        </w:rPr>
        <w:instrText xml:space="preserve"> PAGEREF _Toc97323101 \h </w:instrText>
      </w:r>
      <w:r>
        <w:rPr>
          <w:color w:val="auto"/>
          <w:sz w:val="24"/>
          <w:szCs w:val="32"/>
        </w:rPr>
        <w:fldChar w:fldCharType="separate"/>
      </w:r>
      <w:r>
        <w:rPr>
          <w:color w:val="auto"/>
          <w:sz w:val="24"/>
          <w:szCs w:val="32"/>
        </w:rPr>
        <w:t>- 19 -</w:t>
      </w:r>
      <w:r>
        <w:rPr>
          <w:color w:val="auto"/>
          <w:sz w:val="24"/>
          <w:szCs w:val="32"/>
        </w:rPr>
        <w:fldChar w:fldCharType="end"/>
      </w:r>
      <w:r>
        <w:rPr>
          <w:color w:val="auto"/>
          <w:sz w:val="24"/>
          <w:szCs w:val="32"/>
        </w:rPr>
        <w:fldChar w:fldCharType="end"/>
      </w:r>
    </w:p>
    <w:p w14:paraId="3B7610AD">
      <w:pPr>
        <w:pStyle w:val="19"/>
        <w:tabs>
          <w:tab w:val="right" w:leader="dot" w:pos="9060"/>
        </w:tabs>
        <w:spacing w:line="360" w:lineRule="auto"/>
        <w:rPr>
          <w:rFonts w:ascii="等线" w:hAnsi="等线" w:eastAsia="等线"/>
          <w:b/>
          <w:color w:val="auto"/>
          <w:sz w:val="24"/>
          <w:szCs w:val="32"/>
        </w:rPr>
      </w:pPr>
      <w:r>
        <w:rPr>
          <w:color w:val="auto"/>
          <w:sz w:val="24"/>
          <w:szCs w:val="32"/>
        </w:rPr>
        <w:fldChar w:fldCharType="begin"/>
      </w:r>
      <w:r>
        <w:rPr>
          <w:color w:val="auto"/>
          <w:sz w:val="24"/>
          <w:szCs w:val="32"/>
        </w:rPr>
        <w:instrText xml:space="preserve"> HYPERLINK \l "_Toc97323103" </w:instrText>
      </w:r>
      <w:r>
        <w:rPr>
          <w:color w:val="auto"/>
          <w:sz w:val="24"/>
          <w:szCs w:val="32"/>
        </w:rPr>
        <w:fldChar w:fldCharType="separate"/>
      </w:r>
      <w:r>
        <w:rPr>
          <w:rStyle w:val="29"/>
          <w:b/>
          <w:snapToGrid w:val="0"/>
          <w:color w:val="auto"/>
          <w:sz w:val="24"/>
          <w:szCs w:val="32"/>
        </w:rPr>
        <w:t>4污染防治措施</w:t>
      </w:r>
      <w:r>
        <w:rPr>
          <w:b/>
          <w:color w:val="auto"/>
          <w:sz w:val="24"/>
          <w:szCs w:val="32"/>
        </w:rPr>
        <w:tab/>
      </w:r>
      <w:r>
        <w:rPr>
          <w:b/>
          <w:color w:val="auto"/>
          <w:sz w:val="24"/>
          <w:szCs w:val="32"/>
        </w:rPr>
        <w:fldChar w:fldCharType="begin"/>
      </w:r>
      <w:r>
        <w:rPr>
          <w:b/>
          <w:color w:val="auto"/>
          <w:sz w:val="24"/>
          <w:szCs w:val="32"/>
        </w:rPr>
        <w:instrText xml:space="preserve"> PAGEREF _Toc97323103 \h </w:instrText>
      </w:r>
      <w:r>
        <w:rPr>
          <w:b/>
          <w:color w:val="auto"/>
          <w:sz w:val="24"/>
          <w:szCs w:val="32"/>
        </w:rPr>
        <w:fldChar w:fldCharType="separate"/>
      </w:r>
      <w:r>
        <w:rPr>
          <w:b/>
          <w:color w:val="auto"/>
          <w:sz w:val="24"/>
          <w:szCs w:val="32"/>
        </w:rPr>
        <w:t>- 21 -</w:t>
      </w:r>
      <w:r>
        <w:rPr>
          <w:b/>
          <w:color w:val="auto"/>
          <w:sz w:val="24"/>
          <w:szCs w:val="32"/>
        </w:rPr>
        <w:fldChar w:fldCharType="end"/>
      </w:r>
      <w:r>
        <w:rPr>
          <w:b/>
          <w:color w:val="auto"/>
          <w:sz w:val="24"/>
          <w:szCs w:val="32"/>
        </w:rPr>
        <w:fldChar w:fldCharType="end"/>
      </w:r>
    </w:p>
    <w:p w14:paraId="3D438E42">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"_Toc97323104" </w:instrText>
      </w:r>
      <w:r>
        <w:rPr>
          <w:color w:val="auto"/>
          <w:sz w:val="24"/>
          <w:szCs w:val="32"/>
        </w:rPr>
        <w:fldChar w:fldCharType="separate"/>
      </w:r>
      <w:r>
        <w:rPr>
          <w:rStyle w:val="29"/>
          <w:snapToGrid w:val="0"/>
          <w:color w:val="auto"/>
          <w:sz w:val="24"/>
          <w:szCs w:val="32"/>
        </w:rPr>
        <w:t>4.1废气收集和处理措施概述</w:t>
      </w:r>
      <w:r>
        <w:rPr>
          <w:color w:val="auto"/>
          <w:sz w:val="24"/>
          <w:szCs w:val="32"/>
        </w:rPr>
        <w:tab/>
      </w:r>
      <w:r>
        <w:rPr>
          <w:color w:val="auto"/>
          <w:sz w:val="24"/>
          <w:szCs w:val="32"/>
        </w:rPr>
        <w:fldChar w:fldCharType="begin"/>
      </w:r>
      <w:r>
        <w:rPr>
          <w:color w:val="auto"/>
          <w:sz w:val="24"/>
          <w:szCs w:val="32"/>
        </w:rPr>
        <w:instrText xml:space="preserve"> PAGEREF _Toc97323104 \h </w:instrText>
      </w:r>
      <w:r>
        <w:rPr>
          <w:color w:val="auto"/>
          <w:sz w:val="24"/>
          <w:szCs w:val="32"/>
        </w:rPr>
        <w:fldChar w:fldCharType="separate"/>
      </w:r>
      <w:r>
        <w:rPr>
          <w:color w:val="auto"/>
          <w:sz w:val="24"/>
          <w:szCs w:val="32"/>
        </w:rPr>
        <w:t>- 21 -</w:t>
      </w:r>
      <w:r>
        <w:rPr>
          <w:color w:val="auto"/>
          <w:sz w:val="24"/>
          <w:szCs w:val="32"/>
        </w:rPr>
        <w:fldChar w:fldCharType="end"/>
      </w:r>
      <w:r>
        <w:rPr>
          <w:color w:val="auto"/>
          <w:sz w:val="24"/>
          <w:szCs w:val="32"/>
        </w:rPr>
        <w:fldChar w:fldCharType="end"/>
      </w:r>
    </w:p>
    <w:p w14:paraId="1FB1E37C">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"_Toc97323105" </w:instrText>
      </w:r>
      <w:r>
        <w:rPr>
          <w:color w:val="auto"/>
          <w:sz w:val="24"/>
          <w:szCs w:val="32"/>
        </w:rPr>
        <w:fldChar w:fldCharType="separate"/>
      </w:r>
      <w:r>
        <w:rPr>
          <w:rStyle w:val="29"/>
          <w:snapToGrid w:val="0"/>
          <w:color w:val="auto"/>
          <w:sz w:val="24"/>
          <w:szCs w:val="32"/>
        </w:rPr>
        <w:t>4.2有组织废气防治措施概述</w:t>
      </w:r>
      <w:r>
        <w:rPr>
          <w:color w:val="auto"/>
          <w:sz w:val="24"/>
          <w:szCs w:val="32"/>
        </w:rPr>
        <w:tab/>
      </w:r>
      <w:r>
        <w:rPr>
          <w:color w:val="auto"/>
          <w:sz w:val="24"/>
          <w:szCs w:val="32"/>
        </w:rPr>
        <w:fldChar w:fldCharType="begin"/>
      </w:r>
      <w:r>
        <w:rPr>
          <w:color w:val="auto"/>
          <w:sz w:val="24"/>
          <w:szCs w:val="32"/>
        </w:rPr>
        <w:instrText xml:space="preserve"> PAGEREF _Toc97323105 \h </w:instrText>
      </w:r>
      <w:r>
        <w:rPr>
          <w:color w:val="auto"/>
          <w:sz w:val="24"/>
          <w:szCs w:val="32"/>
        </w:rPr>
        <w:fldChar w:fldCharType="separate"/>
      </w:r>
      <w:r>
        <w:rPr>
          <w:color w:val="auto"/>
          <w:sz w:val="24"/>
          <w:szCs w:val="32"/>
        </w:rPr>
        <w:t>- 21 -</w:t>
      </w:r>
      <w:r>
        <w:rPr>
          <w:color w:val="auto"/>
          <w:sz w:val="24"/>
          <w:szCs w:val="32"/>
        </w:rPr>
        <w:fldChar w:fldCharType="end"/>
      </w:r>
      <w:r>
        <w:rPr>
          <w:color w:val="auto"/>
          <w:sz w:val="24"/>
          <w:szCs w:val="32"/>
        </w:rPr>
        <w:fldChar w:fldCharType="end"/>
      </w:r>
    </w:p>
    <w:p w14:paraId="16F1F3F8">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"_Toc97323106" </w:instrText>
      </w:r>
      <w:r>
        <w:rPr>
          <w:color w:val="auto"/>
          <w:sz w:val="24"/>
          <w:szCs w:val="32"/>
        </w:rPr>
        <w:fldChar w:fldCharType="separate"/>
      </w:r>
      <w:r>
        <w:rPr>
          <w:rStyle w:val="29"/>
          <w:snapToGrid w:val="0"/>
          <w:color w:val="auto"/>
          <w:sz w:val="24"/>
          <w:szCs w:val="32"/>
        </w:rPr>
        <w:t>4.3无组织废气防治措施概述</w:t>
      </w:r>
      <w:r>
        <w:rPr>
          <w:color w:val="auto"/>
          <w:sz w:val="24"/>
          <w:szCs w:val="32"/>
        </w:rPr>
        <w:tab/>
      </w:r>
      <w:r>
        <w:rPr>
          <w:color w:val="auto"/>
          <w:sz w:val="24"/>
          <w:szCs w:val="32"/>
        </w:rPr>
        <w:fldChar w:fldCharType="begin"/>
      </w:r>
      <w:r>
        <w:rPr>
          <w:color w:val="auto"/>
          <w:sz w:val="24"/>
          <w:szCs w:val="32"/>
        </w:rPr>
        <w:instrText xml:space="preserve"> PAGEREF _Toc97323106 \h </w:instrText>
      </w:r>
      <w:r>
        <w:rPr>
          <w:color w:val="auto"/>
          <w:sz w:val="24"/>
          <w:szCs w:val="32"/>
        </w:rPr>
        <w:fldChar w:fldCharType="separate"/>
      </w:r>
      <w:r>
        <w:rPr>
          <w:color w:val="auto"/>
          <w:sz w:val="24"/>
          <w:szCs w:val="32"/>
        </w:rPr>
        <w:t>- 22 -</w:t>
      </w:r>
      <w:r>
        <w:rPr>
          <w:color w:val="auto"/>
          <w:sz w:val="24"/>
          <w:szCs w:val="32"/>
        </w:rPr>
        <w:fldChar w:fldCharType="end"/>
      </w:r>
      <w:r>
        <w:rPr>
          <w:color w:val="auto"/>
          <w:sz w:val="24"/>
          <w:szCs w:val="32"/>
        </w:rPr>
        <w:fldChar w:fldCharType="end"/>
      </w:r>
    </w:p>
    <w:p w14:paraId="7DEEC959">
      <w:pPr>
        <w:pStyle w:val="19"/>
        <w:tabs>
          <w:tab w:val="right" w:leader="dot" w:pos="9060"/>
        </w:tabs>
        <w:spacing w:line="360" w:lineRule="auto"/>
        <w:rPr>
          <w:rFonts w:ascii="等线" w:hAnsi="等线" w:eastAsia="等线"/>
          <w:b/>
          <w:color w:val="auto"/>
          <w:sz w:val="24"/>
          <w:szCs w:val="32"/>
        </w:rPr>
      </w:pPr>
      <w:r>
        <w:rPr>
          <w:color w:val="auto"/>
          <w:sz w:val="24"/>
          <w:szCs w:val="32"/>
        </w:rPr>
        <w:fldChar w:fldCharType="begin"/>
      </w:r>
      <w:r>
        <w:rPr>
          <w:color w:val="auto"/>
          <w:sz w:val="24"/>
          <w:szCs w:val="32"/>
        </w:rPr>
        <w:instrText xml:space="preserve"> HYPERLINK \l "_Toc97323109" </w:instrText>
      </w:r>
      <w:r>
        <w:rPr>
          <w:color w:val="auto"/>
          <w:sz w:val="24"/>
          <w:szCs w:val="32"/>
        </w:rPr>
        <w:fldChar w:fldCharType="separate"/>
      </w:r>
      <w:r>
        <w:rPr>
          <w:rStyle w:val="29"/>
          <w:b/>
          <w:snapToGrid w:val="0"/>
          <w:color w:val="auto"/>
          <w:sz w:val="24"/>
          <w:szCs w:val="32"/>
        </w:rPr>
        <w:t>5结论与建议</w:t>
      </w:r>
      <w:r>
        <w:rPr>
          <w:b/>
          <w:color w:val="auto"/>
          <w:sz w:val="24"/>
          <w:szCs w:val="32"/>
        </w:rPr>
        <w:tab/>
      </w:r>
      <w:r>
        <w:rPr>
          <w:b/>
          <w:color w:val="auto"/>
          <w:sz w:val="24"/>
          <w:szCs w:val="32"/>
        </w:rPr>
        <w:fldChar w:fldCharType="begin"/>
      </w:r>
      <w:r>
        <w:rPr>
          <w:b/>
          <w:color w:val="auto"/>
          <w:sz w:val="24"/>
          <w:szCs w:val="32"/>
        </w:rPr>
        <w:instrText xml:space="preserve"> PAGEREF _Toc97323109 \h </w:instrText>
      </w:r>
      <w:r>
        <w:rPr>
          <w:b/>
          <w:color w:val="auto"/>
          <w:sz w:val="24"/>
          <w:szCs w:val="32"/>
        </w:rPr>
        <w:fldChar w:fldCharType="separate"/>
      </w:r>
      <w:r>
        <w:rPr>
          <w:b/>
          <w:color w:val="auto"/>
          <w:sz w:val="24"/>
          <w:szCs w:val="32"/>
        </w:rPr>
        <w:t>- 23 -</w:t>
      </w:r>
      <w:r>
        <w:rPr>
          <w:b/>
          <w:color w:val="auto"/>
          <w:sz w:val="24"/>
          <w:szCs w:val="32"/>
        </w:rPr>
        <w:fldChar w:fldCharType="end"/>
      </w:r>
      <w:r>
        <w:rPr>
          <w:b/>
          <w:color w:val="auto"/>
          <w:sz w:val="24"/>
          <w:szCs w:val="32"/>
        </w:rPr>
        <w:fldChar w:fldCharType="end"/>
      </w:r>
    </w:p>
    <w:p w14:paraId="3944D620">
      <w:pPr>
        <w:pStyle w:val="20"/>
        <w:tabs>
          <w:tab w:val="right" w:leader="dot" w:pos="9060"/>
        </w:tabs>
        <w:spacing w:line="360" w:lineRule="auto"/>
        <w:ind w:left="518"/>
        <w:rPr>
          <w:rFonts w:ascii="等线" w:hAnsi="等线" w:eastAsia="等线"/>
          <w:color w:val="auto"/>
          <w:sz w:val="24"/>
          <w:szCs w:val="32"/>
        </w:rPr>
      </w:pPr>
      <w:r>
        <w:rPr>
          <w:color w:val="auto"/>
          <w:sz w:val="24"/>
          <w:szCs w:val="32"/>
        </w:rPr>
        <w:fldChar w:fldCharType="begin"/>
      </w:r>
      <w:r>
        <w:rPr>
          <w:color w:val="auto"/>
          <w:sz w:val="24"/>
          <w:szCs w:val="32"/>
        </w:rPr>
        <w:instrText xml:space="preserve"> HYPERLINK \l "_Toc97323110" </w:instrText>
      </w:r>
      <w:r>
        <w:rPr>
          <w:color w:val="auto"/>
          <w:sz w:val="24"/>
          <w:szCs w:val="32"/>
        </w:rPr>
        <w:fldChar w:fldCharType="separate"/>
      </w:r>
      <w:r>
        <w:rPr>
          <w:rStyle w:val="29"/>
          <w:snapToGrid w:val="0"/>
          <w:color w:val="auto"/>
          <w:sz w:val="24"/>
          <w:szCs w:val="32"/>
        </w:rPr>
        <w:t>5.1结论</w:t>
      </w:r>
      <w:r>
        <w:rPr>
          <w:color w:val="auto"/>
          <w:sz w:val="24"/>
          <w:szCs w:val="32"/>
        </w:rPr>
        <w:tab/>
      </w:r>
      <w:r>
        <w:rPr>
          <w:color w:val="auto"/>
          <w:sz w:val="24"/>
          <w:szCs w:val="32"/>
        </w:rPr>
        <w:fldChar w:fldCharType="begin"/>
      </w:r>
      <w:r>
        <w:rPr>
          <w:color w:val="auto"/>
          <w:sz w:val="24"/>
          <w:szCs w:val="32"/>
        </w:rPr>
        <w:instrText xml:space="preserve"> PAGEREF _Toc97323110 \h </w:instrText>
      </w:r>
      <w:r>
        <w:rPr>
          <w:color w:val="auto"/>
          <w:sz w:val="24"/>
          <w:szCs w:val="32"/>
        </w:rPr>
        <w:fldChar w:fldCharType="separate"/>
      </w:r>
      <w:r>
        <w:rPr>
          <w:color w:val="auto"/>
          <w:sz w:val="24"/>
          <w:szCs w:val="32"/>
        </w:rPr>
        <w:t>- 23 -</w:t>
      </w:r>
      <w:r>
        <w:rPr>
          <w:color w:val="auto"/>
          <w:sz w:val="24"/>
          <w:szCs w:val="32"/>
        </w:rPr>
        <w:fldChar w:fldCharType="end"/>
      </w:r>
      <w:r>
        <w:rPr>
          <w:color w:val="auto"/>
          <w:sz w:val="24"/>
          <w:szCs w:val="32"/>
        </w:rPr>
        <w:fldChar w:fldCharType="end"/>
      </w:r>
    </w:p>
    <w:p w14:paraId="5918FA10">
      <w:pPr>
        <w:pStyle w:val="20"/>
        <w:tabs>
          <w:tab w:val="right" w:leader="dot" w:pos="9060"/>
        </w:tabs>
        <w:spacing w:line="360" w:lineRule="auto"/>
        <w:ind w:left="518"/>
        <w:rPr>
          <w:color w:val="auto"/>
          <w:sz w:val="24"/>
          <w:szCs w:val="32"/>
        </w:rPr>
      </w:pPr>
      <w:r>
        <w:rPr>
          <w:color w:val="auto"/>
          <w:sz w:val="24"/>
          <w:szCs w:val="32"/>
        </w:rPr>
        <w:fldChar w:fldCharType="begin"/>
      </w:r>
      <w:r>
        <w:rPr>
          <w:color w:val="auto"/>
          <w:sz w:val="24"/>
          <w:szCs w:val="32"/>
        </w:rPr>
        <w:instrText xml:space="preserve"> HYPERLINK \l "_Toc97323111" </w:instrText>
      </w:r>
      <w:r>
        <w:rPr>
          <w:color w:val="auto"/>
          <w:sz w:val="24"/>
          <w:szCs w:val="32"/>
        </w:rPr>
        <w:fldChar w:fldCharType="separate"/>
      </w:r>
      <w:r>
        <w:rPr>
          <w:rStyle w:val="29"/>
          <w:snapToGrid w:val="0"/>
          <w:color w:val="auto"/>
          <w:sz w:val="24"/>
          <w:szCs w:val="32"/>
        </w:rPr>
        <w:t>5.2建议</w:t>
      </w:r>
      <w:r>
        <w:rPr>
          <w:color w:val="auto"/>
          <w:sz w:val="24"/>
          <w:szCs w:val="32"/>
        </w:rPr>
        <w:tab/>
      </w:r>
      <w:r>
        <w:rPr>
          <w:color w:val="auto"/>
          <w:sz w:val="24"/>
          <w:szCs w:val="32"/>
        </w:rPr>
        <w:fldChar w:fldCharType="begin"/>
      </w:r>
      <w:r>
        <w:rPr>
          <w:color w:val="auto"/>
          <w:sz w:val="24"/>
          <w:szCs w:val="32"/>
        </w:rPr>
        <w:instrText xml:space="preserve"> PAGEREF _Toc97323111 \h </w:instrText>
      </w:r>
      <w:r>
        <w:rPr>
          <w:color w:val="auto"/>
          <w:sz w:val="24"/>
          <w:szCs w:val="32"/>
        </w:rPr>
        <w:fldChar w:fldCharType="separate"/>
      </w:r>
      <w:r>
        <w:rPr>
          <w:color w:val="auto"/>
          <w:sz w:val="24"/>
          <w:szCs w:val="32"/>
        </w:rPr>
        <w:t>- 23 -</w:t>
      </w:r>
      <w:r>
        <w:rPr>
          <w:color w:val="auto"/>
          <w:sz w:val="24"/>
          <w:szCs w:val="32"/>
        </w:rPr>
        <w:fldChar w:fldCharType="end"/>
      </w:r>
      <w:r>
        <w:rPr>
          <w:color w:val="auto"/>
          <w:sz w:val="24"/>
          <w:szCs w:val="32"/>
        </w:rPr>
        <w:fldChar w:fldCharType="end"/>
      </w:r>
    </w:p>
    <w:p w14:paraId="772B2166">
      <w:pPr>
        <w:rPr>
          <w:color w:val="auto"/>
        </w:rPr>
      </w:pPr>
    </w:p>
    <w:p w14:paraId="0DB76DEF">
      <w:pPr>
        <w:snapToGrid w:val="0"/>
        <w:rPr>
          <w:snapToGrid w:val="0"/>
          <w:color w:val="auto"/>
          <w:sz w:val="21"/>
          <w:szCs w:val="20"/>
        </w:rPr>
        <w:sectPr>
          <w:footerReference r:id="rId10" w:type="first"/>
          <w:pgSz w:w="11906" w:h="16838"/>
          <w:pgMar w:top="1440" w:right="1418" w:bottom="1440" w:left="1418" w:header="851" w:footer="992" w:gutter="0"/>
          <w:pgNumType w:start="1"/>
          <w:cols w:space="720" w:num="1"/>
          <w:titlePg/>
          <w:docGrid w:type="linesAndChars" w:linePitch="326" w:charSpace="3920"/>
        </w:sectPr>
      </w:pPr>
      <w:r>
        <w:rPr>
          <w:snapToGrid w:val="0"/>
          <w:color w:val="auto"/>
          <w:sz w:val="21"/>
          <w:szCs w:val="20"/>
        </w:rPr>
        <w:fldChar w:fldCharType="end"/>
      </w:r>
    </w:p>
    <w:p w14:paraId="5456957D">
      <w:pPr>
        <w:sectPr>
          <w:pgSz w:w="11906" w:h="16838"/>
          <w:pgMar w:top="1440" w:right="1418" w:bottom="1440" w:left="1418" w:header="851" w:footer="992" w:gutter="0"/>
          <w:pgNumType w:start="1"/>
          <w:cols w:space="720" w:num="1"/>
          <w:titlePg/>
          <w:docGrid w:type="linesAndChars" w:linePitch="326" w:charSpace="3920"/>
        </w:sectPr>
      </w:pPr>
    </w:p>
    <w:p w14:paraId="5B807186">
      <w:pPr>
        <w:pStyle w:val="3"/>
        <w:rPr>
          <w:snapToGrid w:val="0"/>
          <w:color w:val="auto"/>
        </w:rPr>
      </w:pPr>
      <w:bookmarkStart w:id="29" w:name="_Toc97323084"/>
      <w:r>
        <w:rPr>
          <w:snapToGrid w:val="0"/>
          <w:color w:val="auto"/>
        </w:rPr>
        <w:t>1总论</w:t>
      </w:r>
      <w:bookmarkEnd w:id="29"/>
    </w:p>
    <w:p w14:paraId="513F4A36">
      <w:pPr>
        <w:pStyle w:val="4"/>
        <w:rPr>
          <w:rFonts w:ascii="Times New Roman" w:hAnsi="Times New Roman"/>
          <w:snapToGrid w:val="0"/>
          <w:color w:val="auto"/>
        </w:rPr>
      </w:pPr>
      <w:bookmarkStart w:id="30" w:name="_Toc97323085"/>
      <w:r>
        <w:rPr>
          <w:rFonts w:ascii="Times New Roman" w:hAnsi="Times New Roman"/>
          <w:snapToGrid w:val="0"/>
          <w:color w:val="auto"/>
        </w:rPr>
        <w:t>1.1项目基本情况</w:t>
      </w:r>
      <w:bookmarkEnd w:id="30"/>
    </w:p>
    <w:p w14:paraId="052F7B94">
      <w:pPr>
        <w:pStyle w:val="67"/>
        <w:spacing w:line="360" w:lineRule="auto"/>
        <w:ind w:firstLine="518" w:firstLineChars="200"/>
        <w:rPr>
          <w:rFonts w:hint="default" w:ascii="Times New Roman" w:hAnsi="Times New Roman" w:cs="Times New Roman"/>
          <w:color w:val="auto"/>
          <w:spacing w:val="0"/>
          <w:position w:val="0"/>
          <w:sz w:val="24"/>
          <w:lang w:val="en-US" w:eastAsia="zh-CN"/>
        </w:rPr>
      </w:pPr>
      <w:r>
        <w:rPr>
          <w:rFonts w:hint="eastAsia" w:ascii="Times New Roman" w:hAnsi="Times New Roman" w:cs="Times New Roman"/>
          <w:color w:val="auto"/>
          <w:sz w:val="24"/>
          <w:highlight w:val="none"/>
          <w:lang w:val="en-US" w:eastAsia="zh-CN"/>
        </w:rPr>
        <w:t>安徽博越汽车安全系统有限公司</w:t>
      </w:r>
      <w:r>
        <w:rPr>
          <w:rFonts w:hint="default" w:ascii="Times New Roman" w:hAnsi="Times New Roman" w:cs="Times New Roman"/>
          <w:color w:val="auto"/>
          <w:sz w:val="24"/>
          <w:highlight w:val="none"/>
          <w:lang w:val="en-US" w:eastAsia="zh-CN"/>
        </w:rPr>
        <w:t>租赁</w:t>
      </w:r>
      <w:r>
        <w:rPr>
          <w:rFonts w:hint="eastAsia" w:ascii="Times New Roman" w:hAnsi="Times New Roman" w:cs="Times New Roman"/>
          <w:color w:val="auto"/>
          <w:sz w:val="24"/>
          <w:highlight w:val="none"/>
          <w:lang w:eastAsia="zh-CN"/>
        </w:rPr>
        <w:t>安徽省淮南市高新区合创产业园9号厂房</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建筑面积为</w:t>
      </w:r>
      <w:r>
        <w:rPr>
          <w:rFonts w:hint="default" w:ascii="Times New Roman" w:hAnsi="Times New Roman" w:cs="Times New Roman"/>
          <w:color w:val="auto"/>
          <w:sz w:val="24"/>
          <w:highlight w:val="none"/>
          <w:lang w:eastAsia="zh-CN"/>
        </w:rPr>
        <w:t>10000平方米）</w:t>
      </w:r>
      <w:r>
        <w:rPr>
          <w:rFonts w:hint="default" w:ascii="Times New Roman" w:hAnsi="Times New Roman" w:cs="Times New Roman"/>
          <w:color w:val="auto"/>
          <w:sz w:val="24"/>
          <w:highlight w:val="none"/>
          <w:lang w:val="en-US" w:eastAsia="zh-CN"/>
        </w:rPr>
        <w:t>投</w:t>
      </w:r>
      <w:r>
        <w:rPr>
          <w:rFonts w:hint="default" w:ascii="Times New Roman" w:hAnsi="Times New Roman" w:cs="Times New Roman"/>
          <w:color w:val="auto"/>
          <w:sz w:val="24"/>
          <w:highlight w:val="none"/>
          <w:lang w:eastAsia="zh-CN"/>
        </w:rPr>
        <w:t>资</w:t>
      </w:r>
      <w:r>
        <w:rPr>
          <w:rFonts w:hint="default" w:ascii="Times New Roman" w:hAnsi="Times New Roman" w:cs="Times New Roman"/>
          <w:color w:val="auto"/>
          <w:sz w:val="24"/>
          <w:highlight w:val="none"/>
          <w:lang w:val="en-US" w:eastAsia="zh-CN"/>
        </w:rPr>
        <w:t>10000万元</w:t>
      </w:r>
      <w:r>
        <w:rPr>
          <w:rFonts w:hint="default" w:ascii="Times New Roman" w:hAnsi="Times New Roman" w:cs="Times New Roman"/>
          <w:color w:val="auto"/>
          <w:sz w:val="24"/>
          <w:highlight w:val="none"/>
          <w:lang w:eastAsia="zh-CN"/>
        </w:rPr>
        <w:t>建设“</w:t>
      </w:r>
      <w:r>
        <w:rPr>
          <w:rFonts w:hint="eastAsia" w:ascii="Times New Roman" w:hAnsi="Times New Roman" w:cs="Times New Roman"/>
          <w:color w:val="auto"/>
          <w:sz w:val="24"/>
          <w:highlight w:val="none"/>
          <w:lang w:val="en-US" w:eastAsia="zh-CN"/>
        </w:rPr>
        <w:t>汽车刹车片生产基地项目</w:t>
      </w:r>
      <w:r>
        <w:rPr>
          <w:rFonts w:hint="default" w:ascii="Times New Roman" w:hAnsi="Times New Roman" w:cs="Times New Roman"/>
          <w:color w:val="auto"/>
          <w:sz w:val="24"/>
          <w:highlight w:val="none"/>
          <w:lang w:eastAsia="zh-CN"/>
        </w:rPr>
        <w:t>”，该项目已于</w:t>
      </w:r>
      <w:r>
        <w:rPr>
          <w:rFonts w:hint="eastAsia" w:ascii="Times New Roman" w:hAnsi="Times New Roman" w:cs="Times New Roman"/>
          <w:color w:val="auto"/>
          <w:sz w:val="24"/>
          <w:highlight w:val="none"/>
          <w:lang w:eastAsia="zh-CN"/>
        </w:rPr>
        <w:t>2025年4月21日</w:t>
      </w:r>
      <w:r>
        <w:rPr>
          <w:rFonts w:hint="default" w:ascii="Times New Roman" w:hAnsi="Times New Roman" w:cs="Times New Roman"/>
          <w:color w:val="auto"/>
          <w:sz w:val="24"/>
          <w:highlight w:val="none"/>
          <w:lang w:eastAsia="zh-CN"/>
        </w:rPr>
        <w:t>获得淮南高新技术产业开发区管理委员会经济发展局备案文件（项目代码：</w:t>
      </w:r>
      <w:r>
        <w:rPr>
          <w:rFonts w:hint="eastAsia" w:ascii="Times New Roman" w:hAnsi="Times New Roman" w:cs="Times New Roman"/>
          <w:color w:val="auto"/>
          <w:sz w:val="24"/>
          <w:highlight w:val="none"/>
          <w:lang w:eastAsia="zh-CN"/>
        </w:rPr>
        <w:t>2504-340463-04-01-197929</w:t>
      </w:r>
      <w:r>
        <w:rPr>
          <w:rFonts w:hint="default" w:ascii="Times New Roman" w:hAnsi="Times New Roman" w:cs="Times New Roman"/>
          <w:color w:val="auto"/>
          <w:sz w:val="24"/>
          <w:highlight w:val="none"/>
          <w:lang w:eastAsia="zh-CN"/>
        </w:rPr>
        <w:t>）。项目购置热压机、磨床等设备，构建喷粉生产线。项目建成后可形成年产汽车刹车片200万套的生产能力</w:t>
      </w:r>
      <w:r>
        <w:rPr>
          <w:rFonts w:hint="default" w:ascii="Times New Roman" w:hAnsi="Times New Roman" w:cs="Times New Roman"/>
          <w:color w:val="auto"/>
          <w:spacing w:val="0"/>
          <w:position w:val="0"/>
          <w:sz w:val="24"/>
          <w:lang w:eastAsia="zh-CN"/>
        </w:rPr>
        <w:t>。</w:t>
      </w:r>
    </w:p>
    <w:p w14:paraId="2FC340EF">
      <w:pPr>
        <w:spacing w:line="480" w:lineRule="exact"/>
        <w:ind w:firstLine="518" w:firstLineChars="200"/>
        <w:rPr>
          <w:snapToGrid w:val="0"/>
          <w:color w:val="auto"/>
          <w:kern w:val="0"/>
        </w:rPr>
      </w:pPr>
      <w:r>
        <w:rPr>
          <w:rFonts w:hint="default" w:ascii="Times New Roman" w:hAnsi="Times New Roman" w:cs="Times New Roman"/>
          <w:color w:val="auto"/>
          <w:spacing w:val="0"/>
          <w:position w:val="0"/>
          <w:sz w:val="24"/>
        </w:rPr>
        <w:t>根据《建设项目环境影响报告表编制技术指南》（污染影响类）（试行），</w:t>
      </w:r>
      <w:r>
        <w:rPr>
          <w:rFonts w:hint="eastAsia" w:cs="Times New Roman"/>
          <w:color w:val="auto"/>
          <w:spacing w:val="0"/>
          <w:position w:val="0"/>
          <w:sz w:val="24"/>
          <w:lang w:eastAsia="zh-CN"/>
        </w:rPr>
        <w:t>安徽博越汽车安全系统有限公司汽车刹车片生产基地项目</w:t>
      </w:r>
      <w:r>
        <w:rPr>
          <w:rFonts w:hint="default" w:ascii="Times New Roman" w:hAnsi="Times New Roman" w:cs="Times New Roman"/>
          <w:color w:val="auto"/>
          <w:spacing w:val="0"/>
          <w:position w:val="0"/>
          <w:sz w:val="24"/>
        </w:rPr>
        <w:t>属于排放废气含有毒有害污染物</w:t>
      </w:r>
      <w:r>
        <w:rPr>
          <w:rFonts w:hint="eastAsia" w:cs="Times New Roman"/>
          <w:color w:val="auto"/>
          <w:spacing w:val="0"/>
          <w:position w:val="0"/>
          <w:sz w:val="24"/>
          <w:lang w:val="en-US" w:eastAsia="zh-CN"/>
        </w:rPr>
        <w:t>甲醛</w:t>
      </w:r>
      <w:r>
        <w:rPr>
          <w:rFonts w:hint="default" w:ascii="Times New Roman" w:hAnsi="Times New Roman" w:cs="Times New Roman"/>
          <w:color w:val="auto"/>
          <w:spacing w:val="0"/>
          <w:position w:val="0"/>
          <w:sz w:val="24"/>
        </w:rPr>
        <w:t>且厂界外500米范围内有环境空气保护目标的建设项目，应当编制大气环境影响专项评价</w:t>
      </w:r>
      <w:r>
        <w:rPr>
          <w:snapToGrid w:val="0"/>
          <w:color w:val="auto"/>
          <w:kern w:val="0"/>
        </w:rPr>
        <w:t>。</w:t>
      </w:r>
    </w:p>
    <w:p w14:paraId="2EFE723A">
      <w:pPr>
        <w:pStyle w:val="4"/>
        <w:rPr>
          <w:rFonts w:ascii="Times New Roman" w:hAnsi="Times New Roman"/>
          <w:snapToGrid w:val="0"/>
          <w:color w:val="auto"/>
        </w:rPr>
      </w:pPr>
      <w:bookmarkStart w:id="31" w:name="_Toc97323086"/>
      <w:r>
        <w:rPr>
          <w:rFonts w:ascii="Times New Roman" w:hAnsi="Times New Roman"/>
          <w:snapToGrid w:val="0"/>
          <w:color w:val="auto"/>
        </w:rPr>
        <w:t>1.2编制依据</w:t>
      </w:r>
      <w:bookmarkEnd w:id="31"/>
    </w:p>
    <w:p w14:paraId="5DE85DC0">
      <w:pPr>
        <w:spacing w:line="360" w:lineRule="auto"/>
        <w:ind w:firstLine="564" w:firstLineChars="218"/>
        <w:rPr>
          <w:snapToGrid w:val="0"/>
          <w:color w:val="auto"/>
          <w:sz w:val="24"/>
          <w:szCs w:val="32"/>
        </w:rPr>
      </w:pPr>
      <w:r>
        <w:rPr>
          <w:snapToGrid w:val="0"/>
          <w:color w:val="auto"/>
          <w:sz w:val="24"/>
          <w:szCs w:val="32"/>
        </w:rPr>
        <w:t>1.《</w:t>
      </w:r>
      <w:r>
        <w:rPr>
          <w:rFonts w:hint="eastAsia"/>
          <w:snapToGrid w:val="0"/>
          <w:color w:val="auto"/>
          <w:sz w:val="24"/>
          <w:szCs w:val="32"/>
        </w:rPr>
        <w:t>中华人民共和国生态环境法典</w:t>
      </w:r>
      <w:r>
        <w:rPr>
          <w:snapToGrid w:val="0"/>
          <w:color w:val="auto"/>
          <w:sz w:val="24"/>
          <w:szCs w:val="32"/>
        </w:rPr>
        <w:t>》(20</w:t>
      </w:r>
      <w:r>
        <w:rPr>
          <w:rFonts w:hint="eastAsia"/>
          <w:snapToGrid w:val="0"/>
          <w:color w:val="auto"/>
          <w:sz w:val="24"/>
          <w:szCs w:val="32"/>
          <w:lang w:val="en-US" w:eastAsia="zh-CN"/>
        </w:rPr>
        <w:t>26</w:t>
      </w:r>
      <w:r>
        <w:rPr>
          <w:snapToGrid w:val="0"/>
          <w:color w:val="auto"/>
          <w:sz w:val="24"/>
          <w:szCs w:val="32"/>
        </w:rPr>
        <w:t>年</w:t>
      </w:r>
      <w:r>
        <w:rPr>
          <w:rFonts w:hint="eastAsia"/>
          <w:snapToGrid w:val="0"/>
          <w:color w:val="auto"/>
          <w:sz w:val="24"/>
          <w:szCs w:val="32"/>
          <w:lang w:val="en-US" w:eastAsia="zh-CN"/>
        </w:rPr>
        <w:t>8</w:t>
      </w:r>
      <w:r>
        <w:rPr>
          <w:snapToGrid w:val="0"/>
          <w:color w:val="auto"/>
          <w:sz w:val="24"/>
          <w:szCs w:val="32"/>
        </w:rPr>
        <w:t>月</w:t>
      </w:r>
      <w:r>
        <w:rPr>
          <w:rFonts w:hint="eastAsia"/>
          <w:snapToGrid w:val="0"/>
          <w:color w:val="auto"/>
          <w:sz w:val="24"/>
          <w:szCs w:val="32"/>
          <w:lang w:val="en-US" w:eastAsia="zh-CN"/>
        </w:rPr>
        <w:t>15</w:t>
      </w:r>
      <w:r>
        <w:rPr>
          <w:snapToGrid w:val="0"/>
          <w:color w:val="auto"/>
          <w:sz w:val="24"/>
          <w:szCs w:val="32"/>
        </w:rPr>
        <w:t>日)；</w:t>
      </w:r>
    </w:p>
    <w:p w14:paraId="62949CC7">
      <w:pPr>
        <w:spacing w:line="360" w:lineRule="auto"/>
        <w:ind w:firstLine="564" w:firstLineChars="218"/>
        <w:rPr>
          <w:snapToGrid w:val="0"/>
          <w:color w:val="auto"/>
          <w:sz w:val="24"/>
          <w:szCs w:val="32"/>
        </w:rPr>
      </w:pPr>
      <w:r>
        <w:rPr>
          <w:rFonts w:hint="eastAsia"/>
          <w:snapToGrid w:val="0"/>
          <w:color w:val="auto"/>
          <w:sz w:val="24"/>
          <w:szCs w:val="32"/>
          <w:lang w:val="en-US" w:eastAsia="zh-CN"/>
        </w:rPr>
        <w:t>2</w:t>
      </w:r>
      <w:r>
        <w:rPr>
          <w:snapToGrid w:val="0"/>
          <w:color w:val="auto"/>
          <w:sz w:val="24"/>
          <w:szCs w:val="32"/>
        </w:rPr>
        <w:t>.《建设项目环境保护管理条例》（2017年10月1日）；</w:t>
      </w:r>
    </w:p>
    <w:p w14:paraId="28CD8AD2">
      <w:pPr>
        <w:spacing w:line="360" w:lineRule="auto"/>
        <w:ind w:firstLine="564" w:firstLineChars="218"/>
        <w:rPr>
          <w:snapToGrid w:val="0"/>
          <w:color w:val="auto"/>
          <w:sz w:val="24"/>
          <w:szCs w:val="32"/>
        </w:rPr>
      </w:pPr>
      <w:r>
        <w:rPr>
          <w:rFonts w:hint="eastAsia"/>
          <w:snapToGrid w:val="0"/>
          <w:color w:val="auto"/>
          <w:sz w:val="24"/>
          <w:szCs w:val="32"/>
          <w:lang w:val="en-US" w:eastAsia="zh-CN"/>
        </w:rPr>
        <w:t>3</w:t>
      </w:r>
      <w:r>
        <w:rPr>
          <w:snapToGrid w:val="0"/>
          <w:color w:val="auto"/>
          <w:sz w:val="24"/>
          <w:szCs w:val="32"/>
        </w:rPr>
        <w:t>.《环境影响评价技术导则-总纲》（HJ2.1-2016）；</w:t>
      </w:r>
    </w:p>
    <w:p w14:paraId="45CA460C">
      <w:pPr>
        <w:spacing w:line="360" w:lineRule="auto"/>
        <w:ind w:firstLine="564" w:firstLineChars="218"/>
        <w:rPr>
          <w:snapToGrid w:val="0"/>
          <w:color w:val="auto"/>
          <w:sz w:val="24"/>
          <w:szCs w:val="32"/>
        </w:rPr>
      </w:pPr>
      <w:r>
        <w:rPr>
          <w:rFonts w:hint="eastAsia"/>
          <w:snapToGrid w:val="0"/>
          <w:color w:val="auto"/>
          <w:sz w:val="24"/>
          <w:szCs w:val="32"/>
          <w:lang w:val="en-US" w:eastAsia="zh-CN"/>
        </w:rPr>
        <w:t>4</w:t>
      </w:r>
      <w:r>
        <w:rPr>
          <w:snapToGrid w:val="0"/>
          <w:color w:val="auto"/>
          <w:sz w:val="24"/>
          <w:szCs w:val="32"/>
        </w:rPr>
        <w:t>.《环境影响评价技术导则 大气环境》（HJ2.2-2018）；</w:t>
      </w:r>
    </w:p>
    <w:p w14:paraId="501AE1A2">
      <w:pPr>
        <w:spacing w:line="360" w:lineRule="auto"/>
        <w:ind w:firstLine="564" w:firstLineChars="218"/>
        <w:rPr>
          <w:snapToGrid w:val="0"/>
          <w:color w:val="auto"/>
          <w:sz w:val="24"/>
          <w:szCs w:val="32"/>
        </w:rPr>
      </w:pPr>
      <w:r>
        <w:rPr>
          <w:rFonts w:hint="eastAsia"/>
          <w:snapToGrid w:val="0"/>
          <w:color w:val="auto"/>
          <w:sz w:val="24"/>
          <w:szCs w:val="32"/>
          <w:lang w:val="en-US" w:eastAsia="zh-CN"/>
        </w:rPr>
        <w:t>5</w:t>
      </w:r>
      <w:r>
        <w:rPr>
          <w:snapToGrid w:val="0"/>
          <w:color w:val="auto"/>
          <w:sz w:val="24"/>
          <w:szCs w:val="32"/>
        </w:rPr>
        <w:t>.</w:t>
      </w:r>
      <w:r>
        <w:rPr>
          <w:bCs/>
          <w:snapToGrid w:val="0"/>
          <w:color w:val="auto"/>
          <w:sz w:val="24"/>
          <w:szCs w:val="32"/>
        </w:rPr>
        <w:t>《环境空气质量标准》(GB3095-20</w:t>
      </w:r>
      <w:r>
        <w:rPr>
          <w:rFonts w:hint="eastAsia"/>
          <w:bCs/>
          <w:snapToGrid w:val="0"/>
          <w:color w:val="auto"/>
          <w:sz w:val="24"/>
          <w:szCs w:val="32"/>
          <w:lang w:val="en-US" w:eastAsia="zh-CN"/>
        </w:rPr>
        <w:t>26</w:t>
      </w:r>
      <w:r>
        <w:rPr>
          <w:bCs/>
          <w:snapToGrid w:val="0"/>
          <w:color w:val="auto"/>
          <w:sz w:val="24"/>
          <w:szCs w:val="32"/>
        </w:rPr>
        <w:t>)</w:t>
      </w:r>
      <w:r>
        <w:rPr>
          <w:snapToGrid w:val="0"/>
          <w:color w:val="auto"/>
          <w:sz w:val="24"/>
          <w:szCs w:val="32"/>
        </w:rPr>
        <w:t>；</w:t>
      </w:r>
    </w:p>
    <w:p w14:paraId="6EF26D43">
      <w:pPr>
        <w:spacing w:line="360" w:lineRule="auto"/>
        <w:ind w:firstLine="564" w:firstLineChars="218"/>
        <w:rPr>
          <w:snapToGrid w:val="0"/>
          <w:color w:val="auto"/>
          <w:sz w:val="24"/>
          <w:szCs w:val="32"/>
        </w:rPr>
      </w:pPr>
      <w:r>
        <w:rPr>
          <w:rFonts w:hint="eastAsia"/>
          <w:snapToGrid w:val="0"/>
          <w:color w:val="auto"/>
          <w:sz w:val="24"/>
          <w:szCs w:val="32"/>
          <w:lang w:val="en-US" w:eastAsia="zh-CN"/>
        </w:rPr>
        <w:t>6</w:t>
      </w:r>
      <w:r>
        <w:rPr>
          <w:snapToGrid w:val="0"/>
          <w:color w:val="auto"/>
          <w:sz w:val="24"/>
          <w:szCs w:val="32"/>
        </w:rPr>
        <w:t>.</w:t>
      </w:r>
      <w:r>
        <w:rPr>
          <w:snapToGrid w:val="0"/>
          <w:color w:val="auto"/>
          <w:kern w:val="0"/>
          <w:sz w:val="24"/>
          <w:szCs w:val="32"/>
        </w:rPr>
        <w:t>《建设项目环境影响报告表编制技术指南（污染影响类）（试行）》</w:t>
      </w:r>
      <w:r>
        <w:rPr>
          <w:snapToGrid w:val="0"/>
          <w:color w:val="auto"/>
          <w:sz w:val="24"/>
          <w:szCs w:val="32"/>
        </w:rPr>
        <w:t>；</w:t>
      </w:r>
    </w:p>
    <w:p w14:paraId="3697B8E3">
      <w:pPr>
        <w:spacing w:line="360" w:lineRule="auto"/>
        <w:ind w:firstLine="564" w:firstLineChars="218"/>
        <w:rPr>
          <w:b/>
          <w:snapToGrid w:val="0"/>
          <w:color w:val="auto"/>
          <w:sz w:val="24"/>
          <w:szCs w:val="32"/>
        </w:rPr>
      </w:pPr>
      <w:r>
        <w:rPr>
          <w:rFonts w:hint="eastAsia"/>
          <w:snapToGrid w:val="0"/>
          <w:color w:val="auto"/>
          <w:sz w:val="24"/>
          <w:szCs w:val="32"/>
          <w:lang w:val="en-US" w:eastAsia="zh-CN"/>
        </w:rPr>
        <w:t>7</w:t>
      </w:r>
      <w:r>
        <w:rPr>
          <w:snapToGrid w:val="0"/>
          <w:color w:val="auto"/>
          <w:sz w:val="24"/>
          <w:szCs w:val="32"/>
        </w:rPr>
        <w:t>.企业提供的其它技术资料。</w:t>
      </w:r>
    </w:p>
    <w:p w14:paraId="31818B51">
      <w:pPr>
        <w:pStyle w:val="4"/>
        <w:rPr>
          <w:rFonts w:ascii="Times New Roman" w:hAnsi="Times New Roman"/>
          <w:snapToGrid w:val="0"/>
          <w:color w:val="auto"/>
        </w:rPr>
      </w:pPr>
      <w:bookmarkStart w:id="32" w:name="_Toc97323087"/>
      <w:r>
        <w:rPr>
          <w:rFonts w:ascii="Times New Roman" w:hAnsi="Times New Roman"/>
          <w:snapToGrid w:val="0"/>
          <w:color w:val="auto"/>
        </w:rPr>
        <w:t>1.3环境保护对象和敏感目标</w:t>
      </w:r>
      <w:bookmarkEnd w:id="32"/>
    </w:p>
    <w:p w14:paraId="02A89C19">
      <w:pPr>
        <w:pStyle w:val="68"/>
        <w:spacing w:line="360" w:lineRule="auto"/>
        <w:ind w:firstLine="518"/>
        <w:rPr>
          <w:snapToGrid w:val="0"/>
          <w:color w:val="auto"/>
          <w:sz w:val="24"/>
          <w:szCs w:val="32"/>
        </w:rPr>
      </w:pPr>
      <w:r>
        <w:rPr>
          <w:rFonts w:hint="eastAsia"/>
          <w:snapToGrid w:val="0"/>
          <w:color w:val="auto"/>
          <w:spacing w:val="0"/>
          <w:sz w:val="24"/>
          <w:szCs w:val="32"/>
        </w:rPr>
        <w:t>根据《环境影响评价技术导则大气环境》 (HJ2.2-2018)，本项目大气评价等级为</w:t>
      </w:r>
      <w:r>
        <w:rPr>
          <w:rFonts w:hint="eastAsia"/>
          <w:snapToGrid w:val="0"/>
          <w:color w:val="auto"/>
          <w:spacing w:val="0"/>
          <w:sz w:val="24"/>
          <w:szCs w:val="32"/>
          <w:lang w:val="en-US" w:eastAsia="zh-CN"/>
        </w:rPr>
        <w:t>三级</w:t>
      </w:r>
      <w:r>
        <w:rPr>
          <w:rFonts w:hint="eastAsia"/>
          <w:snapToGrid w:val="0"/>
          <w:color w:val="auto"/>
          <w:spacing w:val="0"/>
          <w:sz w:val="24"/>
          <w:szCs w:val="32"/>
        </w:rPr>
        <w:t>评价，不需要设置大气环境影响评价范围，根据《建设项目环境影响报告表编制技术指南</w:t>
      </w:r>
      <w:r>
        <w:rPr>
          <w:rFonts w:hint="eastAsia"/>
          <w:snapToGrid w:val="0"/>
          <w:color w:val="auto"/>
          <w:spacing w:val="0"/>
          <w:sz w:val="24"/>
          <w:szCs w:val="32"/>
          <w:lang w:eastAsia="zh-CN"/>
        </w:rPr>
        <w:t>（</w:t>
      </w:r>
      <w:r>
        <w:rPr>
          <w:rFonts w:hint="eastAsia"/>
          <w:snapToGrid w:val="0"/>
          <w:color w:val="auto"/>
          <w:spacing w:val="0"/>
          <w:sz w:val="24"/>
          <w:szCs w:val="32"/>
        </w:rPr>
        <w:t>污染影响类</w:t>
      </w:r>
      <w:r>
        <w:rPr>
          <w:rFonts w:hint="eastAsia"/>
          <w:snapToGrid w:val="0"/>
          <w:color w:val="auto"/>
          <w:spacing w:val="0"/>
          <w:sz w:val="24"/>
          <w:szCs w:val="32"/>
          <w:lang w:eastAsia="zh-CN"/>
        </w:rPr>
        <w:t>）</w:t>
      </w:r>
      <w:r>
        <w:rPr>
          <w:rFonts w:hint="eastAsia"/>
          <w:snapToGrid w:val="0"/>
          <w:color w:val="auto"/>
          <w:spacing w:val="0"/>
          <w:sz w:val="24"/>
          <w:szCs w:val="32"/>
        </w:rPr>
        <w:t>要求，调查项目厂界外 500m内的主要环境空气保护目标。本项目环境空气保护目标调查表见表</w:t>
      </w:r>
      <w:r>
        <w:rPr>
          <w:rFonts w:hint="eastAsia"/>
          <w:snapToGrid w:val="0"/>
          <w:color w:val="auto"/>
          <w:spacing w:val="0"/>
          <w:sz w:val="24"/>
          <w:szCs w:val="32"/>
          <w:lang w:val="en-US" w:eastAsia="zh-CN"/>
        </w:rPr>
        <w:t>1-1</w:t>
      </w:r>
      <w:r>
        <w:rPr>
          <w:rFonts w:hint="eastAsia"/>
          <w:snapToGrid w:val="0"/>
          <w:color w:val="auto"/>
          <w:spacing w:val="0"/>
          <w:sz w:val="24"/>
          <w:szCs w:val="32"/>
        </w:rPr>
        <w:t xml:space="preserve">和图 </w:t>
      </w:r>
      <w:r>
        <w:rPr>
          <w:rFonts w:hint="eastAsia"/>
          <w:snapToGrid w:val="0"/>
          <w:color w:val="auto"/>
          <w:spacing w:val="0"/>
          <w:sz w:val="24"/>
          <w:szCs w:val="32"/>
          <w:lang w:val="en-US" w:eastAsia="zh-CN"/>
        </w:rPr>
        <w:t>1-1</w:t>
      </w:r>
      <w:r>
        <w:rPr>
          <w:snapToGrid w:val="0"/>
          <w:color w:val="auto"/>
          <w:spacing w:val="0"/>
          <w:sz w:val="24"/>
          <w:szCs w:val="32"/>
        </w:rPr>
        <w:t>。</w:t>
      </w:r>
    </w:p>
    <w:p w14:paraId="3F4C79FF">
      <w:pPr>
        <w:pStyle w:val="68"/>
        <w:spacing w:line="240" w:lineRule="auto"/>
        <w:ind w:firstLine="520"/>
        <w:jc w:val="center"/>
        <w:rPr>
          <w:b/>
          <w:bCs/>
          <w:snapToGrid w:val="0"/>
          <w:color w:val="auto"/>
          <w:spacing w:val="0"/>
        </w:rPr>
      </w:pPr>
      <w:r>
        <w:rPr>
          <w:b/>
          <w:bCs/>
          <w:snapToGrid w:val="0"/>
          <w:color w:val="auto"/>
          <w:spacing w:val="0"/>
        </w:rPr>
        <w:t xml:space="preserve">表1-1 </w:t>
      </w:r>
      <w:r>
        <w:rPr>
          <w:b/>
          <w:bCs/>
          <w:snapToGrid w:val="0"/>
          <w:color w:val="auto"/>
          <w:spacing w:val="0"/>
          <w:szCs w:val="21"/>
        </w:rPr>
        <w:t>建设项目大气环境保护目标</w:t>
      </w:r>
    </w:p>
    <w:tbl>
      <w:tblPr>
        <w:tblStyle w:val="2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67"/>
        <w:gridCol w:w="981"/>
        <w:gridCol w:w="1147"/>
        <w:gridCol w:w="1193"/>
        <w:gridCol w:w="753"/>
        <w:gridCol w:w="798"/>
        <w:gridCol w:w="1253"/>
        <w:gridCol w:w="1573"/>
        <w:gridCol w:w="486"/>
        <w:gridCol w:w="668"/>
      </w:tblGrid>
      <w:tr w14:paraId="1B73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vMerge w:val="restart"/>
            <w:noWrap w:val="0"/>
            <w:vAlign w:val="center"/>
          </w:tcPr>
          <w:p w14:paraId="14A81F47">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序号</w:t>
            </w:r>
          </w:p>
        </w:tc>
        <w:tc>
          <w:tcPr>
            <w:tcW w:w="576" w:type="pct"/>
            <w:vMerge w:val="restart"/>
            <w:noWrap w:val="0"/>
            <w:vAlign w:val="center"/>
          </w:tcPr>
          <w:p w14:paraId="568A027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名称</w:t>
            </w:r>
          </w:p>
        </w:tc>
        <w:tc>
          <w:tcPr>
            <w:tcW w:w="1351" w:type="pct"/>
            <w:gridSpan w:val="2"/>
            <w:noWrap w:val="0"/>
            <w:vAlign w:val="center"/>
          </w:tcPr>
          <w:p w14:paraId="0B30257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经纬度坐标</w:t>
            </w:r>
          </w:p>
        </w:tc>
        <w:tc>
          <w:tcPr>
            <w:tcW w:w="447" w:type="pct"/>
            <w:vMerge w:val="restart"/>
            <w:noWrap w:val="0"/>
            <w:vAlign w:val="center"/>
          </w:tcPr>
          <w:p w14:paraId="1FB619C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保护</w:t>
            </w:r>
          </w:p>
          <w:p w14:paraId="2061890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对象</w:t>
            </w:r>
          </w:p>
        </w:tc>
        <w:tc>
          <w:tcPr>
            <w:tcW w:w="472" w:type="pct"/>
            <w:vMerge w:val="restart"/>
            <w:noWrap w:val="0"/>
            <w:vAlign w:val="center"/>
          </w:tcPr>
          <w:p w14:paraId="2B52ADE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保护</w:t>
            </w:r>
          </w:p>
          <w:p w14:paraId="66187D1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内容</w:t>
            </w:r>
          </w:p>
        </w:tc>
        <w:tc>
          <w:tcPr>
            <w:tcW w:w="721" w:type="pct"/>
            <w:vMerge w:val="restart"/>
            <w:noWrap w:val="0"/>
            <w:vAlign w:val="center"/>
          </w:tcPr>
          <w:p w14:paraId="61F17F4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
                <w:snapToGrid w:val="0"/>
                <w:color w:val="auto"/>
                <w:kern w:val="0"/>
                <w:sz w:val="21"/>
                <w:szCs w:val="21"/>
                <w:highlight w:val="none"/>
                <w:lang w:val="en-US" w:eastAsia="zh-CN"/>
              </w:rPr>
            </w:pPr>
            <w:r>
              <w:rPr>
                <w:rFonts w:hint="default" w:ascii="Times New Roman" w:hAnsi="Times New Roman" w:cs="Times New Roman"/>
                <w:b/>
                <w:snapToGrid w:val="0"/>
                <w:color w:val="auto"/>
                <w:kern w:val="0"/>
                <w:sz w:val="21"/>
                <w:szCs w:val="21"/>
                <w:highlight w:val="none"/>
                <w:lang w:val="en-US" w:eastAsia="zh-CN"/>
              </w:rPr>
              <w:t>规模</w:t>
            </w:r>
          </w:p>
        </w:tc>
        <w:tc>
          <w:tcPr>
            <w:tcW w:w="552" w:type="pct"/>
            <w:vMerge w:val="restart"/>
            <w:noWrap w:val="0"/>
            <w:vAlign w:val="center"/>
          </w:tcPr>
          <w:p w14:paraId="7D690F3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环境功能区</w:t>
            </w:r>
          </w:p>
        </w:tc>
        <w:tc>
          <w:tcPr>
            <w:tcW w:w="300" w:type="pct"/>
            <w:vMerge w:val="restart"/>
            <w:noWrap w:val="0"/>
            <w:vAlign w:val="center"/>
          </w:tcPr>
          <w:p w14:paraId="47F1EC8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相对厂址方位</w:t>
            </w:r>
          </w:p>
        </w:tc>
        <w:tc>
          <w:tcPr>
            <w:tcW w:w="400" w:type="pct"/>
            <w:vMerge w:val="restart"/>
            <w:noWrap w:val="0"/>
            <w:vAlign w:val="center"/>
          </w:tcPr>
          <w:p w14:paraId="02FE307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r>
              <w:rPr>
                <w:rFonts w:hint="default" w:ascii="Times New Roman" w:hAnsi="Times New Roman" w:cs="Times New Roman"/>
                <w:b/>
                <w:snapToGrid w:val="0"/>
                <w:color w:val="auto"/>
                <w:kern w:val="0"/>
                <w:sz w:val="21"/>
                <w:szCs w:val="21"/>
                <w:highlight w:val="none"/>
              </w:rPr>
              <w:t>相对厂界距离/m</w:t>
            </w:r>
          </w:p>
        </w:tc>
      </w:tr>
      <w:tr w14:paraId="7F1F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vMerge w:val="continue"/>
            <w:noWrap w:val="0"/>
            <w:vAlign w:val="center"/>
          </w:tcPr>
          <w:p w14:paraId="1EE6F49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576" w:type="pct"/>
            <w:vMerge w:val="continue"/>
            <w:noWrap w:val="0"/>
            <w:vAlign w:val="center"/>
          </w:tcPr>
          <w:p w14:paraId="33ECCF5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p>
        </w:tc>
        <w:tc>
          <w:tcPr>
            <w:tcW w:w="663" w:type="pct"/>
            <w:noWrap w:val="0"/>
            <w:vAlign w:val="center"/>
          </w:tcPr>
          <w:p w14:paraId="619BA98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
                <w:snapToGrid w:val="0"/>
                <w:color w:val="auto"/>
                <w:kern w:val="0"/>
                <w:sz w:val="21"/>
                <w:szCs w:val="21"/>
                <w:highlight w:val="none"/>
                <w:lang w:val="en-US" w:eastAsia="zh-CN"/>
              </w:rPr>
            </w:pPr>
            <w:r>
              <w:rPr>
                <w:rFonts w:hint="default" w:ascii="Times New Roman" w:hAnsi="Times New Roman" w:cs="Times New Roman"/>
                <w:b/>
                <w:snapToGrid w:val="0"/>
                <w:color w:val="auto"/>
                <w:kern w:val="0"/>
                <w:sz w:val="21"/>
                <w:szCs w:val="21"/>
                <w:highlight w:val="none"/>
              </w:rPr>
              <w:t>经度</w:t>
            </w:r>
            <w:r>
              <w:rPr>
                <w:rFonts w:hint="default" w:ascii="Times New Roman" w:hAnsi="Times New Roman" w:cs="Times New Roman"/>
                <w:b/>
                <w:snapToGrid w:val="0"/>
                <w:color w:val="auto"/>
                <w:kern w:val="0"/>
                <w:sz w:val="21"/>
                <w:szCs w:val="21"/>
                <w:highlight w:val="none"/>
                <w:lang w:val="en-US" w:eastAsia="zh-CN"/>
              </w:rPr>
              <w:t>/°</w:t>
            </w:r>
          </w:p>
        </w:tc>
        <w:tc>
          <w:tcPr>
            <w:tcW w:w="687" w:type="pct"/>
            <w:noWrap w:val="0"/>
            <w:vAlign w:val="center"/>
          </w:tcPr>
          <w:p w14:paraId="01F8CB7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b/>
                <w:snapToGrid w:val="0"/>
                <w:color w:val="auto"/>
                <w:kern w:val="0"/>
                <w:sz w:val="21"/>
                <w:szCs w:val="21"/>
                <w:highlight w:val="none"/>
                <w:lang w:val="en-US" w:eastAsia="zh-CN"/>
              </w:rPr>
            </w:pPr>
            <w:r>
              <w:rPr>
                <w:rFonts w:hint="default" w:ascii="Times New Roman" w:hAnsi="Times New Roman" w:cs="Times New Roman"/>
                <w:b/>
                <w:snapToGrid w:val="0"/>
                <w:color w:val="auto"/>
                <w:kern w:val="0"/>
                <w:sz w:val="21"/>
                <w:szCs w:val="21"/>
                <w:highlight w:val="none"/>
              </w:rPr>
              <w:t>纬度</w:t>
            </w:r>
            <w:r>
              <w:rPr>
                <w:rFonts w:hint="default" w:ascii="Times New Roman" w:hAnsi="Times New Roman" w:cs="Times New Roman"/>
                <w:b/>
                <w:snapToGrid w:val="0"/>
                <w:color w:val="auto"/>
                <w:kern w:val="0"/>
                <w:sz w:val="21"/>
                <w:szCs w:val="21"/>
                <w:highlight w:val="none"/>
                <w:lang w:val="en-US" w:eastAsia="zh-CN"/>
              </w:rPr>
              <w:t>/°</w:t>
            </w:r>
          </w:p>
        </w:tc>
        <w:tc>
          <w:tcPr>
            <w:tcW w:w="447" w:type="pct"/>
            <w:vMerge w:val="continue"/>
            <w:noWrap w:val="0"/>
            <w:vAlign w:val="center"/>
          </w:tcPr>
          <w:p w14:paraId="248A44A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472" w:type="pct"/>
            <w:vMerge w:val="continue"/>
            <w:noWrap w:val="0"/>
            <w:vAlign w:val="center"/>
          </w:tcPr>
          <w:p w14:paraId="6607766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721" w:type="pct"/>
            <w:vMerge w:val="continue"/>
            <w:noWrap w:val="0"/>
            <w:vAlign w:val="center"/>
          </w:tcPr>
          <w:p w14:paraId="1BE0CC2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552" w:type="pct"/>
            <w:vMerge w:val="continue"/>
            <w:noWrap w:val="0"/>
            <w:vAlign w:val="center"/>
          </w:tcPr>
          <w:p w14:paraId="5DBA08F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300" w:type="pct"/>
            <w:vMerge w:val="continue"/>
            <w:noWrap w:val="0"/>
            <w:vAlign w:val="center"/>
          </w:tcPr>
          <w:p w14:paraId="01DF2C2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c>
          <w:tcPr>
            <w:tcW w:w="400" w:type="pct"/>
            <w:vMerge w:val="continue"/>
            <w:noWrap w:val="0"/>
            <w:vAlign w:val="center"/>
          </w:tcPr>
          <w:p w14:paraId="10B6EEC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b/>
                <w:snapToGrid w:val="0"/>
                <w:color w:val="auto"/>
                <w:kern w:val="0"/>
                <w:sz w:val="21"/>
                <w:szCs w:val="21"/>
                <w:highlight w:val="none"/>
              </w:rPr>
            </w:pPr>
          </w:p>
        </w:tc>
      </w:tr>
      <w:tr w14:paraId="53B9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77" w:type="pct"/>
            <w:noWrap w:val="0"/>
            <w:vAlign w:val="center"/>
          </w:tcPr>
          <w:p w14:paraId="783291B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1</w:t>
            </w:r>
          </w:p>
        </w:tc>
        <w:tc>
          <w:tcPr>
            <w:tcW w:w="576" w:type="pct"/>
            <w:noWrap w:val="0"/>
            <w:vAlign w:val="center"/>
          </w:tcPr>
          <w:p w14:paraId="4F379FD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紫薇苑A区</w:t>
            </w:r>
          </w:p>
        </w:tc>
        <w:tc>
          <w:tcPr>
            <w:tcW w:w="663" w:type="pct"/>
            <w:noWrap w:val="0"/>
            <w:vAlign w:val="center"/>
          </w:tcPr>
          <w:p w14:paraId="5D55F64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116.584165</w:t>
            </w:r>
          </w:p>
        </w:tc>
        <w:tc>
          <w:tcPr>
            <w:tcW w:w="687" w:type="pct"/>
            <w:noWrap w:val="0"/>
            <w:vAlign w:val="center"/>
          </w:tcPr>
          <w:p w14:paraId="19CFB75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32.342174</w:t>
            </w:r>
          </w:p>
        </w:tc>
        <w:tc>
          <w:tcPr>
            <w:tcW w:w="447" w:type="pct"/>
            <w:noWrap w:val="0"/>
            <w:vAlign w:val="center"/>
          </w:tcPr>
          <w:p w14:paraId="658FAE8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39C2B81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居住区</w:t>
            </w:r>
          </w:p>
        </w:tc>
        <w:tc>
          <w:tcPr>
            <w:tcW w:w="721" w:type="pct"/>
            <w:noWrap w:val="0"/>
            <w:vAlign w:val="center"/>
          </w:tcPr>
          <w:p w14:paraId="05321B3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5400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1800户</w:t>
            </w:r>
          </w:p>
        </w:tc>
        <w:tc>
          <w:tcPr>
            <w:tcW w:w="552" w:type="pct"/>
            <w:vMerge w:val="restart"/>
            <w:noWrap w:val="0"/>
            <w:vAlign w:val="center"/>
          </w:tcPr>
          <w:p w14:paraId="6027385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snapToGrid w:val="0"/>
                <w:color w:val="auto"/>
                <w:kern w:val="0"/>
                <w:sz w:val="21"/>
                <w:szCs w:val="21"/>
                <w:highlight w:val="none"/>
                <w:lang w:eastAsia="zh-CN"/>
              </w:rPr>
            </w:pPr>
            <w:r>
              <w:rPr>
                <w:rFonts w:hint="default" w:ascii="Times New Roman" w:hAnsi="Times New Roman" w:cs="Times New Roman"/>
                <w:snapToGrid w:val="0"/>
                <w:color w:val="auto"/>
                <w:kern w:val="0"/>
                <w:sz w:val="21"/>
                <w:szCs w:val="21"/>
                <w:highlight w:val="none"/>
              </w:rPr>
              <w:t>《环境空气质量标准》（</w:t>
            </w:r>
            <w:r>
              <w:rPr>
                <w:rFonts w:hint="default" w:ascii="Times New Roman" w:hAnsi="Times New Roman" w:cs="Times New Roman"/>
                <w:snapToGrid w:val="0"/>
                <w:color w:val="auto"/>
                <w:kern w:val="0"/>
                <w:sz w:val="21"/>
                <w:szCs w:val="21"/>
                <w:highlight w:val="none"/>
                <w:lang w:eastAsia="zh-CN"/>
              </w:rPr>
              <w:t>GB3095-2026</w:t>
            </w:r>
            <w:r>
              <w:rPr>
                <w:rFonts w:hint="default" w:ascii="Times New Roman" w:hAnsi="Times New Roman" w:cs="Times New Roman"/>
                <w:snapToGrid w:val="0"/>
                <w:color w:val="auto"/>
                <w:kern w:val="0"/>
                <w:sz w:val="21"/>
                <w:szCs w:val="21"/>
                <w:highlight w:val="none"/>
              </w:rPr>
              <w:t>）</w:t>
            </w:r>
            <w:r>
              <w:rPr>
                <w:rFonts w:hint="default" w:ascii="Times New Roman" w:hAnsi="Times New Roman" w:cs="Times New Roman"/>
                <w:snapToGrid w:val="0"/>
                <w:color w:val="auto"/>
                <w:kern w:val="0"/>
                <w:sz w:val="21"/>
                <w:szCs w:val="21"/>
                <w:highlight w:val="none"/>
                <w:lang w:val="en-US" w:eastAsia="zh-CN"/>
              </w:rPr>
              <w:t>二类区</w:t>
            </w:r>
          </w:p>
        </w:tc>
        <w:tc>
          <w:tcPr>
            <w:tcW w:w="300" w:type="pct"/>
            <w:noWrap w:val="0"/>
            <w:vAlign w:val="center"/>
          </w:tcPr>
          <w:p w14:paraId="2FE442F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w:t>
            </w:r>
          </w:p>
        </w:tc>
        <w:tc>
          <w:tcPr>
            <w:tcW w:w="400" w:type="pct"/>
            <w:noWrap w:val="0"/>
            <w:vAlign w:val="center"/>
          </w:tcPr>
          <w:p w14:paraId="0144C48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115</w:t>
            </w:r>
          </w:p>
        </w:tc>
      </w:tr>
      <w:tr w14:paraId="18A1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9" w:hRule="atLeast"/>
          <w:jc w:val="center"/>
        </w:trPr>
        <w:tc>
          <w:tcPr>
            <w:tcW w:w="177" w:type="pct"/>
            <w:noWrap w:val="0"/>
            <w:vAlign w:val="center"/>
          </w:tcPr>
          <w:p w14:paraId="0B60F397">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2</w:t>
            </w:r>
          </w:p>
        </w:tc>
        <w:tc>
          <w:tcPr>
            <w:tcW w:w="576" w:type="pct"/>
            <w:noWrap w:val="0"/>
            <w:vAlign w:val="center"/>
          </w:tcPr>
          <w:p w14:paraId="38ADDD1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紫薇苑B区</w:t>
            </w:r>
          </w:p>
        </w:tc>
        <w:tc>
          <w:tcPr>
            <w:tcW w:w="663" w:type="pct"/>
            <w:noWrap w:val="0"/>
            <w:vAlign w:val="center"/>
          </w:tcPr>
          <w:p w14:paraId="77FB88C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116.584949</w:t>
            </w:r>
          </w:p>
        </w:tc>
        <w:tc>
          <w:tcPr>
            <w:tcW w:w="687" w:type="pct"/>
            <w:noWrap w:val="0"/>
            <w:vAlign w:val="center"/>
          </w:tcPr>
          <w:p w14:paraId="7428894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32.342193</w:t>
            </w:r>
          </w:p>
        </w:tc>
        <w:tc>
          <w:tcPr>
            <w:tcW w:w="447" w:type="pct"/>
            <w:noWrap w:val="0"/>
            <w:vAlign w:val="center"/>
          </w:tcPr>
          <w:p w14:paraId="47C6D414">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37A911E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居住区</w:t>
            </w:r>
          </w:p>
        </w:tc>
        <w:tc>
          <w:tcPr>
            <w:tcW w:w="721" w:type="pct"/>
            <w:noWrap w:val="0"/>
            <w:vAlign w:val="center"/>
          </w:tcPr>
          <w:p w14:paraId="746C33A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6600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2200户</w:t>
            </w:r>
          </w:p>
        </w:tc>
        <w:tc>
          <w:tcPr>
            <w:tcW w:w="552" w:type="pct"/>
            <w:vMerge w:val="continue"/>
            <w:noWrap w:val="0"/>
            <w:vAlign w:val="center"/>
          </w:tcPr>
          <w:p w14:paraId="1D5A9F1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428BFBC6">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t>
            </w:r>
          </w:p>
        </w:tc>
        <w:tc>
          <w:tcPr>
            <w:tcW w:w="400" w:type="pct"/>
            <w:noWrap w:val="0"/>
            <w:vAlign w:val="center"/>
          </w:tcPr>
          <w:p w14:paraId="035C5C4B">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230</w:t>
            </w:r>
          </w:p>
        </w:tc>
      </w:tr>
      <w:tr w14:paraId="2FCE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noWrap w:val="0"/>
            <w:vAlign w:val="center"/>
          </w:tcPr>
          <w:p w14:paraId="780E4EB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3</w:t>
            </w:r>
          </w:p>
        </w:tc>
        <w:tc>
          <w:tcPr>
            <w:tcW w:w="576" w:type="pct"/>
            <w:noWrap w:val="0"/>
            <w:vAlign w:val="center"/>
          </w:tcPr>
          <w:p w14:paraId="249DB427">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紫薇苑C区</w:t>
            </w:r>
          </w:p>
        </w:tc>
        <w:tc>
          <w:tcPr>
            <w:tcW w:w="663" w:type="pct"/>
            <w:noWrap w:val="0"/>
            <w:vAlign w:val="center"/>
          </w:tcPr>
          <w:p w14:paraId="0FA7108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116.585988</w:t>
            </w:r>
          </w:p>
        </w:tc>
        <w:tc>
          <w:tcPr>
            <w:tcW w:w="687" w:type="pct"/>
            <w:noWrap w:val="0"/>
            <w:vAlign w:val="center"/>
          </w:tcPr>
          <w:p w14:paraId="70FE08C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32.342139</w:t>
            </w:r>
          </w:p>
        </w:tc>
        <w:tc>
          <w:tcPr>
            <w:tcW w:w="447" w:type="pct"/>
            <w:noWrap w:val="0"/>
            <w:vAlign w:val="center"/>
          </w:tcPr>
          <w:p w14:paraId="032A21A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090070B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居住区</w:t>
            </w:r>
          </w:p>
        </w:tc>
        <w:tc>
          <w:tcPr>
            <w:tcW w:w="721" w:type="pct"/>
            <w:noWrap w:val="0"/>
            <w:vAlign w:val="center"/>
          </w:tcPr>
          <w:p w14:paraId="5CE72DF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7</w:t>
            </w:r>
            <w:r>
              <w:rPr>
                <w:rFonts w:hint="eastAsia"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val="en-US" w:eastAsia="zh-CN"/>
              </w:rPr>
              <w:t>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00户</w:t>
            </w:r>
          </w:p>
        </w:tc>
        <w:tc>
          <w:tcPr>
            <w:tcW w:w="552" w:type="pct"/>
            <w:vMerge w:val="continue"/>
            <w:noWrap w:val="0"/>
            <w:vAlign w:val="center"/>
          </w:tcPr>
          <w:p w14:paraId="2FC90AC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5532126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NE</w:t>
            </w:r>
          </w:p>
        </w:tc>
        <w:tc>
          <w:tcPr>
            <w:tcW w:w="400" w:type="pct"/>
            <w:noWrap w:val="0"/>
            <w:vAlign w:val="center"/>
          </w:tcPr>
          <w:p w14:paraId="1F852137">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330</w:t>
            </w:r>
          </w:p>
        </w:tc>
      </w:tr>
      <w:tr w14:paraId="08F0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noWrap w:val="0"/>
            <w:vAlign w:val="center"/>
          </w:tcPr>
          <w:p w14:paraId="74F17ED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4</w:t>
            </w:r>
          </w:p>
        </w:tc>
        <w:tc>
          <w:tcPr>
            <w:tcW w:w="576" w:type="pct"/>
            <w:noWrap w:val="0"/>
            <w:vAlign w:val="center"/>
          </w:tcPr>
          <w:p w14:paraId="1BFE764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玫瑰苑</w:t>
            </w:r>
          </w:p>
        </w:tc>
        <w:tc>
          <w:tcPr>
            <w:tcW w:w="663" w:type="pct"/>
            <w:noWrap w:val="0"/>
            <w:vAlign w:val="center"/>
          </w:tcPr>
          <w:p w14:paraId="5F5CDFF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116.584957</w:t>
            </w:r>
          </w:p>
        </w:tc>
        <w:tc>
          <w:tcPr>
            <w:tcW w:w="687" w:type="pct"/>
            <w:noWrap w:val="0"/>
            <w:vAlign w:val="center"/>
          </w:tcPr>
          <w:p w14:paraId="75601B6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32.343147</w:t>
            </w:r>
          </w:p>
        </w:tc>
        <w:tc>
          <w:tcPr>
            <w:tcW w:w="447" w:type="pct"/>
            <w:noWrap w:val="0"/>
            <w:vAlign w:val="center"/>
          </w:tcPr>
          <w:p w14:paraId="66FB4FA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33472FD2">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居住区</w:t>
            </w:r>
          </w:p>
        </w:tc>
        <w:tc>
          <w:tcPr>
            <w:tcW w:w="721" w:type="pct"/>
            <w:noWrap w:val="0"/>
            <w:vAlign w:val="center"/>
          </w:tcPr>
          <w:p w14:paraId="6AC0F38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7500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2500户</w:t>
            </w:r>
          </w:p>
        </w:tc>
        <w:tc>
          <w:tcPr>
            <w:tcW w:w="552" w:type="pct"/>
            <w:vMerge w:val="continue"/>
            <w:noWrap w:val="0"/>
            <w:vAlign w:val="center"/>
          </w:tcPr>
          <w:p w14:paraId="0683E741">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0CC1281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t>
            </w:r>
          </w:p>
        </w:tc>
        <w:tc>
          <w:tcPr>
            <w:tcW w:w="400" w:type="pct"/>
            <w:noWrap w:val="0"/>
            <w:vAlign w:val="center"/>
          </w:tcPr>
          <w:p w14:paraId="16206CA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449</w:t>
            </w:r>
          </w:p>
        </w:tc>
      </w:tr>
      <w:tr w14:paraId="222D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noWrap w:val="0"/>
            <w:vAlign w:val="center"/>
          </w:tcPr>
          <w:p w14:paraId="4FBF094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5</w:t>
            </w:r>
          </w:p>
        </w:tc>
        <w:tc>
          <w:tcPr>
            <w:tcW w:w="576" w:type="pct"/>
            <w:noWrap w:val="0"/>
            <w:vAlign w:val="center"/>
          </w:tcPr>
          <w:p w14:paraId="730EEC2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青桐苑</w:t>
            </w:r>
          </w:p>
        </w:tc>
        <w:tc>
          <w:tcPr>
            <w:tcW w:w="663" w:type="pct"/>
            <w:noWrap w:val="0"/>
            <w:vAlign w:val="center"/>
          </w:tcPr>
          <w:p w14:paraId="7B0499A8">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116.584153</w:t>
            </w:r>
          </w:p>
        </w:tc>
        <w:tc>
          <w:tcPr>
            <w:tcW w:w="687" w:type="pct"/>
            <w:noWrap w:val="0"/>
            <w:vAlign w:val="center"/>
          </w:tcPr>
          <w:p w14:paraId="1BD9318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32.343178</w:t>
            </w:r>
          </w:p>
        </w:tc>
        <w:tc>
          <w:tcPr>
            <w:tcW w:w="447" w:type="pct"/>
            <w:noWrap w:val="0"/>
            <w:vAlign w:val="center"/>
          </w:tcPr>
          <w:p w14:paraId="5A8B239E">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居民</w:t>
            </w:r>
          </w:p>
        </w:tc>
        <w:tc>
          <w:tcPr>
            <w:tcW w:w="472" w:type="pct"/>
            <w:noWrap w:val="0"/>
            <w:vAlign w:val="center"/>
          </w:tcPr>
          <w:p w14:paraId="2C0AE47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Cs w:val="24"/>
                <w:highlight w:val="none"/>
              </w:rPr>
            </w:pPr>
            <w:r>
              <w:rPr>
                <w:rFonts w:hint="default" w:ascii="Times New Roman" w:hAnsi="Times New Roman" w:cs="Times New Roman"/>
                <w:color w:val="auto"/>
                <w:sz w:val="21"/>
                <w:szCs w:val="21"/>
                <w:highlight w:val="none"/>
              </w:rPr>
              <w:t>居住区</w:t>
            </w:r>
          </w:p>
        </w:tc>
        <w:tc>
          <w:tcPr>
            <w:tcW w:w="721" w:type="pct"/>
            <w:noWrap w:val="0"/>
            <w:vAlign w:val="center"/>
          </w:tcPr>
          <w:p w14:paraId="2526D170">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8400</w:t>
            </w:r>
            <w:r>
              <w:rPr>
                <w:rFonts w:hint="default" w:ascii="Times New Roman" w:hAnsi="Times New Roman" w:cs="Times New Roman"/>
                <w:color w:val="auto"/>
                <w:sz w:val="21"/>
                <w:szCs w:val="21"/>
                <w:highlight w:val="none"/>
                <w:lang w:eastAsia="zh-CN"/>
              </w:rPr>
              <w:t>人，</w:t>
            </w:r>
            <w:r>
              <w:rPr>
                <w:rFonts w:hint="default" w:ascii="Times New Roman" w:hAnsi="Times New Roman" w:cs="Times New Roman"/>
                <w:color w:val="auto"/>
                <w:sz w:val="21"/>
                <w:szCs w:val="21"/>
                <w:highlight w:val="none"/>
                <w:lang w:val="en-US" w:eastAsia="zh-CN"/>
              </w:rPr>
              <w:t>2800户</w:t>
            </w:r>
          </w:p>
        </w:tc>
        <w:tc>
          <w:tcPr>
            <w:tcW w:w="552" w:type="pct"/>
            <w:vMerge w:val="continue"/>
            <w:noWrap w:val="0"/>
            <w:vAlign w:val="center"/>
          </w:tcPr>
          <w:p w14:paraId="0D6412D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31135EA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w:t>
            </w:r>
          </w:p>
        </w:tc>
        <w:tc>
          <w:tcPr>
            <w:tcW w:w="400" w:type="pct"/>
            <w:noWrap w:val="0"/>
            <w:vAlign w:val="center"/>
          </w:tcPr>
          <w:p w14:paraId="6353CF8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451</w:t>
            </w:r>
          </w:p>
        </w:tc>
      </w:tr>
      <w:tr w14:paraId="6695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7" w:type="pct"/>
            <w:noWrap w:val="0"/>
            <w:vAlign w:val="center"/>
          </w:tcPr>
          <w:p w14:paraId="0667077D">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6</w:t>
            </w:r>
          </w:p>
        </w:tc>
        <w:tc>
          <w:tcPr>
            <w:tcW w:w="576" w:type="pct"/>
            <w:noWrap w:val="0"/>
            <w:vAlign w:val="center"/>
          </w:tcPr>
          <w:p w14:paraId="78AD85B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安徽省淮南卫生学校</w:t>
            </w:r>
          </w:p>
        </w:tc>
        <w:tc>
          <w:tcPr>
            <w:tcW w:w="663" w:type="pct"/>
            <w:noWrap w:val="0"/>
            <w:vAlign w:val="center"/>
          </w:tcPr>
          <w:p w14:paraId="6511176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116.582191</w:t>
            </w:r>
          </w:p>
        </w:tc>
        <w:tc>
          <w:tcPr>
            <w:tcW w:w="687" w:type="pct"/>
            <w:noWrap w:val="0"/>
            <w:vAlign w:val="center"/>
          </w:tcPr>
          <w:p w14:paraId="7362D80A">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32.342560</w:t>
            </w:r>
          </w:p>
        </w:tc>
        <w:tc>
          <w:tcPr>
            <w:tcW w:w="447" w:type="pct"/>
            <w:noWrap w:val="0"/>
            <w:vAlign w:val="center"/>
          </w:tcPr>
          <w:p w14:paraId="70D80C5F">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师生</w:t>
            </w:r>
          </w:p>
        </w:tc>
        <w:tc>
          <w:tcPr>
            <w:tcW w:w="472" w:type="pct"/>
            <w:noWrap w:val="0"/>
            <w:vAlign w:val="center"/>
          </w:tcPr>
          <w:p w14:paraId="326B7E15">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宋体" w:cs="Times New Roman"/>
                <w:color w:val="auto"/>
                <w:szCs w:val="24"/>
                <w:highlight w:val="none"/>
                <w:lang w:val="en-US" w:eastAsia="zh-CN"/>
              </w:rPr>
            </w:pPr>
            <w:r>
              <w:rPr>
                <w:rFonts w:hint="default" w:ascii="Times New Roman" w:hAnsi="Times New Roman" w:cs="Times New Roman"/>
                <w:color w:val="auto"/>
                <w:szCs w:val="24"/>
                <w:highlight w:val="none"/>
                <w:lang w:val="en-US" w:eastAsia="zh-CN"/>
              </w:rPr>
              <w:t>学校</w:t>
            </w:r>
          </w:p>
        </w:tc>
        <w:tc>
          <w:tcPr>
            <w:tcW w:w="721" w:type="pct"/>
            <w:noWrap w:val="0"/>
            <w:vAlign w:val="center"/>
          </w:tcPr>
          <w:p w14:paraId="7BC73293">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约</w:t>
            </w:r>
            <w:r>
              <w:rPr>
                <w:rFonts w:hint="default" w:ascii="Times New Roman" w:hAnsi="Times New Roman" w:cs="Times New Roman"/>
                <w:color w:val="auto"/>
                <w:sz w:val="21"/>
                <w:szCs w:val="21"/>
                <w:highlight w:val="none"/>
                <w:lang w:val="en-US" w:eastAsia="zh-CN"/>
              </w:rPr>
              <w:t>4200</w:t>
            </w:r>
            <w:r>
              <w:rPr>
                <w:rFonts w:hint="default" w:ascii="Times New Roman" w:hAnsi="Times New Roman" w:cs="Times New Roman"/>
                <w:color w:val="auto"/>
                <w:sz w:val="21"/>
                <w:szCs w:val="21"/>
                <w:highlight w:val="none"/>
                <w:lang w:eastAsia="zh-CN"/>
              </w:rPr>
              <w:t>人</w:t>
            </w:r>
          </w:p>
        </w:tc>
        <w:tc>
          <w:tcPr>
            <w:tcW w:w="552" w:type="pct"/>
            <w:vMerge w:val="continue"/>
            <w:noWrap w:val="0"/>
            <w:vAlign w:val="center"/>
          </w:tcPr>
          <w:p w14:paraId="4F01DB0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snapToGrid w:val="0"/>
                <w:color w:val="auto"/>
                <w:kern w:val="0"/>
                <w:sz w:val="21"/>
                <w:szCs w:val="21"/>
                <w:highlight w:val="none"/>
              </w:rPr>
            </w:pPr>
          </w:p>
        </w:tc>
        <w:tc>
          <w:tcPr>
            <w:tcW w:w="300" w:type="pct"/>
            <w:noWrap w:val="0"/>
            <w:vAlign w:val="center"/>
          </w:tcPr>
          <w:p w14:paraId="3135954C">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eastAsia="等线" w:cs="Times New Roman"/>
                <w:color w:val="auto"/>
                <w:sz w:val="21"/>
                <w:szCs w:val="21"/>
                <w:highlight w:val="none"/>
                <w:lang w:val="en-US" w:eastAsia="zh-CN"/>
              </w:rPr>
            </w:pPr>
            <w:r>
              <w:rPr>
                <w:rFonts w:hint="default" w:ascii="Times New Roman" w:hAnsi="Times New Roman" w:eastAsia="等线" w:cs="Times New Roman"/>
                <w:color w:val="auto"/>
                <w:sz w:val="21"/>
                <w:szCs w:val="21"/>
                <w:highlight w:val="none"/>
                <w:lang w:val="en-US" w:eastAsia="zh-CN"/>
              </w:rPr>
              <w:t>NW</w:t>
            </w:r>
          </w:p>
        </w:tc>
        <w:tc>
          <w:tcPr>
            <w:tcW w:w="400" w:type="pct"/>
            <w:noWrap w:val="0"/>
            <w:vAlign w:val="center"/>
          </w:tcPr>
          <w:p w14:paraId="19039639">
            <w:pPr>
              <w:keepNext w:val="0"/>
              <w:keepLines w:val="0"/>
              <w:pageBreakBefore w:val="0"/>
              <w:widowControl w:val="0"/>
              <w:kinsoku/>
              <w:wordWrap/>
              <w:overflowPunct/>
              <w:topLinePunct/>
              <w:autoSpaceDE w:val="0"/>
              <w:autoSpaceDN/>
              <w:bidi w:val="0"/>
              <w:adjustRightInd w:val="0"/>
              <w:snapToGrid w:val="0"/>
              <w:ind w:left="0" w:left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368</w:t>
            </w:r>
          </w:p>
        </w:tc>
      </w:tr>
    </w:tbl>
    <w:p w14:paraId="64C48BB3">
      <w:pPr>
        <w:pStyle w:val="68"/>
        <w:spacing w:line="240" w:lineRule="auto"/>
        <w:ind w:firstLine="520"/>
        <w:jc w:val="center"/>
        <w:rPr>
          <w:b/>
          <w:bCs/>
          <w:snapToGrid w:val="0"/>
          <w:color w:val="auto"/>
          <w:spacing w:val="0"/>
        </w:rPr>
      </w:pPr>
    </w:p>
    <w:p w14:paraId="5371A6E7">
      <w:pPr>
        <w:pStyle w:val="13"/>
        <w:rPr>
          <w:rFonts w:ascii="Times New Roman" w:hAnsi="Times New Roman"/>
          <w:snapToGrid w:val="0"/>
          <w:color w:val="auto"/>
        </w:rPr>
        <w:sectPr>
          <w:footerReference r:id="rId11" w:type="default"/>
          <w:pgSz w:w="11906" w:h="16838"/>
          <w:pgMar w:top="1440" w:right="1418" w:bottom="1440" w:left="1418" w:header="851" w:footer="992" w:gutter="0"/>
          <w:pgNumType w:fmt="numberInDash" w:start="1"/>
          <w:cols w:space="720" w:num="1"/>
          <w:docGrid w:type="linesAndChars" w:linePitch="326" w:charSpace="3920"/>
        </w:sectPr>
      </w:pPr>
    </w:p>
    <w:p w14:paraId="3E1C8A71">
      <w:pPr>
        <w:pStyle w:val="13"/>
        <w:jc w:val="center"/>
        <w:rPr>
          <w:rFonts w:hint="eastAsia" w:ascii="Times New Roman" w:hAnsi="Times New Roman" w:eastAsia="宋体"/>
          <w:snapToGrid w:val="0"/>
          <w:color w:val="auto"/>
          <w:lang w:eastAsia="zh-CN"/>
        </w:rPr>
      </w:pPr>
      <w:r>
        <w:drawing>
          <wp:anchor distT="0" distB="0" distL="114300" distR="114300" simplePos="0" relativeHeight="251661312" behindDoc="0" locked="0" layoutInCell="1" allowOverlap="1">
            <wp:simplePos x="0" y="0"/>
            <wp:positionH relativeFrom="column">
              <wp:posOffset>8128635</wp:posOffset>
            </wp:positionH>
            <wp:positionV relativeFrom="paragraph">
              <wp:posOffset>204470</wp:posOffset>
            </wp:positionV>
            <wp:extent cx="754380" cy="906780"/>
            <wp:effectExtent l="0" t="0" r="7620" b="7620"/>
            <wp:wrapNone/>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36"/>
                    <a:stretch>
                      <a:fillRect/>
                    </a:stretch>
                  </pic:blipFill>
                  <pic:spPr>
                    <a:xfrm>
                      <a:off x="0" y="0"/>
                      <a:ext cx="754380" cy="906780"/>
                    </a:xfrm>
                    <a:prstGeom prst="rect">
                      <a:avLst/>
                    </a:prstGeom>
                    <a:noFill/>
                    <a:ln>
                      <a:noFill/>
                    </a:ln>
                  </pic:spPr>
                </pic:pic>
              </a:graphicData>
            </a:graphic>
          </wp:anchor>
        </w:drawing>
      </w:r>
      <w:r>
        <w:rPr>
          <w:rFonts w:ascii="Times New Roman" w:hAnsi="Times New Roman"/>
          <w:snapToGrid w:val="0"/>
          <w:color w:val="auto"/>
        </w:rPr>
        <mc:AlternateContent>
          <mc:Choice Requires="wps">
            <w:drawing>
              <wp:anchor distT="0" distB="0" distL="114300" distR="114300" simplePos="0" relativeHeight="251660288" behindDoc="0" locked="0" layoutInCell="1" allowOverlap="1">
                <wp:simplePos x="0" y="0"/>
                <wp:positionH relativeFrom="column">
                  <wp:posOffset>81915</wp:posOffset>
                </wp:positionH>
                <wp:positionV relativeFrom="paragraph">
                  <wp:posOffset>5880735</wp:posOffset>
                </wp:positionV>
                <wp:extent cx="9611995" cy="542925"/>
                <wp:effectExtent l="0" t="0" r="0" b="0"/>
                <wp:wrapNone/>
                <wp:docPr id="2" name="文本框 3"/>
                <wp:cNvGraphicFramePr/>
                <a:graphic xmlns:a="http://schemas.openxmlformats.org/drawingml/2006/main">
                  <a:graphicData uri="http://schemas.microsoft.com/office/word/2010/wordprocessingShape">
                    <wps:wsp>
                      <wps:cNvSpPr txBox="1"/>
                      <wps:spPr>
                        <a:xfrm>
                          <a:off x="0" y="0"/>
                          <a:ext cx="9611995" cy="542925"/>
                        </a:xfrm>
                        <a:prstGeom prst="rect">
                          <a:avLst/>
                        </a:prstGeom>
                        <a:noFill/>
                        <a:ln>
                          <a:noFill/>
                        </a:ln>
                        <a:effectLst/>
                      </wps:spPr>
                      <wps:txbx>
                        <w:txbxContent>
                          <w:p w14:paraId="34139EA6">
                            <w:pPr>
                              <w:jc w:val="center"/>
                              <w:rPr>
                                <w:rFonts w:hint="default"/>
                                <w:b/>
                                <w:bCs/>
                                <w:lang w:val="en-US"/>
                              </w:rPr>
                            </w:pPr>
                            <w:r>
                              <w:rPr>
                                <w:b/>
                                <w:bCs/>
                              </w:rPr>
                              <w:t xml:space="preserve">图1-1  </w:t>
                            </w:r>
                            <w:r>
                              <w:rPr>
                                <w:rFonts w:hint="eastAsia"/>
                                <w:b/>
                                <w:bCs/>
                                <w:lang w:val="en-US" w:eastAsia="zh-CN"/>
                              </w:rPr>
                              <w:t>项目周边环境保护目标分布图</w:t>
                            </w:r>
                          </w:p>
                        </w:txbxContent>
                      </wps:txbx>
                      <wps:bodyPr vert="horz" wrap="square" anchor="t" anchorCtr="0" upright="1"/>
                    </wps:wsp>
                  </a:graphicData>
                </a:graphic>
              </wp:anchor>
            </w:drawing>
          </mc:Choice>
          <mc:Fallback>
            <w:pict>
              <v:shape id="文本框 3" o:spid="_x0000_s1026" o:spt="202" type="#_x0000_t202" style="position:absolute;left:0pt;margin-left:6.45pt;margin-top:463.05pt;height:42.75pt;width:756.85pt;z-index:251660288;mso-width-relative:page;mso-height-relative:page;" filled="f" stroked="f" coordsize="21600,21600" o:gfxdata="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IylkzXAAAADAEAAA8AAAAAAAAAAQAgAAAAIgAA&#10;AGRycy9kb3ducmV2LnhtbFBLAQIUABQAAAAIAIdO4kBgCkZN0AEAAI8DAAAOAAAAAAAAAAEAIAAA&#10;ACYBAABkcnMvZTJvRG9jLnhtbFBLBQYAAAAABgAGAFkBAABoBQAAAAA=&#10;">
                <v:fill on="f" focussize="0,0"/>
                <v:stroke on="f"/>
                <v:imagedata o:title=""/>
                <o:lock v:ext="edit" aspectratio="f"/>
                <v:textbox>
                  <w:txbxContent>
                    <w:p w14:paraId="34139EA6">
                      <w:pPr>
                        <w:jc w:val="center"/>
                        <w:rPr>
                          <w:rFonts w:hint="default"/>
                          <w:b/>
                          <w:bCs/>
                          <w:lang w:val="en-US"/>
                        </w:rPr>
                      </w:pPr>
                      <w:r>
                        <w:rPr>
                          <w:b/>
                          <w:bCs/>
                        </w:rPr>
                        <w:t xml:space="preserve">图1-1  </w:t>
                      </w:r>
                      <w:r>
                        <w:rPr>
                          <w:rFonts w:hint="eastAsia"/>
                          <w:b/>
                          <w:bCs/>
                          <w:lang w:val="en-US" w:eastAsia="zh-CN"/>
                        </w:rPr>
                        <w:t>项目周边环境保护目标分布图</w:t>
                      </w:r>
                    </w:p>
                  </w:txbxContent>
                </v:textbox>
              </v:shape>
            </w:pict>
          </mc:Fallback>
        </mc:AlternateContent>
      </w:r>
      <w:r>
        <w:rPr>
          <w:rFonts w:ascii="Times New Roman" w:hAnsi="Times New Roman"/>
          <w:snapToGrid w:val="0"/>
          <w:color w:val="auto"/>
        </w:rPr>
        <mc:AlternateContent>
          <mc:Choice Requires="wps">
            <w:drawing>
              <wp:anchor distT="0" distB="0" distL="114300" distR="114300" simplePos="0" relativeHeight="251659264" behindDoc="0" locked="0" layoutInCell="1" allowOverlap="1">
                <wp:simplePos x="0" y="0"/>
                <wp:positionH relativeFrom="column">
                  <wp:posOffset>946785</wp:posOffset>
                </wp:positionH>
                <wp:positionV relativeFrom="paragraph">
                  <wp:posOffset>4946650</wp:posOffset>
                </wp:positionV>
                <wp:extent cx="1266825" cy="28575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266825" cy="285750"/>
                        </a:xfrm>
                        <a:prstGeom prst="rect">
                          <a:avLst/>
                        </a:prstGeom>
                        <a:noFill/>
                        <a:ln>
                          <a:noFill/>
                        </a:ln>
                        <a:effectLst/>
                      </wps:spPr>
                      <wps:txbx>
                        <w:txbxContent>
                          <w:p w14:paraId="78784999">
                            <w:pPr>
                              <w:snapToGrid w:val="0"/>
                              <w:spacing w:line="240" w:lineRule="auto"/>
                              <w:rPr>
                                <w:rFonts w:eastAsia="楷体"/>
                                <w:b/>
                                <w:bCs/>
                                <w:sz w:val="21"/>
                                <w:szCs w:val="20"/>
                              </w:rPr>
                            </w:pPr>
                            <w:r>
                              <w:rPr>
                                <w:rFonts w:eastAsia="楷体"/>
                                <w:b/>
                                <w:bCs/>
                                <w:sz w:val="21"/>
                                <w:szCs w:val="20"/>
                              </w:rPr>
                              <w:t>0          1</w:t>
                            </w:r>
                            <w:r>
                              <w:rPr>
                                <w:rFonts w:hint="eastAsia" w:eastAsia="楷体"/>
                                <w:b/>
                                <w:bCs/>
                                <w:sz w:val="21"/>
                                <w:szCs w:val="20"/>
                              </w:rPr>
                              <w:t>k</w:t>
                            </w:r>
                            <w:r>
                              <w:rPr>
                                <w:rFonts w:eastAsia="楷体"/>
                                <w:b/>
                                <w:bCs/>
                                <w:sz w:val="21"/>
                                <w:szCs w:val="20"/>
                              </w:rPr>
                              <w:t xml:space="preserve">m </w:t>
                            </w:r>
                          </w:p>
                        </w:txbxContent>
                      </wps:txbx>
                      <wps:bodyPr vert="horz" wrap="square" anchor="t" anchorCtr="0" upright="1"/>
                    </wps:wsp>
                  </a:graphicData>
                </a:graphic>
              </wp:anchor>
            </w:drawing>
          </mc:Choice>
          <mc:Fallback>
            <w:pict>
              <v:shape id="文本框 2" o:spid="_x0000_s1026" o:spt="202" type="#_x0000_t202" style="position:absolute;left:0pt;margin-left:74.55pt;margin-top:389.5pt;height:22.5pt;width:99.75pt;z-index:251659264;mso-width-relative:page;mso-height-relative:page;" filled="f" stroked="f" coordsize="21600,21600" o:gfxdata="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7/UZDdgAAAALAQAADwAAAAAAAAABACAAAAAiAAAA&#10;ZHJzL2Rvd25yZXYueG1sUEsBAhQAFAAAAAgAh07iQBFtVo/OAQAAjwMAAA4AAAAAAAAAAQAgAAAA&#10;JwEAAGRycy9lMm9Eb2MueG1sUEsFBgAAAAAGAAYAWQEAAGcFAAAAAA==&#10;">
                <v:fill on="f" focussize="0,0"/>
                <v:stroke on="f"/>
                <v:imagedata o:title=""/>
                <o:lock v:ext="edit" aspectratio="f"/>
                <v:textbox>
                  <w:txbxContent>
                    <w:p w14:paraId="78784999">
                      <w:pPr>
                        <w:snapToGrid w:val="0"/>
                        <w:spacing w:line="240" w:lineRule="auto"/>
                        <w:rPr>
                          <w:rFonts w:eastAsia="楷体"/>
                          <w:b/>
                          <w:bCs/>
                          <w:sz w:val="21"/>
                          <w:szCs w:val="20"/>
                        </w:rPr>
                      </w:pPr>
                      <w:r>
                        <w:rPr>
                          <w:rFonts w:eastAsia="楷体"/>
                          <w:b/>
                          <w:bCs/>
                          <w:sz w:val="21"/>
                          <w:szCs w:val="20"/>
                        </w:rPr>
                        <w:t>0          1</w:t>
                      </w:r>
                      <w:r>
                        <w:rPr>
                          <w:rFonts w:hint="eastAsia" w:eastAsia="楷体"/>
                          <w:b/>
                          <w:bCs/>
                          <w:sz w:val="21"/>
                          <w:szCs w:val="20"/>
                        </w:rPr>
                        <w:t>k</w:t>
                      </w:r>
                      <w:r>
                        <w:rPr>
                          <w:rFonts w:eastAsia="楷体"/>
                          <w:b/>
                          <w:bCs/>
                          <w:sz w:val="21"/>
                          <w:szCs w:val="20"/>
                        </w:rPr>
                        <w:t xml:space="preserve">m </w:t>
                      </w:r>
                    </w:p>
                  </w:txbxContent>
                </v:textbox>
              </v:shape>
            </w:pict>
          </mc:Fallback>
        </mc:AlternateContent>
      </w:r>
      <w:r>
        <w:rPr>
          <w:rFonts w:hint="eastAsia" w:ascii="Times New Roman" w:hAnsi="Times New Roman" w:eastAsia="宋体"/>
          <w:snapToGrid w:val="0"/>
          <w:color w:val="auto"/>
          <w:lang w:eastAsia="zh-CN"/>
        </w:rPr>
        <w:drawing>
          <wp:inline distT="0" distB="0" distL="114300" distR="114300">
            <wp:extent cx="8312150" cy="5877560"/>
            <wp:effectExtent l="0" t="0" r="8890" b="5080"/>
            <wp:docPr id="27" name="图片 27" descr="丰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丰基"/>
                    <pic:cNvPicPr>
                      <a:picLocks noChangeAspect="1"/>
                    </pic:cNvPicPr>
                  </pic:nvPicPr>
                  <pic:blipFill>
                    <a:blip r:embed="rId37"/>
                    <a:stretch>
                      <a:fillRect/>
                    </a:stretch>
                  </pic:blipFill>
                  <pic:spPr>
                    <a:xfrm>
                      <a:off x="0" y="0"/>
                      <a:ext cx="8312150" cy="5877560"/>
                    </a:xfrm>
                    <a:prstGeom prst="rect">
                      <a:avLst/>
                    </a:prstGeom>
                  </pic:spPr>
                </pic:pic>
              </a:graphicData>
            </a:graphic>
          </wp:inline>
        </w:drawing>
      </w:r>
    </w:p>
    <w:p w14:paraId="65DDAD62">
      <w:pPr>
        <w:pStyle w:val="4"/>
        <w:rPr>
          <w:rFonts w:ascii="Times New Roman" w:hAnsi="Times New Roman"/>
          <w:snapToGrid w:val="0"/>
          <w:color w:val="auto"/>
        </w:rPr>
        <w:sectPr>
          <w:pgSz w:w="16838" w:h="11906" w:orient="landscape"/>
          <w:pgMar w:top="720" w:right="720" w:bottom="720" w:left="720" w:header="851" w:footer="992" w:gutter="0"/>
          <w:pgNumType w:fmt="numberInDash"/>
          <w:cols w:space="720" w:num="1"/>
          <w:docGrid w:type="lines" w:linePitch="326" w:charSpace="3920"/>
        </w:sectPr>
      </w:pPr>
    </w:p>
    <w:p w14:paraId="7D123D29">
      <w:pPr>
        <w:pStyle w:val="4"/>
        <w:rPr>
          <w:rFonts w:ascii="Times New Roman" w:hAnsi="Times New Roman"/>
          <w:snapToGrid w:val="0"/>
          <w:color w:val="auto"/>
        </w:rPr>
      </w:pPr>
      <w:bookmarkStart w:id="33" w:name="_Toc97323088"/>
      <w:r>
        <w:rPr>
          <w:rFonts w:ascii="Times New Roman" w:hAnsi="Times New Roman"/>
          <w:snapToGrid w:val="0"/>
          <w:color w:val="auto"/>
        </w:rPr>
        <w:t>1.4评价工作等级和评价范围</w:t>
      </w:r>
      <w:bookmarkEnd w:id="33"/>
    </w:p>
    <w:p w14:paraId="34D57FEE">
      <w:pPr>
        <w:pStyle w:val="5"/>
        <w:rPr>
          <w:snapToGrid w:val="0"/>
          <w:color w:val="auto"/>
        </w:rPr>
      </w:pPr>
      <w:r>
        <w:rPr>
          <w:snapToGrid w:val="0"/>
          <w:color w:val="auto"/>
        </w:rPr>
        <w:t>1.4.1评价工作等级划分方法</w:t>
      </w:r>
    </w:p>
    <w:p w14:paraId="03AA91AC">
      <w:pPr>
        <w:spacing w:line="360" w:lineRule="auto"/>
        <w:ind w:firstLine="518" w:firstLineChars="200"/>
        <w:rPr>
          <w:snapToGrid w:val="0"/>
          <w:color w:val="auto"/>
          <w:sz w:val="24"/>
          <w:szCs w:val="32"/>
        </w:rPr>
      </w:pPr>
      <w:r>
        <w:rPr>
          <w:snapToGrid w:val="0"/>
          <w:color w:val="auto"/>
          <w:sz w:val="24"/>
          <w:szCs w:val="32"/>
        </w:rPr>
        <w:t>根据《环境影响评价技术导则  大气环境》（HJ2.2-2018）中5.3 节工作等级的确定方法，选择项目污染源正常排放的主要污染物及排放参数，采用附录A 推荐模型中的AERSCREEN 模式计算项目污染源的最大环境影响，按评价工作分级判据进行分级。</w:t>
      </w:r>
    </w:p>
    <w:p w14:paraId="1F8A9FF9">
      <w:pPr>
        <w:snapToGrid w:val="0"/>
        <w:spacing w:line="240" w:lineRule="auto"/>
        <w:ind w:left="431"/>
        <w:jc w:val="center"/>
        <w:rPr>
          <w:b/>
          <w:snapToGrid w:val="0"/>
          <w:color w:val="auto"/>
          <w:szCs w:val="21"/>
        </w:rPr>
      </w:pPr>
      <w:r>
        <w:rPr>
          <w:b/>
          <w:snapToGrid w:val="0"/>
          <w:color w:val="auto"/>
          <w:szCs w:val="21"/>
        </w:rPr>
        <w:t>表1-2  大气环境影响评价工作等级判别表</w:t>
      </w:r>
    </w:p>
    <w:tbl>
      <w:tblPr>
        <w:tblStyle w:val="25"/>
        <w:tblW w:w="46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8"/>
        <w:gridCol w:w="5614"/>
      </w:tblGrid>
      <w:tr w14:paraId="495E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jc w:val="center"/>
        </w:trPr>
        <w:tc>
          <w:tcPr>
            <w:tcW w:w="1778" w:type="pct"/>
            <w:noWrap w:val="0"/>
            <w:vAlign w:val="center"/>
          </w:tcPr>
          <w:p w14:paraId="3521D24A">
            <w:pPr>
              <w:adjustRightInd w:val="0"/>
              <w:snapToGrid w:val="0"/>
              <w:spacing w:line="240" w:lineRule="auto"/>
              <w:jc w:val="center"/>
              <w:rPr>
                <w:b/>
                <w:snapToGrid w:val="0"/>
                <w:color w:val="auto"/>
                <w:sz w:val="21"/>
                <w:szCs w:val="18"/>
              </w:rPr>
            </w:pPr>
            <w:r>
              <w:rPr>
                <w:b/>
                <w:snapToGrid w:val="0"/>
                <w:color w:val="auto"/>
                <w:sz w:val="21"/>
                <w:szCs w:val="18"/>
              </w:rPr>
              <w:t>评价工作等级</w:t>
            </w:r>
          </w:p>
        </w:tc>
        <w:tc>
          <w:tcPr>
            <w:tcW w:w="3222" w:type="pct"/>
            <w:noWrap w:val="0"/>
            <w:vAlign w:val="center"/>
          </w:tcPr>
          <w:p w14:paraId="3D932F0E">
            <w:pPr>
              <w:adjustRightInd w:val="0"/>
              <w:snapToGrid w:val="0"/>
              <w:spacing w:line="240" w:lineRule="auto"/>
              <w:jc w:val="center"/>
              <w:rPr>
                <w:b/>
                <w:snapToGrid w:val="0"/>
                <w:color w:val="auto"/>
                <w:sz w:val="21"/>
                <w:szCs w:val="18"/>
              </w:rPr>
            </w:pPr>
            <w:r>
              <w:rPr>
                <w:b/>
                <w:snapToGrid w:val="0"/>
                <w:color w:val="auto"/>
                <w:sz w:val="21"/>
                <w:szCs w:val="18"/>
              </w:rPr>
              <w:t>评价工作等级判据</w:t>
            </w:r>
          </w:p>
        </w:tc>
      </w:tr>
      <w:tr w14:paraId="5FB0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78" w:type="pct"/>
            <w:noWrap w:val="0"/>
            <w:vAlign w:val="center"/>
          </w:tcPr>
          <w:p w14:paraId="6BAFF8DE">
            <w:pPr>
              <w:adjustRightInd w:val="0"/>
              <w:snapToGrid w:val="0"/>
              <w:spacing w:line="240" w:lineRule="auto"/>
              <w:jc w:val="center"/>
              <w:rPr>
                <w:snapToGrid w:val="0"/>
                <w:color w:val="auto"/>
                <w:sz w:val="21"/>
                <w:szCs w:val="18"/>
              </w:rPr>
            </w:pPr>
            <w:r>
              <w:rPr>
                <w:snapToGrid w:val="0"/>
                <w:color w:val="auto"/>
                <w:sz w:val="21"/>
                <w:szCs w:val="18"/>
              </w:rPr>
              <w:t>一级</w:t>
            </w:r>
          </w:p>
        </w:tc>
        <w:tc>
          <w:tcPr>
            <w:tcW w:w="3222" w:type="pct"/>
            <w:noWrap w:val="0"/>
            <w:vAlign w:val="center"/>
          </w:tcPr>
          <w:p w14:paraId="6F3E325D">
            <w:pPr>
              <w:adjustRightInd w:val="0"/>
              <w:snapToGrid w:val="0"/>
              <w:spacing w:line="240" w:lineRule="auto"/>
              <w:jc w:val="center"/>
              <w:rPr>
                <w:snapToGrid w:val="0"/>
                <w:color w:val="auto"/>
                <w:sz w:val="21"/>
                <w:szCs w:val="18"/>
              </w:rPr>
            </w:pPr>
            <w:r>
              <w:rPr>
                <w:snapToGrid w:val="0"/>
                <w:color w:val="auto"/>
                <w:sz w:val="21"/>
                <w:szCs w:val="18"/>
              </w:rPr>
              <w:t>Pmax≥10%</w:t>
            </w:r>
          </w:p>
        </w:tc>
      </w:tr>
      <w:tr w14:paraId="643F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778" w:type="pct"/>
            <w:noWrap w:val="0"/>
            <w:vAlign w:val="center"/>
          </w:tcPr>
          <w:p w14:paraId="11AB8FB6">
            <w:pPr>
              <w:adjustRightInd w:val="0"/>
              <w:snapToGrid w:val="0"/>
              <w:spacing w:line="240" w:lineRule="auto"/>
              <w:jc w:val="center"/>
              <w:rPr>
                <w:snapToGrid w:val="0"/>
                <w:color w:val="auto"/>
                <w:sz w:val="21"/>
                <w:szCs w:val="18"/>
              </w:rPr>
            </w:pPr>
            <w:r>
              <w:rPr>
                <w:snapToGrid w:val="0"/>
                <w:color w:val="auto"/>
                <w:sz w:val="21"/>
                <w:szCs w:val="18"/>
              </w:rPr>
              <w:t>二级</w:t>
            </w:r>
          </w:p>
        </w:tc>
        <w:tc>
          <w:tcPr>
            <w:tcW w:w="3222" w:type="pct"/>
            <w:noWrap w:val="0"/>
            <w:vAlign w:val="center"/>
          </w:tcPr>
          <w:p w14:paraId="1627770A">
            <w:pPr>
              <w:adjustRightInd w:val="0"/>
              <w:snapToGrid w:val="0"/>
              <w:spacing w:line="240" w:lineRule="auto"/>
              <w:jc w:val="center"/>
              <w:rPr>
                <w:snapToGrid w:val="0"/>
                <w:color w:val="auto"/>
                <w:sz w:val="21"/>
                <w:szCs w:val="18"/>
              </w:rPr>
            </w:pPr>
            <w:r>
              <w:rPr>
                <w:snapToGrid w:val="0"/>
                <w:color w:val="auto"/>
                <w:sz w:val="21"/>
                <w:szCs w:val="18"/>
              </w:rPr>
              <w:t>1≤Pmax＜10%</w:t>
            </w:r>
          </w:p>
        </w:tc>
      </w:tr>
      <w:tr w14:paraId="76B0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78" w:type="pct"/>
            <w:noWrap w:val="0"/>
            <w:vAlign w:val="center"/>
          </w:tcPr>
          <w:p w14:paraId="0DD38954">
            <w:pPr>
              <w:adjustRightInd w:val="0"/>
              <w:snapToGrid w:val="0"/>
              <w:spacing w:line="240" w:lineRule="auto"/>
              <w:jc w:val="center"/>
              <w:rPr>
                <w:snapToGrid w:val="0"/>
                <w:color w:val="auto"/>
                <w:sz w:val="21"/>
                <w:szCs w:val="18"/>
              </w:rPr>
            </w:pPr>
            <w:r>
              <w:rPr>
                <w:snapToGrid w:val="0"/>
                <w:color w:val="auto"/>
                <w:sz w:val="21"/>
                <w:szCs w:val="18"/>
              </w:rPr>
              <w:t>三级</w:t>
            </w:r>
          </w:p>
        </w:tc>
        <w:tc>
          <w:tcPr>
            <w:tcW w:w="3222" w:type="pct"/>
            <w:noWrap w:val="0"/>
            <w:vAlign w:val="center"/>
          </w:tcPr>
          <w:p w14:paraId="60B04BDE">
            <w:pPr>
              <w:adjustRightInd w:val="0"/>
              <w:snapToGrid w:val="0"/>
              <w:spacing w:line="240" w:lineRule="auto"/>
              <w:jc w:val="center"/>
              <w:rPr>
                <w:snapToGrid w:val="0"/>
                <w:color w:val="auto"/>
                <w:sz w:val="21"/>
                <w:szCs w:val="18"/>
              </w:rPr>
            </w:pPr>
            <w:r>
              <w:rPr>
                <w:snapToGrid w:val="0"/>
                <w:color w:val="auto"/>
                <w:sz w:val="21"/>
                <w:szCs w:val="18"/>
              </w:rPr>
              <w:t>Pmax＜1%</w:t>
            </w:r>
          </w:p>
        </w:tc>
      </w:tr>
    </w:tbl>
    <w:p w14:paraId="76BFC139">
      <w:pPr>
        <w:spacing w:line="360" w:lineRule="auto"/>
        <w:ind w:firstLine="518" w:firstLineChars="200"/>
        <w:rPr>
          <w:bCs/>
          <w:snapToGrid w:val="0"/>
          <w:color w:val="auto"/>
          <w:sz w:val="24"/>
          <w:szCs w:val="32"/>
        </w:rPr>
      </w:pPr>
      <w:r>
        <w:rPr>
          <w:snapToGrid w:val="0"/>
          <w:color w:val="auto"/>
          <w:sz w:val="24"/>
          <w:szCs w:val="32"/>
        </w:rPr>
        <w:t>在各污染源正常工况下排放时，</w:t>
      </w:r>
      <w:r>
        <w:rPr>
          <w:rFonts w:hint="eastAsia"/>
          <w:bCs/>
          <w:snapToGrid w:val="0"/>
          <w:color w:val="auto"/>
          <w:sz w:val="24"/>
          <w:szCs w:val="32"/>
        </w:rPr>
        <w:t>PM10</w:t>
      </w:r>
      <w:r>
        <w:rPr>
          <w:rFonts w:hint="eastAsia"/>
          <w:bCs/>
          <w:snapToGrid w:val="0"/>
          <w:color w:val="auto"/>
          <w:sz w:val="24"/>
          <w:szCs w:val="32"/>
          <w:lang w:eastAsia="zh-CN"/>
        </w:rPr>
        <w:t>、</w:t>
      </w:r>
      <w:r>
        <w:rPr>
          <w:rFonts w:hint="eastAsia"/>
          <w:bCs/>
          <w:snapToGrid w:val="0"/>
          <w:color w:val="auto"/>
          <w:sz w:val="24"/>
          <w:szCs w:val="32"/>
        </w:rPr>
        <w:t>非甲烷总烃</w:t>
      </w:r>
      <w:r>
        <w:rPr>
          <w:rFonts w:hint="eastAsia"/>
          <w:bCs/>
          <w:snapToGrid w:val="0"/>
          <w:color w:val="auto"/>
          <w:sz w:val="24"/>
          <w:szCs w:val="32"/>
          <w:lang w:eastAsia="zh-CN"/>
        </w:rPr>
        <w:t>、</w:t>
      </w:r>
      <w:r>
        <w:rPr>
          <w:rFonts w:hint="eastAsia"/>
          <w:bCs/>
          <w:snapToGrid w:val="0"/>
          <w:color w:val="auto"/>
          <w:sz w:val="24"/>
          <w:szCs w:val="32"/>
        </w:rPr>
        <w:t>苯酚</w:t>
      </w:r>
      <w:r>
        <w:rPr>
          <w:rFonts w:hint="eastAsia"/>
          <w:bCs/>
          <w:snapToGrid w:val="0"/>
          <w:color w:val="auto"/>
          <w:sz w:val="24"/>
          <w:szCs w:val="32"/>
          <w:lang w:eastAsia="zh-CN"/>
        </w:rPr>
        <w:t>、</w:t>
      </w:r>
      <w:r>
        <w:rPr>
          <w:rFonts w:hint="eastAsia"/>
          <w:bCs/>
          <w:snapToGrid w:val="0"/>
          <w:color w:val="auto"/>
          <w:sz w:val="24"/>
          <w:szCs w:val="32"/>
        </w:rPr>
        <w:t>甲醛</w:t>
      </w:r>
      <w:r>
        <w:rPr>
          <w:rFonts w:hint="eastAsia"/>
          <w:bCs/>
          <w:snapToGrid w:val="0"/>
          <w:color w:val="auto"/>
          <w:sz w:val="24"/>
          <w:szCs w:val="32"/>
          <w:lang w:eastAsia="zh-CN"/>
        </w:rPr>
        <w:t>、</w:t>
      </w:r>
      <w:r>
        <w:rPr>
          <w:rFonts w:hint="eastAsia"/>
          <w:bCs/>
          <w:snapToGrid w:val="0"/>
          <w:color w:val="auto"/>
          <w:sz w:val="24"/>
          <w:szCs w:val="32"/>
          <w:lang w:val="en-US" w:eastAsia="zh-CN"/>
        </w:rPr>
        <w:t>TSP</w:t>
      </w:r>
      <w:r>
        <w:rPr>
          <w:snapToGrid w:val="0"/>
          <w:color w:val="auto"/>
          <w:kern w:val="0"/>
          <w:sz w:val="24"/>
          <w:szCs w:val="32"/>
        </w:rPr>
        <w:t>的</w:t>
      </w:r>
      <w:r>
        <w:rPr>
          <w:snapToGrid w:val="0"/>
          <w:color w:val="auto"/>
          <w:sz w:val="24"/>
          <w:szCs w:val="32"/>
        </w:rPr>
        <w:t>占标率均小于10%，</w:t>
      </w:r>
      <w:r>
        <w:rPr>
          <w:bCs/>
          <w:snapToGrid w:val="0"/>
          <w:color w:val="auto"/>
          <w:sz w:val="24"/>
          <w:szCs w:val="32"/>
        </w:rPr>
        <w:t>1＜Pi＜10%，根据《环境影响评价技术导则-大气环境》（HJ2.2-2018），确定本项目大气环境影响评价为</w:t>
      </w:r>
      <w:r>
        <w:rPr>
          <w:rFonts w:hint="eastAsia"/>
          <w:bCs/>
          <w:snapToGrid w:val="0"/>
          <w:color w:val="auto"/>
          <w:sz w:val="24"/>
          <w:szCs w:val="32"/>
          <w:lang w:val="en-US" w:eastAsia="zh-CN"/>
        </w:rPr>
        <w:t>三级</w:t>
      </w:r>
      <w:r>
        <w:rPr>
          <w:bCs/>
          <w:snapToGrid w:val="0"/>
          <w:color w:val="auto"/>
          <w:sz w:val="24"/>
          <w:szCs w:val="32"/>
        </w:rPr>
        <w:t>。</w:t>
      </w:r>
      <w:r>
        <w:rPr>
          <w:snapToGrid w:val="0"/>
          <w:color w:val="auto"/>
          <w:sz w:val="24"/>
          <w:szCs w:val="32"/>
        </w:rPr>
        <w:t>各污染物最大落地浓度及浓度占标率情况见</w:t>
      </w:r>
      <w:r>
        <w:rPr>
          <w:bCs/>
          <w:snapToGrid w:val="0"/>
          <w:color w:val="auto"/>
          <w:sz w:val="24"/>
          <w:szCs w:val="32"/>
        </w:rPr>
        <w:t>表1-3。</w:t>
      </w:r>
    </w:p>
    <w:p w14:paraId="0BDFC1B6">
      <w:pPr>
        <w:adjustRightInd w:val="0"/>
        <w:snapToGrid w:val="0"/>
        <w:spacing w:line="240" w:lineRule="auto"/>
        <w:jc w:val="center"/>
        <w:rPr>
          <w:b/>
          <w:bCs/>
          <w:snapToGrid w:val="0"/>
          <w:color w:val="auto"/>
          <w:szCs w:val="21"/>
        </w:rPr>
      </w:pPr>
      <w:r>
        <w:rPr>
          <w:b/>
          <w:bCs/>
          <w:snapToGrid w:val="0"/>
          <w:color w:val="auto"/>
          <w:szCs w:val="21"/>
        </w:rPr>
        <w:t xml:space="preserve">表1-3    正常工况下 Pmax和D10%预测和计算结果一览表 </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1610"/>
        <w:gridCol w:w="1969"/>
        <w:gridCol w:w="1430"/>
        <w:gridCol w:w="1441"/>
        <w:gridCol w:w="962"/>
      </w:tblGrid>
      <w:tr w14:paraId="5A9EA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07" w:type="pct"/>
            <w:noWrap w:val="0"/>
            <w:vAlign w:val="center"/>
          </w:tcPr>
          <w:p w14:paraId="6103ED4C">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污染源</w:t>
            </w:r>
          </w:p>
        </w:tc>
        <w:tc>
          <w:tcPr>
            <w:tcW w:w="867" w:type="pct"/>
            <w:noWrap w:val="0"/>
            <w:vAlign w:val="center"/>
          </w:tcPr>
          <w:p w14:paraId="0B0CB080">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污染物</w:t>
            </w:r>
          </w:p>
        </w:tc>
        <w:tc>
          <w:tcPr>
            <w:tcW w:w="1060" w:type="pct"/>
            <w:noWrap w:val="0"/>
            <w:vAlign w:val="center"/>
          </w:tcPr>
          <w:p w14:paraId="7EDF36CB">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最大落地浓度（</w:t>
            </w:r>
            <w:r>
              <w:rPr>
                <w:rFonts w:hint="eastAsia"/>
                <w:b/>
                <w:bCs/>
                <w:snapToGrid w:val="0"/>
                <w:color w:val="auto"/>
                <w:kern w:val="0"/>
                <w:sz w:val="21"/>
                <w:szCs w:val="21"/>
                <w:lang w:val="en-US" w:eastAsia="zh-CN"/>
              </w:rPr>
              <w:t>m</w:t>
            </w:r>
            <w:r>
              <w:rPr>
                <w:b/>
                <w:bCs/>
                <w:snapToGrid w:val="0"/>
                <w:color w:val="auto"/>
                <w:kern w:val="0"/>
                <w:sz w:val="21"/>
                <w:szCs w:val="21"/>
              </w:rPr>
              <w:t>g/m</w:t>
            </w:r>
            <w:r>
              <w:rPr>
                <w:b/>
                <w:bCs/>
                <w:snapToGrid w:val="0"/>
                <w:color w:val="auto"/>
                <w:kern w:val="0"/>
                <w:sz w:val="21"/>
                <w:szCs w:val="21"/>
                <w:vertAlign w:val="superscript"/>
              </w:rPr>
              <w:t>3</w:t>
            </w:r>
            <w:r>
              <w:rPr>
                <w:b/>
                <w:bCs/>
                <w:snapToGrid w:val="0"/>
                <w:color w:val="auto"/>
                <w:kern w:val="0"/>
                <w:sz w:val="21"/>
                <w:szCs w:val="21"/>
              </w:rPr>
              <w:t>）</w:t>
            </w:r>
          </w:p>
        </w:tc>
        <w:tc>
          <w:tcPr>
            <w:tcW w:w="770" w:type="pct"/>
            <w:noWrap w:val="0"/>
            <w:vAlign w:val="center"/>
          </w:tcPr>
          <w:p w14:paraId="3AC3B86F">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最大浓度占标率</w:t>
            </w:r>
          </w:p>
        </w:tc>
        <w:tc>
          <w:tcPr>
            <w:tcW w:w="776" w:type="pct"/>
            <w:noWrap w:val="0"/>
            <w:vAlign w:val="center"/>
          </w:tcPr>
          <w:p w14:paraId="2EA7281E">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D10%最远距离/m</w:t>
            </w:r>
          </w:p>
        </w:tc>
        <w:tc>
          <w:tcPr>
            <w:tcW w:w="518" w:type="pct"/>
            <w:noWrap w:val="0"/>
            <w:vAlign w:val="center"/>
          </w:tcPr>
          <w:p w14:paraId="577BED5B">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评价等级</w:t>
            </w:r>
          </w:p>
        </w:tc>
      </w:tr>
      <w:tr w14:paraId="707F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noWrap w:val="0"/>
            <w:vAlign w:val="center"/>
          </w:tcPr>
          <w:p w14:paraId="193953EC">
            <w:pPr>
              <w:keepNext w:val="0"/>
              <w:keepLines w:val="0"/>
              <w:pageBreakBefore w:val="0"/>
              <w:kinsoku/>
              <w:wordWrap/>
              <w:overflowPunct/>
              <w:topLinePunct w:val="0"/>
              <w:autoSpaceDE/>
              <w:autoSpaceDN/>
              <w:bidi w:val="0"/>
              <w:adjustRightInd w:val="0"/>
              <w:snapToGrid w:val="0"/>
              <w:spacing w:line="240" w:lineRule="auto"/>
              <w:jc w:val="center"/>
              <w:rPr>
                <w:rFonts w:hint="default" w:eastAsia="宋体"/>
                <w:snapToGrid w:val="0"/>
                <w:color w:val="auto"/>
                <w:sz w:val="21"/>
                <w:szCs w:val="21"/>
                <w:lang w:val="en-US" w:eastAsia="zh-CN"/>
              </w:rPr>
            </w:pPr>
            <w:r>
              <w:rPr>
                <w:rFonts w:hint="eastAsia"/>
                <w:snapToGrid w:val="0"/>
                <w:color w:val="auto"/>
                <w:sz w:val="21"/>
                <w:szCs w:val="21"/>
                <w:lang w:val="en-US" w:eastAsia="zh-CN"/>
              </w:rPr>
              <w:t>DA001</w:t>
            </w:r>
          </w:p>
        </w:tc>
        <w:tc>
          <w:tcPr>
            <w:tcW w:w="1610" w:type="dxa"/>
            <w:noWrap w:val="0"/>
            <w:vAlign w:val="center"/>
          </w:tcPr>
          <w:p w14:paraId="2089135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PM10</w:t>
            </w:r>
          </w:p>
        </w:tc>
        <w:tc>
          <w:tcPr>
            <w:tcW w:w="1969" w:type="dxa"/>
            <w:noWrap w:val="0"/>
            <w:vAlign w:val="center"/>
          </w:tcPr>
          <w:p w14:paraId="461EB28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1.265</w:t>
            </w:r>
          </w:p>
        </w:tc>
        <w:tc>
          <w:tcPr>
            <w:tcW w:w="1430" w:type="dxa"/>
            <w:noWrap w:val="0"/>
            <w:vAlign w:val="center"/>
          </w:tcPr>
          <w:p w14:paraId="15885777">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0.35%</w:t>
            </w:r>
          </w:p>
        </w:tc>
        <w:tc>
          <w:tcPr>
            <w:tcW w:w="776" w:type="pct"/>
            <w:noWrap w:val="0"/>
            <w:vAlign w:val="center"/>
          </w:tcPr>
          <w:p w14:paraId="69AB4ECA">
            <w:pPr>
              <w:adjustRightInd w:val="0"/>
              <w:snapToGrid w:val="0"/>
              <w:spacing w:line="240" w:lineRule="auto"/>
              <w:jc w:val="center"/>
              <w:textAlignment w:val="center"/>
              <w:rPr>
                <w:rFonts w:hint="eastAsia"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w:t>
            </w:r>
          </w:p>
        </w:tc>
        <w:tc>
          <w:tcPr>
            <w:tcW w:w="962" w:type="dxa"/>
            <w:noWrap w:val="0"/>
            <w:vAlign w:val="center"/>
          </w:tcPr>
          <w:p w14:paraId="1277C927">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56C4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vMerge w:val="restart"/>
            <w:noWrap w:val="0"/>
            <w:vAlign w:val="center"/>
          </w:tcPr>
          <w:p w14:paraId="34F920C7">
            <w:pPr>
              <w:keepNext w:val="0"/>
              <w:keepLines w:val="0"/>
              <w:pageBreakBefore w:val="0"/>
              <w:kinsoku/>
              <w:wordWrap/>
              <w:overflowPunct/>
              <w:topLinePunct w:val="0"/>
              <w:autoSpaceDE/>
              <w:autoSpaceDN/>
              <w:bidi w:val="0"/>
              <w:adjustRightInd w:val="0"/>
              <w:snapToGrid w:val="0"/>
              <w:spacing w:line="240" w:lineRule="auto"/>
              <w:jc w:val="center"/>
              <w:rPr>
                <w:rFonts w:hint="eastAsia" w:eastAsia="宋体"/>
                <w:snapToGrid w:val="0"/>
                <w:color w:val="auto"/>
                <w:kern w:val="0"/>
                <w:sz w:val="21"/>
                <w:szCs w:val="21"/>
                <w:lang w:eastAsia="zh-CN"/>
              </w:rPr>
            </w:pPr>
            <w:r>
              <w:rPr>
                <w:snapToGrid w:val="0"/>
                <w:color w:val="auto"/>
                <w:sz w:val="21"/>
                <w:szCs w:val="21"/>
              </w:rPr>
              <w:t>DA00</w:t>
            </w:r>
            <w:r>
              <w:rPr>
                <w:rFonts w:hint="eastAsia"/>
                <w:snapToGrid w:val="0"/>
                <w:color w:val="auto"/>
                <w:sz w:val="21"/>
                <w:szCs w:val="21"/>
                <w:lang w:val="en-US" w:eastAsia="zh-CN"/>
              </w:rPr>
              <w:t>2</w:t>
            </w:r>
          </w:p>
        </w:tc>
        <w:tc>
          <w:tcPr>
            <w:tcW w:w="1610" w:type="dxa"/>
            <w:noWrap w:val="0"/>
            <w:vAlign w:val="center"/>
          </w:tcPr>
          <w:p w14:paraId="5AE6E1D7">
            <w:pPr>
              <w:keepNext w:val="0"/>
              <w:keepLines w:val="0"/>
              <w:widowControl/>
              <w:suppressLineNumbers w:val="0"/>
              <w:spacing w:line="240" w:lineRule="auto"/>
              <w:jc w:val="center"/>
              <w:textAlignment w:val="center"/>
              <w:rPr>
                <w:rFonts w:ascii="Times New Roman" w:hAnsi="Times New Roman" w:eastAsia="宋体" w:cs="Times New Roman"/>
                <w:snapToGrid w:val="0"/>
                <w:color w:val="auto"/>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非甲烷总烃</w:t>
            </w:r>
          </w:p>
        </w:tc>
        <w:tc>
          <w:tcPr>
            <w:tcW w:w="1969" w:type="dxa"/>
            <w:noWrap w:val="0"/>
            <w:vAlign w:val="center"/>
          </w:tcPr>
          <w:p w14:paraId="7F282CD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15.142</w:t>
            </w:r>
          </w:p>
        </w:tc>
        <w:tc>
          <w:tcPr>
            <w:tcW w:w="1430" w:type="dxa"/>
            <w:noWrap w:val="0"/>
            <w:vAlign w:val="center"/>
          </w:tcPr>
          <w:p w14:paraId="3999482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0.76%</w:t>
            </w:r>
          </w:p>
        </w:tc>
        <w:tc>
          <w:tcPr>
            <w:tcW w:w="776" w:type="pct"/>
            <w:noWrap w:val="0"/>
            <w:vAlign w:val="center"/>
          </w:tcPr>
          <w:p w14:paraId="3F0A8A69">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ascii="Times New Roman" w:hAnsi="Times New Roman" w:eastAsia="宋体" w:cs="Times New Roman"/>
                <w:snapToGrid w:val="0"/>
                <w:color w:val="auto"/>
                <w:kern w:val="0"/>
                <w:sz w:val="21"/>
                <w:szCs w:val="21"/>
              </w:rPr>
              <w:t>/</w:t>
            </w:r>
          </w:p>
        </w:tc>
        <w:tc>
          <w:tcPr>
            <w:tcW w:w="962" w:type="dxa"/>
            <w:noWrap w:val="0"/>
            <w:vAlign w:val="center"/>
          </w:tcPr>
          <w:p w14:paraId="490C58CF">
            <w:pPr>
              <w:adjustRightInd w:val="0"/>
              <w:snapToGrid w:val="0"/>
              <w:spacing w:line="240" w:lineRule="auto"/>
              <w:jc w:val="center"/>
              <w:textAlignment w:val="center"/>
              <w:rPr>
                <w:rFonts w:hint="default" w:eastAsia="宋体"/>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39C0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vMerge w:val="continue"/>
            <w:noWrap w:val="0"/>
            <w:vAlign w:val="center"/>
          </w:tcPr>
          <w:p w14:paraId="094C1980">
            <w:pPr>
              <w:keepNext w:val="0"/>
              <w:keepLines w:val="0"/>
              <w:pageBreakBefore w:val="0"/>
              <w:kinsoku/>
              <w:wordWrap/>
              <w:overflowPunct/>
              <w:topLinePunct w:val="0"/>
              <w:autoSpaceDE/>
              <w:autoSpaceDN/>
              <w:bidi w:val="0"/>
              <w:adjustRightInd w:val="0"/>
              <w:snapToGrid w:val="0"/>
              <w:spacing w:line="240" w:lineRule="auto"/>
              <w:jc w:val="center"/>
              <w:rPr>
                <w:snapToGrid w:val="0"/>
                <w:color w:val="auto"/>
                <w:sz w:val="21"/>
                <w:szCs w:val="21"/>
              </w:rPr>
            </w:pPr>
          </w:p>
        </w:tc>
        <w:tc>
          <w:tcPr>
            <w:tcW w:w="1610" w:type="dxa"/>
            <w:noWrap w:val="0"/>
            <w:vAlign w:val="center"/>
          </w:tcPr>
          <w:p w14:paraId="38E47786">
            <w:pPr>
              <w:keepNext w:val="0"/>
              <w:keepLines w:val="0"/>
              <w:widowControl/>
              <w:suppressLineNumbers w:val="0"/>
              <w:spacing w:line="240" w:lineRule="auto"/>
              <w:jc w:val="center"/>
              <w:textAlignment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highlight w:val="none"/>
                <w:lang w:val="en-US" w:eastAsia="zh-CN"/>
              </w:rPr>
              <w:t>苯酚</w:t>
            </w:r>
          </w:p>
        </w:tc>
        <w:tc>
          <w:tcPr>
            <w:tcW w:w="1969" w:type="dxa"/>
            <w:noWrap w:val="0"/>
            <w:vAlign w:val="center"/>
          </w:tcPr>
          <w:p w14:paraId="6E05572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0.00024</w:t>
            </w:r>
          </w:p>
        </w:tc>
        <w:tc>
          <w:tcPr>
            <w:tcW w:w="1430" w:type="dxa"/>
            <w:noWrap w:val="0"/>
            <w:vAlign w:val="center"/>
          </w:tcPr>
          <w:p w14:paraId="1A2FDE38">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0.48%</w:t>
            </w:r>
          </w:p>
        </w:tc>
        <w:tc>
          <w:tcPr>
            <w:tcW w:w="776" w:type="pct"/>
            <w:noWrap w:val="0"/>
            <w:vAlign w:val="center"/>
          </w:tcPr>
          <w:p w14:paraId="5F776C14">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38796989">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5171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vMerge w:val="continue"/>
            <w:noWrap w:val="0"/>
            <w:vAlign w:val="center"/>
          </w:tcPr>
          <w:p w14:paraId="261CBF2F">
            <w:pPr>
              <w:keepNext w:val="0"/>
              <w:keepLines w:val="0"/>
              <w:pageBreakBefore w:val="0"/>
              <w:kinsoku/>
              <w:wordWrap/>
              <w:overflowPunct/>
              <w:topLinePunct w:val="0"/>
              <w:autoSpaceDE/>
              <w:autoSpaceDN/>
              <w:bidi w:val="0"/>
              <w:adjustRightInd w:val="0"/>
              <w:snapToGrid w:val="0"/>
              <w:spacing w:line="240" w:lineRule="auto"/>
              <w:jc w:val="center"/>
              <w:rPr>
                <w:snapToGrid w:val="0"/>
                <w:color w:val="auto"/>
                <w:sz w:val="21"/>
                <w:szCs w:val="21"/>
              </w:rPr>
            </w:pPr>
          </w:p>
        </w:tc>
        <w:tc>
          <w:tcPr>
            <w:tcW w:w="1610" w:type="dxa"/>
            <w:noWrap w:val="0"/>
            <w:vAlign w:val="center"/>
          </w:tcPr>
          <w:p w14:paraId="66A754AE">
            <w:pPr>
              <w:keepNext w:val="0"/>
              <w:keepLines w:val="0"/>
              <w:widowControl/>
              <w:suppressLineNumbers w:val="0"/>
              <w:spacing w:line="240" w:lineRule="auto"/>
              <w:jc w:val="center"/>
              <w:textAlignment w:val="center"/>
              <w:rPr>
                <w:rFonts w:ascii="Times New Roman" w:hAnsi="Times New Roman" w:eastAsia="宋体" w:cs="Times New Roman"/>
                <w:snapToGrid w:val="0"/>
                <w:color w:val="auto"/>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甲醛</w:t>
            </w:r>
          </w:p>
        </w:tc>
        <w:tc>
          <w:tcPr>
            <w:tcW w:w="1969" w:type="dxa"/>
            <w:noWrap w:val="0"/>
            <w:vAlign w:val="center"/>
          </w:tcPr>
          <w:p w14:paraId="40B98CC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0.00018</w:t>
            </w:r>
          </w:p>
        </w:tc>
        <w:tc>
          <w:tcPr>
            <w:tcW w:w="1430" w:type="dxa"/>
            <w:noWrap w:val="0"/>
            <w:vAlign w:val="center"/>
          </w:tcPr>
          <w:p w14:paraId="037E7312">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0.36%</w:t>
            </w:r>
          </w:p>
        </w:tc>
        <w:tc>
          <w:tcPr>
            <w:tcW w:w="776" w:type="pct"/>
            <w:noWrap w:val="0"/>
            <w:vAlign w:val="center"/>
          </w:tcPr>
          <w:p w14:paraId="3CD42838">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766598A9">
            <w:pPr>
              <w:adjustRightInd w:val="0"/>
              <w:snapToGrid w:val="0"/>
              <w:spacing w:line="240" w:lineRule="auto"/>
              <w:jc w:val="center"/>
              <w:textAlignment w:val="center"/>
              <w:rPr>
                <w:snapToGrid w:val="0"/>
                <w:color w:val="auto"/>
                <w:kern w:val="0"/>
                <w:sz w:val="21"/>
                <w:szCs w:val="21"/>
              </w:rPr>
            </w:pPr>
            <w:r>
              <w:rPr>
                <w:rFonts w:hint="eastAsia"/>
                <w:snapToGrid w:val="0"/>
                <w:color w:val="auto"/>
                <w:kern w:val="0"/>
                <w:sz w:val="21"/>
                <w:szCs w:val="21"/>
                <w:lang w:val="en-US" w:eastAsia="zh-CN"/>
              </w:rPr>
              <w:t>三级</w:t>
            </w:r>
          </w:p>
        </w:tc>
      </w:tr>
      <w:tr w14:paraId="7BEB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noWrap w:val="0"/>
            <w:vAlign w:val="center"/>
          </w:tcPr>
          <w:p w14:paraId="62774805">
            <w:pPr>
              <w:keepNext w:val="0"/>
              <w:keepLines w:val="0"/>
              <w:pageBreakBefore w:val="0"/>
              <w:kinsoku/>
              <w:wordWrap/>
              <w:overflowPunct/>
              <w:topLinePunct w:val="0"/>
              <w:autoSpaceDE/>
              <w:autoSpaceDN/>
              <w:bidi w:val="0"/>
              <w:adjustRightInd w:val="0"/>
              <w:snapToGrid w:val="0"/>
              <w:spacing w:line="240" w:lineRule="auto"/>
              <w:jc w:val="center"/>
              <w:rPr>
                <w:rFonts w:hint="default" w:eastAsia="宋体"/>
                <w:snapToGrid w:val="0"/>
                <w:color w:val="auto"/>
                <w:sz w:val="21"/>
                <w:szCs w:val="21"/>
                <w:lang w:val="en-US" w:eastAsia="zh-CN"/>
              </w:rPr>
            </w:pPr>
            <w:r>
              <w:rPr>
                <w:rFonts w:hint="eastAsia"/>
                <w:snapToGrid w:val="0"/>
                <w:color w:val="auto"/>
                <w:sz w:val="21"/>
                <w:szCs w:val="21"/>
                <w:lang w:val="en-US" w:eastAsia="zh-CN"/>
              </w:rPr>
              <w:t>DA003</w:t>
            </w:r>
          </w:p>
        </w:tc>
        <w:tc>
          <w:tcPr>
            <w:tcW w:w="1610" w:type="dxa"/>
            <w:noWrap w:val="0"/>
            <w:vAlign w:val="center"/>
          </w:tcPr>
          <w:p w14:paraId="59C72CFC">
            <w:pPr>
              <w:keepNext w:val="0"/>
              <w:keepLines w:val="0"/>
              <w:widowControl/>
              <w:suppressLineNumbers w:val="0"/>
              <w:spacing w:line="240" w:lineRule="auto"/>
              <w:jc w:val="center"/>
              <w:textAlignment w:val="center"/>
              <w:rPr>
                <w:rFonts w:hint="eastAsia"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PM10</w:t>
            </w:r>
          </w:p>
        </w:tc>
        <w:tc>
          <w:tcPr>
            <w:tcW w:w="1969" w:type="dxa"/>
            <w:noWrap w:val="0"/>
            <w:vAlign w:val="center"/>
          </w:tcPr>
          <w:p w14:paraId="35A52D20">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0.856</w:t>
            </w:r>
          </w:p>
        </w:tc>
        <w:tc>
          <w:tcPr>
            <w:tcW w:w="1430" w:type="dxa"/>
            <w:noWrap w:val="0"/>
            <w:vAlign w:val="center"/>
          </w:tcPr>
          <w:p w14:paraId="1DE36C7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0.24%</w:t>
            </w:r>
          </w:p>
        </w:tc>
        <w:tc>
          <w:tcPr>
            <w:tcW w:w="776" w:type="pct"/>
            <w:noWrap w:val="0"/>
            <w:vAlign w:val="center"/>
          </w:tcPr>
          <w:p w14:paraId="71583C28">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6496D503">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2FCC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noWrap w:val="0"/>
            <w:vAlign w:val="center"/>
          </w:tcPr>
          <w:p w14:paraId="7B90DB33">
            <w:pPr>
              <w:keepNext w:val="0"/>
              <w:keepLines w:val="0"/>
              <w:pageBreakBefore w:val="0"/>
              <w:kinsoku/>
              <w:wordWrap/>
              <w:overflowPunct/>
              <w:topLinePunct w:val="0"/>
              <w:autoSpaceDE/>
              <w:autoSpaceDN/>
              <w:bidi w:val="0"/>
              <w:adjustRightInd w:val="0"/>
              <w:snapToGrid w:val="0"/>
              <w:spacing w:line="240" w:lineRule="auto"/>
              <w:jc w:val="center"/>
              <w:rPr>
                <w:rFonts w:hint="default" w:eastAsia="宋体"/>
                <w:snapToGrid w:val="0"/>
                <w:color w:val="auto"/>
                <w:sz w:val="21"/>
                <w:szCs w:val="21"/>
                <w:lang w:val="en-US" w:eastAsia="zh-CN"/>
              </w:rPr>
            </w:pPr>
            <w:r>
              <w:rPr>
                <w:rFonts w:hint="eastAsia"/>
                <w:snapToGrid w:val="0"/>
                <w:color w:val="auto"/>
                <w:sz w:val="21"/>
                <w:szCs w:val="21"/>
                <w:lang w:val="en-US" w:eastAsia="zh-CN"/>
              </w:rPr>
              <w:t>DA004</w:t>
            </w:r>
          </w:p>
        </w:tc>
        <w:tc>
          <w:tcPr>
            <w:tcW w:w="1610" w:type="dxa"/>
            <w:noWrap w:val="0"/>
            <w:vAlign w:val="center"/>
          </w:tcPr>
          <w:p w14:paraId="38A24097">
            <w:pPr>
              <w:keepNext w:val="0"/>
              <w:keepLines w:val="0"/>
              <w:widowControl/>
              <w:suppressLineNumbers w:val="0"/>
              <w:spacing w:line="240" w:lineRule="auto"/>
              <w:jc w:val="center"/>
              <w:textAlignment w:val="center"/>
              <w:rPr>
                <w:rFonts w:hint="eastAsia" w:cs="Times New Roman"/>
                <w:snapToGrid w:val="0"/>
                <w:color w:val="auto"/>
                <w:kern w:val="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非甲烷总烃</w:t>
            </w:r>
          </w:p>
        </w:tc>
        <w:tc>
          <w:tcPr>
            <w:tcW w:w="1969" w:type="dxa"/>
            <w:noWrap w:val="0"/>
            <w:vAlign w:val="center"/>
          </w:tcPr>
          <w:p w14:paraId="2D7FD735">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0.785</w:t>
            </w:r>
          </w:p>
        </w:tc>
        <w:tc>
          <w:tcPr>
            <w:tcW w:w="1430" w:type="dxa"/>
            <w:noWrap w:val="0"/>
            <w:vAlign w:val="center"/>
          </w:tcPr>
          <w:p w14:paraId="703471A0">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0.04%</w:t>
            </w:r>
          </w:p>
        </w:tc>
        <w:tc>
          <w:tcPr>
            <w:tcW w:w="776" w:type="pct"/>
            <w:noWrap w:val="0"/>
            <w:vAlign w:val="center"/>
          </w:tcPr>
          <w:p w14:paraId="5957EDD8">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2E087FCB">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57C6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vMerge w:val="restart"/>
            <w:noWrap w:val="0"/>
            <w:vAlign w:val="center"/>
          </w:tcPr>
          <w:p w14:paraId="73D0425A">
            <w:pPr>
              <w:adjustRightInd w:val="0"/>
              <w:snapToGrid w:val="0"/>
              <w:spacing w:line="240" w:lineRule="auto"/>
              <w:jc w:val="center"/>
              <w:rPr>
                <w:snapToGrid w:val="0"/>
                <w:color w:val="auto"/>
                <w:kern w:val="0"/>
                <w:sz w:val="21"/>
                <w:szCs w:val="21"/>
              </w:rPr>
            </w:pPr>
            <w:r>
              <w:rPr>
                <w:rFonts w:hint="eastAsia"/>
                <w:snapToGrid w:val="0"/>
                <w:color w:val="auto"/>
                <w:sz w:val="21"/>
                <w:szCs w:val="21"/>
                <w:lang w:val="en-US" w:eastAsia="zh-CN"/>
              </w:rPr>
              <w:t>生产车间（面源）</w:t>
            </w:r>
          </w:p>
        </w:tc>
        <w:tc>
          <w:tcPr>
            <w:tcW w:w="867" w:type="pct"/>
            <w:noWrap w:val="0"/>
            <w:vAlign w:val="center"/>
          </w:tcPr>
          <w:p w14:paraId="2617A016">
            <w:pPr>
              <w:adjustRightInd w:val="0"/>
              <w:snapToGrid w:val="0"/>
              <w:spacing w:line="240" w:lineRule="auto"/>
              <w:jc w:val="center"/>
              <w:textAlignment w:val="center"/>
              <w:rPr>
                <w:rFonts w:hint="default"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TSP</w:t>
            </w:r>
          </w:p>
        </w:tc>
        <w:tc>
          <w:tcPr>
            <w:tcW w:w="1969" w:type="dxa"/>
            <w:noWrap w:val="0"/>
            <w:vAlign w:val="center"/>
          </w:tcPr>
          <w:p w14:paraId="0478705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7.259</w:t>
            </w:r>
          </w:p>
        </w:tc>
        <w:tc>
          <w:tcPr>
            <w:tcW w:w="1430" w:type="dxa"/>
            <w:noWrap w:val="0"/>
            <w:vAlign w:val="center"/>
          </w:tcPr>
          <w:p w14:paraId="2087D11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0.81%</w:t>
            </w:r>
          </w:p>
        </w:tc>
        <w:tc>
          <w:tcPr>
            <w:tcW w:w="776" w:type="pct"/>
            <w:noWrap w:val="0"/>
            <w:vAlign w:val="center"/>
          </w:tcPr>
          <w:p w14:paraId="386F8B10">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3C8CDD8F">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3A9D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vMerge w:val="continue"/>
            <w:noWrap w:val="0"/>
            <w:vAlign w:val="center"/>
          </w:tcPr>
          <w:p w14:paraId="4A99BAF0">
            <w:pPr>
              <w:keepNext w:val="0"/>
              <w:keepLines w:val="0"/>
              <w:pageBreakBefore w:val="0"/>
              <w:kinsoku/>
              <w:wordWrap/>
              <w:overflowPunct/>
              <w:topLinePunct w:val="0"/>
              <w:autoSpaceDE/>
              <w:autoSpaceDN/>
              <w:bidi w:val="0"/>
              <w:adjustRightInd w:val="0"/>
              <w:snapToGrid w:val="0"/>
              <w:spacing w:line="240" w:lineRule="auto"/>
              <w:jc w:val="center"/>
              <w:rPr>
                <w:snapToGrid w:val="0"/>
                <w:color w:val="auto"/>
                <w:sz w:val="21"/>
                <w:szCs w:val="21"/>
              </w:rPr>
            </w:pPr>
          </w:p>
        </w:tc>
        <w:tc>
          <w:tcPr>
            <w:tcW w:w="1610" w:type="dxa"/>
            <w:noWrap w:val="0"/>
            <w:vAlign w:val="center"/>
          </w:tcPr>
          <w:p w14:paraId="73864322">
            <w:pPr>
              <w:keepNext w:val="0"/>
              <w:keepLines w:val="0"/>
              <w:widowControl/>
              <w:suppressLineNumbers w:val="0"/>
              <w:spacing w:line="240" w:lineRule="auto"/>
              <w:jc w:val="center"/>
              <w:textAlignment w:val="center"/>
              <w:rPr>
                <w:rFonts w:hint="eastAsia" w:cs="Times New Roman"/>
                <w:snapToGrid w:val="0"/>
                <w:color w:val="auto"/>
                <w:kern w:val="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非甲烷总烃</w:t>
            </w:r>
          </w:p>
        </w:tc>
        <w:tc>
          <w:tcPr>
            <w:tcW w:w="1969" w:type="dxa"/>
            <w:noWrap w:val="0"/>
            <w:vAlign w:val="center"/>
          </w:tcPr>
          <w:p w14:paraId="43E41D5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12.426</w:t>
            </w:r>
          </w:p>
        </w:tc>
        <w:tc>
          <w:tcPr>
            <w:tcW w:w="1430" w:type="dxa"/>
            <w:noWrap w:val="0"/>
            <w:vAlign w:val="center"/>
          </w:tcPr>
          <w:p w14:paraId="2297976A">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0.62%</w:t>
            </w:r>
          </w:p>
        </w:tc>
        <w:tc>
          <w:tcPr>
            <w:tcW w:w="776" w:type="pct"/>
            <w:noWrap w:val="0"/>
            <w:vAlign w:val="center"/>
          </w:tcPr>
          <w:p w14:paraId="5C849648">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192B8092">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1DD5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007" w:type="pct"/>
            <w:vMerge w:val="continue"/>
            <w:noWrap w:val="0"/>
            <w:vAlign w:val="center"/>
          </w:tcPr>
          <w:p w14:paraId="601F2426">
            <w:pPr>
              <w:adjustRightInd w:val="0"/>
              <w:snapToGrid w:val="0"/>
              <w:spacing w:line="240" w:lineRule="auto"/>
              <w:jc w:val="center"/>
              <w:rPr>
                <w:snapToGrid w:val="0"/>
                <w:color w:val="auto"/>
                <w:kern w:val="0"/>
                <w:sz w:val="21"/>
                <w:szCs w:val="21"/>
              </w:rPr>
            </w:pPr>
          </w:p>
        </w:tc>
        <w:tc>
          <w:tcPr>
            <w:tcW w:w="1610" w:type="dxa"/>
            <w:noWrap w:val="0"/>
            <w:vAlign w:val="center"/>
          </w:tcPr>
          <w:p w14:paraId="4B64C411">
            <w:pPr>
              <w:keepNext w:val="0"/>
              <w:keepLines w:val="0"/>
              <w:widowControl/>
              <w:suppressLineNumbers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ascii="Times New Roman" w:hAnsi="Times New Roman" w:eastAsia="宋体" w:cs="Times New Roman"/>
                <w:color w:val="auto"/>
                <w:sz w:val="21"/>
                <w:szCs w:val="21"/>
                <w:highlight w:val="none"/>
                <w:lang w:val="en-US" w:eastAsia="zh-CN"/>
              </w:rPr>
              <w:t>苯酚</w:t>
            </w:r>
          </w:p>
        </w:tc>
        <w:tc>
          <w:tcPr>
            <w:tcW w:w="1969" w:type="dxa"/>
            <w:noWrap w:val="0"/>
            <w:vAlign w:val="center"/>
          </w:tcPr>
          <w:p w14:paraId="4177E72C">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0.00012</w:t>
            </w:r>
          </w:p>
        </w:tc>
        <w:tc>
          <w:tcPr>
            <w:tcW w:w="1430" w:type="dxa"/>
            <w:noWrap w:val="0"/>
            <w:vAlign w:val="center"/>
          </w:tcPr>
          <w:p w14:paraId="49AF63E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0.24%</w:t>
            </w:r>
          </w:p>
        </w:tc>
        <w:tc>
          <w:tcPr>
            <w:tcW w:w="776" w:type="pct"/>
            <w:noWrap w:val="0"/>
            <w:vAlign w:val="center"/>
          </w:tcPr>
          <w:p w14:paraId="4E5F29B2">
            <w:pPr>
              <w:adjustRightInd w:val="0"/>
              <w:snapToGrid w:val="0"/>
              <w:spacing w:line="240" w:lineRule="auto"/>
              <w:jc w:val="center"/>
              <w:textAlignment w:val="center"/>
              <w:rPr>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0D84C4FB">
            <w:pPr>
              <w:adjustRightInd w:val="0"/>
              <w:snapToGrid w:val="0"/>
              <w:spacing w:line="240" w:lineRule="auto"/>
              <w:jc w:val="center"/>
              <w:textAlignment w:val="center"/>
              <w:rPr>
                <w:snapToGrid w:val="0"/>
                <w:color w:val="auto"/>
                <w:kern w:val="0"/>
                <w:sz w:val="21"/>
                <w:szCs w:val="21"/>
              </w:rPr>
            </w:pPr>
            <w:r>
              <w:rPr>
                <w:rFonts w:hint="eastAsia"/>
                <w:snapToGrid w:val="0"/>
                <w:color w:val="auto"/>
                <w:kern w:val="0"/>
                <w:sz w:val="21"/>
                <w:szCs w:val="21"/>
                <w:lang w:val="en-US" w:eastAsia="zh-CN"/>
              </w:rPr>
              <w:t>三级</w:t>
            </w:r>
          </w:p>
        </w:tc>
      </w:tr>
      <w:tr w14:paraId="059B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007" w:type="pct"/>
            <w:vMerge w:val="continue"/>
            <w:noWrap w:val="0"/>
            <w:vAlign w:val="center"/>
          </w:tcPr>
          <w:p w14:paraId="74058333">
            <w:pPr>
              <w:adjustRightInd w:val="0"/>
              <w:snapToGrid w:val="0"/>
              <w:spacing w:line="240" w:lineRule="auto"/>
              <w:jc w:val="center"/>
              <w:rPr>
                <w:snapToGrid w:val="0"/>
                <w:color w:val="auto"/>
                <w:sz w:val="21"/>
                <w:szCs w:val="18"/>
              </w:rPr>
            </w:pPr>
          </w:p>
        </w:tc>
        <w:tc>
          <w:tcPr>
            <w:tcW w:w="1610" w:type="dxa"/>
            <w:noWrap w:val="0"/>
            <w:vAlign w:val="center"/>
          </w:tcPr>
          <w:p w14:paraId="0A43FCFC">
            <w:pPr>
              <w:keepNext w:val="0"/>
              <w:keepLines w:val="0"/>
              <w:widowControl/>
              <w:suppressLineNumbers w:val="0"/>
              <w:spacing w:line="240" w:lineRule="auto"/>
              <w:jc w:val="center"/>
              <w:textAlignment w:val="center"/>
              <w:rPr>
                <w:rFonts w:ascii="Times New Roman" w:hAnsi="Times New Roman" w:eastAsia="宋体" w:cs="Times New Roman"/>
                <w:snapToGrid w:val="0"/>
                <w:color w:val="auto"/>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甲醛</w:t>
            </w:r>
          </w:p>
        </w:tc>
        <w:tc>
          <w:tcPr>
            <w:tcW w:w="1969" w:type="dxa"/>
            <w:noWrap w:val="0"/>
            <w:vAlign w:val="center"/>
          </w:tcPr>
          <w:p w14:paraId="412F395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0.00008</w:t>
            </w:r>
          </w:p>
        </w:tc>
        <w:tc>
          <w:tcPr>
            <w:tcW w:w="1430" w:type="dxa"/>
            <w:noWrap w:val="0"/>
            <w:vAlign w:val="center"/>
          </w:tcPr>
          <w:p w14:paraId="69D9D50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0.16%</w:t>
            </w:r>
          </w:p>
        </w:tc>
        <w:tc>
          <w:tcPr>
            <w:tcW w:w="776" w:type="pct"/>
            <w:noWrap w:val="0"/>
            <w:vAlign w:val="center"/>
          </w:tcPr>
          <w:p w14:paraId="1B870A65">
            <w:pPr>
              <w:adjustRightInd w:val="0"/>
              <w:snapToGrid w:val="0"/>
              <w:spacing w:line="240" w:lineRule="auto"/>
              <w:jc w:val="center"/>
              <w:textAlignment w:val="center"/>
              <w:rPr>
                <w:snapToGrid w:val="0"/>
                <w:color w:val="auto"/>
                <w:kern w:val="0"/>
                <w:sz w:val="21"/>
                <w:szCs w:val="21"/>
              </w:rPr>
            </w:pPr>
            <w:r>
              <w:rPr>
                <w:snapToGrid w:val="0"/>
                <w:color w:val="auto"/>
                <w:kern w:val="0"/>
                <w:sz w:val="21"/>
                <w:szCs w:val="21"/>
              </w:rPr>
              <w:t>/</w:t>
            </w:r>
          </w:p>
        </w:tc>
        <w:tc>
          <w:tcPr>
            <w:tcW w:w="962" w:type="dxa"/>
            <w:noWrap w:val="0"/>
            <w:vAlign w:val="center"/>
          </w:tcPr>
          <w:p w14:paraId="6A30DA35">
            <w:pPr>
              <w:adjustRightInd w:val="0"/>
              <w:snapToGrid w:val="0"/>
              <w:spacing w:line="240" w:lineRule="auto"/>
              <w:jc w:val="center"/>
              <w:textAlignment w:val="center"/>
              <w:rPr>
                <w:snapToGrid w:val="0"/>
                <w:color w:val="auto"/>
                <w:kern w:val="0"/>
                <w:sz w:val="21"/>
                <w:szCs w:val="21"/>
              </w:rPr>
            </w:pPr>
            <w:r>
              <w:rPr>
                <w:rFonts w:hint="eastAsia"/>
                <w:snapToGrid w:val="0"/>
                <w:color w:val="auto"/>
                <w:kern w:val="0"/>
                <w:sz w:val="21"/>
                <w:szCs w:val="21"/>
                <w:lang w:val="en-US" w:eastAsia="zh-CN"/>
              </w:rPr>
              <w:t>三级</w:t>
            </w:r>
          </w:p>
        </w:tc>
      </w:tr>
    </w:tbl>
    <w:p w14:paraId="3AB05942">
      <w:pPr>
        <w:pStyle w:val="5"/>
        <w:rPr>
          <w:snapToGrid w:val="0"/>
          <w:color w:val="auto"/>
        </w:rPr>
      </w:pPr>
      <w:r>
        <w:rPr>
          <w:snapToGrid w:val="0"/>
          <w:color w:val="auto"/>
        </w:rPr>
        <w:t>1.4.2评价范围</w:t>
      </w:r>
    </w:p>
    <w:p w14:paraId="7D7AB90B">
      <w:pPr>
        <w:spacing w:line="360" w:lineRule="auto"/>
        <w:ind w:firstLine="480"/>
        <w:rPr>
          <w:snapToGrid w:val="0"/>
          <w:color w:val="auto"/>
          <w:sz w:val="24"/>
          <w:szCs w:val="32"/>
        </w:rPr>
      </w:pPr>
      <w:r>
        <w:rPr>
          <w:rFonts w:hint="eastAsia"/>
          <w:snapToGrid w:val="0"/>
          <w:color w:val="auto"/>
          <w:sz w:val="24"/>
          <w:szCs w:val="32"/>
        </w:rPr>
        <w:t>根据《环境影响评价技术导则大气环境》 (HJ2.2-2018) 评价范围的确定原则，本项目为</w:t>
      </w:r>
      <w:r>
        <w:rPr>
          <w:rFonts w:hint="eastAsia"/>
          <w:snapToGrid w:val="0"/>
          <w:color w:val="auto"/>
          <w:sz w:val="24"/>
          <w:szCs w:val="32"/>
          <w:lang w:val="en-US" w:eastAsia="zh-CN"/>
        </w:rPr>
        <w:t>三</w:t>
      </w:r>
      <w:r>
        <w:rPr>
          <w:rFonts w:hint="eastAsia"/>
          <w:snapToGrid w:val="0"/>
          <w:color w:val="auto"/>
          <w:sz w:val="24"/>
          <w:szCs w:val="32"/>
        </w:rPr>
        <w:t>级评价项目，不设置大气环境影响评价范围。</w:t>
      </w:r>
    </w:p>
    <w:p w14:paraId="4478BA0A">
      <w:pPr>
        <w:pStyle w:val="4"/>
        <w:rPr>
          <w:rFonts w:ascii="Times New Roman" w:hAnsi="Times New Roman"/>
          <w:snapToGrid w:val="0"/>
          <w:color w:val="auto"/>
        </w:rPr>
      </w:pPr>
      <w:bookmarkStart w:id="34" w:name="_Toc97323089"/>
      <w:r>
        <w:rPr>
          <w:rFonts w:ascii="Times New Roman" w:hAnsi="Times New Roman"/>
          <w:snapToGrid w:val="0"/>
          <w:color w:val="auto"/>
        </w:rPr>
        <w:t>1.5工作内容</w:t>
      </w:r>
      <w:bookmarkEnd w:id="34"/>
    </w:p>
    <w:p w14:paraId="6A621DF6">
      <w:pPr>
        <w:spacing w:line="360" w:lineRule="auto"/>
        <w:ind w:firstLine="564" w:firstLineChars="218"/>
        <w:rPr>
          <w:snapToGrid w:val="0"/>
          <w:color w:val="auto"/>
          <w:sz w:val="24"/>
          <w:szCs w:val="32"/>
        </w:rPr>
      </w:pPr>
      <w:r>
        <w:rPr>
          <w:snapToGrid w:val="0"/>
          <w:color w:val="auto"/>
          <w:sz w:val="24"/>
          <w:szCs w:val="32"/>
        </w:rPr>
        <w:t>根据本项目大气环境影响评价工作等级的划分，确定本项目大气环境影响评价工作内容如下：</w:t>
      </w:r>
    </w:p>
    <w:p w14:paraId="5B78F359">
      <w:pPr>
        <w:numPr>
          <w:ilvl w:val="0"/>
          <w:numId w:val="8"/>
        </w:numPr>
        <w:spacing w:line="360" w:lineRule="auto"/>
        <w:ind w:firstLine="564" w:firstLineChars="218"/>
        <w:rPr>
          <w:snapToGrid w:val="0"/>
          <w:color w:val="auto"/>
          <w:sz w:val="24"/>
          <w:szCs w:val="32"/>
        </w:rPr>
      </w:pPr>
      <w:r>
        <w:rPr>
          <w:snapToGrid w:val="0"/>
          <w:color w:val="auto"/>
          <w:sz w:val="24"/>
          <w:szCs w:val="32"/>
        </w:rPr>
        <w:t>准备阶段：收集分析国家和地方大气环境相关的法律、法规、政策、标准及规划等资料；了解建设项目工程概况，结合工程分析，识别建设项目对大气环境可能造成的影响类型，分析可能造成大气环境影响的主要途径；开展现场勘察工作，识别大气环境敏感目标；确定评价等级、范围及内容。</w:t>
      </w:r>
    </w:p>
    <w:p w14:paraId="58E9EB81">
      <w:pPr>
        <w:spacing w:line="360" w:lineRule="auto"/>
        <w:ind w:firstLine="564" w:firstLineChars="218"/>
        <w:rPr>
          <w:snapToGrid w:val="0"/>
          <w:color w:val="auto"/>
          <w:sz w:val="24"/>
          <w:szCs w:val="32"/>
        </w:rPr>
      </w:pPr>
      <w:r>
        <w:rPr>
          <w:snapToGrid w:val="0"/>
          <w:color w:val="auto"/>
          <w:sz w:val="24"/>
          <w:szCs w:val="32"/>
        </w:rPr>
        <w:t>2、现状调查与评价阶段：采用相应标准和方法，开展现场调查、取样、监测和数据分析与处理等工作，进行大气环境现状评价。</w:t>
      </w:r>
    </w:p>
    <w:p w14:paraId="66F2FCFE">
      <w:pPr>
        <w:spacing w:line="360" w:lineRule="auto"/>
        <w:ind w:firstLine="564" w:firstLineChars="218"/>
        <w:rPr>
          <w:snapToGrid w:val="0"/>
          <w:color w:val="auto"/>
          <w:sz w:val="24"/>
          <w:szCs w:val="32"/>
        </w:rPr>
      </w:pPr>
      <w:r>
        <w:rPr>
          <w:snapToGrid w:val="0"/>
          <w:color w:val="auto"/>
          <w:sz w:val="24"/>
          <w:szCs w:val="32"/>
        </w:rPr>
        <w:t>3、预测分析与评价阶段：依据本标准制定的或经论证有效的方法，预测分析与评价建设项目对大气环境可能造成的影响。</w:t>
      </w:r>
    </w:p>
    <w:p w14:paraId="13A76BE4">
      <w:pPr>
        <w:spacing w:line="360" w:lineRule="auto"/>
        <w:ind w:firstLine="564" w:firstLineChars="218"/>
        <w:rPr>
          <w:snapToGrid w:val="0"/>
          <w:color w:val="auto"/>
          <w:sz w:val="24"/>
          <w:szCs w:val="32"/>
        </w:rPr>
      </w:pPr>
      <w:r>
        <w:rPr>
          <w:snapToGrid w:val="0"/>
          <w:color w:val="auto"/>
          <w:sz w:val="24"/>
          <w:szCs w:val="32"/>
        </w:rPr>
        <w:t>4、提出切实可行的环境保护措施和跟踪监测计划。</w:t>
      </w:r>
    </w:p>
    <w:p w14:paraId="5431E1A1">
      <w:pPr>
        <w:pStyle w:val="4"/>
        <w:rPr>
          <w:rFonts w:ascii="Times New Roman" w:hAnsi="Times New Roman"/>
          <w:snapToGrid w:val="0"/>
          <w:color w:val="auto"/>
        </w:rPr>
      </w:pPr>
      <w:bookmarkStart w:id="35" w:name="_Toc97323090"/>
      <w:r>
        <w:rPr>
          <w:rFonts w:ascii="Times New Roman" w:hAnsi="Times New Roman"/>
          <w:snapToGrid w:val="0"/>
          <w:color w:val="auto"/>
        </w:rPr>
        <w:t>1.6评价因子与评价标准</w:t>
      </w:r>
      <w:bookmarkEnd w:id="35"/>
    </w:p>
    <w:p w14:paraId="2B7908F2">
      <w:pPr>
        <w:spacing w:line="360" w:lineRule="auto"/>
        <w:ind w:firstLine="564" w:firstLineChars="218"/>
        <w:rPr>
          <w:snapToGrid w:val="0"/>
          <w:color w:val="auto"/>
          <w:sz w:val="24"/>
          <w:szCs w:val="32"/>
        </w:rPr>
      </w:pPr>
      <w:r>
        <w:rPr>
          <w:snapToGrid w:val="0"/>
          <w:color w:val="auto"/>
          <w:sz w:val="24"/>
          <w:szCs w:val="32"/>
        </w:rPr>
        <w:t>根据本项目的特点确定评价因子如下</w:t>
      </w:r>
      <w:r>
        <w:rPr>
          <w:rFonts w:hint="eastAsia"/>
          <w:snapToGrid w:val="0"/>
          <w:color w:val="auto"/>
          <w:sz w:val="24"/>
          <w:szCs w:val="32"/>
        </w:rPr>
        <w:t>：</w:t>
      </w:r>
    </w:p>
    <w:p w14:paraId="1E2A4581">
      <w:pPr>
        <w:spacing w:line="240" w:lineRule="auto"/>
        <w:jc w:val="center"/>
        <w:rPr>
          <w:b/>
          <w:snapToGrid w:val="0"/>
          <w:color w:val="auto"/>
          <w:szCs w:val="24"/>
        </w:rPr>
      </w:pPr>
      <w:r>
        <w:rPr>
          <w:b/>
          <w:snapToGrid w:val="0"/>
          <w:color w:val="auto"/>
          <w:szCs w:val="24"/>
        </w:rPr>
        <w:t>表1-4  评价因子一览表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8"/>
        <w:gridCol w:w="3586"/>
        <w:gridCol w:w="3546"/>
      </w:tblGrid>
      <w:tr w14:paraId="108D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1948" w:type="dxa"/>
            <w:tcBorders>
              <w:tl2br w:val="single" w:color="auto" w:sz="4" w:space="0"/>
              <w:tr2bl w:val="nil"/>
            </w:tcBorders>
            <w:noWrap w:val="0"/>
            <w:vAlign w:val="center"/>
          </w:tcPr>
          <w:p w14:paraId="19D87FE2">
            <w:pPr>
              <w:spacing w:line="240" w:lineRule="auto"/>
              <w:jc w:val="right"/>
              <w:rPr>
                <w:b/>
                <w:snapToGrid w:val="0"/>
                <w:color w:val="auto"/>
                <w:sz w:val="21"/>
                <w:szCs w:val="21"/>
              </w:rPr>
            </w:pPr>
            <w:r>
              <w:rPr>
                <w:b/>
                <w:snapToGrid w:val="0"/>
                <w:color w:val="auto"/>
                <w:sz w:val="21"/>
                <w:szCs w:val="21"/>
              </w:rPr>
              <w:t>评价因子</w:t>
            </w:r>
          </w:p>
          <w:p w14:paraId="4C63468B">
            <w:pPr>
              <w:spacing w:line="240" w:lineRule="auto"/>
              <w:jc w:val="left"/>
              <w:rPr>
                <w:b/>
                <w:snapToGrid w:val="0"/>
                <w:color w:val="auto"/>
                <w:sz w:val="21"/>
                <w:szCs w:val="21"/>
              </w:rPr>
            </w:pPr>
            <w:r>
              <w:rPr>
                <w:b/>
                <w:snapToGrid w:val="0"/>
                <w:color w:val="auto"/>
                <w:sz w:val="21"/>
                <w:szCs w:val="21"/>
              </w:rPr>
              <w:t>特征分类</w:t>
            </w:r>
          </w:p>
        </w:tc>
        <w:tc>
          <w:tcPr>
            <w:tcW w:w="3586" w:type="dxa"/>
            <w:tcBorders>
              <w:tl2br w:val="nil"/>
              <w:tr2bl w:val="nil"/>
            </w:tcBorders>
            <w:noWrap w:val="0"/>
            <w:vAlign w:val="center"/>
          </w:tcPr>
          <w:p w14:paraId="008221EA">
            <w:pPr>
              <w:spacing w:line="240" w:lineRule="auto"/>
              <w:jc w:val="center"/>
              <w:rPr>
                <w:b/>
                <w:snapToGrid w:val="0"/>
                <w:color w:val="auto"/>
                <w:sz w:val="21"/>
                <w:szCs w:val="21"/>
              </w:rPr>
            </w:pPr>
            <w:r>
              <w:rPr>
                <w:b/>
                <w:snapToGrid w:val="0"/>
                <w:color w:val="auto"/>
                <w:sz w:val="21"/>
                <w:szCs w:val="21"/>
              </w:rPr>
              <w:t>现状评价因子</w:t>
            </w:r>
          </w:p>
        </w:tc>
        <w:tc>
          <w:tcPr>
            <w:tcW w:w="3546" w:type="dxa"/>
            <w:tcBorders>
              <w:tl2br w:val="nil"/>
              <w:tr2bl w:val="nil"/>
            </w:tcBorders>
            <w:noWrap w:val="0"/>
            <w:vAlign w:val="center"/>
          </w:tcPr>
          <w:p w14:paraId="15BCCF3E">
            <w:pPr>
              <w:spacing w:line="240" w:lineRule="auto"/>
              <w:jc w:val="center"/>
              <w:rPr>
                <w:b/>
                <w:snapToGrid w:val="0"/>
                <w:color w:val="auto"/>
                <w:sz w:val="21"/>
                <w:szCs w:val="21"/>
              </w:rPr>
            </w:pPr>
            <w:r>
              <w:rPr>
                <w:b/>
                <w:snapToGrid w:val="0"/>
                <w:color w:val="auto"/>
                <w:sz w:val="21"/>
                <w:szCs w:val="21"/>
              </w:rPr>
              <w:t>影响评价因子</w:t>
            </w:r>
          </w:p>
        </w:tc>
      </w:tr>
      <w:tr w14:paraId="6D72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948" w:type="dxa"/>
            <w:tcBorders>
              <w:tl2br w:val="nil"/>
              <w:tr2bl w:val="nil"/>
            </w:tcBorders>
            <w:noWrap w:val="0"/>
            <w:vAlign w:val="center"/>
          </w:tcPr>
          <w:p w14:paraId="48BA7F37">
            <w:pPr>
              <w:spacing w:line="240" w:lineRule="auto"/>
              <w:jc w:val="center"/>
              <w:rPr>
                <w:snapToGrid w:val="0"/>
                <w:color w:val="auto"/>
                <w:sz w:val="21"/>
                <w:szCs w:val="21"/>
              </w:rPr>
            </w:pPr>
            <w:r>
              <w:rPr>
                <w:snapToGrid w:val="0"/>
                <w:color w:val="auto"/>
                <w:sz w:val="21"/>
                <w:szCs w:val="21"/>
              </w:rPr>
              <w:t>大气环境</w:t>
            </w:r>
          </w:p>
        </w:tc>
        <w:tc>
          <w:tcPr>
            <w:tcW w:w="3586" w:type="dxa"/>
            <w:tcBorders>
              <w:tl2br w:val="nil"/>
              <w:tr2bl w:val="nil"/>
            </w:tcBorders>
            <w:noWrap w:val="0"/>
            <w:vAlign w:val="center"/>
          </w:tcPr>
          <w:p w14:paraId="6474EFA7">
            <w:pPr>
              <w:spacing w:line="240" w:lineRule="auto"/>
              <w:jc w:val="center"/>
              <w:rPr>
                <w:rFonts w:hint="default" w:eastAsia="宋体"/>
                <w:snapToGrid w:val="0"/>
                <w:color w:val="auto"/>
                <w:sz w:val="21"/>
                <w:szCs w:val="21"/>
                <w:lang w:val="en-US" w:eastAsia="zh-CN"/>
              </w:rPr>
            </w:pPr>
            <w:r>
              <w:rPr>
                <w:snapToGrid w:val="0"/>
                <w:color w:val="auto"/>
                <w:sz w:val="21"/>
                <w:szCs w:val="21"/>
              </w:rPr>
              <w:t>SO</w:t>
            </w:r>
            <w:r>
              <w:rPr>
                <w:snapToGrid w:val="0"/>
                <w:color w:val="auto"/>
                <w:sz w:val="21"/>
                <w:szCs w:val="21"/>
                <w:vertAlign w:val="subscript"/>
              </w:rPr>
              <w:t>2</w:t>
            </w:r>
            <w:r>
              <w:rPr>
                <w:snapToGrid w:val="0"/>
                <w:color w:val="auto"/>
                <w:sz w:val="21"/>
                <w:szCs w:val="21"/>
              </w:rPr>
              <w:t>、NO</w:t>
            </w:r>
            <w:r>
              <w:rPr>
                <w:snapToGrid w:val="0"/>
                <w:color w:val="auto"/>
                <w:sz w:val="21"/>
                <w:szCs w:val="21"/>
                <w:vertAlign w:val="subscript"/>
              </w:rPr>
              <w:t>2</w:t>
            </w:r>
            <w:r>
              <w:rPr>
                <w:snapToGrid w:val="0"/>
                <w:color w:val="auto"/>
                <w:sz w:val="21"/>
                <w:szCs w:val="21"/>
              </w:rPr>
              <w:t>、</w:t>
            </w:r>
            <w:r>
              <w:rPr>
                <w:bCs/>
                <w:snapToGrid w:val="0"/>
                <w:color w:val="auto"/>
                <w:sz w:val="21"/>
                <w:szCs w:val="21"/>
              </w:rPr>
              <w:t>PM</w:t>
            </w:r>
            <w:r>
              <w:rPr>
                <w:bCs/>
                <w:snapToGrid w:val="0"/>
                <w:color w:val="auto"/>
                <w:sz w:val="21"/>
                <w:szCs w:val="21"/>
                <w:vertAlign w:val="subscript"/>
              </w:rPr>
              <w:t>10</w:t>
            </w:r>
            <w:r>
              <w:rPr>
                <w:snapToGrid w:val="0"/>
                <w:color w:val="auto"/>
                <w:sz w:val="21"/>
                <w:szCs w:val="21"/>
              </w:rPr>
              <w:t>、</w:t>
            </w:r>
            <w:r>
              <w:rPr>
                <w:bCs/>
                <w:snapToGrid w:val="0"/>
                <w:color w:val="auto"/>
                <w:sz w:val="21"/>
                <w:szCs w:val="21"/>
              </w:rPr>
              <w:t>PM</w:t>
            </w:r>
            <w:r>
              <w:rPr>
                <w:bCs/>
                <w:snapToGrid w:val="0"/>
                <w:color w:val="auto"/>
                <w:sz w:val="21"/>
                <w:szCs w:val="21"/>
                <w:vertAlign w:val="subscript"/>
              </w:rPr>
              <w:t>2.5</w:t>
            </w:r>
            <w:r>
              <w:rPr>
                <w:snapToGrid w:val="0"/>
                <w:color w:val="auto"/>
                <w:sz w:val="21"/>
                <w:szCs w:val="21"/>
              </w:rPr>
              <w:t>、O</w:t>
            </w:r>
            <w:r>
              <w:rPr>
                <w:snapToGrid w:val="0"/>
                <w:color w:val="auto"/>
                <w:sz w:val="21"/>
                <w:szCs w:val="21"/>
                <w:vertAlign w:val="subscript"/>
              </w:rPr>
              <w:t>3</w:t>
            </w:r>
            <w:r>
              <w:rPr>
                <w:snapToGrid w:val="0"/>
                <w:color w:val="auto"/>
                <w:sz w:val="21"/>
                <w:szCs w:val="21"/>
              </w:rPr>
              <w:t>、CO、</w:t>
            </w:r>
            <w:r>
              <w:rPr>
                <w:rFonts w:hint="eastAsia"/>
                <w:snapToGrid w:val="0"/>
                <w:color w:val="auto"/>
                <w:sz w:val="21"/>
                <w:szCs w:val="21"/>
                <w:lang w:val="en-US" w:eastAsia="zh-CN"/>
              </w:rPr>
              <w:t>颗粒物、非甲烷总烃、甲醛、苯酚</w:t>
            </w:r>
          </w:p>
        </w:tc>
        <w:tc>
          <w:tcPr>
            <w:tcW w:w="3546" w:type="dxa"/>
            <w:tcBorders>
              <w:tl2br w:val="nil"/>
              <w:tr2bl w:val="nil"/>
            </w:tcBorders>
            <w:noWrap w:val="0"/>
            <w:vAlign w:val="center"/>
          </w:tcPr>
          <w:p w14:paraId="160D774C">
            <w:pPr>
              <w:spacing w:line="240" w:lineRule="auto"/>
              <w:jc w:val="center"/>
              <w:rPr>
                <w:snapToGrid w:val="0"/>
                <w:color w:val="auto"/>
                <w:kern w:val="0"/>
                <w:sz w:val="21"/>
                <w:szCs w:val="21"/>
              </w:rPr>
            </w:pPr>
            <w:r>
              <w:rPr>
                <w:rFonts w:hint="eastAsia"/>
                <w:snapToGrid w:val="0"/>
                <w:color w:val="auto"/>
                <w:sz w:val="21"/>
                <w:szCs w:val="21"/>
                <w:lang w:val="en-US" w:eastAsia="zh-CN"/>
              </w:rPr>
              <w:t>颗粒物、非甲烷总烃、甲醛、苯酚</w:t>
            </w:r>
          </w:p>
        </w:tc>
      </w:tr>
    </w:tbl>
    <w:p w14:paraId="2F16BD31">
      <w:pPr>
        <w:snapToGrid w:val="0"/>
        <w:spacing w:line="360" w:lineRule="auto"/>
        <w:ind w:firstLine="518" w:firstLineChars="200"/>
        <w:rPr>
          <w:color w:val="auto"/>
          <w:sz w:val="24"/>
          <w:szCs w:val="24"/>
        </w:rPr>
      </w:pPr>
      <w:r>
        <w:rPr>
          <w:color w:val="auto"/>
          <w:sz w:val="24"/>
          <w:szCs w:val="24"/>
        </w:rPr>
        <w:t>评价标准如下：</w:t>
      </w:r>
    </w:p>
    <w:p w14:paraId="55FBB6B3">
      <w:pPr>
        <w:keepNext w:val="0"/>
        <w:keepLines w:val="0"/>
        <w:pageBreakBefore w:val="0"/>
        <w:widowControl w:val="0"/>
        <w:tabs>
          <w:tab w:val="left" w:pos="5142"/>
        </w:tabs>
        <w:kinsoku/>
        <w:wordWrap/>
        <w:overflowPunct/>
        <w:topLinePunct/>
        <w:autoSpaceDE w:val="0"/>
        <w:autoSpaceDN/>
        <w:bidi w:val="0"/>
        <w:adjustRightInd w:val="0"/>
        <w:snapToGrid w:val="0"/>
        <w:spacing w:line="360" w:lineRule="auto"/>
        <w:ind w:left="0" w:leftChars="0" w:firstLine="518" w:firstLineChars="200"/>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szCs w:val="24"/>
          <w:highlight w:val="none"/>
        </w:rPr>
        <w:t>营运期，</w:t>
      </w:r>
      <w:r>
        <w:rPr>
          <w:rFonts w:hint="eastAsia" w:ascii="Times New Roman" w:hAnsi="Times New Roman" w:cs="Times New Roman"/>
          <w:bCs/>
          <w:color w:val="auto"/>
          <w:sz w:val="24"/>
          <w:szCs w:val="24"/>
          <w:highlight w:val="none"/>
          <w:lang w:val="en-US" w:eastAsia="zh-CN"/>
        </w:rPr>
        <w:t>涂胶、热压、烘干、固化过程产生的</w:t>
      </w:r>
      <w:r>
        <w:rPr>
          <w:rFonts w:hint="default" w:ascii="Times New Roman" w:hAnsi="Times New Roman" w:cs="Times New Roman"/>
          <w:bCs/>
          <w:color w:val="auto"/>
          <w:sz w:val="24"/>
          <w:szCs w:val="24"/>
          <w:highlight w:val="none"/>
          <w:lang w:val="en-US" w:eastAsia="zh-CN"/>
        </w:rPr>
        <w:t>废气</w:t>
      </w:r>
      <w:r>
        <w:rPr>
          <w:rFonts w:hint="eastAsia" w:ascii="Times New Roman" w:hAnsi="Times New Roman" w:cs="Times New Roman"/>
          <w:bCs/>
          <w:color w:val="auto"/>
          <w:sz w:val="24"/>
          <w:szCs w:val="24"/>
          <w:highlight w:val="none"/>
          <w:lang w:val="en-US" w:eastAsia="zh-CN"/>
        </w:rPr>
        <w:t>非甲烷总烃有组织排放执行</w:t>
      </w:r>
      <w:r>
        <w:rPr>
          <w:rFonts w:hint="default" w:ascii="Times New Roman" w:hAnsi="Times New Roman" w:cs="Times New Roman"/>
          <w:bCs/>
          <w:color w:val="auto"/>
          <w:sz w:val="24"/>
          <w:szCs w:val="24"/>
          <w:highlight w:val="none"/>
          <w:lang w:val="en-US" w:eastAsia="zh-CN"/>
        </w:rPr>
        <w:t>《固定源挥发性有机物综合排放标准第6部分：其他行业》（DB34/4812.6-2024）标准限值，甲醛、酚类执行《大气污染物综合排放标准》（GB16297-1996）表2中二级标准限值</w:t>
      </w:r>
      <w:r>
        <w:rPr>
          <w:rFonts w:hint="eastAsia" w:ascii="Times New Roman" w:hAnsi="Times New Roman" w:cs="Times New Roman"/>
          <w:bCs/>
          <w:color w:val="auto"/>
          <w:sz w:val="24"/>
          <w:szCs w:val="24"/>
          <w:highlight w:val="none"/>
          <w:lang w:val="en-US" w:eastAsia="zh-CN"/>
        </w:rPr>
        <w:t>；抛光、混料、打磨过程产生的废气颗粒物有组织排放执行</w:t>
      </w:r>
      <w:r>
        <w:rPr>
          <w:rFonts w:hint="default" w:ascii="Times New Roman" w:hAnsi="Times New Roman" w:cs="Times New Roman"/>
          <w:bCs/>
          <w:color w:val="auto"/>
          <w:sz w:val="24"/>
          <w:szCs w:val="24"/>
          <w:highlight w:val="none"/>
          <w:lang w:val="en-US" w:eastAsia="zh-CN"/>
        </w:rPr>
        <w:t>《大气污染物综合排放标准》（GB16297-1996）表2中二级标准限值</w:t>
      </w:r>
      <w:r>
        <w:rPr>
          <w:rFonts w:hint="eastAsia" w:ascii="Times New Roman" w:hAnsi="Times New Roman" w:cs="Times New Roman"/>
          <w:bCs/>
          <w:color w:val="auto"/>
          <w:sz w:val="24"/>
          <w:szCs w:val="24"/>
          <w:highlight w:val="none"/>
          <w:lang w:val="en-US" w:eastAsia="zh-CN"/>
        </w:rPr>
        <w:t>；喷塑过程产生的废气颗粒物排放有组织执行《合成树脂工业污染物排放标准》（GB31572-2015，含2024年修改单）中的</w:t>
      </w:r>
      <w:r>
        <w:rPr>
          <w:rFonts w:hint="default" w:ascii="Times New Roman" w:hAnsi="Times New Roman" w:cs="Times New Roman"/>
          <w:bCs/>
          <w:color w:val="auto"/>
          <w:sz w:val="24"/>
          <w:szCs w:val="24"/>
          <w:highlight w:val="none"/>
          <w:lang w:val="en-US" w:eastAsia="zh-CN"/>
        </w:rPr>
        <w:t>表</w:t>
      </w:r>
      <w:r>
        <w:rPr>
          <w:rFonts w:hint="eastAsia" w:ascii="Times New Roman" w:hAnsi="Times New Roman" w:cs="Times New Roman"/>
          <w:bCs/>
          <w:color w:val="auto"/>
          <w:sz w:val="24"/>
          <w:szCs w:val="24"/>
          <w:highlight w:val="none"/>
          <w:lang w:val="en-US" w:eastAsia="zh-CN"/>
        </w:rPr>
        <w:t>5</w:t>
      </w:r>
      <w:r>
        <w:rPr>
          <w:rFonts w:hint="default" w:ascii="Times New Roman" w:hAnsi="Times New Roman" w:cs="Times New Roman"/>
          <w:bCs/>
          <w:color w:val="auto"/>
          <w:sz w:val="24"/>
          <w:szCs w:val="24"/>
          <w:highlight w:val="none"/>
          <w:lang w:val="en-US" w:eastAsia="zh-CN"/>
        </w:rPr>
        <w:t>标准限值</w:t>
      </w:r>
      <w:r>
        <w:rPr>
          <w:rFonts w:hint="default" w:ascii="Times New Roman" w:hAnsi="Times New Roman" w:cs="Times New Roman"/>
          <w:bCs/>
          <w:color w:val="auto"/>
          <w:sz w:val="24"/>
          <w:highlight w:val="none"/>
          <w:lang w:val="en-US" w:eastAsia="zh-CN"/>
        </w:rPr>
        <w:t>。</w:t>
      </w:r>
    </w:p>
    <w:p w14:paraId="0F5AC72A">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p>
    <w:p w14:paraId="653E2A63">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p>
    <w:p w14:paraId="0EB2627C">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 xml:space="preserve">表 </w:t>
      </w:r>
      <w:r>
        <w:rPr>
          <w:rFonts w:hint="eastAsia" w:ascii="Times New Roman" w:hAnsi="Times New Roman" w:eastAsia="宋体" w:cs="Times New Roman"/>
          <w:b/>
          <w:bCs/>
          <w:color w:val="auto"/>
          <w:kern w:val="0"/>
          <w:sz w:val="21"/>
          <w:szCs w:val="21"/>
          <w:lang w:val="en-US" w:eastAsia="zh-CN" w:bidi="ar"/>
        </w:rPr>
        <w:t>1-5</w:t>
      </w:r>
      <w:r>
        <w:rPr>
          <w:rFonts w:hint="default" w:ascii="Times New Roman" w:hAnsi="Times New Roman" w:eastAsia="宋体" w:cs="Times New Roman"/>
          <w:b/>
          <w:bCs/>
          <w:color w:val="auto"/>
          <w:kern w:val="0"/>
          <w:sz w:val="21"/>
          <w:szCs w:val="21"/>
          <w:lang w:val="en-US" w:eastAsia="zh-CN" w:bidi="ar"/>
        </w:rPr>
        <w:t>项目大气污染物</w:t>
      </w:r>
      <w:r>
        <w:rPr>
          <w:rFonts w:hint="eastAsia" w:ascii="Times New Roman" w:hAnsi="Times New Roman" w:eastAsia="宋体" w:cs="Times New Roman"/>
          <w:b/>
          <w:bCs/>
          <w:color w:val="auto"/>
          <w:kern w:val="0"/>
          <w:sz w:val="21"/>
          <w:szCs w:val="21"/>
          <w:lang w:val="en-US" w:eastAsia="zh-CN" w:bidi="ar"/>
        </w:rPr>
        <w:t>有组织</w:t>
      </w:r>
      <w:r>
        <w:rPr>
          <w:rFonts w:hint="default" w:ascii="Times New Roman" w:hAnsi="Times New Roman" w:eastAsia="宋体" w:cs="Times New Roman"/>
          <w:b/>
          <w:bCs/>
          <w:color w:val="auto"/>
          <w:kern w:val="0"/>
          <w:sz w:val="21"/>
          <w:szCs w:val="21"/>
          <w:lang w:val="en-US" w:eastAsia="zh-CN" w:bidi="ar"/>
        </w:rPr>
        <w:t>排放标准</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3"/>
        <w:gridCol w:w="1623"/>
        <w:gridCol w:w="1624"/>
        <w:gridCol w:w="1624"/>
        <w:gridCol w:w="2788"/>
      </w:tblGrid>
      <w:tr w14:paraId="1107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74" w:type="pct"/>
            <w:vMerge w:val="restart"/>
            <w:noWrap w:val="0"/>
            <w:vAlign w:val="center"/>
          </w:tcPr>
          <w:p w14:paraId="15BFA326">
            <w:pPr>
              <w:widowControl/>
              <w:adjustRightInd w:val="0"/>
              <w:snapToGrid w:val="0"/>
              <w:spacing w:line="240" w:lineRule="auto"/>
              <w:ind w:firstLine="0" w:firstLineChars="0"/>
              <w:jc w:val="center"/>
              <w:rPr>
                <w:rFonts w:hint="eastAsia" w:ascii="Times New Roman" w:hAnsi="Times New Roman" w:eastAsia="宋体" w:cs="Times New Roman"/>
                <w:b/>
                <w:color w:val="auto"/>
                <w:lang w:eastAsia="zh-CN"/>
              </w:rPr>
            </w:pPr>
            <w:r>
              <w:rPr>
                <w:rFonts w:hint="eastAsia" w:ascii="Times New Roman" w:hAnsi="Times New Roman" w:cs="Times New Roman"/>
                <w:b/>
                <w:color w:val="auto"/>
                <w:sz w:val="21"/>
                <w:szCs w:val="22"/>
                <w:lang w:val="en-US" w:eastAsia="zh-CN"/>
              </w:rPr>
              <w:t>工艺</w:t>
            </w:r>
          </w:p>
        </w:tc>
        <w:tc>
          <w:tcPr>
            <w:tcW w:w="874" w:type="pct"/>
            <w:vMerge w:val="restart"/>
            <w:noWrap w:val="0"/>
            <w:vAlign w:val="center"/>
          </w:tcPr>
          <w:p w14:paraId="293DD80B">
            <w:pPr>
              <w:widowControl/>
              <w:adjustRightInd w:val="0"/>
              <w:snapToGrid w:val="0"/>
              <w:spacing w:line="240" w:lineRule="auto"/>
              <w:ind w:firstLine="0" w:firstLineChars="0"/>
              <w:jc w:val="center"/>
              <w:rPr>
                <w:rFonts w:hint="default" w:ascii="Times New Roman" w:hAnsi="Times New Roman" w:cs="Times New Roman"/>
                <w:b/>
                <w:color w:val="auto"/>
                <w:sz w:val="21"/>
                <w:szCs w:val="22"/>
              </w:rPr>
            </w:pPr>
            <w:r>
              <w:rPr>
                <w:rFonts w:hint="default" w:ascii="Times New Roman" w:hAnsi="Times New Roman" w:cs="Times New Roman"/>
                <w:b/>
                <w:color w:val="auto"/>
                <w:sz w:val="21"/>
                <w:szCs w:val="22"/>
              </w:rPr>
              <w:t>污染物</w:t>
            </w:r>
          </w:p>
        </w:tc>
        <w:tc>
          <w:tcPr>
            <w:tcW w:w="874" w:type="pct"/>
            <w:vMerge w:val="restart"/>
            <w:noWrap w:val="0"/>
            <w:vAlign w:val="center"/>
          </w:tcPr>
          <w:p w14:paraId="0EA59EE5">
            <w:pPr>
              <w:widowControl/>
              <w:adjustRightInd w:val="0"/>
              <w:snapToGrid w:val="0"/>
              <w:spacing w:line="240" w:lineRule="auto"/>
              <w:ind w:firstLine="0" w:firstLineChars="0"/>
              <w:jc w:val="center"/>
              <w:rPr>
                <w:rFonts w:hint="default" w:ascii="Times New Roman" w:hAnsi="Times New Roman" w:cs="Times New Roman"/>
                <w:b/>
                <w:color w:val="auto"/>
              </w:rPr>
            </w:pPr>
            <w:r>
              <w:rPr>
                <w:rFonts w:hint="default" w:ascii="Times New Roman" w:hAnsi="Times New Roman" w:cs="Times New Roman"/>
                <w:b/>
                <w:color w:val="auto"/>
                <w:sz w:val="21"/>
                <w:szCs w:val="22"/>
              </w:rPr>
              <w:t>最高允许排放浓度（mg/m</w:t>
            </w:r>
            <w:r>
              <w:rPr>
                <w:rFonts w:hint="default" w:ascii="Times New Roman" w:hAnsi="Times New Roman" w:cs="Times New Roman"/>
                <w:b/>
                <w:color w:val="auto"/>
                <w:sz w:val="21"/>
                <w:szCs w:val="22"/>
                <w:vertAlign w:val="superscript"/>
              </w:rPr>
              <w:t>3</w:t>
            </w:r>
            <w:r>
              <w:rPr>
                <w:rFonts w:hint="default" w:ascii="Times New Roman" w:hAnsi="Times New Roman" w:cs="Times New Roman"/>
                <w:b/>
                <w:color w:val="auto"/>
                <w:sz w:val="21"/>
                <w:szCs w:val="22"/>
              </w:rPr>
              <w:t>）</w:t>
            </w:r>
          </w:p>
        </w:tc>
        <w:tc>
          <w:tcPr>
            <w:tcW w:w="874" w:type="pct"/>
            <w:vMerge w:val="restart"/>
            <w:noWrap w:val="0"/>
            <w:vAlign w:val="center"/>
          </w:tcPr>
          <w:p w14:paraId="7E9A30C6">
            <w:pPr>
              <w:widowControl/>
              <w:adjustRightInd w:val="0"/>
              <w:snapToGrid w:val="0"/>
              <w:spacing w:line="240" w:lineRule="auto"/>
              <w:ind w:firstLine="0" w:firstLineChars="0"/>
              <w:jc w:val="center"/>
              <w:rPr>
                <w:rFonts w:hint="default" w:ascii="Times New Roman" w:hAnsi="Times New Roman" w:cs="Times New Roman"/>
                <w:b/>
                <w:color w:val="auto"/>
              </w:rPr>
            </w:pPr>
            <w:r>
              <w:rPr>
                <w:rFonts w:hint="default" w:ascii="Times New Roman" w:hAnsi="Times New Roman" w:cs="Times New Roman"/>
                <w:b/>
                <w:color w:val="auto"/>
                <w:sz w:val="21"/>
                <w:szCs w:val="22"/>
              </w:rPr>
              <w:t>最高允许排放速率（kg/h）</w:t>
            </w:r>
          </w:p>
        </w:tc>
        <w:tc>
          <w:tcPr>
            <w:tcW w:w="1501" w:type="pct"/>
            <w:vMerge w:val="restart"/>
            <w:noWrap w:val="0"/>
            <w:vAlign w:val="center"/>
          </w:tcPr>
          <w:p w14:paraId="46F20023">
            <w:pPr>
              <w:widowControl/>
              <w:adjustRightInd w:val="0"/>
              <w:snapToGrid w:val="0"/>
              <w:spacing w:line="240" w:lineRule="auto"/>
              <w:ind w:firstLine="0" w:firstLineChars="0"/>
              <w:jc w:val="center"/>
              <w:rPr>
                <w:rFonts w:hint="default" w:ascii="Times New Roman" w:hAnsi="Times New Roman" w:cs="Times New Roman"/>
                <w:b/>
                <w:color w:val="auto"/>
              </w:rPr>
            </w:pPr>
            <w:r>
              <w:rPr>
                <w:rFonts w:hint="default" w:ascii="Times New Roman" w:hAnsi="Times New Roman" w:cs="Times New Roman"/>
                <w:b/>
                <w:color w:val="auto"/>
                <w:sz w:val="21"/>
                <w:szCs w:val="22"/>
              </w:rPr>
              <w:t>执行标准</w:t>
            </w:r>
          </w:p>
        </w:tc>
      </w:tr>
      <w:tr w14:paraId="1BFF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74" w:type="pct"/>
            <w:vMerge w:val="continue"/>
            <w:noWrap w:val="0"/>
            <w:vAlign w:val="center"/>
          </w:tcPr>
          <w:p w14:paraId="11A5552B">
            <w:pPr>
              <w:widowControl/>
              <w:adjustRightInd w:val="0"/>
              <w:snapToGrid w:val="0"/>
              <w:spacing w:line="240" w:lineRule="auto"/>
              <w:ind w:firstLine="0" w:firstLineChars="0"/>
              <w:jc w:val="center"/>
              <w:rPr>
                <w:rFonts w:hint="default" w:ascii="Times New Roman" w:hAnsi="Times New Roman" w:cs="Times New Roman"/>
                <w:color w:val="auto"/>
              </w:rPr>
            </w:pPr>
          </w:p>
        </w:tc>
        <w:tc>
          <w:tcPr>
            <w:tcW w:w="874" w:type="pct"/>
            <w:vMerge w:val="continue"/>
            <w:noWrap w:val="0"/>
            <w:vAlign w:val="center"/>
          </w:tcPr>
          <w:p w14:paraId="429581CA">
            <w:pPr>
              <w:widowControl/>
              <w:adjustRightInd w:val="0"/>
              <w:snapToGrid w:val="0"/>
              <w:spacing w:line="240" w:lineRule="auto"/>
              <w:ind w:firstLine="0" w:firstLineChars="0"/>
              <w:jc w:val="center"/>
              <w:rPr>
                <w:rFonts w:hint="default" w:ascii="Times New Roman" w:hAnsi="Times New Roman" w:cs="Times New Roman"/>
                <w:color w:val="auto"/>
              </w:rPr>
            </w:pPr>
          </w:p>
        </w:tc>
        <w:tc>
          <w:tcPr>
            <w:tcW w:w="874" w:type="pct"/>
            <w:vMerge w:val="continue"/>
            <w:noWrap w:val="0"/>
            <w:vAlign w:val="center"/>
          </w:tcPr>
          <w:p w14:paraId="40CD83C9">
            <w:pPr>
              <w:widowControl/>
              <w:adjustRightInd w:val="0"/>
              <w:snapToGrid w:val="0"/>
              <w:spacing w:line="240" w:lineRule="auto"/>
              <w:ind w:firstLine="0" w:firstLineChars="0"/>
              <w:jc w:val="center"/>
              <w:rPr>
                <w:rFonts w:hint="default" w:ascii="Times New Roman" w:hAnsi="Times New Roman" w:cs="Times New Roman"/>
                <w:color w:val="auto"/>
              </w:rPr>
            </w:pPr>
          </w:p>
        </w:tc>
        <w:tc>
          <w:tcPr>
            <w:tcW w:w="874" w:type="pct"/>
            <w:vMerge w:val="continue"/>
            <w:noWrap w:val="0"/>
            <w:vAlign w:val="center"/>
          </w:tcPr>
          <w:p w14:paraId="57DEA94E">
            <w:pPr>
              <w:widowControl/>
              <w:adjustRightInd w:val="0"/>
              <w:snapToGrid w:val="0"/>
              <w:spacing w:line="240" w:lineRule="auto"/>
              <w:ind w:firstLine="0" w:firstLineChars="0"/>
              <w:jc w:val="center"/>
              <w:rPr>
                <w:rFonts w:hint="default" w:ascii="Times New Roman" w:hAnsi="Times New Roman" w:cs="Times New Roman"/>
                <w:color w:val="auto"/>
              </w:rPr>
            </w:pPr>
          </w:p>
        </w:tc>
        <w:tc>
          <w:tcPr>
            <w:tcW w:w="1501" w:type="pct"/>
            <w:vMerge w:val="continue"/>
            <w:noWrap w:val="0"/>
            <w:vAlign w:val="center"/>
          </w:tcPr>
          <w:p w14:paraId="2274CDDD">
            <w:pPr>
              <w:widowControl/>
              <w:adjustRightInd w:val="0"/>
              <w:snapToGrid w:val="0"/>
              <w:spacing w:line="240" w:lineRule="auto"/>
              <w:ind w:firstLine="0" w:firstLineChars="0"/>
              <w:jc w:val="center"/>
              <w:rPr>
                <w:rFonts w:hint="default" w:ascii="Times New Roman" w:hAnsi="Times New Roman" w:cs="Times New Roman"/>
                <w:color w:val="auto"/>
              </w:rPr>
            </w:pPr>
          </w:p>
        </w:tc>
      </w:tr>
      <w:tr w14:paraId="002F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874" w:type="pct"/>
            <w:vMerge w:val="restart"/>
            <w:noWrap w:val="0"/>
            <w:vAlign w:val="center"/>
          </w:tcPr>
          <w:p w14:paraId="25ED0355">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涂胶、热压、烘干、固化</w:t>
            </w:r>
          </w:p>
        </w:tc>
        <w:tc>
          <w:tcPr>
            <w:tcW w:w="874" w:type="pct"/>
            <w:noWrap w:val="0"/>
            <w:vAlign w:val="center"/>
          </w:tcPr>
          <w:p w14:paraId="2A6F9ED1">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非甲烷总烃</w:t>
            </w:r>
          </w:p>
        </w:tc>
        <w:tc>
          <w:tcPr>
            <w:tcW w:w="874" w:type="pct"/>
            <w:noWrap w:val="0"/>
            <w:vAlign w:val="center"/>
          </w:tcPr>
          <w:p w14:paraId="39F77B99">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60</w:t>
            </w:r>
          </w:p>
        </w:tc>
        <w:tc>
          <w:tcPr>
            <w:tcW w:w="874" w:type="pct"/>
            <w:noWrap w:val="0"/>
            <w:vAlign w:val="center"/>
          </w:tcPr>
          <w:p w14:paraId="7B524902">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2.0</w:t>
            </w:r>
          </w:p>
        </w:tc>
        <w:tc>
          <w:tcPr>
            <w:tcW w:w="1501" w:type="pct"/>
            <w:noWrap w:val="0"/>
            <w:vAlign w:val="center"/>
          </w:tcPr>
          <w:p w14:paraId="60192C1E">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《固定源挥发性有机物综合排放标准第6部分：其他行业》（DB34/4812.6-2024）</w:t>
            </w:r>
          </w:p>
        </w:tc>
      </w:tr>
      <w:tr w14:paraId="761B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pct"/>
            <w:vMerge w:val="continue"/>
            <w:noWrap w:val="0"/>
            <w:vAlign w:val="center"/>
          </w:tcPr>
          <w:p w14:paraId="5DB5C1A6">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874" w:type="pct"/>
            <w:noWrap w:val="0"/>
            <w:vAlign w:val="center"/>
          </w:tcPr>
          <w:p w14:paraId="6C3DA962">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bCs/>
                <w:color w:val="auto"/>
                <w:sz w:val="21"/>
                <w:szCs w:val="21"/>
                <w:highlight w:val="none"/>
                <w:lang w:val="en-US" w:eastAsia="zh-CN"/>
              </w:rPr>
              <w:t>甲醛</w:t>
            </w:r>
          </w:p>
        </w:tc>
        <w:tc>
          <w:tcPr>
            <w:tcW w:w="874" w:type="pct"/>
            <w:noWrap w:val="0"/>
            <w:vAlign w:val="center"/>
          </w:tcPr>
          <w:p w14:paraId="636BA5FB">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25</w:t>
            </w:r>
          </w:p>
        </w:tc>
        <w:tc>
          <w:tcPr>
            <w:tcW w:w="874" w:type="pct"/>
            <w:noWrap w:val="0"/>
            <w:vAlign w:val="center"/>
          </w:tcPr>
          <w:p w14:paraId="3560523F">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0.43（20m）</w:t>
            </w:r>
          </w:p>
        </w:tc>
        <w:tc>
          <w:tcPr>
            <w:tcW w:w="1501" w:type="pct"/>
            <w:vMerge w:val="restart"/>
            <w:noWrap w:val="0"/>
            <w:vAlign w:val="center"/>
          </w:tcPr>
          <w:p w14:paraId="1A5FEA7B">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《大气污染物综合排放标准》</w:t>
            </w:r>
          </w:p>
        </w:tc>
      </w:tr>
      <w:tr w14:paraId="5A1B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pct"/>
            <w:vMerge w:val="continue"/>
            <w:noWrap w:val="0"/>
            <w:vAlign w:val="center"/>
          </w:tcPr>
          <w:p w14:paraId="2285C9F9">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874" w:type="pct"/>
            <w:noWrap w:val="0"/>
            <w:vAlign w:val="center"/>
          </w:tcPr>
          <w:p w14:paraId="4975112F">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bCs/>
                <w:color w:val="auto"/>
                <w:sz w:val="21"/>
                <w:szCs w:val="21"/>
                <w:highlight w:val="none"/>
                <w:lang w:val="en-US" w:eastAsia="zh-CN"/>
              </w:rPr>
              <w:t>酚类</w:t>
            </w:r>
          </w:p>
        </w:tc>
        <w:tc>
          <w:tcPr>
            <w:tcW w:w="874" w:type="pct"/>
            <w:noWrap w:val="0"/>
            <w:vAlign w:val="center"/>
          </w:tcPr>
          <w:p w14:paraId="41B53241">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100</w:t>
            </w:r>
          </w:p>
        </w:tc>
        <w:tc>
          <w:tcPr>
            <w:tcW w:w="874" w:type="pct"/>
            <w:noWrap w:val="0"/>
            <w:vAlign w:val="center"/>
          </w:tcPr>
          <w:p w14:paraId="030289DB">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0.17（20m）</w:t>
            </w:r>
          </w:p>
        </w:tc>
        <w:tc>
          <w:tcPr>
            <w:tcW w:w="1501" w:type="pct"/>
            <w:vMerge w:val="continue"/>
            <w:noWrap w:val="0"/>
            <w:vAlign w:val="center"/>
          </w:tcPr>
          <w:p w14:paraId="28C6D100">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r>
      <w:tr w14:paraId="1C6A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pct"/>
            <w:noWrap w:val="0"/>
            <w:vAlign w:val="center"/>
          </w:tcPr>
          <w:p w14:paraId="6CBE1F64">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抛光、混料、打磨</w:t>
            </w:r>
          </w:p>
        </w:tc>
        <w:tc>
          <w:tcPr>
            <w:tcW w:w="874" w:type="pct"/>
            <w:noWrap w:val="0"/>
            <w:vAlign w:val="center"/>
          </w:tcPr>
          <w:p w14:paraId="1D418986">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颗粒物</w:t>
            </w:r>
          </w:p>
        </w:tc>
        <w:tc>
          <w:tcPr>
            <w:tcW w:w="874" w:type="pct"/>
            <w:noWrap w:val="0"/>
            <w:vAlign w:val="center"/>
          </w:tcPr>
          <w:p w14:paraId="4F35D881">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120</w:t>
            </w:r>
          </w:p>
        </w:tc>
        <w:tc>
          <w:tcPr>
            <w:tcW w:w="874" w:type="pct"/>
            <w:noWrap w:val="0"/>
            <w:vAlign w:val="center"/>
          </w:tcPr>
          <w:p w14:paraId="308BDB67">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5.9（20m）</w:t>
            </w:r>
          </w:p>
        </w:tc>
        <w:tc>
          <w:tcPr>
            <w:tcW w:w="1501" w:type="pct"/>
            <w:vMerge w:val="continue"/>
            <w:noWrap w:val="0"/>
            <w:vAlign w:val="center"/>
          </w:tcPr>
          <w:p w14:paraId="7B993AFF">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r>
      <w:tr w14:paraId="27E3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pct"/>
            <w:noWrap w:val="0"/>
            <w:vAlign w:val="center"/>
          </w:tcPr>
          <w:p w14:paraId="2EB1ECB5">
            <w:pPr>
              <w:adjustRightInd w:val="0"/>
              <w:snapToGrid w:val="0"/>
              <w:spacing w:line="240" w:lineRule="auto"/>
              <w:ind w:firstLine="0" w:firstLineChars="0"/>
              <w:jc w:val="center"/>
              <w:textAlignment w:val="baseline"/>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喷塑</w:t>
            </w:r>
          </w:p>
        </w:tc>
        <w:tc>
          <w:tcPr>
            <w:tcW w:w="874" w:type="pct"/>
            <w:noWrap w:val="0"/>
            <w:vAlign w:val="center"/>
          </w:tcPr>
          <w:p w14:paraId="40E7C8EA">
            <w:pPr>
              <w:adjustRightInd w:val="0"/>
              <w:snapToGrid w:val="0"/>
              <w:spacing w:line="240" w:lineRule="auto"/>
              <w:ind w:firstLine="0" w:firstLineChars="0"/>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颗粒物</w:t>
            </w:r>
          </w:p>
        </w:tc>
        <w:tc>
          <w:tcPr>
            <w:tcW w:w="874" w:type="pct"/>
            <w:noWrap w:val="0"/>
            <w:vAlign w:val="center"/>
          </w:tcPr>
          <w:p w14:paraId="59CDCDB9">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w:t>
            </w:r>
          </w:p>
        </w:tc>
        <w:tc>
          <w:tcPr>
            <w:tcW w:w="874" w:type="pct"/>
            <w:noWrap w:val="0"/>
            <w:vAlign w:val="center"/>
          </w:tcPr>
          <w:p w14:paraId="4227E5D3">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c>
          <w:tcPr>
            <w:tcW w:w="1501" w:type="pct"/>
            <w:noWrap w:val="0"/>
            <w:vAlign w:val="center"/>
          </w:tcPr>
          <w:p w14:paraId="50AA823B">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《合成树脂工业污染物排放标准》（GB31572-2015，含2024年修改单）</w:t>
            </w:r>
          </w:p>
        </w:tc>
      </w:tr>
    </w:tbl>
    <w:p w14:paraId="4970992E">
      <w:pPr>
        <w:keepNext w:val="0"/>
        <w:keepLines w:val="0"/>
        <w:pageBreakBefore w:val="0"/>
        <w:widowControl w:val="0"/>
        <w:tabs>
          <w:tab w:val="left" w:pos="5142"/>
        </w:tabs>
        <w:kinsoku/>
        <w:wordWrap/>
        <w:overflowPunct/>
        <w:topLinePunct/>
        <w:autoSpaceDE w:val="0"/>
        <w:autoSpaceDN/>
        <w:bidi w:val="0"/>
        <w:adjustRightInd w:val="0"/>
        <w:snapToGrid w:val="0"/>
        <w:spacing w:line="360" w:lineRule="auto"/>
        <w:ind w:left="0" w:leftChars="0" w:firstLine="518" w:firstLineChars="200"/>
        <w:rPr>
          <w:rFonts w:hint="default" w:ascii="Times New Roman" w:hAnsi="Times New Roman"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厂界废气</w:t>
      </w:r>
      <w:r>
        <w:rPr>
          <w:rFonts w:hint="eastAsia" w:ascii="Times New Roman" w:hAnsi="Times New Roman" w:cs="Times New Roman"/>
          <w:bCs/>
          <w:color w:val="auto"/>
          <w:sz w:val="24"/>
          <w:highlight w:val="none"/>
          <w:lang w:val="en-US" w:eastAsia="zh-CN"/>
        </w:rPr>
        <w:t>非甲烷总烃和</w:t>
      </w:r>
      <w:r>
        <w:rPr>
          <w:rFonts w:hint="eastAsia" w:ascii="Times New Roman" w:hAnsi="Times New Roman" w:eastAsia="宋体" w:cs="Times New Roman"/>
          <w:bCs/>
          <w:color w:val="auto"/>
          <w:sz w:val="24"/>
          <w:highlight w:val="none"/>
          <w:lang w:val="en-US" w:eastAsia="zh-CN"/>
        </w:rPr>
        <w:t>颗粒物无组织排放执行《</w:t>
      </w:r>
      <w:r>
        <w:rPr>
          <w:rFonts w:hint="eastAsia" w:ascii="Times New Roman" w:hAnsi="Times New Roman" w:cs="Times New Roman"/>
          <w:bCs/>
          <w:color w:val="auto"/>
          <w:sz w:val="24"/>
          <w:highlight w:val="none"/>
          <w:lang w:val="en-US" w:eastAsia="zh-CN"/>
        </w:rPr>
        <w:t>合成树脂工业污染物排放标准》（GB31572-2015，含2024年修改单）中的</w:t>
      </w:r>
      <w:r>
        <w:rPr>
          <w:rFonts w:hint="default" w:ascii="Times New Roman" w:hAnsi="Times New Roman" w:cs="Times New Roman"/>
          <w:bCs/>
          <w:color w:val="auto"/>
          <w:sz w:val="24"/>
          <w:highlight w:val="none"/>
          <w:lang w:val="en-US" w:eastAsia="zh-CN"/>
        </w:rPr>
        <w:t>标准限值</w:t>
      </w:r>
      <w:r>
        <w:rPr>
          <w:rFonts w:hint="eastAsia" w:ascii="Times New Roman" w:hAnsi="Times New Roman" w:cs="Times New Roman"/>
          <w:bCs/>
          <w:color w:val="auto"/>
          <w:sz w:val="24"/>
          <w:highlight w:val="none"/>
          <w:lang w:val="en-US" w:eastAsia="zh-CN"/>
        </w:rPr>
        <w:t>；</w:t>
      </w:r>
      <w:r>
        <w:rPr>
          <w:rFonts w:hint="default" w:ascii="Times New Roman" w:hAnsi="Times New Roman" w:cs="Times New Roman"/>
          <w:bCs/>
          <w:color w:val="auto"/>
          <w:sz w:val="24"/>
          <w:highlight w:val="none"/>
          <w:lang w:val="en-US" w:eastAsia="zh-CN"/>
        </w:rPr>
        <w:t>甲醛、酚类执行《大气污染物综合排放标准》（GB16297-1996）表2中二级标准限值</w:t>
      </w:r>
      <w:r>
        <w:rPr>
          <w:rFonts w:hint="eastAsia" w:ascii="Times New Roman" w:hAnsi="Times New Roman" w:cs="Times New Roman"/>
          <w:bCs/>
          <w:color w:val="auto"/>
          <w:sz w:val="24"/>
          <w:highlight w:val="none"/>
          <w:lang w:val="en-US" w:eastAsia="zh-CN"/>
        </w:rPr>
        <w:t>；厂区</w:t>
      </w:r>
      <w:r>
        <w:rPr>
          <w:rFonts w:hint="eastAsia" w:ascii="Times New Roman" w:hAnsi="Times New Roman" w:eastAsia="宋体" w:cs="Times New Roman"/>
          <w:bCs/>
          <w:color w:val="auto"/>
          <w:sz w:val="24"/>
          <w:highlight w:val="none"/>
          <w:lang w:val="en-US" w:eastAsia="zh-CN"/>
        </w:rPr>
        <w:t>废气</w:t>
      </w:r>
      <w:r>
        <w:rPr>
          <w:rFonts w:hint="eastAsia" w:ascii="Times New Roman" w:hAnsi="Times New Roman" w:cs="Times New Roman"/>
          <w:bCs/>
          <w:color w:val="auto"/>
          <w:sz w:val="24"/>
          <w:highlight w:val="none"/>
          <w:lang w:val="en-US" w:eastAsia="zh-CN"/>
        </w:rPr>
        <w:t>非甲烷总烃排放执行</w:t>
      </w:r>
      <w:r>
        <w:rPr>
          <w:rFonts w:hint="default" w:ascii="Times New Roman" w:hAnsi="Times New Roman" w:cs="Times New Roman"/>
          <w:bCs/>
          <w:color w:val="auto"/>
          <w:sz w:val="24"/>
          <w:highlight w:val="none"/>
          <w:lang w:val="en-US" w:eastAsia="zh-CN"/>
        </w:rPr>
        <w:t>《固定源挥发性有机物综合排放标准第6部分：其他行业》（DB34/4812.6-2024）中标准限值</w:t>
      </w:r>
      <w:r>
        <w:rPr>
          <w:rFonts w:hint="eastAsia" w:ascii="Times New Roman" w:hAnsi="Times New Roman" w:cs="Times New Roman"/>
          <w:bCs/>
          <w:color w:val="auto"/>
          <w:sz w:val="24"/>
          <w:highlight w:val="none"/>
          <w:lang w:val="en-US" w:eastAsia="zh-CN"/>
        </w:rPr>
        <w:t>。</w:t>
      </w:r>
    </w:p>
    <w:p w14:paraId="0BD0348E">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 xml:space="preserve">表 </w:t>
      </w:r>
      <w:r>
        <w:rPr>
          <w:rFonts w:hint="eastAsia" w:ascii="Times New Roman" w:hAnsi="Times New Roman" w:eastAsia="宋体" w:cs="Times New Roman"/>
          <w:b/>
          <w:bCs/>
          <w:color w:val="auto"/>
          <w:kern w:val="0"/>
          <w:sz w:val="21"/>
          <w:szCs w:val="21"/>
          <w:lang w:val="en-US" w:eastAsia="zh-CN" w:bidi="ar"/>
        </w:rPr>
        <w:t>1-6</w:t>
      </w:r>
      <w:r>
        <w:rPr>
          <w:rFonts w:hint="default" w:ascii="Times New Roman" w:hAnsi="Times New Roman" w:eastAsia="宋体" w:cs="Times New Roman"/>
          <w:b/>
          <w:bCs/>
          <w:color w:val="auto"/>
          <w:kern w:val="0"/>
          <w:sz w:val="21"/>
          <w:szCs w:val="21"/>
          <w:lang w:val="en-US" w:eastAsia="zh-CN" w:bidi="ar"/>
        </w:rPr>
        <w:t>项目大气污染物</w:t>
      </w:r>
      <w:r>
        <w:rPr>
          <w:rFonts w:hint="eastAsia" w:ascii="Times New Roman" w:hAnsi="Times New Roman" w:eastAsia="宋体" w:cs="Times New Roman"/>
          <w:b/>
          <w:bCs/>
          <w:color w:val="auto"/>
          <w:kern w:val="0"/>
          <w:sz w:val="21"/>
          <w:szCs w:val="21"/>
          <w:lang w:val="en-US" w:eastAsia="zh-CN" w:bidi="ar"/>
        </w:rPr>
        <w:t>无组织</w:t>
      </w:r>
      <w:r>
        <w:rPr>
          <w:rFonts w:hint="default" w:ascii="Times New Roman" w:hAnsi="Times New Roman" w:eastAsia="宋体" w:cs="Times New Roman"/>
          <w:b/>
          <w:bCs/>
          <w:color w:val="auto"/>
          <w:kern w:val="0"/>
          <w:sz w:val="21"/>
          <w:szCs w:val="21"/>
          <w:lang w:val="en-US" w:eastAsia="zh-CN" w:bidi="ar"/>
        </w:rPr>
        <w:t>排放标准</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3"/>
        <w:gridCol w:w="1914"/>
        <w:gridCol w:w="1812"/>
        <w:gridCol w:w="3703"/>
      </w:tblGrid>
      <w:tr w14:paraId="1B0E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98" w:type="pct"/>
            <w:vMerge w:val="restart"/>
            <w:noWrap w:val="0"/>
            <w:vAlign w:val="center"/>
          </w:tcPr>
          <w:p w14:paraId="60F13170">
            <w:pPr>
              <w:widowControl/>
              <w:adjustRightInd w:val="0"/>
              <w:snapToGrid w:val="0"/>
              <w:spacing w:line="240" w:lineRule="auto"/>
              <w:ind w:firstLine="0" w:firstLineChars="0"/>
              <w:jc w:val="center"/>
              <w:rPr>
                <w:rFonts w:hint="eastAsia" w:ascii="Times New Roman" w:hAnsi="Times New Roman" w:eastAsia="宋体" w:cs="Times New Roman"/>
                <w:b/>
                <w:color w:val="auto"/>
                <w:sz w:val="21"/>
                <w:szCs w:val="21"/>
                <w:lang w:eastAsia="zh-CN"/>
              </w:rPr>
            </w:pPr>
            <w:r>
              <w:rPr>
                <w:rFonts w:hint="eastAsia" w:ascii="Times New Roman" w:hAnsi="Times New Roman" w:cs="Times New Roman"/>
                <w:b/>
                <w:color w:val="auto"/>
                <w:sz w:val="21"/>
                <w:szCs w:val="21"/>
                <w:lang w:val="en-US" w:eastAsia="zh-CN"/>
              </w:rPr>
              <w:t>类型</w:t>
            </w:r>
          </w:p>
        </w:tc>
        <w:tc>
          <w:tcPr>
            <w:tcW w:w="1031" w:type="pct"/>
            <w:vMerge w:val="restart"/>
            <w:noWrap w:val="0"/>
            <w:vAlign w:val="center"/>
          </w:tcPr>
          <w:p w14:paraId="11C8B4FD">
            <w:pPr>
              <w:widowControl/>
              <w:adjustRightInd w:val="0"/>
              <w:snapToGrid w:val="0"/>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污染物</w:t>
            </w:r>
          </w:p>
        </w:tc>
        <w:tc>
          <w:tcPr>
            <w:tcW w:w="976" w:type="pct"/>
            <w:vMerge w:val="restart"/>
            <w:noWrap w:val="0"/>
            <w:vAlign w:val="center"/>
          </w:tcPr>
          <w:p w14:paraId="6C6E15B0">
            <w:pPr>
              <w:widowControl/>
              <w:adjustRightInd w:val="0"/>
              <w:snapToGrid w:val="0"/>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最高允许排放浓度（mg/m</w:t>
            </w:r>
            <w:r>
              <w:rPr>
                <w:rFonts w:hint="default" w:ascii="Times New Roman" w:hAnsi="Times New Roman" w:cs="Times New Roman"/>
                <w:b/>
                <w:color w:val="auto"/>
                <w:sz w:val="21"/>
                <w:szCs w:val="21"/>
                <w:vertAlign w:val="superscript"/>
              </w:rPr>
              <w:t>3</w:t>
            </w:r>
            <w:r>
              <w:rPr>
                <w:rFonts w:hint="default" w:ascii="Times New Roman" w:hAnsi="Times New Roman" w:cs="Times New Roman"/>
                <w:b/>
                <w:color w:val="auto"/>
                <w:sz w:val="21"/>
                <w:szCs w:val="21"/>
              </w:rPr>
              <w:t>）</w:t>
            </w:r>
          </w:p>
        </w:tc>
        <w:tc>
          <w:tcPr>
            <w:tcW w:w="1994" w:type="pct"/>
            <w:vMerge w:val="restart"/>
            <w:noWrap w:val="0"/>
            <w:vAlign w:val="center"/>
          </w:tcPr>
          <w:p w14:paraId="1DA4333C">
            <w:pPr>
              <w:widowControl/>
              <w:adjustRightInd w:val="0"/>
              <w:snapToGrid w:val="0"/>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执行标准</w:t>
            </w:r>
          </w:p>
        </w:tc>
      </w:tr>
      <w:tr w14:paraId="77BD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98" w:type="pct"/>
            <w:vMerge w:val="continue"/>
            <w:noWrap w:val="0"/>
            <w:vAlign w:val="center"/>
          </w:tcPr>
          <w:p w14:paraId="19B541B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1031" w:type="pct"/>
            <w:vMerge w:val="continue"/>
            <w:noWrap w:val="0"/>
            <w:vAlign w:val="center"/>
          </w:tcPr>
          <w:p w14:paraId="36795F5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976" w:type="pct"/>
            <w:vMerge w:val="continue"/>
            <w:noWrap w:val="0"/>
            <w:vAlign w:val="center"/>
          </w:tcPr>
          <w:p w14:paraId="4E29154C">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1994" w:type="pct"/>
            <w:vMerge w:val="continue"/>
            <w:noWrap w:val="0"/>
            <w:vAlign w:val="center"/>
          </w:tcPr>
          <w:p w14:paraId="7FFF980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r>
      <w:tr w14:paraId="7BE9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pct"/>
            <w:vMerge w:val="restart"/>
            <w:noWrap w:val="0"/>
            <w:vAlign w:val="center"/>
          </w:tcPr>
          <w:p w14:paraId="1F610863">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厂界</w:t>
            </w:r>
          </w:p>
        </w:tc>
        <w:tc>
          <w:tcPr>
            <w:tcW w:w="1031" w:type="pct"/>
            <w:noWrap w:val="0"/>
            <w:vAlign w:val="center"/>
          </w:tcPr>
          <w:p w14:paraId="5C66658C">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非甲烷总烃</w:t>
            </w:r>
          </w:p>
        </w:tc>
        <w:tc>
          <w:tcPr>
            <w:tcW w:w="976" w:type="pct"/>
            <w:noWrap w:val="0"/>
            <w:vAlign w:val="center"/>
          </w:tcPr>
          <w:p w14:paraId="67F44B1D">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4</w:t>
            </w:r>
          </w:p>
        </w:tc>
        <w:tc>
          <w:tcPr>
            <w:tcW w:w="1994" w:type="pct"/>
            <w:vMerge w:val="restart"/>
            <w:noWrap w:val="0"/>
            <w:vAlign w:val="center"/>
          </w:tcPr>
          <w:p w14:paraId="5F5E94B5">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《合成树脂工业污染物排放标准》（GB31572-2015，含2024年修改单）</w:t>
            </w:r>
          </w:p>
        </w:tc>
      </w:tr>
      <w:tr w14:paraId="59EF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pct"/>
            <w:vMerge w:val="continue"/>
            <w:noWrap w:val="0"/>
            <w:vAlign w:val="center"/>
          </w:tcPr>
          <w:p w14:paraId="2F02F8C1">
            <w:pPr>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p>
        </w:tc>
        <w:tc>
          <w:tcPr>
            <w:tcW w:w="1031" w:type="pct"/>
            <w:noWrap w:val="0"/>
            <w:vAlign w:val="center"/>
          </w:tcPr>
          <w:p w14:paraId="711BAB7A">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颗粒物</w:t>
            </w:r>
          </w:p>
        </w:tc>
        <w:tc>
          <w:tcPr>
            <w:tcW w:w="976" w:type="pct"/>
            <w:noWrap w:val="0"/>
            <w:vAlign w:val="center"/>
          </w:tcPr>
          <w:p w14:paraId="42EE6224">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1994" w:type="pct"/>
            <w:vMerge w:val="continue"/>
            <w:noWrap w:val="0"/>
            <w:vAlign w:val="center"/>
          </w:tcPr>
          <w:p w14:paraId="771EE5F9">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r>
      <w:tr w14:paraId="4D85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pct"/>
            <w:vMerge w:val="continue"/>
            <w:noWrap w:val="0"/>
            <w:vAlign w:val="center"/>
          </w:tcPr>
          <w:p w14:paraId="2D1DF213">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1031" w:type="pct"/>
            <w:noWrap w:val="0"/>
            <w:vAlign w:val="center"/>
          </w:tcPr>
          <w:p w14:paraId="77F5575C">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bCs/>
                <w:color w:val="auto"/>
                <w:sz w:val="21"/>
                <w:szCs w:val="21"/>
                <w:highlight w:val="none"/>
                <w:lang w:val="en-US" w:eastAsia="zh-CN"/>
              </w:rPr>
              <w:t>甲醛</w:t>
            </w:r>
          </w:p>
        </w:tc>
        <w:tc>
          <w:tcPr>
            <w:tcW w:w="976" w:type="pct"/>
            <w:noWrap w:val="0"/>
            <w:vAlign w:val="center"/>
          </w:tcPr>
          <w:p w14:paraId="0F2149C5">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0.2</w:t>
            </w:r>
          </w:p>
        </w:tc>
        <w:tc>
          <w:tcPr>
            <w:tcW w:w="1994" w:type="pct"/>
            <w:vMerge w:val="restart"/>
            <w:noWrap w:val="0"/>
            <w:vAlign w:val="center"/>
          </w:tcPr>
          <w:p w14:paraId="7213655B">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《大气污染物综合排放标准》</w:t>
            </w:r>
          </w:p>
        </w:tc>
      </w:tr>
      <w:tr w14:paraId="2813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pct"/>
            <w:vMerge w:val="continue"/>
            <w:noWrap w:val="0"/>
            <w:vAlign w:val="center"/>
          </w:tcPr>
          <w:p w14:paraId="4390CC46">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1031" w:type="pct"/>
            <w:noWrap w:val="0"/>
            <w:vAlign w:val="center"/>
          </w:tcPr>
          <w:p w14:paraId="62B29B96">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bCs/>
                <w:color w:val="auto"/>
                <w:sz w:val="21"/>
                <w:szCs w:val="21"/>
                <w:highlight w:val="none"/>
                <w:lang w:val="en-US" w:eastAsia="zh-CN"/>
              </w:rPr>
              <w:t>酚类</w:t>
            </w:r>
          </w:p>
        </w:tc>
        <w:tc>
          <w:tcPr>
            <w:tcW w:w="976" w:type="pct"/>
            <w:noWrap w:val="0"/>
            <w:vAlign w:val="center"/>
          </w:tcPr>
          <w:p w14:paraId="51A1C0BE">
            <w:pPr>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0.08</w:t>
            </w:r>
          </w:p>
        </w:tc>
        <w:tc>
          <w:tcPr>
            <w:tcW w:w="1994" w:type="pct"/>
            <w:vMerge w:val="continue"/>
            <w:noWrap w:val="0"/>
            <w:vAlign w:val="center"/>
          </w:tcPr>
          <w:p w14:paraId="11059FC2">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r>
    </w:tbl>
    <w:p w14:paraId="262E87DD">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p>
    <w:p w14:paraId="26D964DF">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 xml:space="preserve">表 </w:t>
      </w:r>
      <w:r>
        <w:rPr>
          <w:rFonts w:hint="eastAsia" w:ascii="Times New Roman" w:hAnsi="Times New Roman" w:eastAsia="宋体" w:cs="Times New Roman"/>
          <w:b/>
          <w:bCs/>
          <w:color w:val="auto"/>
          <w:kern w:val="0"/>
          <w:sz w:val="21"/>
          <w:szCs w:val="21"/>
          <w:lang w:val="en-US" w:eastAsia="zh-CN" w:bidi="ar"/>
        </w:rPr>
        <w:t>1-7</w:t>
      </w:r>
      <w:r>
        <w:rPr>
          <w:rFonts w:hint="default" w:ascii="Times New Roman" w:hAnsi="Times New Roman" w:eastAsia="宋体" w:cs="Times New Roman"/>
          <w:b/>
          <w:bCs/>
          <w:color w:val="auto"/>
          <w:kern w:val="0"/>
          <w:sz w:val="21"/>
          <w:szCs w:val="21"/>
          <w:lang w:val="en-US" w:eastAsia="zh-CN" w:bidi="ar"/>
        </w:rPr>
        <w:t>挥发性有机物无组织排放控制标准</w:t>
      </w:r>
    </w:p>
    <w:tbl>
      <w:tblPr>
        <w:tblStyle w:val="37"/>
        <w:tblW w:w="4995" w:type="pct"/>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57"/>
        <w:gridCol w:w="1334"/>
        <w:gridCol w:w="2407"/>
        <w:gridCol w:w="1256"/>
        <w:gridCol w:w="2817"/>
      </w:tblGrid>
      <w:tr w14:paraId="3D9A8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93" w:type="pct"/>
            <w:noWrap w:val="0"/>
            <w:vAlign w:val="center"/>
          </w:tcPr>
          <w:p w14:paraId="18F4E6D9">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污染物</w:t>
            </w:r>
            <w:r>
              <w:rPr>
                <w:rFonts w:hint="default" w:ascii="Times New Roman" w:hAnsi="Times New Roman" w:eastAsia="宋体" w:cs="Times New Roman"/>
                <w:color w:val="auto"/>
                <w:spacing w:val="0"/>
                <w:position w:val="0"/>
                <w:sz w:val="21"/>
                <w:szCs w:val="21"/>
              </w:rPr>
              <w:t xml:space="preserve"> </w:t>
            </w:r>
            <w:r>
              <w:rPr>
                <w:rFonts w:hint="default" w:ascii="Times New Roman" w:hAnsi="Times New Roman" w:eastAsia="宋体" w:cs="Times New Roman"/>
                <w:b/>
                <w:bCs/>
                <w:color w:val="auto"/>
                <w:spacing w:val="0"/>
                <w:position w:val="0"/>
                <w:sz w:val="21"/>
                <w:szCs w:val="21"/>
              </w:rPr>
              <w:t>名称</w:t>
            </w:r>
          </w:p>
        </w:tc>
        <w:tc>
          <w:tcPr>
            <w:tcW w:w="735" w:type="pct"/>
            <w:noWrap w:val="0"/>
            <w:vAlign w:val="center"/>
          </w:tcPr>
          <w:p w14:paraId="43C78796">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最高允许排</w:t>
            </w:r>
          </w:p>
          <w:p w14:paraId="4489662D">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放浓度</w:t>
            </w:r>
          </w:p>
          <w:p w14:paraId="2CC8046D">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（mg/m</w:t>
            </w:r>
            <w:r>
              <w:rPr>
                <w:rFonts w:hint="default" w:ascii="Times New Roman" w:hAnsi="Times New Roman" w:eastAsia="宋体" w:cs="Times New Roman"/>
                <w:b/>
                <w:bCs/>
                <w:color w:val="auto"/>
                <w:spacing w:val="0"/>
                <w:position w:val="0"/>
                <w:sz w:val="21"/>
                <w:szCs w:val="21"/>
                <w:vertAlign w:val="superscript"/>
              </w:rPr>
              <w:t>3</w:t>
            </w:r>
            <w:r>
              <w:rPr>
                <w:rFonts w:hint="default" w:ascii="Times New Roman" w:hAnsi="Times New Roman" w:eastAsia="宋体" w:cs="Times New Roman"/>
                <w:b/>
                <w:bCs/>
                <w:color w:val="auto"/>
                <w:spacing w:val="0"/>
                <w:position w:val="0"/>
                <w:sz w:val="21"/>
                <w:szCs w:val="21"/>
              </w:rPr>
              <w:t>）</w:t>
            </w:r>
          </w:p>
        </w:tc>
        <w:tc>
          <w:tcPr>
            <w:tcW w:w="1326" w:type="pct"/>
            <w:noWrap w:val="0"/>
            <w:vAlign w:val="center"/>
          </w:tcPr>
          <w:p w14:paraId="4E6BA51C">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排放限值含义</w:t>
            </w:r>
          </w:p>
        </w:tc>
        <w:tc>
          <w:tcPr>
            <w:tcW w:w="692" w:type="pct"/>
            <w:noWrap w:val="0"/>
            <w:vAlign w:val="center"/>
          </w:tcPr>
          <w:p w14:paraId="1364EFB5">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无组织排放监控位置</w:t>
            </w:r>
          </w:p>
        </w:tc>
        <w:tc>
          <w:tcPr>
            <w:tcW w:w="1552" w:type="pct"/>
            <w:noWrap w:val="0"/>
            <w:vAlign w:val="center"/>
          </w:tcPr>
          <w:p w14:paraId="0505DF18">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bCs/>
                <w:color w:val="auto"/>
                <w:spacing w:val="0"/>
                <w:position w:val="0"/>
                <w:sz w:val="21"/>
                <w:szCs w:val="21"/>
              </w:rPr>
              <w:t>执行标准</w:t>
            </w:r>
          </w:p>
        </w:tc>
      </w:tr>
      <w:tr w14:paraId="2627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93" w:type="pct"/>
            <w:vMerge w:val="restart"/>
            <w:noWrap w:val="0"/>
            <w:vAlign w:val="center"/>
          </w:tcPr>
          <w:p w14:paraId="2C92E7E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cs="Times New Roman"/>
                <w:color w:val="auto"/>
                <w:sz w:val="21"/>
                <w:szCs w:val="21"/>
              </w:rPr>
              <w:t>非甲烷总烃</w:t>
            </w:r>
          </w:p>
        </w:tc>
        <w:tc>
          <w:tcPr>
            <w:tcW w:w="735" w:type="pct"/>
            <w:noWrap w:val="0"/>
            <w:vAlign w:val="center"/>
          </w:tcPr>
          <w:p w14:paraId="78AFD23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6</w:t>
            </w:r>
          </w:p>
        </w:tc>
        <w:tc>
          <w:tcPr>
            <w:tcW w:w="1326" w:type="pct"/>
            <w:noWrap w:val="0"/>
            <w:vAlign w:val="center"/>
          </w:tcPr>
          <w:p w14:paraId="6390AB08">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监控点处1h平均浓度</w:t>
            </w:r>
          </w:p>
        </w:tc>
        <w:tc>
          <w:tcPr>
            <w:tcW w:w="692" w:type="pct"/>
            <w:vMerge w:val="restart"/>
            <w:noWrap w:val="0"/>
            <w:vAlign w:val="center"/>
          </w:tcPr>
          <w:p w14:paraId="5975ACDF">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在厂房外设置监控点</w:t>
            </w:r>
          </w:p>
        </w:tc>
        <w:tc>
          <w:tcPr>
            <w:tcW w:w="1552" w:type="pct"/>
            <w:vMerge w:val="restart"/>
            <w:noWrap w:val="0"/>
            <w:vAlign w:val="center"/>
          </w:tcPr>
          <w:p w14:paraId="51181797">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z w:val="21"/>
                <w:szCs w:val="21"/>
                <w:lang w:val="en-US" w:eastAsia="zh-CN"/>
              </w:rPr>
              <w:t>《固定源挥发性有机物综合排放标准第6部分：其他行业》（DB34/4812.6-2024）</w:t>
            </w:r>
          </w:p>
        </w:tc>
      </w:tr>
      <w:tr w14:paraId="061E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693" w:type="pct"/>
            <w:vMerge w:val="continue"/>
            <w:noWrap w:val="0"/>
            <w:vAlign w:val="center"/>
          </w:tcPr>
          <w:p w14:paraId="53EAB8E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p>
        </w:tc>
        <w:tc>
          <w:tcPr>
            <w:tcW w:w="735" w:type="pct"/>
            <w:noWrap w:val="0"/>
            <w:vAlign w:val="center"/>
          </w:tcPr>
          <w:p w14:paraId="6044EDC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20</w:t>
            </w:r>
          </w:p>
        </w:tc>
        <w:tc>
          <w:tcPr>
            <w:tcW w:w="1326" w:type="pct"/>
            <w:noWrap w:val="0"/>
            <w:vAlign w:val="center"/>
          </w:tcPr>
          <w:p w14:paraId="5FE0882B">
            <w:pPr>
              <w:pStyle w:val="4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监控点处任意一次浓度值</w:t>
            </w:r>
          </w:p>
        </w:tc>
        <w:tc>
          <w:tcPr>
            <w:tcW w:w="692" w:type="pct"/>
            <w:vMerge w:val="continue"/>
            <w:noWrap w:val="0"/>
            <w:vAlign w:val="center"/>
          </w:tcPr>
          <w:p w14:paraId="410B3C4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p>
        </w:tc>
        <w:tc>
          <w:tcPr>
            <w:tcW w:w="1552" w:type="pct"/>
            <w:vMerge w:val="continue"/>
            <w:noWrap w:val="0"/>
            <w:vAlign w:val="center"/>
          </w:tcPr>
          <w:p w14:paraId="1348E93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position w:val="0"/>
                <w:sz w:val="21"/>
                <w:szCs w:val="21"/>
              </w:rPr>
            </w:pPr>
          </w:p>
        </w:tc>
      </w:tr>
    </w:tbl>
    <w:p w14:paraId="6E1AF134">
      <w:pPr>
        <w:pStyle w:val="69"/>
        <w:rPr>
          <w:color w:val="auto"/>
        </w:rPr>
      </w:pPr>
    </w:p>
    <w:p w14:paraId="15CC4699">
      <w:pPr>
        <w:pStyle w:val="18"/>
        <w:rPr>
          <w:color w:val="auto"/>
        </w:rPr>
        <w:sectPr>
          <w:pgSz w:w="11906" w:h="16838"/>
          <w:pgMar w:top="1440" w:right="1418" w:bottom="1440" w:left="1418" w:header="851" w:footer="992" w:gutter="0"/>
          <w:pgNumType w:fmt="numberInDash"/>
          <w:cols w:space="720" w:num="1"/>
          <w:docGrid w:type="linesAndChars" w:linePitch="326" w:charSpace="3920"/>
        </w:sectPr>
      </w:pPr>
    </w:p>
    <w:p w14:paraId="587A610F">
      <w:pPr>
        <w:pStyle w:val="3"/>
        <w:rPr>
          <w:snapToGrid w:val="0"/>
          <w:color w:val="auto"/>
        </w:rPr>
      </w:pPr>
      <w:bookmarkStart w:id="36" w:name="_Toc97323091"/>
      <w:r>
        <w:rPr>
          <w:snapToGrid w:val="0"/>
          <w:color w:val="auto"/>
        </w:rPr>
        <w:t>2大气环境现状评价</w:t>
      </w:r>
      <w:bookmarkEnd w:id="36"/>
    </w:p>
    <w:p w14:paraId="7C8EA464">
      <w:pPr>
        <w:pStyle w:val="4"/>
        <w:rPr>
          <w:rFonts w:ascii="Times New Roman" w:hAnsi="Times New Roman"/>
          <w:snapToGrid w:val="0"/>
          <w:color w:val="auto"/>
        </w:rPr>
      </w:pPr>
      <w:bookmarkStart w:id="37" w:name="_Toc97323092"/>
      <w:r>
        <w:rPr>
          <w:rFonts w:ascii="Times New Roman" w:hAnsi="Times New Roman"/>
          <w:snapToGrid w:val="0"/>
          <w:color w:val="auto"/>
        </w:rPr>
        <w:t>2.1达标区判定</w:t>
      </w:r>
      <w:bookmarkEnd w:id="37"/>
    </w:p>
    <w:p w14:paraId="3C60CDDB">
      <w:pPr>
        <w:pStyle w:val="24"/>
        <w:adjustRightInd/>
        <w:spacing w:before="0" w:after="0" w:line="360" w:lineRule="auto"/>
        <w:ind w:right="0" w:rightChars="0" w:firstLine="518"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为了解项目所在区域基本污染物环境质量现状，依据</w:t>
      </w:r>
      <w:r>
        <w:rPr>
          <w:rFonts w:hint="default" w:ascii="Times New Roman" w:hAnsi="Times New Roman" w:eastAsia="宋体" w:cs="Times New Roman"/>
          <w:bCs/>
          <w:color w:val="auto"/>
          <w:sz w:val="24"/>
          <w:szCs w:val="24"/>
          <w:highlight w:val="none"/>
        </w:rPr>
        <w:t>本项目位于淮南市高新技术产业开发区，本次评价基本因子引用淮南市生态环境局202</w:t>
      </w:r>
      <w:r>
        <w:rPr>
          <w:rFonts w:hint="default" w:ascii="Times New Roman" w:hAnsi="Times New Roman" w:cs="Times New Roman"/>
          <w:bCs/>
          <w:color w:val="auto"/>
          <w:sz w:val="24"/>
          <w:szCs w:val="24"/>
          <w:highlight w:val="none"/>
          <w:lang w:val="en-US" w:eastAsia="zh-CN"/>
        </w:rPr>
        <w:t>6</w:t>
      </w:r>
      <w:r>
        <w:rPr>
          <w:rFonts w:hint="default" w:ascii="Times New Roman" w:hAnsi="Times New Roman" w:eastAsia="宋体" w:cs="Times New Roman"/>
          <w:bCs/>
          <w:color w:val="auto"/>
          <w:sz w:val="24"/>
          <w:szCs w:val="24"/>
          <w:highlight w:val="none"/>
        </w:rPr>
        <w:t>年6月</w:t>
      </w:r>
      <w:r>
        <w:rPr>
          <w:rFonts w:hint="default" w:ascii="Times New Roman" w:hAnsi="Times New Roman" w:cs="Times New Roman"/>
          <w:bCs/>
          <w:color w:val="auto"/>
          <w:sz w:val="24"/>
          <w:szCs w:val="24"/>
          <w:highlight w:val="none"/>
          <w:lang w:val="en-US" w:eastAsia="zh-CN"/>
        </w:rPr>
        <w:t>4</w:t>
      </w:r>
      <w:r>
        <w:rPr>
          <w:rFonts w:hint="default" w:ascii="Times New Roman" w:hAnsi="Times New Roman" w:eastAsia="宋体" w:cs="Times New Roman"/>
          <w:bCs/>
          <w:color w:val="auto"/>
          <w:sz w:val="24"/>
          <w:szCs w:val="24"/>
          <w:highlight w:val="none"/>
        </w:rPr>
        <w:t>日发布的《</w:t>
      </w:r>
      <w:r>
        <w:rPr>
          <w:rFonts w:hint="default" w:ascii="Times New Roman" w:hAnsi="Times New Roman" w:cs="Times New Roman"/>
          <w:bCs/>
          <w:color w:val="auto"/>
          <w:sz w:val="24"/>
          <w:szCs w:val="24"/>
          <w:highlight w:val="none"/>
          <w:lang w:eastAsia="zh-CN"/>
        </w:rPr>
        <w:t>2025年淮南市生态环境质量状况公报</w:t>
      </w:r>
      <w:r>
        <w:rPr>
          <w:rFonts w:hint="default" w:ascii="Times New Roman" w:hAnsi="Times New Roman" w:eastAsia="宋体" w:cs="Times New Roman"/>
          <w:bCs/>
          <w:color w:val="auto"/>
          <w:sz w:val="24"/>
          <w:szCs w:val="24"/>
          <w:highlight w:val="none"/>
        </w:rPr>
        <w:t>》中相关数据。具体环境空气质量现状数值见下表。</w:t>
      </w:r>
    </w:p>
    <w:p w14:paraId="74E5E0D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表3-1</w:t>
      </w:r>
      <w:r>
        <w:rPr>
          <w:rFonts w:hint="default"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区域空气质量现状评价表</w:t>
      </w:r>
    </w:p>
    <w:tbl>
      <w:tblPr>
        <w:tblStyle w:val="25"/>
        <w:tblW w:w="499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880"/>
        <w:gridCol w:w="2420"/>
        <w:gridCol w:w="1250"/>
        <w:gridCol w:w="1995"/>
        <w:gridCol w:w="995"/>
        <w:gridCol w:w="1031"/>
      </w:tblGrid>
      <w:tr w14:paraId="0237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62D9E9A9">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508" w:type="pct"/>
            <w:noWrap w:val="0"/>
            <w:vAlign w:val="center"/>
          </w:tcPr>
          <w:p w14:paraId="55277277">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污染物</w:t>
            </w:r>
          </w:p>
        </w:tc>
        <w:tc>
          <w:tcPr>
            <w:tcW w:w="1337" w:type="pct"/>
            <w:noWrap w:val="0"/>
            <w:vAlign w:val="center"/>
          </w:tcPr>
          <w:p w14:paraId="581B1515">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年评价指标</w:t>
            </w:r>
          </w:p>
        </w:tc>
        <w:tc>
          <w:tcPr>
            <w:tcW w:w="705" w:type="pct"/>
            <w:noWrap w:val="0"/>
            <w:vAlign w:val="center"/>
          </w:tcPr>
          <w:p w14:paraId="51E1CE2E">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现状浓度</w:t>
            </w:r>
          </w:p>
          <w:p w14:paraId="582E7A0B">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（μg/m</w:t>
            </w:r>
            <w:r>
              <w:rPr>
                <w:rFonts w:hint="default" w:ascii="Times New Roman" w:hAnsi="Times New Roman" w:cs="Times New Roman"/>
                <w:b/>
                <w:bCs/>
                <w:color w:val="auto"/>
                <w:sz w:val="21"/>
                <w:szCs w:val="21"/>
                <w:vertAlign w:val="superscript"/>
              </w:rPr>
              <w:t>3</w:t>
            </w:r>
            <w:r>
              <w:rPr>
                <w:rFonts w:hint="default" w:ascii="Times New Roman" w:hAnsi="Times New Roman" w:cs="Times New Roman"/>
                <w:b/>
                <w:bCs/>
                <w:color w:val="auto"/>
                <w:sz w:val="21"/>
                <w:szCs w:val="21"/>
              </w:rPr>
              <w:t>）</w:t>
            </w:r>
          </w:p>
        </w:tc>
        <w:tc>
          <w:tcPr>
            <w:tcW w:w="871" w:type="pct"/>
            <w:noWrap w:val="0"/>
            <w:vAlign w:val="center"/>
          </w:tcPr>
          <w:p w14:paraId="1E7E7217">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（GB3095-</w:t>
            </w:r>
            <w:r>
              <w:rPr>
                <w:rFonts w:hint="default" w:ascii="Times New Roman" w:hAnsi="Times New Roman" w:cs="Times New Roman"/>
                <w:b/>
                <w:bCs/>
                <w:color w:val="auto"/>
                <w:sz w:val="21"/>
                <w:szCs w:val="21"/>
                <w:lang w:val="en-US" w:eastAsia="zh-CN"/>
              </w:rPr>
              <w:t>2026</w:t>
            </w:r>
            <w:r>
              <w:rPr>
                <w:rFonts w:hint="default" w:ascii="Times New Roman" w:hAnsi="Times New Roman" w:cs="Times New Roman"/>
                <w:b/>
                <w:bCs/>
                <w:color w:val="auto"/>
                <w:sz w:val="21"/>
                <w:szCs w:val="21"/>
              </w:rPr>
              <w:t>）</w:t>
            </w:r>
            <w:r>
              <w:rPr>
                <w:rFonts w:hint="default" w:ascii="Times New Roman" w:hAnsi="Times New Roman" w:cs="Times New Roman"/>
                <w:b/>
                <w:bCs/>
                <w:color w:val="auto"/>
                <w:sz w:val="21"/>
                <w:szCs w:val="21"/>
                <w:lang w:val="en-US" w:eastAsia="zh-CN"/>
              </w:rPr>
              <w:t>过渡阶段二级</w:t>
            </w:r>
            <w:r>
              <w:rPr>
                <w:rFonts w:hint="default" w:ascii="Times New Roman" w:hAnsi="Times New Roman" w:cs="Times New Roman"/>
                <w:b/>
                <w:bCs/>
                <w:color w:val="auto"/>
                <w:sz w:val="21"/>
                <w:szCs w:val="21"/>
              </w:rPr>
              <w:t>评价标准值（μg/m</w:t>
            </w:r>
            <w:r>
              <w:rPr>
                <w:rFonts w:hint="default" w:ascii="Times New Roman" w:hAnsi="Times New Roman" w:cs="Times New Roman"/>
                <w:b/>
                <w:bCs/>
                <w:color w:val="auto"/>
                <w:sz w:val="21"/>
                <w:szCs w:val="21"/>
                <w:vertAlign w:val="superscript"/>
              </w:rPr>
              <w:t>3</w:t>
            </w:r>
            <w:r>
              <w:rPr>
                <w:rFonts w:hint="default" w:ascii="Times New Roman" w:hAnsi="Times New Roman" w:cs="Times New Roman"/>
                <w:b/>
                <w:bCs/>
                <w:color w:val="auto"/>
                <w:sz w:val="21"/>
                <w:szCs w:val="21"/>
              </w:rPr>
              <w:t>）</w:t>
            </w:r>
          </w:p>
        </w:tc>
        <w:tc>
          <w:tcPr>
            <w:tcW w:w="572" w:type="pct"/>
            <w:noWrap w:val="0"/>
            <w:vAlign w:val="center"/>
          </w:tcPr>
          <w:p w14:paraId="74A0F0C2">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占标率</w:t>
            </w:r>
          </w:p>
          <w:p w14:paraId="04475E78">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w:t>
            </w:r>
          </w:p>
        </w:tc>
        <w:tc>
          <w:tcPr>
            <w:tcW w:w="589" w:type="pct"/>
            <w:noWrap w:val="0"/>
            <w:vAlign w:val="center"/>
          </w:tcPr>
          <w:p w14:paraId="15DBF92E">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达标情况</w:t>
            </w:r>
          </w:p>
        </w:tc>
      </w:tr>
      <w:tr w14:paraId="2A8F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57A0FC98">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508" w:type="pct"/>
            <w:noWrap w:val="0"/>
            <w:vAlign w:val="center"/>
          </w:tcPr>
          <w:p w14:paraId="32915876">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SO</w:t>
            </w:r>
            <w:r>
              <w:rPr>
                <w:rFonts w:hint="default" w:ascii="Times New Roman" w:hAnsi="Times New Roman" w:cs="Times New Roman"/>
                <w:color w:val="auto"/>
                <w:sz w:val="21"/>
                <w:szCs w:val="21"/>
                <w:vertAlign w:val="subscript"/>
              </w:rPr>
              <w:t>2</w:t>
            </w:r>
          </w:p>
        </w:tc>
        <w:tc>
          <w:tcPr>
            <w:tcW w:w="1337" w:type="pct"/>
            <w:noWrap w:val="0"/>
            <w:vAlign w:val="center"/>
          </w:tcPr>
          <w:p w14:paraId="0BBACBD7">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年平均质量浓度</w:t>
            </w:r>
          </w:p>
        </w:tc>
        <w:tc>
          <w:tcPr>
            <w:tcW w:w="705" w:type="pct"/>
            <w:noWrap w:val="0"/>
            <w:vAlign w:val="center"/>
          </w:tcPr>
          <w:p w14:paraId="2FFFC048">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w:t>
            </w:r>
          </w:p>
        </w:tc>
        <w:tc>
          <w:tcPr>
            <w:tcW w:w="871" w:type="pct"/>
            <w:noWrap w:val="0"/>
            <w:vAlign w:val="center"/>
          </w:tcPr>
          <w:p w14:paraId="38E7C376">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60</w:t>
            </w:r>
          </w:p>
        </w:tc>
        <w:tc>
          <w:tcPr>
            <w:tcW w:w="863" w:type="dxa"/>
            <w:noWrap w:val="0"/>
            <w:vAlign w:val="center"/>
          </w:tcPr>
          <w:p w14:paraId="419BBB4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11.67</w:t>
            </w:r>
          </w:p>
        </w:tc>
        <w:tc>
          <w:tcPr>
            <w:tcW w:w="589" w:type="pct"/>
            <w:noWrap w:val="0"/>
            <w:vAlign w:val="center"/>
          </w:tcPr>
          <w:p w14:paraId="66E9D7FC">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达标</w:t>
            </w:r>
          </w:p>
        </w:tc>
      </w:tr>
      <w:tr w14:paraId="65E1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0A54E327">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2</w:t>
            </w:r>
          </w:p>
        </w:tc>
        <w:tc>
          <w:tcPr>
            <w:tcW w:w="508" w:type="pct"/>
            <w:noWrap w:val="0"/>
            <w:vAlign w:val="center"/>
          </w:tcPr>
          <w:p w14:paraId="32862A89">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NO</w:t>
            </w:r>
            <w:r>
              <w:rPr>
                <w:rFonts w:hint="default" w:ascii="Times New Roman" w:hAnsi="Times New Roman" w:cs="Times New Roman"/>
                <w:color w:val="auto"/>
                <w:sz w:val="21"/>
                <w:szCs w:val="21"/>
                <w:vertAlign w:val="subscript"/>
              </w:rPr>
              <w:t>2</w:t>
            </w:r>
          </w:p>
        </w:tc>
        <w:tc>
          <w:tcPr>
            <w:tcW w:w="1337" w:type="pct"/>
            <w:noWrap w:val="0"/>
            <w:vAlign w:val="center"/>
          </w:tcPr>
          <w:p w14:paraId="59F77625">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年平均质量浓度</w:t>
            </w:r>
          </w:p>
        </w:tc>
        <w:tc>
          <w:tcPr>
            <w:tcW w:w="705" w:type="pct"/>
            <w:noWrap w:val="0"/>
            <w:vAlign w:val="center"/>
          </w:tcPr>
          <w:p w14:paraId="3FBF8AA4">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18</w:t>
            </w:r>
          </w:p>
        </w:tc>
        <w:tc>
          <w:tcPr>
            <w:tcW w:w="871" w:type="pct"/>
            <w:noWrap w:val="0"/>
            <w:vAlign w:val="center"/>
          </w:tcPr>
          <w:p w14:paraId="623FDFB2">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40</w:t>
            </w:r>
          </w:p>
        </w:tc>
        <w:tc>
          <w:tcPr>
            <w:tcW w:w="863" w:type="dxa"/>
            <w:noWrap w:val="0"/>
            <w:vAlign w:val="center"/>
          </w:tcPr>
          <w:p w14:paraId="321F54D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45</w:t>
            </w:r>
          </w:p>
        </w:tc>
        <w:tc>
          <w:tcPr>
            <w:tcW w:w="589" w:type="pct"/>
            <w:noWrap w:val="0"/>
            <w:vAlign w:val="center"/>
          </w:tcPr>
          <w:p w14:paraId="1A19E82C">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达标</w:t>
            </w:r>
          </w:p>
        </w:tc>
      </w:tr>
      <w:tr w14:paraId="118C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107A6BC7">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3</w:t>
            </w:r>
          </w:p>
        </w:tc>
        <w:tc>
          <w:tcPr>
            <w:tcW w:w="508" w:type="pct"/>
            <w:noWrap w:val="0"/>
            <w:vAlign w:val="center"/>
          </w:tcPr>
          <w:p w14:paraId="1B4EF42F">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PM</w:t>
            </w:r>
            <w:r>
              <w:rPr>
                <w:rFonts w:hint="default" w:ascii="Times New Roman" w:hAnsi="Times New Roman" w:cs="Times New Roman"/>
                <w:color w:val="auto"/>
                <w:sz w:val="21"/>
                <w:szCs w:val="21"/>
                <w:vertAlign w:val="subscript"/>
              </w:rPr>
              <w:t>10</w:t>
            </w:r>
          </w:p>
        </w:tc>
        <w:tc>
          <w:tcPr>
            <w:tcW w:w="1337" w:type="pct"/>
            <w:noWrap w:val="0"/>
            <w:vAlign w:val="center"/>
          </w:tcPr>
          <w:p w14:paraId="1C7C69A8">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年平均质量浓度</w:t>
            </w:r>
          </w:p>
        </w:tc>
        <w:tc>
          <w:tcPr>
            <w:tcW w:w="705" w:type="pct"/>
            <w:noWrap w:val="0"/>
            <w:vAlign w:val="center"/>
          </w:tcPr>
          <w:p w14:paraId="24F1F35C">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61</w:t>
            </w:r>
          </w:p>
        </w:tc>
        <w:tc>
          <w:tcPr>
            <w:tcW w:w="871" w:type="pct"/>
            <w:noWrap w:val="0"/>
            <w:vAlign w:val="center"/>
          </w:tcPr>
          <w:p w14:paraId="78B0213C">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60</w:t>
            </w:r>
          </w:p>
        </w:tc>
        <w:tc>
          <w:tcPr>
            <w:tcW w:w="863" w:type="dxa"/>
            <w:noWrap w:val="0"/>
            <w:vAlign w:val="center"/>
          </w:tcPr>
          <w:p w14:paraId="61E9815D">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101.67</w:t>
            </w:r>
          </w:p>
        </w:tc>
        <w:tc>
          <w:tcPr>
            <w:tcW w:w="589" w:type="pct"/>
            <w:noWrap w:val="0"/>
            <w:vAlign w:val="center"/>
          </w:tcPr>
          <w:p w14:paraId="2A293093">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不达标</w:t>
            </w:r>
          </w:p>
        </w:tc>
      </w:tr>
      <w:tr w14:paraId="1971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46E4BE0B">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4</w:t>
            </w:r>
          </w:p>
        </w:tc>
        <w:tc>
          <w:tcPr>
            <w:tcW w:w="508" w:type="pct"/>
            <w:noWrap w:val="0"/>
            <w:vAlign w:val="center"/>
          </w:tcPr>
          <w:p w14:paraId="12C1C7CC">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PM</w:t>
            </w:r>
            <w:r>
              <w:rPr>
                <w:rFonts w:hint="default" w:ascii="Times New Roman" w:hAnsi="Times New Roman" w:cs="Times New Roman"/>
                <w:color w:val="auto"/>
                <w:sz w:val="21"/>
                <w:szCs w:val="21"/>
                <w:vertAlign w:val="subscript"/>
              </w:rPr>
              <w:t>2.5</w:t>
            </w:r>
          </w:p>
        </w:tc>
        <w:tc>
          <w:tcPr>
            <w:tcW w:w="1337" w:type="pct"/>
            <w:noWrap w:val="0"/>
            <w:vAlign w:val="center"/>
          </w:tcPr>
          <w:p w14:paraId="709B3C91">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年平均质量浓度</w:t>
            </w:r>
          </w:p>
        </w:tc>
        <w:tc>
          <w:tcPr>
            <w:tcW w:w="705" w:type="pct"/>
            <w:noWrap w:val="0"/>
            <w:vAlign w:val="center"/>
          </w:tcPr>
          <w:p w14:paraId="030A327E">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37.1</w:t>
            </w:r>
          </w:p>
        </w:tc>
        <w:tc>
          <w:tcPr>
            <w:tcW w:w="871" w:type="pct"/>
            <w:noWrap w:val="0"/>
            <w:vAlign w:val="center"/>
          </w:tcPr>
          <w:p w14:paraId="246A5EF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30</w:t>
            </w:r>
          </w:p>
        </w:tc>
        <w:tc>
          <w:tcPr>
            <w:tcW w:w="863" w:type="dxa"/>
            <w:noWrap w:val="0"/>
            <w:vAlign w:val="center"/>
          </w:tcPr>
          <w:p w14:paraId="6DDDC6AC">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123.67</w:t>
            </w:r>
          </w:p>
        </w:tc>
        <w:tc>
          <w:tcPr>
            <w:tcW w:w="589" w:type="pct"/>
            <w:noWrap w:val="0"/>
            <w:vAlign w:val="center"/>
          </w:tcPr>
          <w:p w14:paraId="22395FDA">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不达标</w:t>
            </w:r>
          </w:p>
        </w:tc>
      </w:tr>
      <w:tr w14:paraId="21B5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006BB382">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5</w:t>
            </w:r>
          </w:p>
        </w:tc>
        <w:tc>
          <w:tcPr>
            <w:tcW w:w="508" w:type="pct"/>
            <w:noWrap w:val="0"/>
            <w:vAlign w:val="center"/>
          </w:tcPr>
          <w:p w14:paraId="37A0FC7A">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CO</w:t>
            </w:r>
          </w:p>
        </w:tc>
        <w:tc>
          <w:tcPr>
            <w:tcW w:w="1337" w:type="pct"/>
            <w:noWrap w:val="0"/>
            <w:vAlign w:val="center"/>
          </w:tcPr>
          <w:p w14:paraId="29B63E40">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日均值第95百分位数</w:t>
            </w:r>
          </w:p>
        </w:tc>
        <w:tc>
          <w:tcPr>
            <w:tcW w:w="705" w:type="pct"/>
            <w:noWrap w:val="0"/>
            <w:vAlign w:val="center"/>
          </w:tcPr>
          <w:p w14:paraId="4591AC06">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800</w:t>
            </w:r>
          </w:p>
        </w:tc>
        <w:tc>
          <w:tcPr>
            <w:tcW w:w="871" w:type="pct"/>
            <w:noWrap w:val="0"/>
            <w:vAlign w:val="center"/>
          </w:tcPr>
          <w:p w14:paraId="5E833F5A">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4000</w:t>
            </w:r>
          </w:p>
        </w:tc>
        <w:tc>
          <w:tcPr>
            <w:tcW w:w="863" w:type="dxa"/>
            <w:noWrap w:val="0"/>
            <w:vAlign w:val="center"/>
          </w:tcPr>
          <w:p w14:paraId="77F26718">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589" w:type="pct"/>
            <w:noWrap w:val="0"/>
            <w:vAlign w:val="center"/>
          </w:tcPr>
          <w:p w14:paraId="0291F767">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达标</w:t>
            </w:r>
          </w:p>
        </w:tc>
      </w:tr>
      <w:tr w14:paraId="67CD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5" w:type="pct"/>
            <w:noWrap w:val="0"/>
            <w:vAlign w:val="center"/>
          </w:tcPr>
          <w:p w14:paraId="7813B975">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6</w:t>
            </w:r>
          </w:p>
        </w:tc>
        <w:tc>
          <w:tcPr>
            <w:tcW w:w="508" w:type="pct"/>
            <w:noWrap w:val="0"/>
            <w:vAlign w:val="center"/>
          </w:tcPr>
          <w:p w14:paraId="27E4CF91">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O</w:t>
            </w:r>
            <w:r>
              <w:rPr>
                <w:rFonts w:hint="default" w:ascii="Times New Roman" w:hAnsi="Times New Roman" w:cs="Times New Roman"/>
                <w:color w:val="auto"/>
                <w:sz w:val="21"/>
                <w:szCs w:val="21"/>
                <w:vertAlign w:val="subscript"/>
              </w:rPr>
              <w:t>3</w:t>
            </w:r>
          </w:p>
        </w:tc>
        <w:tc>
          <w:tcPr>
            <w:tcW w:w="1337" w:type="pct"/>
            <w:noWrap w:val="0"/>
            <w:vAlign w:val="center"/>
          </w:tcPr>
          <w:p w14:paraId="7C5FA655">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最大8小时平均值第90百分位数</w:t>
            </w:r>
          </w:p>
        </w:tc>
        <w:tc>
          <w:tcPr>
            <w:tcW w:w="705" w:type="pct"/>
            <w:noWrap w:val="0"/>
            <w:vAlign w:val="center"/>
          </w:tcPr>
          <w:p w14:paraId="222CD717">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149</w:t>
            </w:r>
          </w:p>
        </w:tc>
        <w:tc>
          <w:tcPr>
            <w:tcW w:w="871" w:type="pct"/>
            <w:noWrap w:val="0"/>
            <w:vAlign w:val="center"/>
          </w:tcPr>
          <w:p w14:paraId="323C4208">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160</w:t>
            </w:r>
          </w:p>
        </w:tc>
        <w:tc>
          <w:tcPr>
            <w:tcW w:w="863" w:type="dxa"/>
            <w:noWrap w:val="0"/>
            <w:vAlign w:val="center"/>
          </w:tcPr>
          <w:p w14:paraId="74C26A8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93.13</w:t>
            </w:r>
          </w:p>
        </w:tc>
        <w:tc>
          <w:tcPr>
            <w:tcW w:w="589" w:type="pct"/>
            <w:noWrap w:val="0"/>
            <w:vAlign w:val="center"/>
          </w:tcPr>
          <w:p w14:paraId="3EB6729E">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达标</w:t>
            </w:r>
          </w:p>
        </w:tc>
      </w:tr>
    </w:tbl>
    <w:p w14:paraId="395EC147">
      <w:pPr>
        <w:pStyle w:val="60"/>
        <w:keepNext w:val="0"/>
        <w:keepLines w:val="0"/>
        <w:pageBreakBefore w:val="0"/>
        <w:kinsoku/>
        <w:wordWrap/>
        <w:topLinePunct w:val="0"/>
        <w:bidi w:val="0"/>
        <w:adjustRightInd/>
        <w:snapToGrid/>
        <w:spacing w:line="360" w:lineRule="auto"/>
        <w:ind w:firstLine="518"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202</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年淮南市的</w:t>
      </w:r>
      <w:r>
        <w:rPr>
          <w:rFonts w:hint="default" w:ascii="Times New Roman" w:hAnsi="Times New Roman" w:cs="Times New Roman"/>
          <w:color w:val="auto"/>
          <w:sz w:val="24"/>
          <w:szCs w:val="24"/>
        </w:rPr>
        <w:t>PM</w:t>
      </w:r>
      <w:r>
        <w:rPr>
          <w:rFonts w:hint="default" w:ascii="Times New Roman" w:hAnsi="Times New Roman" w:cs="Times New Roman"/>
          <w:color w:val="auto"/>
          <w:sz w:val="24"/>
          <w:szCs w:val="24"/>
          <w:vertAlign w:val="subscript"/>
        </w:rPr>
        <w:t>10</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评价指标不能满足《环境空气质量标准》（</w:t>
      </w:r>
      <w:r>
        <w:rPr>
          <w:rFonts w:hint="default" w:ascii="Times New Roman" w:hAnsi="Times New Roman" w:eastAsia="宋体" w:cs="Times New Roman"/>
          <w:color w:val="auto"/>
          <w:sz w:val="24"/>
          <w:szCs w:val="24"/>
          <w:highlight w:val="none"/>
          <w:lang w:eastAsia="zh-CN"/>
        </w:rPr>
        <w:t>GB3095-2026</w:t>
      </w:r>
      <w:r>
        <w:rPr>
          <w:rFonts w:hint="default" w:ascii="Times New Roman" w:hAnsi="Times New Roman" w:eastAsia="宋体" w:cs="Times New Roman"/>
          <w:color w:val="auto"/>
          <w:sz w:val="24"/>
          <w:szCs w:val="24"/>
          <w:highlight w:val="none"/>
        </w:rPr>
        <w:t>）中</w:t>
      </w:r>
      <w:r>
        <w:rPr>
          <w:rFonts w:hint="default" w:ascii="Times New Roman" w:hAnsi="Times New Roman" w:eastAsia="宋体" w:cs="Times New Roman"/>
          <w:color w:val="auto"/>
          <w:sz w:val="24"/>
          <w:szCs w:val="24"/>
          <w:highlight w:val="none"/>
          <w:lang w:val="en-US" w:eastAsia="zh-CN"/>
        </w:rPr>
        <w:t>过渡阶段的</w:t>
      </w:r>
      <w:r>
        <w:rPr>
          <w:rFonts w:hint="default" w:ascii="Times New Roman" w:hAnsi="Times New Roman" w:eastAsia="宋体" w:cs="Times New Roman"/>
          <w:color w:val="auto"/>
          <w:sz w:val="24"/>
          <w:szCs w:val="24"/>
          <w:highlight w:val="none"/>
        </w:rPr>
        <w:t>二级标准限值要求，</w:t>
      </w:r>
      <w:r>
        <w:rPr>
          <w:rFonts w:hint="default" w:ascii="Times New Roman" w:hAnsi="Times New Roman" w:eastAsia="宋体" w:cs="Times New Roman"/>
          <w:b w:val="0"/>
          <w:bCs w:val="0"/>
          <w:color w:val="auto"/>
          <w:sz w:val="24"/>
          <w:highlight w:val="none"/>
        </w:rPr>
        <w:t>二氧化硫、二氧化氮、一氧化碳、臭氧</w:t>
      </w:r>
      <w:r>
        <w:rPr>
          <w:rFonts w:hint="default" w:ascii="Times New Roman" w:hAnsi="Times New Roman" w:eastAsia="宋体" w:cs="Times New Roman"/>
          <w:color w:val="auto"/>
          <w:sz w:val="24"/>
          <w:szCs w:val="24"/>
          <w:highlight w:val="none"/>
          <w:lang w:val="zh-CN" w:eastAsia="zh-CN"/>
        </w:rPr>
        <w:t>满足《环境空气质量标准》（GB3095-2026）中过渡阶段的二级标准限值要求</w:t>
      </w:r>
      <w:r>
        <w:rPr>
          <w:rFonts w:hint="default" w:ascii="Times New Roman" w:hAnsi="Times New Roman" w:eastAsia="宋体" w:cs="Times New Roman"/>
          <w:color w:val="auto"/>
          <w:sz w:val="24"/>
          <w:szCs w:val="24"/>
          <w:highlight w:val="none"/>
        </w:rPr>
        <w:t>。</w:t>
      </w:r>
    </w:p>
    <w:p w14:paraId="6FD03550">
      <w:pPr>
        <w:keepNext w:val="0"/>
        <w:keepLines w:val="0"/>
        <w:pageBreakBefore w:val="0"/>
        <w:kinsoku/>
        <w:wordWrap/>
        <w:topLinePunct w:val="0"/>
        <w:bidi w:val="0"/>
        <w:adjustRightInd/>
        <w:snapToGrid/>
        <w:spacing w:line="360" w:lineRule="auto"/>
        <w:ind w:firstLine="518"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w:t>
      </w:r>
    </w:p>
    <w:p w14:paraId="6E29DA09">
      <w:pPr>
        <w:pStyle w:val="4"/>
        <w:rPr>
          <w:rFonts w:ascii="Times New Roman" w:hAnsi="Times New Roman"/>
          <w:snapToGrid w:val="0"/>
          <w:color w:val="auto"/>
        </w:rPr>
      </w:pPr>
      <w:bookmarkStart w:id="38" w:name="_Toc97323093"/>
      <w:r>
        <w:rPr>
          <w:rFonts w:ascii="Times New Roman" w:hAnsi="Times New Roman"/>
          <w:snapToGrid w:val="0"/>
          <w:color w:val="auto"/>
        </w:rPr>
        <w:t>2.2大气环境质量达标战略</w:t>
      </w:r>
      <w:bookmarkEnd w:id="38"/>
    </w:p>
    <w:p w14:paraId="0A5B22A7">
      <w:pPr>
        <w:pStyle w:val="36"/>
        <w:keepNext w:val="0"/>
        <w:keepLines w:val="0"/>
        <w:pageBreakBefore w:val="0"/>
        <w:kinsoku/>
        <w:wordWrap/>
        <w:topLinePunct w:val="0"/>
        <w:bidi w:val="0"/>
        <w:adjustRightInd/>
        <w:snapToGrid/>
        <w:spacing w:line="360" w:lineRule="auto"/>
        <w:ind w:firstLine="518"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淮南市生态环境局就空气质量不达标提出一系列举措，淮南市通过集中专项整治“小散乱污”企业、企业清洁生产技术改造、小锅炉升级改造、燃煤机组超低排放改造，整治散装物料堆场，督促企业完成挥发性有机物整改任务，强化建筑施工扬尘监管，加强道路扬尘清理、责令餐饮油烟单位安装油烟净化装置，取缔室外露天烧烤点，开展秸秆禁烧，淘汰黄标车，禁限放烟花爆竹等措施改善环境空气质量。</w:t>
      </w:r>
    </w:p>
    <w:p w14:paraId="588FD848">
      <w:pPr>
        <w:keepNext w:val="0"/>
        <w:keepLines w:val="0"/>
        <w:pageBreakBefore w:val="0"/>
        <w:widowControl w:val="0"/>
        <w:kinsoku/>
        <w:wordWrap/>
        <w:overflowPunct/>
        <w:topLinePunct w:val="0"/>
        <w:autoSpaceDE/>
        <w:autoSpaceDN/>
        <w:bidi w:val="0"/>
        <w:adjustRightInd/>
        <w:snapToGrid/>
        <w:spacing w:line="360" w:lineRule="auto"/>
        <w:ind w:firstLine="518" w:firstLineChars="200"/>
        <w:textAlignment w:val="auto"/>
        <w:rPr>
          <w:rFonts w:hint="eastAsia" w:eastAsia="宋体"/>
          <w:color w:val="auto"/>
          <w:sz w:val="24"/>
        </w:rPr>
      </w:pPr>
      <w:r>
        <w:rPr>
          <w:rFonts w:hint="default" w:ascii="Times New Roman" w:hAnsi="Times New Roman" w:eastAsia="宋体" w:cs="Times New Roman"/>
          <w:color w:val="auto"/>
          <w:sz w:val="24"/>
          <w:szCs w:val="24"/>
          <w:highlight w:val="none"/>
        </w:rPr>
        <w:t>2022年3月20日淮南市人民政府办公室印发了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淮南市大气环境质量限期达标规划</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通过加快调整能源结构，建设清洁低碳能源体系；调整优化产业结构，构建绿色低碳产业体系；深化工业行业污染治理，推动企业绿色升级；全面推行挥发性有机物整治，大幅削减VOCs排放；积极调整运输结构，完善绿色低碳交通体系；优化调整用地结构，推进面源污染治理；加强重污染天气应对，提升管控能力；加强环保能力建设，提高科技支撑能力等措施实现淮南市大气环境质量限期达标规划。在2020</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2025年第一阶段，PM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年均浓度达到39μg/m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年均浓度达到80μg/m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、CO浓度持续改善；2026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2030年第二阶段，PM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浓度基本达到国家环境空气质量二级标准要求，SO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、CO、NO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浓度持续改善。2031</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2035年第三阶段，六项污染物全部达到国家环境空气质量二级标准要求</w:t>
      </w:r>
      <w:r>
        <w:rPr>
          <w:rFonts w:hint="default" w:ascii="Times New Roman" w:hAnsi="Times New Roman" w:eastAsia="宋体" w:cs="Times New Roman"/>
          <w:color w:val="auto"/>
          <w:sz w:val="24"/>
        </w:rPr>
        <w:t>。</w:t>
      </w:r>
    </w:p>
    <w:p w14:paraId="1A544E79">
      <w:pPr>
        <w:pStyle w:val="4"/>
        <w:rPr>
          <w:rFonts w:ascii="Times New Roman" w:hAnsi="Times New Roman"/>
          <w:snapToGrid w:val="0"/>
          <w:color w:val="auto"/>
        </w:rPr>
      </w:pPr>
      <w:bookmarkStart w:id="39" w:name="_Toc97323094"/>
      <w:r>
        <w:rPr>
          <w:rStyle w:val="30"/>
          <w:rFonts w:ascii="Times New Roman" w:hAnsi="Times New Roman"/>
          <w:b/>
          <w:bCs/>
          <w:snapToGrid w:val="0"/>
          <w:color w:val="auto"/>
        </w:rPr>
        <w:t>2.3</w:t>
      </w:r>
      <w:r>
        <w:rPr>
          <w:rFonts w:ascii="Times New Roman" w:hAnsi="Times New Roman"/>
          <w:snapToGrid w:val="0"/>
          <w:color w:val="auto"/>
        </w:rPr>
        <w:t>补充监测</w:t>
      </w:r>
      <w:bookmarkEnd w:id="39"/>
    </w:p>
    <w:p w14:paraId="0FB0D240">
      <w:pPr>
        <w:keepNext w:val="0"/>
        <w:keepLines w:val="0"/>
        <w:pageBreakBefore w:val="0"/>
        <w:widowControl w:val="0"/>
        <w:kinsoku/>
        <w:wordWrap/>
        <w:overflowPunct/>
        <w:topLinePunct w:val="0"/>
        <w:autoSpaceDE/>
        <w:autoSpaceDN/>
        <w:bidi w:val="0"/>
        <w:adjustRightInd/>
        <w:snapToGrid/>
        <w:spacing w:line="360" w:lineRule="auto"/>
        <w:ind w:firstLine="518" w:firstLineChars="200"/>
        <w:textAlignment w:val="auto"/>
        <w:rPr>
          <w:rFonts w:hint="default" w:eastAsia="宋体"/>
          <w:color w:val="auto"/>
          <w:sz w:val="24"/>
          <w:lang w:val="en-US" w:eastAsia="zh-CN"/>
        </w:rPr>
      </w:pPr>
      <w:r>
        <w:rPr>
          <w:rFonts w:hint="eastAsia" w:eastAsia="宋体"/>
          <w:color w:val="auto"/>
          <w:sz w:val="24"/>
        </w:rPr>
        <w:t>根据《环境影响评价技术导则大气环境》 (HJ2.2-2018) 评价范围的确定原则，本项目为三级评价项目，不</w:t>
      </w:r>
      <w:r>
        <w:rPr>
          <w:rFonts w:hint="eastAsia" w:eastAsia="宋体"/>
          <w:color w:val="auto"/>
          <w:sz w:val="24"/>
          <w:lang w:val="en-US" w:eastAsia="zh-CN"/>
        </w:rPr>
        <w:t>需要开展现状监测。</w:t>
      </w:r>
    </w:p>
    <w:p w14:paraId="645EDCCA">
      <w:pPr>
        <w:keepNext w:val="0"/>
        <w:keepLines w:val="0"/>
        <w:pageBreakBefore w:val="0"/>
        <w:widowControl w:val="0"/>
        <w:kinsoku/>
        <w:wordWrap/>
        <w:overflowPunct/>
        <w:topLinePunct w:val="0"/>
        <w:autoSpaceDE/>
        <w:autoSpaceDN/>
        <w:bidi w:val="0"/>
        <w:adjustRightInd/>
        <w:snapToGrid/>
        <w:spacing w:line="360" w:lineRule="auto"/>
        <w:ind w:firstLine="518" w:firstLineChars="200"/>
        <w:textAlignment w:val="auto"/>
        <w:rPr>
          <w:rFonts w:hint="eastAsia" w:eastAsia="宋体"/>
          <w:color w:val="auto"/>
          <w:sz w:val="24"/>
        </w:rPr>
      </w:pPr>
      <w:r>
        <w:rPr>
          <w:rFonts w:hint="eastAsia" w:eastAsia="宋体"/>
          <w:color w:val="auto"/>
          <w:sz w:val="24"/>
        </w:rPr>
        <w:t>根据《建设项目环境影响报告表编制技术指南（污染影响类）（试行）》，可引用建设项目周边5千米范围内近3年的现有监测数据。</w:t>
      </w:r>
    </w:p>
    <w:p w14:paraId="1BCD7E66">
      <w:pPr>
        <w:keepNext w:val="0"/>
        <w:keepLines w:val="0"/>
        <w:pageBreakBefore w:val="0"/>
        <w:widowControl w:val="0"/>
        <w:kinsoku/>
        <w:wordWrap/>
        <w:overflowPunct/>
        <w:topLinePunct/>
        <w:autoSpaceDE w:val="0"/>
        <w:autoSpaceDN/>
        <w:bidi w:val="0"/>
        <w:adjustRightInd w:val="0"/>
        <w:snapToGrid w:val="0"/>
        <w:spacing w:line="360" w:lineRule="auto"/>
        <w:ind w:left="0" w:leftChars="0" w:firstLine="518"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color w:val="auto"/>
          <w:sz w:val="24"/>
          <w:highlight w:val="none"/>
        </w:rPr>
        <w:t>本次评价其他污染物</w:t>
      </w:r>
      <w:r>
        <w:rPr>
          <w:rFonts w:hint="default" w:ascii="Times New Roman" w:hAnsi="Times New Roman" w:cs="Times New Roman"/>
          <w:color w:val="auto"/>
          <w:sz w:val="24"/>
          <w:szCs w:val="24"/>
          <w:highlight w:val="none"/>
          <w:lang w:val="en-US" w:eastAsia="zh-CN"/>
        </w:rPr>
        <w:t>非甲烷总烃和TSP</w:t>
      </w:r>
      <w:r>
        <w:rPr>
          <w:rFonts w:hint="default" w:ascii="Times New Roman" w:hAnsi="Times New Roman" w:cs="Times New Roman"/>
          <w:color w:val="auto"/>
          <w:sz w:val="24"/>
          <w:highlight w:val="none"/>
        </w:rPr>
        <w:t>引用《</w:t>
      </w:r>
      <w:r>
        <w:rPr>
          <w:rFonts w:hint="default" w:ascii="Times New Roman" w:hAnsi="Times New Roman" w:cs="Times New Roman"/>
          <w:color w:val="auto"/>
          <w:sz w:val="24"/>
          <w:highlight w:val="none"/>
          <w:lang w:val="en-US" w:eastAsia="zh-CN"/>
        </w:rPr>
        <w:t>淮南高新技术产业开发区规划环评跟踪监测项目</w:t>
      </w:r>
      <w:r>
        <w:rPr>
          <w:rFonts w:hint="default" w:ascii="Times New Roman" w:hAnsi="Times New Roman" w:cs="Times New Roman"/>
          <w:color w:val="auto"/>
          <w:sz w:val="24"/>
          <w:highlight w:val="none"/>
        </w:rPr>
        <w:t>》中的监测数据，监测时间为202</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lang w:val="en-US" w:eastAsia="zh-CN"/>
        </w:rPr>
        <w:t>22</w:t>
      </w:r>
      <w:r>
        <w:rPr>
          <w:rFonts w:hint="default" w:ascii="Times New Roman" w:hAnsi="Times New Roman" w:cs="Times New Roman"/>
          <w:color w:val="auto"/>
          <w:sz w:val="24"/>
          <w:highlight w:val="none"/>
        </w:rPr>
        <w:t>日至</w:t>
      </w:r>
      <w:r>
        <w:rPr>
          <w:rFonts w:hint="default" w:ascii="Times New Roman" w:hAnsi="Times New Roman" w:cs="Times New Roman"/>
          <w:color w:val="auto"/>
          <w:sz w:val="24"/>
          <w:highlight w:val="none"/>
          <w:lang w:val="en-US" w:eastAsia="zh-CN"/>
        </w:rPr>
        <w:t>28</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引用监测点为淮南市</w:t>
      </w:r>
      <w:r>
        <w:rPr>
          <w:rFonts w:hint="default" w:ascii="Times New Roman" w:hAnsi="Times New Roman" w:cs="Times New Roman"/>
          <w:color w:val="auto"/>
          <w:sz w:val="24"/>
          <w:highlight w:val="none"/>
          <w:lang w:val="en-US" w:eastAsia="zh-CN"/>
        </w:rPr>
        <w:t>高新区居民区玉兰苑</w:t>
      </w:r>
      <w:r>
        <w:rPr>
          <w:rFonts w:hint="default" w:ascii="Times New Roman" w:hAnsi="Times New Roman" w:cs="Times New Roman"/>
          <w:color w:val="auto"/>
          <w:sz w:val="24"/>
          <w:highlight w:val="none"/>
        </w:rPr>
        <w:t>，位于项目</w:t>
      </w:r>
      <w:r>
        <w:rPr>
          <w:rFonts w:hint="default" w:ascii="Times New Roman" w:hAnsi="Times New Roman" w:cs="Times New Roman"/>
          <w:color w:val="auto"/>
          <w:sz w:val="24"/>
          <w:highlight w:val="none"/>
          <w:lang w:val="en-US" w:eastAsia="zh-CN"/>
        </w:rPr>
        <w:t>东南</w:t>
      </w:r>
      <w:r>
        <w:rPr>
          <w:rFonts w:hint="default" w:ascii="Times New Roman" w:hAnsi="Times New Roman" w:cs="Times New Roman"/>
          <w:color w:val="auto"/>
          <w:sz w:val="24"/>
          <w:highlight w:val="none"/>
        </w:rPr>
        <w:t>侧约</w:t>
      </w:r>
      <w:r>
        <w:rPr>
          <w:rFonts w:hint="default" w:ascii="Times New Roman" w:hAnsi="Times New Roman" w:cs="Times New Roman"/>
          <w:color w:val="auto"/>
          <w:sz w:val="24"/>
          <w:highlight w:val="none"/>
          <w:lang w:val="en-US" w:eastAsia="zh-CN"/>
        </w:rPr>
        <w:t>1.3</w:t>
      </w:r>
      <w:r>
        <w:rPr>
          <w:rFonts w:hint="default" w:ascii="Times New Roman" w:hAnsi="Times New Roman" w:cs="Times New Roman"/>
          <w:color w:val="auto"/>
          <w:sz w:val="24"/>
          <w:highlight w:val="none"/>
        </w:rPr>
        <w:t>km。</w:t>
      </w:r>
    </w:p>
    <w:p w14:paraId="3C83F19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表3-2 其他污染物环境质量现状（监测结果）表</w:t>
      </w: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1176"/>
        <w:gridCol w:w="1813"/>
        <w:gridCol w:w="1567"/>
        <w:gridCol w:w="1567"/>
        <w:gridCol w:w="1068"/>
        <w:gridCol w:w="810"/>
      </w:tblGrid>
      <w:tr w14:paraId="6AFA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pct"/>
            <w:noWrap w:val="0"/>
            <w:vAlign w:val="center"/>
          </w:tcPr>
          <w:p w14:paraId="596517C8">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监测点位</w:t>
            </w:r>
          </w:p>
        </w:tc>
        <w:tc>
          <w:tcPr>
            <w:tcW w:w="633" w:type="pct"/>
            <w:noWrap w:val="0"/>
            <w:vAlign w:val="center"/>
          </w:tcPr>
          <w:p w14:paraId="4E27BE2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976" w:type="pct"/>
            <w:noWrap w:val="0"/>
            <w:vAlign w:val="center"/>
          </w:tcPr>
          <w:p w14:paraId="12ADB31C">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监测浓度范围（</w:t>
            </w:r>
            <w:r>
              <w:rPr>
                <w:rFonts w:hint="default" w:ascii="Times New Roman" w:hAnsi="Times New Roman" w:cs="Times New Roman"/>
                <w:b/>
                <w:bCs/>
                <w:color w:val="auto"/>
                <w:sz w:val="21"/>
                <w:szCs w:val="21"/>
                <w:highlight w:val="none"/>
                <w:lang w:val="en-US" w:eastAsia="zh-CN"/>
              </w:rPr>
              <w:t>m</w:t>
            </w:r>
            <w:r>
              <w:rPr>
                <w:rFonts w:hint="default" w:ascii="Times New Roman" w:hAnsi="Times New Roman" w:cs="Times New Roman"/>
                <w:b/>
                <w:bCs/>
                <w:color w:val="auto"/>
                <w:sz w:val="21"/>
                <w:szCs w:val="21"/>
                <w:highlight w:val="none"/>
              </w:rPr>
              <w:t>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844" w:type="pct"/>
            <w:noWrap w:val="0"/>
            <w:vAlign w:val="center"/>
          </w:tcPr>
          <w:p w14:paraId="5929368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质量浓度参考限值（mg/m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w:t>
            </w:r>
          </w:p>
        </w:tc>
        <w:tc>
          <w:tcPr>
            <w:tcW w:w="844" w:type="pct"/>
            <w:noWrap w:val="0"/>
            <w:vAlign w:val="center"/>
          </w:tcPr>
          <w:p w14:paraId="371CAFD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浓度指数范围</w:t>
            </w:r>
          </w:p>
        </w:tc>
        <w:tc>
          <w:tcPr>
            <w:tcW w:w="575" w:type="pct"/>
            <w:noWrap w:val="0"/>
            <w:vAlign w:val="center"/>
          </w:tcPr>
          <w:p w14:paraId="0FC6A46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超标</w:t>
            </w:r>
            <w:r>
              <w:rPr>
                <w:rFonts w:hint="default" w:ascii="Times New Roman" w:hAnsi="Times New Roman" w:cs="Times New Roman"/>
                <w:b/>
                <w:bCs/>
                <w:color w:val="auto"/>
                <w:sz w:val="21"/>
                <w:szCs w:val="21"/>
                <w:highlight w:val="none"/>
                <w:lang w:val="en-US" w:eastAsia="zh-CN"/>
              </w:rPr>
              <w:t>倍数</w:t>
            </w:r>
          </w:p>
          <w:p w14:paraId="3AD08F3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w:t>
            </w:r>
          </w:p>
        </w:tc>
        <w:tc>
          <w:tcPr>
            <w:tcW w:w="436" w:type="pct"/>
            <w:noWrap w:val="0"/>
            <w:vAlign w:val="center"/>
          </w:tcPr>
          <w:p w14:paraId="71207C7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7BF4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89" w:type="pct"/>
            <w:vMerge w:val="restart"/>
            <w:noWrap w:val="0"/>
            <w:vAlign w:val="center"/>
          </w:tcPr>
          <w:p w14:paraId="371F54CF">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玉兰苑</w:t>
            </w:r>
          </w:p>
        </w:tc>
        <w:tc>
          <w:tcPr>
            <w:tcW w:w="633" w:type="pct"/>
            <w:noWrap w:val="0"/>
            <w:vAlign w:val="center"/>
          </w:tcPr>
          <w:p w14:paraId="46E9A3D5">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非甲烷总烃</w:t>
            </w:r>
          </w:p>
        </w:tc>
        <w:tc>
          <w:tcPr>
            <w:tcW w:w="976" w:type="pct"/>
            <w:noWrap w:val="0"/>
            <w:vAlign w:val="center"/>
          </w:tcPr>
          <w:p w14:paraId="627F338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1.05~1.54</w:t>
            </w:r>
          </w:p>
        </w:tc>
        <w:tc>
          <w:tcPr>
            <w:tcW w:w="844" w:type="pct"/>
            <w:noWrap w:val="0"/>
            <w:vAlign w:val="center"/>
          </w:tcPr>
          <w:p w14:paraId="50955211">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p>
        </w:tc>
        <w:tc>
          <w:tcPr>
            <w:tcW w:w="844" w:type="pct"/>
            <w:noWrap w:val="0"/>
            <w:vAlign w:val="center"/>
          </w:tcPr>
          <w:p w14:paraId="35255490">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0.53~0.77</w:t>
            </w:r>
          </w:p>
        </w:tc>
        <w:tc>
          <w:tcPr>
            <w:tcW w:w="575" w:type="pct"/>
            <w:noWrap w:val="0"/>
            <w:vAlign w:val="center"/>
          </w:tcPr>
          <w:p w14:paraId="655411CA">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436" w:type="pct"/>
            <w:noWrap w:val="0"/>
            <w:vAlign w:val="center"/>
          </w:tcPr>
          <w:p w14:paraId="2235E64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555D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689" w:type="pct"/>
            <w:vMerge w:val="continue"/>
            <w:noWrap w:val="0"/>
            <w:vAlign w:val="center"/>
          </w:tcPr>
          <w:p w14:paraId="3268ED4B">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lang w:val="en-US" w:eastAsia="zh-CN"/>
              </w:rPr>
            </w:pPr>
          </w:p>
        </w:tc>
        <w:tc>
          <w:tcPr>
            <w:tcW w:w="633" w:type="pct"/>
            <w:noWrap w:val="0"/>
            <w:vAlign w:val="center"/>
          </w:tcPr>
          <w:p w14:paraId="1CA47873">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TSP</w:t>
            </w:r>
          </w:p>
        </w:tc>
        <w:tc>
          <w:tcPr>
            <w:tcW w:w="976" w:type="pct"/>
            <w:noWrap w:val="0"/>
            <w:vAlign w:val="center"/>
          </w:tcPr>
          <w:p w14:paraId="271E5F56">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0.092~0.133</w:t>
            </w:r>
          </w:p>
        </w:tc>
        <w:tc>
          <w:tcPr>
            <w:tcW w:w="844" w:type="pct"/>
            <w:noWrap w:val="0"/>
            <w:vAlign w:val="center"/>
          </w:tcPr>
          <w:p w14:paraId="40A1CF17">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0.3</w:t>
            </w:r>
          </w:p>
        </w:tc>
        <w:tc>
          <w:tcPr>
            <w:tcW w:w="844" w:type="pct"/>
            <w:noWrap w:val="0"/>
            <w:vAlign w:val="center"/>
          </w:tcPr>
          <w:p w14:paraId="6621DC5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0.31~0.44</w:t>
            </w:r>
          </w:p>
        </w:tc>
        <w:tc>
          <w:tcPr>
            <w:tcW w:w="575" w:type="pct"/>
            <w:noWrap w:val="0"/>
            <w:vAlign w:val="center"/>
          </w:tcPr>
          <w:p w14:paraId="0A62250E">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436" w:type="pct"/>
            <w:noWrap w:val="0"/>
            <w:vAlign w:val="center"/>
          </w:tcPr>
          <w:p w14:paraId="7225C162">
            <w:pPr>
              <w:keepNext w:val="0"/>
              <w:keepLines w:val="0"/>
              <w:pageBreakBefore w:val="0"/>
              <w:widowControl w:val="0"/>
              <w:kinsoku/>
              <w:wordWrap/>
              <w:overflowPunct/>
              <w:topLinePunct/>
              <w:autoSpaceDE w:val="0"/>
              <w:autoSpaceDN/>
              <w:bidi w:val="0"/>
              <w:adjustRightInd w:val="0"/>
              <w:snapToGrid w:val="0"/>
              <w:spacing w:line="240" w:lineRule="auto"/>
              <w:ind w:left="0" w:lef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7FE13187">
      <w:pPr>
        <w:keepNext w:val="0"/>
        <w:keepLines w:val="0"/>
        <w:pageBreakBefore w:val="0"/>
        <w:widowControl w:val="0"/>
        <w:kinsoku/>
        <w:wordWrap/>
        <w:overflowPunct/>
        <w:topLinePunct w:val="0"/>
        <w:autoSpaceDE/>
        <w:autoSpaceDN/>
        <w:bidi w:val="0"/>
        <w:adjustRightInd/>
        <w:snapToGrid/>
        <w:spacing w:line="360" w:lineRule="auto"/>
        <w:ind w:firstLine="518" w:firstLineChars="200"/>
        <w:textAlignment w:val="auto"/>
        <w:rPr>
          <w:snapToGrid w:val="0"/>
          <w:color w:val="auto"/>
          <w:kern w:val="0"/>
          <w:szCs w:val="24"/>
        </w:rPr>
        <w:sectPr>
          <w:pgSz w:w="11906" w:h="16838"/>
          <w:pgMar w:top="1440" w:right="1418" w:bottom="1440" w:left="1418" w:header="851" w:footer="992" w:gutter="0"/>
          <w:pgNumType w:fmt="numberInDash"/>
          <w:cols w:space="720" w:num="1"/>
          <w:docGrid w:type="linesAndChars" w:linePitch="326" w:charSpace="3920"/>
        </w:sectPr>
      </w:pPr>
      <w:r>
        <w:rPr>
          <w:rFonts w:hint="default" w:ascii="Times New Roman" w:hAnsi="Times New Roman" w:cs="Times New Roman"/>
          <w:color w:val="auto"/>
          <w:sz w:val="24"/>
          <w:highlight w:val="none"/>
        </w:rPr>
        <w:t>由上</w:t>
      </w:r>
      <w:r>
        <w:rPr>
          <w:rFonts w:hint="default" w:ascii="Times New Roman" w:hAnsi="Times New Roman" w:eastAsia="宋体" w:cs="Times New Roman"/>
          <w:color w:val="auto"/>
          <w:kern w:val="0"/>
          <w:sz w:val="24"/>
          <w:szCs w:val="24"/>
          <w:highlight w:val="none"/>
          <w:lang w:val="en-US" w:eastAsia="zh-CN" w:bidi="ar"/>
        </w:rPr>
        <w:t>表分析可知，监测点的TSP监测满足《环境空气质量标准》（GB3095-2026）过渡阶段二级标准限值</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非甲烷总烃</w:t>
      </w:r>
      <w:r>
        <w:rPr>
          <w:rFonts w:hint="default" w:ascii="Times New Roman" w:hAnsi="Times New Roman" w:cs="Times New Roman"/>
          <w:color w:val="auto"/>
          <w:kern w:val="0"/>
          <w:sz w:val="24"/>
          <w:szCs w:val="24"/>
          <w:highlight w:val="none"/>
          <w:lang w:val="en-US" w:eastAsia="zh-CN" w:bidi="ar"/>
        </w:rPr>
        <w:t>监测</w:t>
      </w:r>
      <w:r>
        <w:rPr>
          <w:rFonts w:hint="default" w:ascii="Times New Roman" w:hAnsi="Times New Roman" w:eastAsia="宋体" w:cs="Times New Roman"/>
          <w:color w:val="auto"/>
          <w:kern w:val="0"/>
          <w:sz w:val="24"/>
          <w:szCs w:val="24"/>
          <w:highlight w:val="none"/>
          <w:lang w:val="en-US" w:eastAsia="zh-CN" w:bidi="ar"/>
        </w:rPr>
        <w:t>可满足《大气污染物综合排放标准详解》中相应标准限值要求，</w:t>
      </w:r>
      <w:r>
        <w:rPr>
          <w:rFonts w:hint="default" w:ascii="Times New Roman" w:hAnsi="Times New Roman" w:cs="Times New Roman"/>
          <w:color w:val="auto"/>
          <w:sz w:val="24"/>
          <w:highlight w:val="none"/>
        </w:rPr>
        <w:t>环境空气质量现状良好</w:t>
      </w:r>
      <w:r>
        <w:rPr>
          <w:snapToGrid w:val="0"/>
          <w:color w:val="auto"/>
          <w:szCs w:val="24"/>
        </w:rPr>
        <w:t>。</w:t>
      </w:r>
    </w:p>
    <w:p w14:paraId="7BAE68A4">
      <w:pPr>
        <w:pStyle w:val="3"/>
        <w:rPr>
          <w:snapToGrid w:val="0"/>
          <w:color w:val="auto"/>
        </w:rPr>
      </w:pPr>
      <w:bookmarkStart w:id="40" w:name="_Toc97323095"/>
      <w:r>
        <w:rPr>
          <w:snapToGrid w:val="0"/>
          <w:color w:val="auto"/>
        </w:rPr>
        <w:t>3</w:t>
      </w:r>
      <w:r>
        <w:rPr>
          <w:rFonts w:hint="eastAsia"/>
          <w:snapToGrid w:val="0"/>
          <w:color w:val="auto"/>
        </w:rPr>
        <w:t>源强</w:t>
      </w:r>
      <w:r>
        <w:rPr>
          <w:snapToGrid w:val="0"/>
          <w:color w:val="auto"/>
        </w:rPr>
        <w:t>分析与环境影响预测</w:t>
      </w:r>
      <w:bookmarkEnd w:id="40"/>
    </w:p>
    <w:p w14:paraId="30EF1FFC">
      <w:pPr>
        <w:pStyle w:val="4"/>
        <w:rPr>
          <w:rFonts w:ascii="Times New Roman" w:hAnsi="Times New Roman"/>
          <w:snapToGrid w:val="0"/>
          <w:color w:val="auto"/>
        </w:rPr>
      </w:pPr>
      <w:bookmarkStart w:id="41" w:name="_Toc97323096"/>
      <w:r>
        <w:rPr>
          <w:rFonts w:ascii="Times New Roman" w:hAnsi="Times New Roman"/>
          <w:snapToGrid w:val="0"/>
          <w:color w:val="auto"/>
        </w:rPr>
        <w:t>3.1废气源强核算</w:t>
      </w:r>
      <w:bookmarkEnd w:id="41"/>
    </w:p>
    <w:p w14:paraId="18D4453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default" w:ascii="Times New Roman" w:hAnsi="Times New Roman" w:eastAsia="宋体" w:cs="Times New Roman"/>
          <w:color w:val="auto"/>
          <w:spacing w:val="0"/>
          <w:w w:val="100"/>
          <w:position w:val="0"/>
          <w:sz w:val="24"/>
          <w:szCs w:val="24"/>
        </w:rPr>
      </w:pPr>
      <w:bookmarkStart w:id="42" w:name="_Hlk75421753"/>
      <w:r>
        <w:rPr>
          <w:rFonts w:hint="eastAsia" w:ascii="Times New Roman" w:hAnsi="Times New Roman" w:eastAsia="宋体"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lang w:val="en-US" w:eastAsia="zh-CN"/>
        </w:rPr>
        <w:t>G1</w:t>
      </w:r>
      <w:r>
        <w:rPr>
          <w:rFonts w:hint="eastAsia" w:ascii="Times New Roman" w:hAnsi="Times New Roman" w:eastAsia="宋体" w:cs="Times New Roman"/>
          <w:color w:val="auto"/>
          <w:spacing w:val="0"/>
          <w:w w:val="100"/>
          <w:position w:val="0"/>
          <w:sz w:val="24"/>
          <w:szCs w:val="24"/>
          <w:lang w:val="en-US" w:eastAsia="zh-CN"/>
        </w:rPr>
        <w:t>抛光废气、G3混料</w:t>
      </w:r>
      <w:r>
        <w:rPr>
          <w:rFonts w:hint="default" w:ascii="Times New Roman" w:hAnsi="Times New Roman" w:eastAsia="宋体" w:cs="Times New Roman"/>
          <w:color w:val="auto"/>
          <w:spacing w:val="0"/>
          <w:w w:val="100"/>
          <w:position w:val="0"/>
          <w:sz w:val="24"/>
          <w:szCs w:val="24"/>
          <w:lang w:val="en-US" w:eastAsia="zh-CN"/>
        </w:rPr>
        <w:t>废气</w:t>
      </w:r>
      <w:r>
        <w:rPr>
          <w:rFonts w:hint="eastAsia" w:ascii="Times New Roman" w:hAnsi="Times New Roman" w:eastAsia="宋体"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lang w:val="en-US" w:eastAsia="zh-CN"/>
        </w:rPr>
        <w:t>G6打磨废气</w:t>
      </w:r>
    </w:p>
    <w:p w14:paraId="446A321E">
      <w:pPr>
        <w:keepNext w:val="0"/>
        <w:keepLines w:val="0"/>
        <w:pageBreakBefore w:val="0"/>
        <w:widowControl/>
        <w:suppressLineNumbers w:val="0"/>
        <w:kinsoku/>
        <w:wordWrap/>
        <w:overflowPunct/>
        <w:topLinePunct w:val="0"/>
        <w:autoSpaceDE/>
        <w:autoSpaceDN/>
        <w:bidi w:val="0"/>
        <w:adjustRightInd/>
        <w:snapToGrid/>
        <w:spacing w:line="360" w:lineRule="auto"/>
        <w:ind w:firstLine="518" w:firstLineChars="200"/>
        <w:jc w:val="both"/>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宋体" w:hAnsi="宋体" w:eastAsia="宋体" w:cs="宋体"/>
          <w:color w:val="000000"/>
          <w:kern w:val="0"/>
          <w:sz w:val="24"/>
          <w:szCs w:val="24"/>
          <w:lang w:val="en-US" w:eastAsia="zh-CN" w:bidi="ar"/>
        </w:rPr>
        <w:t>抛光废气：本项目钢背</w:t>
      </w:r>
      <w:r>
        <w:rPr>
          <w:rFonts w:hint="eastAsia" w:ascii="Times New Roman" w:hAnsi="Times New Roman" w:eastAsia="宋体" w:cs="Times New Roman"/>
          <w:color w:val="auto"/>
          <w:spacing w:val="0"/>
          <w:w w:val="100"/>
          <w:position w:val="0"/>
          <w:sz w:val="24"/>
          <w:szCs w:val="24"/>
          <w:lang w:val="en-US" w:eastAsia="zh-CN"/>
        </w:rPr>
        <w:t>抛光</w:t>
      </w:r>
      <w:r>
        <w:rPr>
          <w:rFonts w:hint="eastAsia" w:ascii="宋体" w:hAnsi="宋体" w:eastAsia="宋体" w:cs="宋体"/>
          <w:color w:val="000000"/>
          <w:kern w:val="0"/>
          <w:sz w:val="24"/>
          <w:szCs w:val="24"/>
          <w:lang w:val="en-US" w:eastAsia="zh-CN" w:bidi="ar"/>
        </w:rPr>
        <w:t>工序会产生粉尘，根据原辅料使用表，本项目钢背年用量为</w:t>
      </w:r>
      <w:r>
        <w:rPr>
          <w:rFonts w:hint="eastAsia" w:ascii="Times New Roman" w:hAnsi="Times New Roman" w:eastAsia="宋体" w:cs="Times New Roman"/>
          <w:color w:val="000000"/>
          <w:kern w:val="0"/>
          <w:sz w:val="24"/>
          <w:szCs w:val="24"/>
          <w:lang w:val="en-US" w:eastAsia="zh-CN" w:bidi="ar"/>
        </w:rPr>
        <w:t>120</w:t>
      </w:r>
      <w:r>
        <w:rPr>
          <w:rFonts w:hint="default" w:ascii="Times New Roman" w:hAnsi="Times New Roman" w:eastAsia="宋体" w:cs="Times New Roman"/>
          <w:color w:val="000000"/>
          <w:kern w:val="0"/>
          <w:sz w:val="24"/>
          <w:szCs w:val="24"/>
          <w:lang w:val="en-US" w:eastAsia="zh-CN" w:bidi="ar"/>
        </w:rPr>
        <w:t>t/a</w:t>
      </w:r>
      <w:r>
        <w:rPr>
          <w:rFonts w:hint="eastAsia" w:ascii="宋体" w:hAnsi="宋体" w:eastAsia="宋体" w:cs="宋体"/>
          <w:color w:val="000000"/>
          <w:kern w:val="0"/>
          <w:sz w:val="24"/>
          <w:szCs w:val="24"/>
          <w:lang w:val="en-US" w:eastAsia="zh-CN" w:bidi="ar"/>
        </w:rPr>
        <w:t>，参照《排放源统计调查产排污核算方法和系数手册》“</w:t>
      </w:r>
      <w:r>
        <w:rPr>
          <w:rFonts w:hint="default" w:ascii="Times New Roman" w:hAnsi="Times New Roman" w:eastAsia="宋体" w:cs="Times New Roman"/>
          <w:color w:val="000000"/>
          <w:kern w:val="0"/>
          <w:sz w:val="24"/>
          <w:szCs w:val="24"/>
          <w:lang w:val="en-US" w:eastAsia="zh-CN" w:bidi="ar"/>
        </w:rPr>
        <w:t>33-37</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431-434</w:t>
      </w:r>
      <w:r>
        <w:rPr>
          <w:rFonts w:hint="eastAsia" w:ascii="宋体" w:hAnsi="宋体" w:eastAsia="宋体" w:cs="宋体"/>
          <w:color w:val="000000"/>
          <w:kern w:val="0"/>
          <w:sz w:val="24"/>
          <w:szCs w:val="24"/>
          <w:lang w:val="en-US" w:eastAsia="zh-CN" w:bidi="ar"/>
        </w:rPr>
        <w:t>机械行业系数手册”“</w:t>
      </w:r>
      <w:r>
        <w:rPr>
          <w:rFonts w:hint="default" w:ascii="Times New Roman" w:hAnsi="Times New Roman" w:eastAsia="宋体" w:cs="Times New Roman"/>
          <w:color w:val="000000"/>
          <w:kern w:val="0"/>
          <w:sz w:val="24"/>
          <w:szCs w:val="24"/>
          <w:lang w:val="en-US" w:eastAsia="zh-CN" w:bidi="ar"/>
        </w:rPr>
        <w:t>06</w:t>
      </w:r>
      <w:r>
        <w:rPr>
          <w:rFonts w:hint="eastAsia" w:ascii="宋体" w:hAnsi="宋体" w:eastAsia="宋体" w:cs="宋体"/>
          <w:color w:val="000000"/>
          <w:kern w:val="0"/>
          <w:sz w:val="24"/>
          <w:szCs w:val="24"/>
          <w:lang w:val="en-US" w:eastAsia="zh-CN" w:bidi="ar"/>
        </w:rPr>
        <w:t>预处理工段”中“抛丸、喷砂、打磨、滚筒”工段，</w:t>
      </w:r>
      <w:r>
        <w:rPr>
          <w:rFonts w:hint="default" w:ascii="Times New Roman" w:hAnsi="Times New Roman" w:eastAsia="宋体" w:cs="Times New Roman"/>
          <w:color w:val="000000"/>
          <w:kern w:val="0"/>
          <w:sz w:val="24"/>
          <w:szCs w:val="24"/>
          <w:lang w:val="en-US" w:eastAsia="zh-CN" w:bidi="ar"/>
        </w:rPr>
        <w:t>颗粒物</w:t>
      </w:r>
      <w:r>
        <w:rPr>
          <w:rFonts w:hint="eastAsia" w:ascii="宋体" w:hAnsi="宋体" w:eastAsia="宋体" w:cs="宋体"/>
          <w:color w:val="000000"/>
          <w:kern w:val="0"/>
          <w:sz w:val="24"/>
          <w:szCs w:val="24"/>
          <w:lang w:val="en-US" w:eastAsia="zh-CN" w:bidi="ar"/>
        </w:rPr>
        <w:t>产生系数为</w:t>
      </w:r>
      <w:r>
        <w:rPr>
          <w:rFonts w:hint="default" w:ascii="Times New Roman" w:hAnsi="Times New Roman" w:eastAsia="宋体" w:cs="Times New Roman"/>
          <w:color w:val="000000"/>
          <w:kern w:val="0"/>
          <w:sz w:val="24"/>
          <w:szCs w:val="24"/>
          <w:lang w:val="en-US" w:eastAsia="zh-CN" w:bidi="ar"/>
        </w:rPr>
        <w:t>2.19kg/t</w:t>
      </w:r>
      <w:r>
        <w:rPr>
          <w:rFonts w:hint="eastAsia" w:ascii="宋体" w:hAnsi="宋体" w:eastAsia="宋体" w:cs="宋体"/>
          <w:color w:val="000000"/>
          <w:kern w:val="0"/>
          <w:sz w:val="24"/>
          <w:szCs w:val="24"/>
          <w:lang w:val="en-US" w:eastAsia="zh-CN" w:bidi="ar"/>
        </w:rPr>
        <w:t>原料，则</w:t>
      </w:r>
      <w:r>
        <w:rPr>
          <w:rFonts w:hint="default" w:ascii="Times New Roman" w:hAnsi="Times New Roman" w:eastAsia="宋体" w:cs="Times New Roman"/>
          <w:color w:val="000000"/>
          <w:kern w:val="0"/>
          <w:sz w:val="24"/>
          <w:szCs w:val="24"/>
          <w:lang w:val="en-US" w:eastAsia="zh-CN" w:bidi="ar"/>
        </w:rPr>
        <w:t>颗粒物</w:t>
      </w:r>
      <w:r>
        <w:rPr>
          <w:rFonts w:hint="eastAsia" w:ascii="宋体" w:hAnsi="宋体" w:eastAsia="宋体" w:cs="宋体"/>
          <w:color w:val="000000"/>
          <w:kern w:val="0"/>
          <w:sz w:val="24"/>
          <w:szCs w:val="24"/>
          <w:lang w:val="en-US" w:eastAsia="zh-CN" w:bidi="ar"/>
        </w:rPr>
        <w:t>产生量为</w:t>
      </w:r>
      <w:r>
        <w:rPr>
          <w:rFonts w:hint="eastAsia" w:ascii="Times New Roman" w:hAnsi="Times New Roman" w:eastAsia="宋体" w:cs="Times New Roman"/>
          <w:color w:val="000000"/>
          <w:kern w:val="0"/>
          <w:sz w:val="24"/>
          <w:szCs w:val="24"/>
          <w:lang w:val="en-US" w:eastAsia="zh-CN" w:bidi="ar"/>
        </w:rPr>
        <w:t>0.2628</w:t>
      </w:r>
      <w:r>
        <w:rPr>
          <w:rFonts w:hint="default" w:ascii="Times New Roman" w:hAnsi="Times New Roman" w:eastAsia="宋体" w:cs="Times New Roman"/>
          <w:color w:val="000000"/>
          <w:kern w:val="0"/>
          <w:sz w:val="24"/>
          <w:szCs w:val="24"/>
          <w:lang w:val="en-US" w:eastAsia="zh-CN" w:bidi="ar"/>
        </w:rPr>
        <w:t>t/a</w:t>
      </w:r>
      <w:r>
        <w:rPr>
          <w:rFonts w:hint="eastAsia" w:ascii="宋体" w:hAnsi="宋体" w:eastAsia="宋体" w:cs="宋体"/>
          <w:color w:val="000000"/>
          <w:kern w:val="0"/>
          <w:sz w:val="24"/>
          <w:szCs w:val="24"/>
          <w:lang w:val="en-US" w:eastAsia="zh-CN" w:bidi="ar"/>
        </w:rPr>
        <w:t>。</w:t>
      </w:r>
    </w:p>
    <w:p w14:paraId="0130BEB1">
      <w:pPr>
        <w:keepNext w:val="0"/>
        <w:keepLines w:val="0"/>
        <w:pageBreakBefore w:val="0"/>
        <w:widowControl/>
        <w:suppressLineNumbers w:val="0"/>
        <w:kinsoku/>
        <w:wordWrap/>
        <w:overflowPunct/>
        <w:topLinePunct w:val="0"/>
        <w:autoSpaceDE/>
        <w:autoSpaceDN/>
        <w:bidi w:val="0"/>
        <w:adjustRightInd/>
        <w:snapToGrid/>
        <w:spacing w:line="360" w:lineRule="auto"/>
        <w:ind w:firstLine="518" w:firstLineChars="200"/>
        <w:jc w:val="both"/>
        <w:textAlignment w:val="auto"/>
        <w:rPr>
          <w:rFonts w:hint="eastAsia" w:ascii="宋体" w:hAnsi="宋体" w:eastAsia="宋体" w:cs="宋体"/>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混料废气：项目混料工序</w:t>
      </w:r>
      <w:r>
        <w:rPr>
          <w:rFonts w:hint="eastAsia" w:ascii="Times New Roman" w:hAnsi="Times New Roman" w:eastAsia="宋体" w:cs="Times New Roman"/>
          <w:color w:val="000000"/>
          <w:kern w:val="0"/>
          <w:sz w:val="24"/>
          <w:szCs w:val="24"/>
          <w:lang w:val="en-US" w:eastAsia="zh-CN" w:bidi="ar"/>
        </w:rPr>
        <w:t>采用计量投料</w:t>
      </w:r>
      <w:r>
        <w:rPr>
          <w:rFonts w:hint="default" w:ascii="Times New Roman" w:hAnsi="Times New Roman" w:eastAsia="宋体" w:cs="Times New Roman"/>
          <w:color w:val="000000"/>
          <w:kern w:val="0"/>
          <w:sz w:val="24"/>
          <w:szCs w:val="24"/>
          <w:lang w:val="en-US" w:eastAsia="zh-CN" w:bidi="ar"/>
        </w:rPr>
        <w:t>，密闭搅拌，该工序仅出料时有少量粉尘废气产生。参照《排放源统计调查产排污核算方法和系数手册机械行业系数手册》粉末冶金环节，混粉成形工艺可知颗粒物产污系数为0.192千克/吨-原料，项目混料工序使用原料共</w:t>
      </w:r>
      <w:r>
        <w:rPr>
          <w:rFonts w:hint="eastAsia" w:ascii="Times New Roman" w:hAnsi="Times New Roman" w:eastAsia="宋体" w:cs="Times New Roman"/>
          <w:color w:val="000000"/>
          <w:kern w:val="0"/>
          <w:sz w:val="24"/>
          <w:szCs w:val="24"/>
          <w:lang w:val="en-US" w:eastAsia="zh-CN" w:bidi="ar"/>
        </w:rPr>
        <w:t>550</w:t>
      </w:r>
      <w:r>
        <w:rPr>
          <w:rFonts w:hint="default" w:ascii="Times New Roman" w:hAnsi="Times New Roman" w:eastAsia="宋体" w:cs="Times New Roman"/>
          <w:color w:val="000000"/>
          <w:kern w:val="0"/>
          <w:sz w:val="24"/>
          <w:szCs w:val="24"/>
          <w:lang w:val="en-US" w:eastAsia="zh-CN" w:bidi="ar"/>
        </w:rPr>
        <w:t>t/a，则颗粒物的产生量为0.</w:t>
      </w:r>
      <w:r>
        <w:rPr>
          <w:rFonts w:hint="eastAsia" w:ascii="Times New Roman" w:hAnsi="Times New Roman" w:eastAsia="宋体" w:cs="Times New Roman"/>
          <w:color w:val="000000"/>
          <w:kern w:val="0"/>
          <w:sz w:val="24"/>
          <w:szCs w:val="24"/>
          <w:lang w:val="en-US" w:eastAsia="zh-CN" w:bidi="ar"/>
        </w:rPr>
        <w:t>1056</w:t>
      </w:r>
      <w:r>
        <w:rPr>
          <w:rFonts w:hint="default" w:ascii="Times New Roman" w:hAnsi="Times New Roman" w:eastAsia="宋体" w:cs="Times New Roman"/>
          <w:color w:val="000000"/>
          <w:kern w:val="0"/>
          <w:sz w:val="24"/>
          <w:szCs w:val="24"/>
          <w:lang w:val="en-US" w:eastAsia="zh-CN" w:bidi="ar"/>
        </w:rPr>
        <w:t>t/a</w:t>
      </w:r>
      <w:r>
        <w:rPr>
          <w:rFonts w:hint="eastAsia" w:ascii="宋体" w:hAnsi="宋体" w:eastAsia="宋体" w:cs="宋体"/>
          <w:color w:val="000000"/>
          <w:kern w:val="0"/>
          <w:sz w:val="24"/>
          <w:szCs w:val="24"/>
          <w:lang w:val="en-US" w:eastAsia="zh-CN" w:bidi="ar"/>
        </w:rPr>
        <w:t>。</w:t>
      </w:r>
    </w:p>
    <w:p w14:paraId="0D07C75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打磨废气</w:t>
      </w:r>
      <w:r>
        <w:rPr>
          <w:rFonts w:hint="eastAsia" w:ascii="宋体" w:hAnsi="宋体" w:eastAsia="宋体" w:cs="宋体"/>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项目磨加工工序会产生</w:t>
      </w:r>
      <w:r>
        <w:rPr>
          <w:rFonts w:hint="default" w:ascii="Times New Roman" w:hAnsi="Times New Roman" w:eastAsia="宋体" w:cs="Times New Roman"/>
          <w:color w:val="000000"/>
          <w:kern w:val="0"/>
          <w:sz w:val="24"/>
          <w:szCs w:val="24"/>
          <w:lang w:val="en-US" w:eastAsia="zh-CN" w:bidi="ar"/>
        </w:rPr>
        <w:t>颗粒物</w:t>
      </w:r>
      <w:r>
        <w:rPr>
          <w:rFonts w:hint="eastAsia" w:ascii="Times New Roman" w:hAnsi="Times New Roman" w:eastAsia="宋体" w:cs="Times New Roman"/>
          <w:color w:val="000000"/>
          <w:kern w:val="0"/>
          <w:sz w:val="24"/>
          <w:szCs w:val="24"/>
          <w:lang w:val="en-US" w:eastAsia="zh-CN" w:bidi="ar"/>
        </w:rPr>
        <w:t>，参照《排放源统计调查产排污核算方法和系数手册》“33-37，431-434机械行业系数手册”“06预处理工段”中“抛丸、喷砂、打磨、滚筒”工段颗粒物产生系数为2.19kg/t原料，本项目需要磨加工的原料重量钢背120t/a，摩擦材料550t/a，故需打磨的材料共计670t/a，则</w:t>
      </w:r>
      <w:r>
        <w:rPr>
          <w:rFonts w:hint="default" w:ascii="Times New Roman" w:hAnsi="Times New Roman" w:eastAsia="宋体" w:cs="Times New Roman"/>
          <w:color w:val="000000"/>
          <w:kern w:val="0"/>
          <w:sz w:val="24"/>
          <w:szCs w:val="24"/>
          <w:lang w:val="en-US" w:eastAsia="zh-CN" w:bidi="ar"/>
        </w:rPr>
        <w:t>颗粒物</w:t>
      </w:r>
      <w:r>
        <w:rPr>
          <w:rFonts w:hint="eastAsia" w:ascii="Times New Roman" w:hAnsi="Times New Roman" w:eastAsia="宋体" w:cs="Times New Roman"/>
          <w:color w:val="000000"/>
          <w:kern w:val="0"/>
          <w:sz w:val="24"/>
          <w:szCs w:val="24"/>
          <w:lang w:val="en-US" w:eastAsia="zh-CN" w:bidi="ar"/>
        </w:rPr>
        <w:t>产生量为1.4673t/a</w:t>
      </w:r>
      <w:r>
        <w:rPr>
          <w:rFonts w:hint="eastAsia" w:ascii="宋体" w:hAnsi="宋体" w:eastAsia="宋体" w:cs="宋体"/>
          <w:color w:val="000000"/>
          <w:kern w:val="0"/>
          <w:sz w:val="24"/>
          <w:szCs w:val="24"/>
          <w:lang w:val="en-US" w:eastAsia="zh-CN" w:bidi="ar"/>
        </w:rPr>
        <w:t>。</w:t>
      </w:r>
    </w:p>
    <w:p w14:paraId="66AB5C4A">
      <w:pPr>
        <w:keepNext w:val="0"/>
        <w:keepLines w:val="0"/>
        <w:pageBreakBefore w:val="0"/>
        <w:widowControl w:val="0"/>
        <w:kinsoku/>
        <w:wordWrap/>
        <w:overflowPunct/>
        <w:topLinePunct w:val="0"/>
        <w:autoSpaceDE/>
        <w:autoSpaceDN/>
        <w:bidi w:val="0"/>
        <w:adjustRightInd/>
        <w:snapToGrid w:val="0"/>
        <w:spacing w:line="360" w:lineRule="auto"/>
        <w:ind w:left="0" w:firstLine="534" w:firstLineChars="200"/>
        <w:textAlignment w:val="auto"/>
        <w:rPr>
          <w:rFonts w:hint="default" w:ascii="Times New Roman" w:hAnsi="Times New Roman" w:eastAsia="宋体" w:cs="Times New Roman"/>
          <w:b w:val="0"/>
          <w:bCs w:val="0"/>
          <w:color w:val="000000"/>
          <w:spacing w:val="4"/>
          <w:sz w:val="24"/>
          <w:lang w:val="en-US" w:eastAsia="zh-CN"/>
        </w:rPr>
      </w:pPr>
      <w:r>
        <w:rPr>
          <w:rFonts w:hint="default" w:ascii="Times New Roman" w:hAnsi="Times New Roman" w:eastAsia="宋体" w:cs="Times New Roman"/>
          <w:b/>
          <w:bCs/>
          <w:color w:val="000000"/>
          <w:spacing w:val="4"/>
          <w:sz w:val="24"/>
          <w:lang w:val="en-US" w:eastAsia="zh-CN"/>
        </w:rPr>
        <w:t>治理措施</w:t>
      </w:r>
      <w:r>
        <w:rPr>
          <w:rFonts w:hint="eastAsia" w:ascii="Times New Roman" w:hAnsi="Times New Roman" w:eastAsia="宋体" w:cs="Times New Roman"/>
          <w:b/>
          <w:bCs/>
          <w:color w:val="000000"/>
          <w:spacing w:val="4"/>
          <w:sz w:val="24"/>
          <w:lang w:val="en-US" w:eastAsia="zh-CN"/>
        </w:rPr>
        <w:t>：</w:t>
      </w:r>
      <w:r>
        <w:rPr>
          <w:rFonts w:hint="eastAsia" w:ascii="Times New Roman" w:hAnsi="Times New Roman" w:eastAsia="宋体" w:cs="Times New Roman"/>
          <w:b w:val="0"/>
          <w:bCs w:val="0"/>
          <w:color w:val="000000"/>
          <w:spacing w:val="4"/>
          <w:sz w:val="24"/>
          <w:lang w:val="en-US" w:eastAsia="zh-CN"/>
        </w:rPr>
        <w:t>分别在1台原料称料混料机、1台抛砂机、1台磁盘磨床、1台开槽机上方</w:t>
      </w:r>
      <w:r>
        <w:rPr>
          <w:rFonts w:hint="default" w:ascii="Times New Roman" w:hAnsi="Times New Roman" w:eastAsia="宋体" w:cs="Times New Roman"/>
          <w:b w:val="0"/>
          <w:bCs w:val="0"/>
          <w:color w:val="000000"/>
          <w:spacing w:val="4"/>
          <w:sz w:val="24"/>
          <w:lang w:val="en-US" w:eastAsia="zh-CN"/>
        </w:rPr>
        <w:t>设置集气罩收集废气</w:t>
      </w:r>
      <w:r>
        <w:rPr>
          <w:rFonts w:hint="eastAsia" w:ascii="Times New Roman" w:hAnsi="Times New Roman" w:eastAsia="宋体" w:cs="Times New Roman"/>
          <w:b w:val="0"/>
          <w:bCs w:val="0"/>
          <w:color w:val="000000"/>
          <w:spacing w:val="4"/>
          <w:sz w:val="24"/>
          <w:lang w:val="en-US" w:eastAsia="zh-CN"/>
        </w:rPr>
        <w:t>，废气收集效率90%，经管道抽风收集后入一套布袋除尘器处理（99%），通过一根20m高的排气筒（DA001）排放。</w:t>
      </w:r>
    </w:p>
    <w:p w14:paraId="09DD36D2">
      <w:pPr>
        <w:pStyle w:val="48"/>
        <w:keepNext w:val="0"/>
        <w:keepLines w:val="0"/>
        <w:pageBreakBefore w:val="0"/>
        <w:widowControl w:val="0"/>
        <w:shd w:val="clear" w:color="auto" w:fill="auto"/>
        <w:kinsoku/>
        <w:wordWrap/>
        <w:overflowPunct/>
        <w:topLinePunct w:val="0"/>
        <w:autoSpaceDE/>
        <w:autoSpaceDN/>
        <w:bidi w:val="0"/>
        <w:adjustRightInd/>
        <w:snapToGrid/>
        <w:spacing w:line="360" w:lineRule="auto"/>
        <w:ind w:left="0" w:right="0" w:firstLine="518" w:firstLineChars="200"/>
        <w:jc w:val="both"/>
        <w:textAlignment w:val="auto"/>
        <w:rPr>
          <w:rFonts w:hint="default" w:ascii="Times New Roman" w:hAnsi="Times New Roman" w:eastAsia="宋体" w:cs="Times New Roman"/>
          <w:b/>
          <w:bCs/>
          <w:color w:val="auto"/>
          <w:spacing w:val="0"/>
          <w:w w:val="100"/>
          <w:position w:val="0"/>
          <w:sz w:val="24"/>
          <w:szCs w:val="24"/>
          <w:highlight w:val="none"/>
          <w:lang w:val="en-US" w:eastAsia="zh-CN"/>
        </w:rPr>
      </w:pPr>
      <w:r>
        <w:rPr>
          <w:rFonts w:hint="default" w:ascii="Times New Roman" w:hAnsi="Times New Roman" w:eastAsia="宋体" w:cs="Times New Roman"/>
          <w:b/>
          <w:bCs/>
          <w:color w:val="auto"/>
          <w:spacing w:val="0"/>
          <w:w w:val="100"/>
          <w:position w:val="0"/>
          <w:sz w:val="24"/>
          <w:szCs w:val="24"/>
          <w:highlight w:val="none"/>
          <w:lang w:val="en-US" w:eastAsia="zh-CN"/>
        </w:rPr>
        <w:t>风量计算：</w:t>
      </w:r>
    </w:p>
    <w:p w14:paraId="05AFD295">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根据《大气污染控制工程》的控制风速法计算：</w:t>
      </w:r>
    </w:p>
    <w:p w14:paraId="5CEB85D4">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Q=</w:t>
      </w:r>
      <w:r>
        <w:rPr>
          <w:rFonts w:hint="default" w:ascii="Times New Roman" w:hAnsi="Times New Roman" w:eastAsia="宋体" w:cs="Times New Roman"/>
          <w:b w:val="0"/>
          <w:bCs w:val="0"/>
          <w:color w:val="auto"/>
          <w:sz w:val="24"/>
          <w:szCs w:val="24"/>
          <w:lang w:val="en-US" w:eastAsia="zh-CN"/>
        </w:rPr>
        <w:t>3600</w:t>
      </w:r>
      <w:r>
        <w:rPr>
          <w:rFonts w:hint="default" w:ascii="Times New Roman" w:hAnsi="Times New Roman" w:eastAsia="宋体" w:cs="Times New Roman"/>
          <w:b w:val="0"/>
          <w:bCs w:val="0"/>
          <w:color w:val="auto"/>
          <w:sz w:val="24"/>
          <w:szCs w:val="24"/>
        </w:rPr>
        <w:t>kphVx</w:t>
      </w:r>
    </w:p>
    <w:p w14:paraId="187D0061">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其中：Q：风量，m</w:t>
      </w:r>
      <w:r>
        <w:rPr>
          <w:rFonts w:hint="default" w:ascii="Times New Roman" w:hAnsi="Times New Roman" w:eastAsia="宋体" w:cs="Times New Roman"/>
          <w:b w:val="0"/>
          <w:bCs w:val="0"/>
          <w:color w:val="auto"/>
          <w:sz w:val="24"/>
          <w:szCs w:val="24"/>
          <w:vertAlign w:val="superscript"/>
        </w:rPr>
        <w:t>3</w:t>
      </w:r>
      <w:r>
        <w:rPr>
          <w:rFonts w:hint="default" w:ascii="Times New Roman" w:hAnsi="Times New Roman" w:eastAsia="宋体" w:cs="Times New Roman"/>
          <w:b w:val="0"/>
          <w:bCs w:val="0"/>
          <w:color w:val="auto"/>
          <w:sz w:val="24"/>
          <w:szCs w:val="24"/>
        </w:rPr>
        <w:t>/h，</w:t>
      </w:r>
    </w:p>
    <w:p w14:paraId="1819FB0C">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K：考虑沿高度速度不均匀的安全系数，通常取1.4，</w:t>
      </w:r>
    </w:p>
    <w:p w14:paraId="26B7C07D">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P：罩口周长，m；</w:t>
      </w:r>
    </w:p>
    <w:p w14:paraId="2C1A7D5C">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H：罩口至污染源的距离；</w:t>
      </w:r>
    </w:p>
    <w:p w14:paraId="356C0C45">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Vx：污染源控制速度，m/s；</w:t>
      </w:r>
    </w:p>
    <w:p w14:paraId="6C4AE747">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根据《大气污染控制工程》（第二版）中表1可得，当污染源从轻微速度发散到相对平静的空气中时，污染源控制速度为0.5~1.0m/s，本次</w:t>
      </w:r>
      <w:r>
        <w:rPr>
          <w:rFonts w:hint="eastAsia" w:ascii="Times New Roman" w:hAnsi="Times New Roman" w:eastAsia="宋体" w:cs="Times New Roman"/>
          <w:b w:val="0"/>
          <w:bCs w:val="0"/>
          <w:color w:val="auto"/>
          <w:sz w:val="24"/>
          <w:szCs w:val="24"/>
          <w:lang w:val="en-US" w:eastAsia="zh-CN"/>
        </w:rPr>
        <w:t>按平均值</w:t>
      </w:r>
      <w:r>
        <w:rPr>
          <w:rFonts w:hint="default" w:ascii="Times New Roman" w:hAnsi="Times New Roman" w:eastAsia="宋体" w:cs="Times New Roman"/>
          <w:b w:val="0"/>
          <w:bCs w:val="0"/>
          <w:color w:val="auto"/>
          <w:sz w:val="24"/>
          <w:szCs w:val="24"/>
        </w:rPr>
        <w:t>取</w:t>
      </w:r>
      <w:r>
        <w:rPr>
          <w:rFonts w:hint="eastAsia" w:ascii="Times New Roman" w:hAnsi="Times New Roman" w:eastAsia="宋体" w:cs="Times New Roman"/>
          <w:b w:val="0"/>
          <w:bCs w:val="0"/>
          <w:color w:val="auto"/>
          <w:sz w:val="24"/>
          <w:szCs w:val="24"/>
          <w:lang w:val="en-US" w:eastAsia="zh-CN"/>
        </w:rPr>
        <w:t>0.75</w:t>
      </w:r>
      <w:r>
        <w:rPr>
          <w:rFonts w:hint="default" w:ascii="Times New Roman" w:hAnsi="Times New Roman" w:eastAsia="宋体" w:cs="Times New Roman"/>
          <w:b w:val="0"/>
          <w:bCs w:val="0"/>
          <w:color w:val="auto"/>
          <w:sz w:val="24"/>
          <w:szCs w:val="24"/>
        </w:rPr>
        <w:t>m/s，即Vx=</w:t>
      </w:r>
      <w:r>
        <w:rPr>
          <w:rFonts w:hint="eastAsia" w:ascii="Times New Roman" w:hAnsi="Times New Roman" w:eastAsia="宋体" w:cs="Times New Roman"/>
          <w:b w:val="0"/>
          <w:bCs w:val="0"/>
          <w:color w:val="auto"/>
          <w:sz w:val="24"/>
          <w:szCs w:val="24"/>
          <w:lang w:val="en-US" w:eastAsia="zh-CN"/>
        </w:rPr>
        <w:t>0.75</w:t>
      </w:r>
      <w:r>
        <w:rPr>
          <w:rFonts w:hint="default" w:ascii="Times New Roman" w:hAnsi="Times New Roman" w:eastAsia="宋体" w:cs="Times New Roman"/>
          <w:b w:val="0"/>
          <w:bCs w:val="0"/>
          <w:color w:val="auto"/>
          <w:sz w:val="24"/>
          <w:szCs w:val="24"/>
        </w:rPr>
        <w:t>m/s；</w:t>
      </w:r>
    </w:p>
    <w:p w14:paraId="32874BFF">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w:t>
      </w:r>
      <w:r>
        <w:rPr>
          <w:rFonts w:hint="eastAsia" w:ascii="Times New Roman" w:hAnsi="Times New Roman" w:eastAsia="宋体" w:cs="Times New Roman"/>
          <w:b w:val="0"/>
          <w:bCs w:val="0"/>
          <w:color w:val="000000"/>
          <w:spacing w:val="4"/>
          <w:sz w:val="24"/>
          <w:lang w:val="en-US" w:eastAsia="zh-CN"/>
        </w:rPr>
        <w:t>原料称料混料机、抛砂机集气罩尺寸分别为0.4</w:t>
      </w:r>
      <w:r>
        <w:rPr>
          <w:rFonts w:hint="default" w:ascii="Times New Roman" w:hAnsi="Times New Roman" w:eastAsia="宋体" w:cs="Times New Roman"/>
          <w:b w:val="0"/>
          <w:bCs w:val="0"/>
          <w:color w:val="auto"/>
          <w:sz w:val="24"/>
          <w:szCs w:val="24"/>
        </w:rPr>
        <w:t>m</w:t>
      </w:r>
      <w:r>
        <w:rPr>
          <w:rFonts w:hint="eastAsia" w:ascii="Times New Roman" w:hAnsi="Times New Roman" w:eastAsia="宋体" w:cs="Times New Roman"/>
          <w:b w:val="0"/>
          <w:bCs w:val="0"/>
          <w:color w:val="000000"/>
          <w:spacing w:val="4"/>
          <w:sz w:val="24"/>
          <w:lang w:val="en-US" w:eastAsia="zh-CN"/>
        </w:rPr>
        <w:t>*0.5</w:t>
      </w:r>
      <w:r>
        <w:rPr>
          <w:rFonts w:hint="default" w:ascii="Times New Roman" w:hAnsi="Times New Roman" w:eastAsia="宋体" w:cs="Times New Roman"/>
          <w:b w:val="0"/>
          <w:bCs w:val="0"/>
          <w:color w:val="auto"/>
          <w:sz w:val="24"/>
          <w:szCs w:val="24"/>
        </w:rPr>
        <w:t>m</w:t>
      </w:r>
      <w:r>
        <w:rPr>
          <w:rFonts w:hint="eastAsia" w:ascii="Times New Roman" w:hAnsi="Times New Roman" w:eastAsia="宋体" w:cs="Times New Roman"/>
          <w:b w:val="0"/>
          <w:bCs w:val="0"/>
          <w:color w:val="000000"/>
          <w:spacing w:val="4"/>
          <w:sz w:val="24"/>
          <w:lang w:val="en-US" w:eastAsia="zh-CN"/>
        </w:rPr>
        <w:t>，磁盘磨床和开槽机集气罩尺寸分别为0.8</w:t>
      </w:r>
      <w:r>
        <w:rPr>
          <w:rFonts w:hint="default" w:ascii="Times New Roman" w:hAnsi="Times New Roman" w:eastAsia="宋体" w:cs="Times New Roman"/>
          <w:b w:val="0"/>
          <w:bCs w:val="0"/>
          <w:color w:val="auto"/>
          <w:sz w:val="24"/>
          <w:szCs w:val="24"/>
        </w:rPr>
        <w:t>m</w:t>
      </w:r>
      <w:r>
        <w:rPr>
          <w:rFonts w:hint="eastAsia" w:ascii="Times New Roman" w:hAnsi="Times New Roman" w:eastAsia="宋体" w:cs="Times New Roman"/>
          <w:b w:val="0"/>
          <w:bCs w:val="0"/>
          <w:color w:val="000000"/>
          <w:spacing w:val="4"/>
          <w:sz w:val="24"/>
          <w:lang w:val="en-US" w:eastAsia="zh-CN"/>
        </w:rPr>
        <w:t>*0.6</w:t>
      </w:r>
      <w:r>
        <w:rPr>
          <w:rFonts w:hint="default" w:ascii="Times New Roman" w:hAnsi="Times New Roman" w:eastAsia="宋体" w:cs="Times New Roman"/>
          <w:b w:val="0"/>
          <w:bCs w:val="0"/>
          <w:color w:val="auto"/>
          <w:sz w:val="24"/>
          <w:szCs w:val="24"/>
        </w:rPr>
        <w:t>m，则</w:t>
      </w:r>
      <w:r>
        <w:rPr>
          <w:rFonts w:hint="eastAsia" w:ascii="Times New Roman" w:hAnsi="Times New Roman" w:eastAsia="宋体" w:cs="Times New Roman"/>
          <w:b w:val="0"/>
          <w:bCs w:val="0"/>
          <w:color w:val="auto"/>
          <w:sz w:val="24"/>
          <w:szCs w:val="24"/>
          <w:lang w:val="en-US" w:eastAsia="zh-CN"/>
        </w:rPr>
        <w:t>总</w:t>
      </w:r>
      <w:r>
        <w:rPr>
          <w:rFonts w:hint="default" w:ascii="Times New Roman" w:hAnsi="Times New Roman" w:eastAsia="宋体" w:cs="Times New Roman"/>
          <w:b w:val="0"/>
          <w:bCs w:val="0"/>
          <w:color w:val="auto"/>
          <w:sz w:val="24"/>
          <w:szCs w:val="24"/>
        </w:rPr>
        <w:t>罩口周长为</w:t>
      </w:r>
      <w:r>
        <w:rPr>
          <w:rFonts w:hint="eastAsia" w:ascii="Times New Roman" w:hAnsi="Times New Roman" w:eastAsia="宋体" w:cs="Times New Roman"/>
          <w:b w:val="0"/>
          <w:bCs w:val="0"/>
          <w:color w:val="auto"/>
          <w:sz w:val="24"/>
          <w:szCs w:val="24"/>
          <w:lang w:val="en-US" w:eastAsia="zh-CN"/>
        </w:rPr>
        <w:t>9.2</w:t>
      </w:r>
      <w:r>
        <w:rPr>
          <w:rFonts w:hint="default" w:ascii="Times New Roman" w:hAnsi="Times New Roman" w:eastAsia="宋体" w:cs="Times New Roman"/>
          <w:b w:val="0"/>
          <w:bCs w:val="0"/>
          <w:color w:val="auto"/>
          <w:sz w:val="24"/>
          <w:szCs w:val="24"/>
        </w:rPr>
        <w:t>m，</w:t>
      </w:r>
      <w:r>
        <w:rPr>
          <w:rFonts w:hint="default" w:ascii="Times New Roman" w:hAnsi="Times New Roman" w:eastAsia="宋体" w:cs="Times New Roman"/>
          <w:b w:val="0"/>
          <w:bCs w:val="0"/>
          <w:color w:val="auto"/>
          <w:sz w:val="24"/>
          <w:szCs w:val="24"/>
          <w:lang w:val="en-US" w:eastAsia="zh-CN"/>
        </w:rPr>
        <w:t>即</w:t>
      </w:r>
      <w:r>
        <w:rPr>
          <w:rFonts w:hint="default" w:ascii="Times New Roman" w:hAnsi="Times New Roman" w:eastAsia="宋体" w:cs="Times New Roman"/>
          <w:b w:val="0"/>
          <w:bCs w:val="0"/>
          <w:color w:val="auto"/>
          <w:sz w:val="24"/>
          <w:szCs w:val="24"/>
        </w:rPr>
        <w:t>P=</w:t>
      </w:r>
      <w:r>
        <w:rPr>
          <w:rFonts w:hint="eastAsia" w:ascii="Times New Roman" w:hAnsi="Times New Roman" w:eastAsia="宋体" w:cs="Times New Roman"/>
          <w:b w:val="0"/>
          <w:bCs w:val="0"/>
          <w:color w:val="auto"/>
          <w:sz w:val="24"/>
          <w:szCs w:val="24"/>
          <w:lang w:val="en-US" w:eastAsia="zh-CN"/>
        </w:rPr>
        <w:t>9.2</w:t>
      </w:r>
      <w:r>
        <w:rPr>
          <w:rFonts w:hint="default" w:ascii="Times New Roman" w:hAnsi="Times New Roman" w:eastAsia="宋体" w:cs="Times New Roman"/>
          <w:b w:val="0"/>
          <w:bCs w:val="0"/>
          <w:color w:val="auto"/>
          <w:sz w:val="24"/>
          <w:szCs w:val="24"/>
        </w:rPr>
        <w:t>m；</w:t>
      </w:r>
    </w:p>
    <w:p w14:paraId="5A21AF2B">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罩口距污染源的距离，为避免横向气流的干扰，要求H≤0.3L（罩口长边尺寸），本项目设计罩口底部至污染源的距离为0.3m，及H=0.3m；</w:t>
      </w:r>
    </w:p>
    <w:p w14:paraId="414493B3">
      <w:pPr>
        <w:pStyle w:val="48"/>
        <w:keepNext w:val="0"/>
        <w:keepLines w:val="0"/>
        <w:pageBreakBefore w:val="0"/>
        <w:widowControl w:val="0"/>
        <w:shd w:val="clear" w:color="auto" w:fill="auto"/>
        <w:kinsoku/>
        <w:wordWrap/>
        <w:overflowPunct/>
        <w:topLinePunct w:val="0"/>
        <w:autoSpaceDE/>
        <w:autoSpaceDN/>
        <w:bidi w:val="0"/>
        <w:adjustRightInd/>
        <w:snapToGrid/>
        <w:spacing w:line="360" w:lineRule="auto"/>
        <w:ind w:left="0" w:right="0" w:firstLine="518" w:firstLineChars="200"/>
        <w:jc w:val="both"/>
        <w:textAlignment w:val="auto"/>
        <w:rPr>
          <w:rFonts w:ascii="Times New Roman" w:hAnsi="Times New Roman" w:eastAsia="宋体" w:cs="Times New Roman"/>
          <w:color w:val="000000"/>
          <w:kern w:val="2"/>
          <w:sz w:val="24"/>
          <w:szCs w:val="20"/>
          <w:lang w:val="en-US" w:eastAsia="zh-CN" w:bidi="ar-SA"/>
        </w:rPr>
      </w:pPr>
      <w:r>
        <w:rPr>
          <w:rFonts w:hint="default" w:ascii="Times New Roman" w:hAnsi="Times New Roman" w:eastAsia="宋体" w:cs="Times New Roman"/>
          <w:b w:val="0"/>
          <w:bCs w:val="0"/>
          <w:color w:val="auto"/>
          <w:sz w:val="24"/>
          <w:szCs w:val="24"/>
        </w:rPr>
        <w:t>则集气罩风量Q=</w:t>
      </w:r>
      <w:r>
        <w:rPr>
          <w:rFonts w:hint="eastAsia" w:ascii="Times New Roman" w:hAnsi="Times New Roman" w:eastAsia="宋体" w:cs="Times New Roman"/>
          <w:b w:val="0"/>
          <w:bCs w:val="0"/>
          <w:color w:val="auto"/>
          <w:sz w:val="24"/>
          <w:szCs w:val="24"/>
          <w:lang w:val="en-US" w:eastAsia="zh-CN"/>
        </w:rPr>
        <w:t>3600</w:t>
      </w:r>
      <w:r>
        <w:rPr>
          <w:rFonts w:hint="default" w:ascii="Times New Roman" w:hAnsi="Times New Roman" w:eastAsia="宋体" w:cs="Times New Roman"/>
          <w:b w:val="0"/>
          <w:bCs w:val="0"/>
          <w:color w:val="auto"/>
          <w:sz w:val="24"/>
          <w:szCs w:val="24"/>
        </w:rPr>
        <w:t>（1.4×</w:t>
      </w:r>
      <w:r>
        <w:rPr>
          <w:rFonts w:hint="eastAsia" w:ascii="Times New Roman" w:hAnsi="Times New Roman" w:eastAsia="宋体" w:cs="Times New Roman"/>
          <w:b w:val="0"/>
          <w:bCs w:val="0"/>
          <w:color w:val="auto"/>
          <w:sz w:val="24"/>
          <w:szCs w:val="24"/>
          <w:lang w:val="en-US" w:eastAsia="zh-CN"/>
        </w:rPr>
        <w:t>9.2</w:t>
      </w:r>
      <w:r>
        <w:rPr>
          <w:rFonts w:hint="default"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lang w:val="en-US" w:eastAsia="zh-CN"/>
        </w:rPr>
        <w:t>0.75</w:t>
      </w:r>
      <w:r>
        <w:rPr>
          <w:rFonts w:hint="default" w:ascii="Times New Roman" w:hAnsi="Times New Roman" w:eastAsia="宋体" w:cs="Times New Roman"/>
          <w:b w:val="0"/>
          <w:bCs w:val="0"/>
          <w:color w:val="auto"/>
          <w:sz w:val="24"/>
          <w:szCs w:val="24"/>
        </w:rPr>
        <w:t>×0.3）=</w:t>
      </w:r>
      <w:r>
        <w:rPr>
          <w:rFonts w:hint="eastAsia" w:ascii="Times New Roman" w:hAnsi="Times New Roman" w:cs="Times New Roman"/>
          <w:b w:val="0"/>
          <w:bCs w:val="0"/>
          <w:color w:val="auto"/>
          <w:sz w:val="24"/>
          <w:szCs w:val="24"/>
          <w:lang w:val="en-US" w:eastAsia="zh-CN"/>
        </w:rPr>
        <w:t>10432.8</w:t>
      </w:r>
      <w:r>
        <w:rPr>
          <w:rFonts w:hint="default" w:ascii="Times New Roman" w:hAnsi="Times New Roman" w:eastAsia="宋体" w:cs="Times New Roman"/>
          <w:b w:val="0"/>
          <w:bCs w:val="0"/>
          <w:color w:val="auto"/>
          <w:sz w:val="24"/>
          <w:szCs w:val="24"/>
        </w:rPr>
        <w:t>m</w:t>
      </w:r>
      <w:r>
        <w:rPr>
          <w:rFonts w:hint="default" w:ascii="Times New Roman" w:hAnsi="Times New Roman" w:eastAsia="宋体" w:cs="Times New Roman"/>
          <w:b w:val="0"/>
          <w:bCs w:val="0"/>
          <w:color w:val="auto"/>
          <w:sz w:val="24"/>
          <w:szCs w:val="24"/>
          <w:vertAlign w:val="superscript"/>
        </w:rPr>
        <w:t>3</w:t>
      </w:r>
      <w:r>
        <w:rPr>
          <w:rFonts w:hint="default" w:ascii="Times New Roman" w:hAnsi="Times New Roman" w:eastAsia="宋体" w:cs="Times New Roman"/>
          <w:b w:val="0"/>
          <w:bCs w:val="0"/>
          <w:color w:val="auto"/>
          <w:sz w:val="24"/>
          <w:szCs w:val="24"/>
        </w:rPr>
        <w:t>/h</w:t>
      </w:r>
      <w:r>
        <w:rPr>
          <w:rFonts w:hint="default" w:ascii="Times New Roman" w:hAnsi="Times New Roman" w:eastAsia="宋体" w:cs="Times New Roman"/>
          <w:color w:val="auto"/>
          <w:spacing w:val="0"/>
          <w:w w:val="100"/>
          <w:position w:val="0"/>
          <w:sz w:val="24"/>
          <w:szCs w:val="24"/>
          <w:highlight w:val="none"/>
          <w:lang w:val="en-US" w:eastAsia="zh-CN"/>
        </w:rPr>
        <w:t>，考虑到一定损耗，按</w:t>
      </w:r>
      <w:r>
        <w:rPr>
          <w:rFonts w:hint="eastAsia" w:ascii="Times New Roman" w:hAnsi="Times New Roman" w:eastAsia="宋体" w:cs="Times New Roman"/>
          <w:color w:val="auto"/>
          <w:spacing w:val="0"/>
          <w:w w:val="100"/>
          <w:position w:val="0"/>
          <w:sz w:val="24"/>
          <w:szCs w:val="24"/>
          <w:highlight w:val="none"/>
          <w:lang w:val="en-US" w:eastAsia="zh-CN"/>
        </w:rPr>
        <w:t>120</w:t>
      </w:r>
      <w:r>
        <w:rPr>
          <w:rFonts w:hint="default" w:ascii="Times New Roman" w:hAnsi="Times New Roman" w:eastAsia="宋体" w:cs="Times New Roman"/>
          <w:color w:val="auto"/>
          <w:spacing w:val="0"/>
          <w:w w:val="100"/>
          <w:position w:val="0"/>
          <w:sz w:val="24"/>
          <w:szCs w:val="24"/>
          <w:highlight w:val="none"/>
          <w:lang w:val="en-US" w:eastAsia="zh-CN"/>
        </w:rPr>
        <w:t>00m</w:t>
      </w:r>
      <w:r>
        <w:rPr>
          <w:rFonts w:hint="default" w:ascii="Times New Roman" w:hAnsi="Times New Roman" w:eastAsia="宋体" w:cs="Times New Roman"/>
          <w:color w:val="auto"/>
          <w:spacing w:val="0"/>
          <w:w w:val="100"/>
          <w:position w:val="0"/>
          <w:sz w:val="24"/>
          <w:szCs w:val="24"/>
          <w:highlight w:val="none"/>
          <w:vertAlign w:val="superscript"/>
          <w:lang w:val="en-US" w:eastAsia="zh-CN"/>
        </w:rPr>
        <w:t>3</w:t>
      </w:r>
      <w:r>
        <w:rPr>
          <w:rFonts w:hint="default" w:ascii="Times New Roman" w:hAnsi="Times New Roman" w:eastAsia="宋体" w:cs="Times New Roman"/>
          <w:color w:val="auto"/>
          <w:spacing w:val="0"/>
          <w:w w:val="100"/>
          <w:position w:val="0"/>
          <w:sz w:val="24"/>
          <w:szCs w:val="24"/>
          <w:highlight w:val="none"/>
          <w:lang w:val="en-US" w:eastAsia="zh-CN"/>
        </w:rPr>
        <w:t>/h进行设计。</w:t>
      </w:r>
    </w:p>
    <w:p w14:paraId="7D53586C">
      <w:pPr>
        <w:keepNext w:val="0"/>
        <w:keepLines w:val="0"/>
        <w:pageBreakBefore w:val="0"/>
        <w:widowControl w:val="0"/>
        <w:kinsoku/>
        <w:wordWrap/>
        <w:overflowPunct/>
        <w:topLinePunct w:val="0"/>
        <w:autoSpaceDE/>
        <w:autoSpaceDN/>
        <w:bidi w:val="0"/>
        <w:adjustRightInd/>
        <w:snapToGrid w:val="0"/>
        <w:spacing w:line="360" w:lineRule="auto"/>
        <w:ind w:left="0" w:firstLine="534"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b w:val="0"/>
          <w:bCs w:val="0"/>
          <w:color w:val="000000"/>
          <w:spacing w:val="4"/>
          <w:sz w:val="24"/>
          <w:lang w:val="en-US" w:eastAsia="zh-CN"/>
        </w:rPr>
        <w:t>颗粒物产生量为1.8357t/a，项目年工作2400h，经计算，有组织产生量为1.6521t/a，排放速率0.688kg/h，排放浓度57.37mg/m</w:t>
      </w:r>
      <w:r>
        <w:rPr>
          <w:rFonts w:hint="eastAsia" w:ascii="Times New Roman" w:hAnsi="Times New Roman" w:eastAsia="宋体" w:cs="Times New Roman"/>
          <w:b w:val="0"/>
          <w:bCs w:val="0"/>
          <w:color w:val="000000"/>
          <w:spacing w:val="4"/>
          <w:sz w:val="24"/>
          <w:vertAlign w:val="superscript"/>
          <w:lang w:val="en-US" w:eastAsia="zh-CN"/>
        </w:rPr>
        <w:t>3</w:t>
      </w:r>
      <w:r>
        <w:rPr>
          <w:rFonts w:hint="eastAsia" w:ascii="Times New Roman" w:hAnsi="Times New Roman" w:eastAsia="宋体" w:cs="Times New Roman"/>
          <w:b w:val="0"/>
          <w:bCs w:val="0"/>
          <w:color w:val="000000"/>
          <w:spacing w:val="4"/>
          <w:sz w:val="24"/>
          <w:vertAlign w:val="baseline"/>
          <w:lang w:val="en-US" w:eastAsia="zh-CN"/>
        </w:rPr>
        <w:t>，</w:t>
      </w:r>
      <w:r>
        <w:rPr>
          <w:rFonts w:hint="eastAsia" w:ascii="Times New Roman" w:hAnsi="Times New Roman" w:eastAsia="宋体" w:cs="Times New Roman"/>
          <w:b w:val="0"/>
          <w:bCs w:val="0"/>
          <w:color w:val="000000"/>
          <w:spacing w:val="4"/>
          <w:sz w:val="24"/>
          <w:lang w:val="en-US" w:eastAsia="zh-CN"/>
        </w:rPr>
        <w:t>该排放口颗粒物有组织排放量为0.0165t/a，有组织排放速率0.007kg/h，排放浓度有组织0.57mg/m</w:t>
      </w:r>
      <w:r>
        <w:rPr>
          <w:rFonts w:hint="eastAsia" w:ascii="Times New Roman" w:hAnsi="Times New Roman" w:eastAsia="宋体" w:cs="Times New Roman"/>
          <w:b w:val="0"/>
          <w:bCs w:val="0"/>
          <w:color w:val="000000"/>
          <w:spacing w:val="4"/>
          <w:sz w:val="24"/>
          <w:vertAlign w:val="superscript"/>
          <w:lang w:val="en-US" w:eastAsia="zh-CN"/>
        </w:rPr>
        <w:t>3</w:t>
      </w:r>
      <w:r>
        <w:rPr>
          <w:rFonts w:hint="eastAsia" w:ascii="Times New Roman" w:hAnsi="Times New Roman" w:eastAsia="宋体" w:cs="Times New Roman"/>
          <w:b w:val="0"/>
          <w:bCs/>
          <w:color w:val="000000"/>
          <w:sz w:val="24"/>
          <w:szCs w:val="24"/>
          <w:vertAlign w:val="baseline"/>
          <w:lang w:val="en-US" w:eastAsia="zh-CN"/>
        </w:rPr>
        <w:t>。</w:t>
      </w:r>
    </w:p>
    <w:p w14:paraId="10C5AEA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default" w:ascii="Times New Roman" w:hAnsi="Times New Roman" w:eastAsia="宋体" w:cs="Times New Roman"/>
          <w:color w:val="auto"/>
          <w:spacing w:val="0"/>
          <w:w w:val="100"/>
          <w:position w:val="0"/>
          <w:sz w:val="24"/>
          <w:szCs w:val="24"/>
        </w:rPr>
      </w:pPr>
      <w:r>
        <w:rPr>
          <w:rFonts w:hint="eastAsia"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val="en-US" w:eastAsia="zh-CN"/>
        </w:rPr>
        <w:t>G</w:t>
      </w:r>
      <w:r>
        <w:rPr>
          <w:rFonts w:hint="eastAsia"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val="en-US" w:eastAsia="zh-CN"/>
        </w:rPr>
        <w:t>涂胶废气</w:t>
      </w:r>
      <w:r>
        <w:rPr>
          <w:rFonts w:hint="eastAsia"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G4热压废气</w:t>
      </w:r>
      <w:r>
        <w:rPr>
          <w:rFonts w:hint="eastAsia"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G5烘干废气</w:t>
      </w:r>
    </w:p>
    <w:p w14:paraId="0421F56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涂胶废气：项目涂胶工序在抛光后钢背表面在刷胶机使用毛刷上均匀涂上胶水，此过程会产生有机废气（以非甲烷总烃计）。根据酚醛树脂水MSDS报告可知，酚醛树脂含量为30%，橡胶含量为7%，有机溶剂含量为63%。本项目取最大63%。项目酚醛树脂胶水的使用量为5t/a，则挥发性有机废气（以非甲烷总烃计）产生量为3.15t/a。</w:t>
      </w:r>
    </w:p>
    <w:p w14:paraId="60C2DA1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热压废气：酚醛树脂作为粘结剂，加热熔融将各粉料粘结在一起，项目热压工序温度约165~175℃。查阅资料文献，项目所用酚醛树脂起始热分解温度340℃，项目热压温度远低于酚醛树脂热分解温度，不存在酚醛树脂大分子裂解产生甲醛的现象。六次甲基四胺受热发生不完全分解；同时分解产生的甲醛大部分与酚醛树脂发生交联固化，留存于产品内部，仅少量甲醛逸散进入废气。本次核算取六次甲基四胺分解转化率80%，分解产生甲醛逸出率 10%；游离苯酚挥发率按100%计。</w:t>
      </w:r>
    </w:p>
    <w:p w14:paraId="6AAE777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根据酚醛树脂粉末MSDS：酚醛树脂87~90%、游离苯酚0~3.5%（本次核算按最不利情况取最大值3.5%），六次甲基四胺9.5~10.5%（本次核算按最不利情况取最大值10.5%）；项目酚醛树脂粉末使用量50t/a。则热压废气苯酚（以非甲烷总烃计）产生量为1.75t/a，甲醛（以非甲烷总烃计）的产生量为0.54t/a，非甲烷总烃合计产生量2.29t/a</w:t>
      </w:r>
    </w:p>
    <w:p w14:paraId="2EA205B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烘干废气：热压成型后的工件在密闭烘箱中烘干，烘干工序温度约为120~150℃，酚醛树脂分解温度为340℃，因此在烘干过程中酚醛树脂不会发生甲醛和苯酚，仅考虑开箱过程中产生少量有机废气（以非甲烷总烃计）。酚醛树脂属于合成树脂，本次评价参照《浙江省重点行业VOCs污染源排放量计算办法》中“其他塑料制品制造工序”的VOCs单位产品排放系数为2.368kg/t原料。本项目酚醛树脂年用量为50t/a，酚醛树脂胶水5t/a，共计55t/a，则烘干废气（以非甲烷总烃计）产生量为</w:t>
      </w:r>
      <w:r>
        <w:rPr>
          <w:rFonts w:hint="eastAsia" w:cs="Times New Roman"/>
          <w:color w:val="auto"/>
          <w:spacing w:val="0"/>
          <w:w w:val="100"/>
          <w:position w:val="0"/>
          <w:sz w:val="24"/>
          <w:szCs w:val="24"/>
          <w:lang w:val="en-US" w:eastAsia="zh-CN"/>
        </w:rPr>
        <w:t>0.1302</w:t>
      </w:r>
      <w:r>
        <w:rPr>
          <w:rFonts w:hint="eastAsia" w:ascii="Times New Roman" w:hAnsi="Times New Roman" w:eastAsia="宋体" w:cs="Times New Roman"/>
          <w:color w:val="auto"/>
          <w:spacing w:val="0"/>
          <w:w w:val="100"/>
          <w:position w:val="0"/>
          <w:sz w:val="24"/>
          <w:szCs w:val="24"/>
          <w:lang w:val="en-US" w:eastAsia="zh-CN"/>
        </w:rPr>
        <w:t>t/a。</w:t>
      </w:r>
    </w:p>
    <w:p w14:paraId="0F1FA81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综上，涂胶、热压、烘干废气非甲烷总烃通过叠加后产生总量为</w:t>
      </w:r>
      <w:r>
        <w:rPr>
          <w:rFonts w:hint="eastAsia" w:cs="Times New Roman"/>
          <w:color w:val="auto"/>
          <w:spacing w:val="0"/>
          <w:w w:val="100"/>
          <w:position w:val="0"/>
          <w:sz w:val="24"/>
          <w:szCs w:val="24"/>
          <w:lang w:val="en-US" w:eastAsia="zh-CN"/>
        </w:rPr>
        <w:t>5.5702</w:t>
      </w:r>
      <w:r>
        <w:rPr>
          <w:rFonts w:hint="eastAsia" w:ascii="Times New Roman" w:hAnsi="Times New Roman" w:eastAsia="宋体" w:cs="Times New Roman"/>
          <w:color w:val="auto"/>
          <w:spacing w:val="0"/>
          <w:w w:val="100"/>
          <w:position w:val="0"/>
          <w:sz w:val="24"/>
          <w:szCs w:val="24"/>
          <w:lang w:val="en-US" w:eastAsia="zh-CN"/>
        </w:rPr>
        <w:t>t/a，苯酚产生总量为1.75t/a，甲醛总量为0.54t/a。</w:t>
      </w:r>
    </w:p>
    <w:p w14:paraId="568A581D">
      <w:pPr>
        <w:keepNext w:val="0"/>
        <w:keepLines w:val="0"/>
        <w:pageBreakBefore w:val="0"/>
        <w:widowControl w:val="0"/>
        <w:kinsoku/>
        <w:wordWrap/>
        <w:overflowPunct/>
        <w:topLinePunct w:val="0"/>
        <w:autoSpaceDE/>
        <w:autoSpaceDN/>
        <w:bidi w:val="0"/>
        <w:adjustRightInd/>
        <w:snapToGrid w:val="0"/>
        <w:spacing w:line="360" w:lineRule="auto"/>
        <w:ind w:left="0" w:firstLine="534" w:firstLineChars="200"/>
        <w:textAlignment w:val="auto"/>
        <w:rPr>
          <w:rFonts w:hint="default" w:ascii="Times New Roman" w:hAnsi="Times New Roman" w:eastAsia="宋体" w:cs="Times New Roman"/>
          <w:b w:val="0"/>
          <w:bCs w:val="0"/>
          <w:color w:val="000000"/>
          <w:spacing w:val="4"/>
          <w:sz w:val="24"/>
          <w:lang w:val="en-US" w:eastAsia="zh-CN"/>
        </w:rPr>
      </w:pPr>
      <w:r>
        <w:rPr>
          <w:rFonts w:hint="default" w:ascii="Times New Roman" w:hAnsi="Times New Roman" w:eastAsia="宋体" w:cs="Times New Roman"/>
          <w:b/>
          <w:bCs/>
          <w:color w:val="000000"/>
          <w:spacing w:val="4"/>
          <w:sz w:val="24"/>
          <w:lang w:val="en-US" w:eastAsia="zh-CN"/>
        </w:rPr>
        <w:t>治理措施</w:t>
      </w:r>
      <w:r>
        <w:rPr>
          <w:rFonts w:hint="eastAsia" w:ascii="Times New Roman" w:hAnsi="Times New Roman" w:eastAsia="宋体" w:cs="Times New Roman"/>
          <w:b/>
          <w:bCs/>
          <w:color w:val="000000"/>
          <w:spacing w:val="4"/>
          <w:sz w:val="24"/>
          <w:lang w:val="en-US" w:eastAsia="zh-CN"/>
        </w:rPr>
        <w:t>：</w:t>
      </w:r>
      <w:r>
        <w:rPr>
          <w:rFonts w:hint="eastAsia" w:ascii="Times New Roman" w:hAnsi="Times New Roman" w:eastAsia="宋体" w:cs="Times New Roman"/>
          <w:b w:val="0"/>
          <w:bCs w:val="0"/>
          <w:color w:val="000000"/>
          <w:spacing w:val="4"/>
          <w:sz w:val="24"/>
          <w:lang w:val="en-US" w:eastAsia="zh-CN"/>
        </w:rPr>
        <w:t>分别在1台涂胶机、6台热压成型机、1台烘箱上方</w:t>
      </w:r>
      <w:r>
        <w:rPr>
          <w:rFonts w:hint="default" w:ascii="Times New Roman" w:hAnsi="Times New Roman" w:eastAsia="宋体" w:cs="Times New Roman"/>
          <w:b w:val="0"/>
          <w:bCs w:val="0"/>
          <w:color w:val="000000"/>
          <w:spacing w:val="4"/>
          <w:sz w:val="24"/>
          <w:lang w:val="en-US" w:eastAsia="zh-CN"/>
        </w:rPr>
        <w:t>设置集气罩收集废气</w:t>
      </w:r>
      <w:r>
        <w:rPr>
          <w:rFonts w:hint="eastAsia" w:ascii="Times New Roman" w:hAnsi="Times New Roman" w:eastAsia="宋体" w:cs="Times New Roman"/>
          <w:b w:val="0"/>
          <w:bCs w:val="0"/>
          <w:color w:val="000000"/>
          <w:spacing w:val="4"/>
          <w:sz w:val="24"/>
          <w:lang w:val="en-US" w:eastAsia="zh-CN"/>
        </w:rPr>
        <w:t>，废气收集效率90%，经管道抽风收集后入一套风冷+二级活性炭处理（90%），通过一根20m高的排气筒（DA002）排放。</w:t>
      </w:r>
    </w:p>
    <w:p w14:paraId="58E889A5">
      <w:pPr>
        <w:pStyle w:val="48"/>
        <w:keepNext w:val="0"/>
        <w:keepLines w:val="0"/>
        <w:pageBreakBefore w:val="0"/>
        <w:widowControl w:val="0"/>
        <w:shd w:val="clear" w:color="auto" w:fill="auto"/>
        <w:kinsoku/>
        <w:wordWrap/>
        <w:overflowPunct/>
        <w:topLinePunct w:val="0"/>
        <w:autoSpaceDE/>
        <w:autoSpaceDN/>
        <w:bidi w:val="0"/>
        <w:adjustRightInd/>
        <w:snapToGrid/>
        <w:spacing w:line="360" w:lineRule="auto"/>
        <w:ind w:left="0" w:right="0" w:firstLine="518" w:firstLineChars="200"/>
        <w:jc w:val="both"/>
        <w:textAlignment w:val="auto"/>
        <w:rPr>
          <w:rFonts w:hint="default" w:ascii="Times New Roman" w:hAnsi="Times New Roman" w:eastAsia="宋体" w:cs="Times New Roman"/>
          <w:b/>
          <w:bCs/>
          <w:color w:val="auto"/>
          <w:spacing w:val="0"/>
          <w:w w:val="100"/>
          <w:position w:val="0"/>
          <w:sz w:val="24"/>
          <w:szCs w:val="24"/>
          <w:highlight w:val="none"/>
          <w:lang w:val="en-US" w:eastAsia="zh-CN"/>
        </w:rPr>
      </w:pPr>
      <w:r>
        <w:rPr>
          <w:rFonts w:hint="default" w:ascii="Times New Roman" w:hAnsi="Times New Roman" w:eastAsia="宋体" w:cs="Times New Roman"/>
          <w:b/>
          <w:bCs/>
          <w:color w:val="auto"/>
          <w:spacing w:val="0"/>
          <w:w w:val="100"/>
          <w:position w:val="0"/>
          <w:sz w:val="24"/>
          <w:szCs w:val="24"/>
          <w:highlight w:val="none"/>
          <w:lang w:val="en-US" w:eastAsia="zh-CN"/>
        </w:rPr>
        <w:t>风量计算：</w:t>
      </w:r>
    </w:p>
    <w:p w14:paraId="7C10A820">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根据《大气污染控制工程》的控制风速法计算：</w:t>
      </w:r>
    </w:p>
    <w:p w14:paraId="5183413D">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Q=</w:t>
      </w:r>
      <w:r>
        <w:rPr>
          <w:rFonts w:hint="default" w:ascii="Times New Roman" w:hAnsi="Times New Roman" w:eastAsia="宋体" w:cs="Times New Roman"/>
          <w:b w:val="0"/>
          <w:bCs w:val="0"/>
          <w:color w:val="auto"/>
          <w:sz w:val="24"/>
          <w:szCs w:val="24"/>
          <w:lang w:val="en-US" w:eastAsia="zh-CN"/>
        </w:rPr>
        <w:t>3600</w:t>
      </w:r>
      <w:r>
        <w:rPr>
          <w:rFonts w:hint="default" w:ascii="Times New Roman" w:hAnsi="Times New Roman" w:eastAsia="宋体" w:cs="Times New Roman"/>
          <w:b w:val="0"/>
          <w:bCs w:val="0"/>
          <w:color w:val="auto"/>
          <w:sz w:val="24"/>
          <w:szCs w:val="24"/>
        </w:rPr>
        <w:t>kphVx</w:t>
      </w:r>
    </w:p>
    <w:p w14:paraId="0FB4BADF">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其中：Q：风量，m</w:t>
      </w:r>
      <w:r>
        <w:rPr>
          <w:rFonts w:hint="default" w:ascii="Times New Roman" w:hAnsi="Times New Roman" w:eastAsia="宋体" w:cs="Times New Roman"/>
          <w:b w:val="0"/>
          <w:bCs w:val="0"/>
          <w:color w:val="auto"/>
          <w:sz w:val="24"/>
          <w:szCs w:val="24"/>
          <w:vertAlign w:val="superscript"/>
        </w:rPr>
        <w:t>3</w:t>
      </w:r>
      <w:r>
        <w:rPr>
          <w:rFonts w:hint="default" w:ascii="Times New Roman" w:hAnsi="Times New Roman" w:eastAsia="宋体" w:cs="Times New Roman"/>
          <w:b w:val="0"/>
          <w:bCs w:val="0"/>
          <w:color w:val="auto"/>
          <w:sz w:val="24"/>
          <w:szCs w:val="24"/>
        </w:rPr>
        <w:t>/h，</w:t>
      </w:r>
    </w:p>
    <w:p w14:paraId="256B5C7A">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K：考虑沿高度速度不均匀的安全系数，通常取1.4，</w:t>
      </w:r>
    </w:p>
    <w:p w14:paraId="130CF8E6">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P：罩口周长，m；</w:t>
      </w:r>
    </w:p>
    <w:p w14:paraId="2412A84C">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H：罩口至污染源的距离；</w:t>
      </w:r>
    </w:p>
    <w:p w14:paraId="3F9AD3DD">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Vx：污染源控制速度，m/s；</w:t>
      </w:r>
    </w:p>
    <w:p w14:paraId="104F9BA8">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根据《大气污染控制工程》（第二版）中表1可得，当污染源从轻微速度发散到相对平静的空气中时，污染源控制速度为0.5~1.0m/s，本次</w:t>
      </w:r>
      <w:r>
        <w:rPr>
          <w:rFonts w:hint="eastAsia" w:ascii="Times New Roman" w:hAnsi="Times New Roman" w:eastAsia="宋体" w:cs="Times New Roman"/>
          <w:b w:val="0"/>
          <w:bCs w:val="0"/>
          <w:color w:val="auto"/>
          <w:sz w:val="24"/>
          <w:szCs w:val="24"/>
          <w:lang w:val="en-US" w:eastAsia="zh-CN"/>
        </w:rPr>
        <w:t>按平均值</w:t>
      </w:r>
      <w:r>
        <w:rPr>
          <w:rFonts w:hint="default" w:ascii="Times New Roman" w:hAnsi="Times New Roman" w:eastAsia="宋体" w:cs="Times New Roman"/>
          <w:b w:val="0"/>
          <w:bCs w:val="0"/>
          <w:color w:val="auto"/>
          <w:sz w:val="24"/>
          <w:szCs w:val="24"/>
        </w:rPr>
        <w:t>取</w:t>
      </w:r>
      <w:r>
        <w:rPr>
          <w:rFonts w:hint="eastAsia" w:ascii="Times New Roman" w:hAnsi="Times New Roman" w:eastAsia="宋体" w:cs="Times New Roman"/>
          <w:b w:val="0"/>
          <w:bCs w:val="0"/>
          <w:color w:val="auto"/>
          <w:sz w:val="24"/>
          <w:szCs w:val="24"/>
          <w:lang w:val="en-US" w:eastAsia="zh-CN"/>
        </w:rPr>
        <w:t>0.75</w:t>
      </w:r>
      <w:r>
        <w:rPr>
          <w:rFonts w:hint="default" w:ascii="Times New Roman" w:hAnsi="Times New Roman" w:eastAsia="宋体" w:cs="Times New Roman"/>
          <w:b w:val="0"/>
          <w:bCs w:val="0"/>
          <w:color w:val="auto"/>
          <w:sz w:val="24"/>
          <w:szCs w:val="24"/>
        </w:rPr>
        <w:t>m/s，即Vx=</w:t>
      </w:r>
      <w:r>
        <w:rPr>
          <w:rFonts w:hint="eastAsia" w:ascii="Times New Roman" w:hAnsi="Times New Roman" w:eastAsia="宋体" w:cs="Times New Roman"/>
          <w:b w:val="0"/>
          <w:bCs w:val="0"/>
          <w:color w:val="auto"/>
          <w:sz w:val="24"/>
          <w:szCs w:val="24"/>
          <w:lang w:val="en-US" w:eastAsia="zh-CN"/>
        </w:rPr>
        <w:t>0.75</w:t>
      </w:r>
      <w:r>
        <w:rPr>
          <w:rFonts w:hint="default" w:ascii="Times New Roman" w:hAnsi="Times New Roman" w:eastAsia="宋体" w:cs="Times New Roman"/>
          <w:b w:val="0"/>
          <w:bCs w:val="0"/>
          <w:color w:val="auto"/>
          <w:sz w:val="24"/>
          <w:szCs w:val="24"/>
        </w:rPr>
        <w:t>m/s；</w:t>
      </w:r>
    </w:p>
    <w:p w14:paraId="02E81DEF">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w:t>
      </w:r>
      <w:r>
        <w:rPr>
          <w:rFonts w:hint="eastAsia" w:ascii="Times New Roman" w:hAnsi="Times New Roman" w:eastAsia="宋体" w:cs="Times New Roman"/>
          <w:b w:val="0"/>
          <w:bCs w:val="0"/>
          <w:color w:val="000000"/>
          <w:spacing w:val="4"/>
          <w:sz w:val="24"/>
          <w:lang w:val="en-US" w:eastAsia="zh-CN"/>
        </w:rPr>
        <w:t>涂胶机、热压成型机集气罩尺寸分别为0.4</w:t>
      </w:r>
      <w:r>
        <w:rPr>
          <w:rFonts w:hint="default" w:ascii="Times New Roman" w:hAnsi="Times New Roman" w:eastAsia="宋体" w:cs="Times New Roman"/>
          <w:b w:val="0"/>
          <w:bCs w:val="0"/>
          <w:color w:val="auto"/>
          <w:sz w:val="24"/>
          <w:szCs w:val="24"/>
        </w:rPr>
        <w:t>m</w:t>
      </w:r>
      <w:r>
        <w:rPr>
          <w:rFonts w:hint="eastAsia" w:ascii="Times New Roman" w:hAnsi="Times New Roman" w:eastAsia="宋体" w:cs="Times New Roman"/>
          <w:b w:val="0"/>
          <w:bCs w:val="0"/>
          <w:color w:val="000000"/>
          <w:spacing w:val="4"/>
          <w:sz w:val="24"/>
          <w:lang w:val="en-US" w:eastAsia="zh-CN"/>
        </w:rPr>
        <w:t>*0.5</w:t>
      </w:r>
      <w:r>
        <w:rPr>
          <w:rFonts w:hint="default" w:ascii="Times New Roman" w:hAnsi="Times New Roman" w:eastAsia="宋体" w:cs="Times New Roman"/>
          <w:b w:val="0"/>
          <w:bCs w:val="0"/>
          <w:color w:val="auto"/>
          <w:sz w:val="24"/>
          <w:szCs w:val="24"/>
        </w:rPr>
        <w:t>m</w:t>
      </w:r>
      <w:r>
        <w:rPr>
          <w:rFonts w:hint="eastAsia" w:ascii="Times New Roman" w:hAnsi="Times New Roman" w:eastAsia="宋体" w:cs="Times New Roman"/>
          <w:b w:val="0"/>
          <w:bCs w:val="0"/>
          <w:color w:val="000000"/>
          <w:spacing w:val="4"/>
          <w:sz w:val="24"/>
          <w:lang w:val="en-US" w:eastAsia="zh-CN"/>
        </w:rPr>
        <w:t>，烘箱集气罩尺寸分别为1</w:t>
      </w:r>
      <w:r>
        <w:rPr>
          <w:rFonts w:hint="default" w:ascii="Times New Roman" w:hAnsi="Times New Roman" w:eastAsia="宋体" w:cs="Times New Roman"/>
          <w:b w:val="0"/>
          <w:bCs w:val="0"/>
          <w:color w:val="auto"/>
          <w:sz w:val="24"/>
          <w:szCs w:val="24"/>
        </w:rPr>
        <w:t>m</w:t>
      </w:r>
      <w:r>
        <w:rPr>
          <w:rFonts w:hint="eastAsia" w:ascii="Times New Roman" w:hAnsi="Times New Roman" w:eastAsia="宋体" w:cs="Times New Roman"/>
          <w:b w:val="0"/>
          <w:bCs w:val="0"/>
          <w:color w:val="000000"/>
          <w:spacing w:val="4"/>
          <w:sz w:val="24"/>
          <w:lang w:val="en-US" w:eastAsia="zh-CN"/>
        </w:rPr>
        <w:t>*0.4</w:t>
      </w:r>
      <w:r>
        <w:rPr>
          <w:rFonts w:hint="default" w:ascii="Times New Roman" w:hAnsi="Times New Roman" w:eastAsia="宋体" w:cs="Times New Roman"/>
          <w:b w:val="0"/>
          <w:bCs w:val="0"/>
          <w:color w:val="auto"/>
          <w:sz w:val="24"/>
          <w:szCs w:val="24"/>
        </w:rPr>
        <w:t>m，则</w:t>
      </w:r>
      <w:r>
        <w:rPr>
          <w:rFonts w:hint="eastAsia" w:ascii="Times New Roman" w:hAnsi="Times New Roman" w:eastAsia="宋体" w:cs="Times New Roman"/>
          <w:b w:val="0"/>
          <w:bCs w:val="0"/>
          <w:color w:val="auto"/>
          <w:sz w:val="24"/>
          <w:szCs w:val="24"/>
          <w:lang w:val="en-US" w:eastAsia="zh-CN"/>
        </w:rPr>
        <w:t>总</w:t>
      </w:r>
      <w:r>
        <w:rPr>
          <w:rFonts w:hint="default" w:ascii="Times New Roman" w:hAnsi="Times New Roman" w:eastAsia="宋体" w:cs="Times New Roman"/>
          <w:b w:val="0"/>
          <w:bCs w:val="0"/>
          <w:color w:val="auto"/>
          <w:sz w:val="24"/>
          <w:szCs w:val="24"/>
        </w:rPr>
        <w:t>罩口周长为</w:t>
      </w:r>
      <w:r>
        <w:rPr>
          <w:rFonts w:hint="eastAsia" w:ascii="Times New Roman" w:hAnsi="Times New Roman" w:eastAsia="宋体" w:cs="Times New Roman"/>
          <w:b w:val="0"/>
          <w:bCs w:val="0"/>
          <w:color w:val="auto"/>
          <w:sz w:val="24"/>
          <w:szCs w:val="24"/>
          <w:lang w:val="en-US" w:eastAsia="zh-CN"/>
        </w:rPr>
        <w:t>15.4</w:t>
      </w:r>
      <w:r>
        <w:rPr>
          <w:rFonts w:hint="default" w:ascii="Times New Roman" w:hAnsi="Times New Roman" w:eastAsia="宋体" w:cs="Times New Roman"/>
          <w:b w:val="0"/>
          <w:bCs w:val="0"/>
          <w:color w:val="auto"/>
          <w:sz w:val="24"/>
          <w:szCs w:val="24"/>
        </w:rPr>
        <w:t>m，</w:t>
      </w:r>
      <w:r>
        <w:rPr>
          <w:rFonts w:hint="default" w:ascii="Times New Roman" w:hAnsi="Times New Roman" w:eastAsia="宋体" w:cs="Times New Roman"/>
          <w:b w:val="0"/>
          <w:bCs w:val="0"/>
          <w:color w:val="auto"/>
          <w:sz w:val="24"/>
          <w:szCs w:val="24"/>
          <w:lang w:val="en-US" w:eastAsia="zh-CN"/>
        </w:rPr>
        <w:t>即</w:t>
      </w:r>
      <w:r>
        <w:rPr>
          <w:rFonts w:hint="default" w:ascii="Times New Roman" w:hAnsi="Times New Roman" w:eastAsia="宋体" w:cs="Times New Roman"/>
          <w:b w:val="0"/>
          <w:bCs w:val="0"/>
          <w:color w:val="auto"/>
          <w:sz w:val="24"/>
          <w:szCs w:val="24"/>
        </w:rPr>
        <w:t>P=</w:t>
      </w:r>
      <w:r>
        <w:rPr>
          <w:rFonts w:hint="eastAsia" w:ascii="Times New Roman" w:hAnsi="Times New Roman" w:eastAsia="宋体" w:cs="Times New Roman"/>
          <w:b w:val="0"/>
          <w:bCs w:val="0"/>
          <w:color w:val="auto"/>
          <w:sz w:val="24"/>
          <w:szCs w:val="24"/>
          <w:lang w:val="en-US" w:eastAsia="zh-CN"/>
        </w:rPr>
        <w:t>15.4</w:t>
      </w:r>
      <w:r>
        <w:rPr>
          <w:rFonts w:hint="default" w:ascii="Times New Roman" w:hAnsi="Times New Roman" w:eastAsia="宋体" w:cs="Times New Roman"/>
          <w:b w:val="0"/>
          <w:bCs w:val="0"/>
          <w:color w:val="auto"/>
          <w:sz w:val="24"/>
          <w:szCs w:val="24"/>
        </w:rPr>
        <w:t>m；</w:t>
      </w:r>
    </w:p>
    <w:p w14:paraId="381EFBAF">
      <w:pPr>
        <w:keepNext w:val="0"/>
        <w:keepLines w:val="0"/>
        <w:pageBreakBefore w:val="0"/>
        <w:suppressLineNumbers w:val="0"/>
        <w:bidi w:val="0"/>
        <w:spacing w:beforeAutospacing="0" w:afterAutospacing="0" w:line="360" w:lineRule="auto"/>
        <w:ind w:left="0" w:right="0"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罩口距污染源的距离，为避免横向气流的干扰，要求H≤0.3L（罩口长边尺寸），本项目设计罩口底部至污染源的距离为0.3m，及H=0.3m；</w:t>
      </w:r>
    </w:p>
    <w:p w14:paraId="4CB459B8">
      <w:pPr>
        <w:pStyle w:val="48"/>
        <w:keepNext w:val="0"/>
        <w:keepLines w:val="0"/>
        <w:pageBreakBefore w:val="0"/>
        <w:widowControl w:val="0"/>
        <w:shd w:val="clear" w:color="auto" w:fill="auto"/>
        <w:kinsoku/>
        <w:wordWrap/>
        <w:overflowPunct/>
        <w:topLinePunct w:val="0"/>
        <w:autoSpaceDE/>
        <w:autoSpaceDN/>
        <w:bidi w:val="0"/>
        <w:adjustRightInd/>
        <w:snapToGrid/>
        <w:spacing w:line="360" w:lineRule="auto"/>
        <w:ind w:left="0" w:right="0" w:firstLine="518" w:firstLineChars="200"/>
        <w:jc w:val="both"/>
        <w:textAlignment w:val="auto"/>
        <w:rPr>
          <w:rFonts w:hint="default" w:ascii="Times New Roman" w:hAnsi="Times New Roman" w:eastAsia="宋体" w:cs="Times New Roman"/>
          <w:b w:val="0"/>
          <w:bCs w:val="0"/>
          <w:color w:val="000000"/>
          <w:spacing w:val="4"/>
          <w:sz w:val="24"/>
          <w:lang w:val="en-US" w:eastAsia="zh-CN"/>
        </w:rPr>
      </w:pPr>
      <w:r>
        <w:rPr>
          <w:rFonts w:hint="default" w:ascii="Times New Roman" w:hAnsi="Times New Roman" w:eastAsia="宋体" w:cs="Times New Roman"/>
          <w:b w:val="0"/>
          <w:bCs w:val="0"/>
          <w:color w:val="auto"/>
          <w:sz w:val="24"/>
          <w:szCs w:val="24"/>
        </w:rPr>
        <w:t>则集气罩风量Q=</w:t>
      </w:r>
      <w:r>
        <w:rPr>
          <w:rFonts w:hint="eastAsia" w:ascii="Times New Roman" w:hAnsi="Times New Roman" w:eastAsia="宋体" w:cs="Times New Roman"/>
          <w:b w:val="0"/>
          <w:bCs w:val="0"/>
          <w:color w:val="auto"/>
          <w:sz w:val="24"/>
          <w:szCs w:val="24"/>
          <w:lang w:val="en-US" w:eastAsia="zh-CN"/>
        </w:rPr>
        <w:t>3600</w:t>
      </w:r>
      <w:r>
        <w:rPr>
          <w:rFonts w:hint="default" w:ascii="Times New Roman" w:hAnsi="Times New Roman" w:eastAsia="宋体" w:cs="Times New Roman"/>
          <w:b w:val="0"/>
          <w:bCs w:val="0"/>
          <w:color w:val="auto"/>
          <w:sz w:val="24"/>
          <w:szCs w:val="24"/>
        </w:rPr>
        <w:t>（1.4×</w:t>
      </w:r>
      <w:r>
        <w:rPr>
          <w:rFonts w:hint="eastAsia" w:ascii="Times New Roman" w:hAnsi="Times New Roman" w:eastAsia="宋体" w:cs="Times New Roman"/>
          <w:b w:val="0"/>
          <w:bCs w:val="0"/>
          <w:color w:val="auto"/>
          <w:sz w:val="24"/>
          <w:szCs w:val="24"/>
          <w:lang w:val="en-US" w:eastAsia="zh-CN"/>
        </w:rPr>
        <w:t>15.4</w:t>
      </w:r>
      <w:r>
        <w:rPr>
          <w:rFonts w:hint="default"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lang w:val="en-US" w:eastAsia="zh-CN"/>
        </w:rPr>
        <w:t>0.75</w:t>
      </w:r>
      <w:r>
        <w:rPr>
          <w:rFonts w:hint="default" w:ascii="Times New Roman" w:hAnsi="Times New Roman" w:eastAsia="宋体" w:cs="Times New Roman"/>
          <w:b w:val="0"/>
          <w:bCs w:val="0"/>
          <w:color w:val="auto"/>
          <w:sz w:val="24"/>
          <w:szCs w:val="24"/>
        </w:rPr>
        <w:t>×0.3）=</w:t>
      </w:r>
      <w:r>
        <w:rPr>
          <w:rFonts w:hint="eastAsia" w:ascii="Times New Roman" w:hAnsi="Times New Roman" w:cs="Times New Roman"/>
          <w:b w:val="0"/>
          <w:bCs w:val="0"/>
          <w:color w:val="auto"/>
          <w:sz w:val="24"/>
          <w:szCs w:val="24"/>
          <w:lang w:val="en-US" w:eastAsia="zh-CN"/>
        </w:rPr>
        <w:t>17463.6</w:t>
      </w:r>
      <w:r>
        <w:rPr>
          <w:rFonts w:hint="default" w:ascii="Times New Roman" w:hAnsi="Times New Roman" w:eastAsia="宋体" w:cs="Times New Roman"/>
          <w:b w:val="0"/>
          <w:bCs w:val="0"/>
          <w:color w:val="auto"/>
          <w:sz w:val="24"/>
          <w:szCs w:val="24"/>
        </w:rPr>
        <w:t>m</w:t>
      </w:r>
      <w:r>
        <w:rPr>
          <w:rFonts w:hint="default" w:ascii="Times New Roman" w:hAnsi="Times New Roman" w:eastAsia="宋体" w:cs="Times New Roman"/>
          <w:b w:val="0"/>
          <w:bCs w:val="0"/>
          <w:color w:val="auto"/>
          <w:sz w:val="24"/>
          <w:szCs w:val="24"/>
          <w:vertAlign w:val="superscript"/>
        </w:rPr>
        <w:t>3</w:t>
      </w:r>
      <w:r>
        <w:rPr>
          <w:rFonts w:hint="default" w:ascii="Times New Roman" w:hAnsi="Times New Roman" w:eastAsia="宋体" w:cs="Times New Roman"/>
          <w:b w:val="0"/>
          <w:bCs w:val="0"/>
          <w:color w:val="auto"/>
          <w:sz w:val="24"/>
          <w:szCs w:val="24"/>
        </w:rPr>
        <w:t>/h</w:t>
      </w:r>
      <w:r>
        <w:rPr>
          <w:rFonts w:hint="default" w:ascii="Times New Roman" w:hAnsi="Times New Roman" w:eastAsia="宋体" w:cs="Times New Roman"/>
          <w:color w:val="auto"/>
          <w:spacing w:val="0"/>
          <w:w w:val="100"/>
          <w:position w:val="0"/>
          <w:sz w:val="24"/>
          <w:szCs w:val="24"/>
          <w:highlight w:val="none"/>
          <w:lang w:val="en-US" w:eastAsia="zh-CN"/>
        </w:rPr>
        <w:t>，考虑到一定损耗，按</w:t>
      </w:r>
      <w:r>
        <w:rPr>
          <w:rFonts w:hint="eastAsia" w:ascii="Times New Roman" w:hAnsi="Times New Roman" w:eastAsia="宋体" w:cs="Times New Roman"/>
          <w:color w:val="auto"/>
          <w:spacing w:val="0"/>
          <w:w w:val="100"/>
          <w:position w:val="0"/>
          <w:sz w:val="24"/>
          <w:szCs w:val="24"/>
          <w:highlight w:val="none"/>
          <w:lang w:val="en-US" w:eastAsia="zh-CN"/>
        </w:rPr>
        <w:t>180</w:t>
      </w:r>
      <w:r>
        <w:rPr>
          <w:rFonts w:hint="default" w:ascii="Times New Roman" w:hAnsi="Times New Roman" w:eastAsia="宋体" w:cs="Times New Roman"/>
          <w:color w:val="auto"/>
          <w:spacing w:val="0"/>
          <w:w w:val="100"/>
          <w:position w:val="0"/>
          <w:sz w:val="24"/>
          <w:szCs w:val="24"/>
          <w:highlight w:val="none"/>
          <w:lang w:val="en-US" w:eastAsia="zh-CN"/>
        </w:rPr>
        <w:t>00m</w:t>
      </w:r>
      <w:r>
        <w:rPr>
          <w:rFonts w:hint="default" w:ascii="Times New Roman" w:hAnsi="Times New Roman" w:eastAsia="宋体" w:cs="Times New Roman"/>
          <w:color w:val="auto"/>
          <w:spacing w:val="0"/>
          <w:w w:val="100"/>
          <w:position w:val="0"/>
          <w:sz w:val="24"/>
          <w:szCs w:val="24"/>
          <w:highlight w:val="none"/>
          <w:vertAlign w:val="superscript"/>
          <w:lang w:val="en-US" w:eastAsia="zh-CN"/>
        </w:rPr>
        <w:t>3</w:t>
      </w:r>
      <w:r>
        <w:rPr>
          <w:rFonts w:hint="default" w:ascii="Times New Roman" w:hAnsi="Times New Roman" w:eastAsia="宋体" w:cs="Times New Roman"/>
          <w:color w:val="auto"/>
          <w:spacing w:val="0"/>
          <w:w w:val="100"/>
          <w:position w:val="0"/>
          <w:sz w:val="24"/>
          <w:szCs w:val="24"/>
          <w:highlight w:val="none"/>
          <w:lang w:val="en-US" w:eastAsia="zh-CN"/>
        </w:rPr>
        <w:t>/h进行设计</w:t>
      </w:r>
      <w:r>
        <w:rPr>
          <w:rFonts w:hint="eastAsia" w:ascii="Times New Roman" w:hAnsi="Times New Roman" w:eastAsia="宋体" w:cs="Times New Roman"/>
          <w:b w:val="0"/>
          <w:bCs/>
          <w:color w:val="000000"/>
          <w:sz w:val="24"/>
          <w:szCs w:val="24"/>
          <w:vertAlign w:val="baseline"/>
          <w:lang w:val="en-US" w:eastAsia="zh-CN"/>
        </w:rPr>
        <w:t>。</w:t>
      </w:r>
    </w:p>
    <w:p w14:paraId="56DBC1D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收集效率以90%计，处理效率为90%，风机风量为18000</w:t>
      </w:r>
      <w:r>
        <w:rPr>
          <w:rFonts w:hint="eastAsia" w:cs="Times New Roman"/>
          <w:color w:val="auto"/>
          <w:spacing w:val="0"/>
          <w:w w:val="100"/>
          <w:position w:val="0"/>
          <w:sz w:val="24"/>
          <w:szCs w:val="24"/>
          <w:lang w:val="en-US" w:eastAsia="zh-CN"/>
        </w:rPr>
        <w:t>m</w:t>
      </w:r>
      <w:r>
        <w:rPr>
          <w:rFonts w:hint="eastAsia" w:cs="Times New Roman"/>
          <w:color w:val="auto"/>
          <w:spacing w:val="0"/>
          <w:w w:val="100"/>
          <w:position w:val="0"/>
          <w:sz w:val="24"/>
          <w:szCs w:val="24"/>
          <w:vertAlign w:val="superscript"/>
          <w:lang w:val="en-US" w:eastAsia="zh-CN"/>
        </w:rPr>
        <w:t>3</w:t>
      </w:r>
      <w:r>
        <w:rPr>
          <w:rFonts w:hint="eastAsia" w:ascii="Times New Roman" w:hAnsi="Times New Roman" w:eastAsia="宋体" w:cs="Times New Roman"/>
          <w:color w:val="auto"/>
          <w:spacing w:val="0"/>
          <w:w w:val="100"/>
          <w:position w:val="0"/>
          <w:sz w:val="24"/>
          <w:szCs w:val="24"/>
          <w:lang w:val="en-US" w:eastAsia="zh-CN"/>
        </w:rPr>
        <w:t>/h，则非甲烷总烃有组织产生量5.0132t/a，产生速率2.0888kg/h，产生浓度116.04mg/</w:t>
      </w:r>
      <w:r>
        <w:rPr>
          <w:rFonts w:hint="eastAsia" w:cs="Times New Roman"/>
          <w:color w:val="auto"/>
          <w:spacing w:val="0"/>
          <w:w w:val="100"/>
          <w:position w:val="0"/>
          <w:sz w:val="24"/>
          <w:szCs w:val="24"/>
          <w:lang w:val="en-US" w:eastAsia="zh-CN"/>
        </w:rPr>
        <w:t>m</w:t>
      </w:r>
      <w:r>
        <w:rPr>
          <w:rFonts w:hint="eastAsia" w:cs="Times New Roman"/>
          <w:color w:val="auto"/>
          <w:spacing w:val="0"/>
          <w:w w:val="100"/>
          <w:position w:val="0"/>
          <w:sz w:val="24"/>
          <w:szCs w:val="24"/>
          <w:vertAlign w:val="superscript"/>
          <w:lang w:val="en-US" w:eastAsia="zh-CN"/>
        </w:rPr>
        <w:t>3</w:t>
      </w:r>
      <w:r>
        <w:rPr>
          <w:rFonts w:hint="eastAsia" w:ascii="Times New Roman" w:hAnsi="Times New Roman" w:eastAsia="宋体" w:cs="Times New Roman"/>
          <w:color w:val="auto"/>
          <w:spacing w:val="0"/>
          <w:w w:val="100"/>
          <w:position w:val="0"/>
          <w:sz w:val="24"/>
          <w:szCs w:val="24"/>
          <w:lang w:val="en-US" w:eastAsia="zh-CN"/>
        </w:rPr>
        <w:t>；其中苯酚有组织产生量1.575t/a，产生速率0.6563kg/h，产生浓度36.46mg/</w:t>
      </w:r>
      <w:r>
        <w:rPr>
          <w:rFonts w:hint="eastAsia" w:cs="Times New Roman"/>
          <w:color w:val="auto"/>
          <w:spacing w:val="0"/>
          <w:w w:val="100"/>
          <w:position w:val="0"/>
          <w:sz w:val="24"/>
          <w:szCs w:val="24"/>
          <w:lang w:val="en-US" w:eastAsia="zh-CN"/>
        </w:rPr>
        <w:t>m</w:t>
      </w:r>
      <w:r>
        <w:rPr>
          <w:rFonts w:hint="eastAsia" w:cs="Times New Roman"/>
          <w:color w:val="auto"/>
          <w:spacing w:val="0"/>
          <w:w w:val="100"/>
          <w:position w:val="0"/>
          <w:sz w:val="24"/>
          <w:szCs w:val="24"/>
          <w:vertAlign w:val="superscript"/>
          <w:lang w:val="en-US" w:eastAsia="zh-CN"/>
        </w:rPr>
        <w:t>3</w:t>
      </w:r>
      <w:r>
        <w:rPr>
          <w:rFonts w:hint="eastAsia" w:ascii="Times New Roman" w:hAnsi="Times New Roman" w:eastAsia="宋体" w:cs="Times New Roman"/>
          <w:color w:val="auto"/>
          <w:spacing w:val="0"/>
          <w:w w:val="100"/>
          <w:position w:val="0"/>
          <w:sz w:val="24"/>
          <w:szCs w:val="24"/>
          <w:lang w:val="en-US" w:eastAsia="zh-CN"/>
        </w:rPr>
        <w:t>；甲醛有组织产生量0.486t/a，产生速率0.2025kg/h，产生浓度11.25mg/</w:t>
      </w:r>
      <w:r>
        <w:rPr>
          <w:rFonts w:hint="eastAsia" w:cs="Times New Roman"/>
          <w:color w:val="auto"/>
          <w:spacing w:val="0"/>
          <w:w w:val="100"/>
          <w:position w:val="0"/>
          <w:sz w:val="24"/>
          <w:szCs w:val="24"/>
          <w:lang w:val="en-US" w:eastAsia="zh-CN"/>
        </w:rPr>
        <w:t>m</w:t>
      </w:r>
      <w:r>
        <w:rPr>
          <w:rFonts w:hint="eastAsia" w:cs="Times New Roman"/>
          <w:color w:val="auto"/>
          <w:spacing w:val="0"/>
          <w:w w:val="100"/>
          <w:position w:val="0"/>
          <w:sz w:val="24"/>
          <w:szCs w:val="24"/>
          <w:vertAlign w:val="superscript"/>
          <w:lang w:val="en-US" w:eastAsia="zh-CN"/>
        </w:rPr>
        <w:t>3</w:t>
      </w:r>
      <w:r>
        <w:rPr>
          <w:rFonts w:hint="eastAsia" w:ascii="Times New Roman" w:hAnsi="Times New Roman" w:eastAsia="宋体" w:cs="Times New Roman"/>
          <w:color w:val="auto"/>
          <w:spacing w:val="0"/>
          <w:w w:val="100"/>
          <w:position w:val="0"/>
          <w:sz w:val="24"/>
          <w:szCs w:val="24"/>
          <w:lang w:val="en-US" w:eastAsia="zh-CN"/>
        </w:rPr>
        <w:t>。</w:t>
      </w:r>
    </w:p>
    <w:p w14:paraId="62B64A4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非甲烷总烃有组织排放量0.5013t/a，排放速率0.2089kg/h，排放浓度11.61mg/</w:t>
      </w:r>
      <w:r>
        <w:rPr>
          <w:rFonts w:hint="eastAsia" w:cs="Times New Roman"/>
          <w:color w:val="auto"/>
          <w:spacing w:val="0"/>
          <w:w w:val="100"/>
          <w:position w:val="0"/>
          <w:sz w:val="24"/>
          <w:szCs w:val="24"/>
          <w:lang w:val="en-US" w:eastAsia="zh-CN"/>
        </w:rPr>
        <w:t>m</w:t>
      </w:r>
      <w:r>
        <w:rPr>
          <w:rFonts w:hint="eastAsia" w:cs="Times New Roman"/>
          <w:color w:val="auto"/>
          <w:spacing w:val="0"/>
          <w:w w:val="100"/>
          <w:position w:val="0"/>
          <w:sz w:val="24"/>
          <w:szCs w:val="24"/>
          <w:vertAlign w:val="superscript"/>
          <w:lang w:val="en-US" w:eastAsia="zh-CN"/>
        </w:rPr>
        <w:t>3</w:t>
      </w:r>
      <w:r>
        <w:rPr>
          <w:rFonts w:hint="eastAsia" w:ascii="Times New Roman" w:hAnsi="Times New Roman" w:eastAsia="宋体" w:cs="Times New Roman"/>
          <w:color w:val="auto"/>
          <w:spacing w:val="0"/>
          <w:w w:val="100"/>
          <w:position w:val="0"/>
          <w:sz w:val="24"/>
          <w:szCs w:val="24"/>
          <w:lang w:val="en-US" w:eastAsia="zh-CN"/>
        </w:rPr>
        <w:t>；其中苯酚有组织排放量0.1575t/a，排放速率0.0656kg/h，排放浓度3.64mg/</w:t>
      </w:r>
      <w:r>
        <w:rPr>
          <w:rFonts w:hint="eastAsia" w:cs="Times New Roman"/>
          <w:color w:val="auto"/>
          <w:spacing w:val="0"/>
          <w:w w:val="100"/>
          <w:position w:val="0"/>
          <w:sz w:val="24"/>
          <w:szCs w:val="24"/>
          <w:lang w:val="en-US" w:eastAsia="zh-CN"/>
        </w:rPr>
        <w:t>m</w:t>
      </w:r>
      <w:r>
        <w:rPr>
          <w:rFonts w:hint="eastAsia" w:cs="Times New Roman"/>
          <w:color w:val="auto"/>
          <w:spacing w:val="0"/>
          <w:w w:val="100"/>
          <w:position w:val="0"/>
          <w:sz w:val="24"/>
          <w:szCs w:val="24"/>
          <w:vertAlign w:val="superscript"/>
          <w:lang w:val="en-US" w:eastAsia="zh-CN"/>
        </w:rPr>
        <w:t>3</w:t>
      </w:r>
      <w:r>
        <w:rPr>
          <w:rFonts w:hint="eastAsia" w:ascii="Times New Roman" w:hAnsi="Times New Roman" w:eastAsia="宋体" w:cs="Times New Roman"/>
          <w:color w:val="auto"/>
          <w:spacing w:val="0"/>
          <w:w w:val="100"/>
          <w:position w:val="0"/>
          <w:sz w:val="24"/>
          <w:szCs w:val="24"/>
          <w:lang w:val="en-US" w:eastAsia="zh-CN"/>
        </w:rPr>
        <w:t>；甲醛有组织排放量0.0486t/a，排放速率0.0203kg/h，排放浓度1.13mg/</w:t>
      </w:r>
      <w:r>
        <w:rPr>
          <w:rFonts w:hint="eastAsia" w:cs="Times New Roman"/>
          <w:color w:val="auto"/>
          <w:spacing w:val="0"/>
          <w:w w:val="100"/>
          <w:position w:val="0"/>
          <w:sz w:val="24"/>
          <w:szCs w:val="24"/>
          <w:lang w:val="en-US" w:eastAsia="zh-CN"/>
        </w:rPr>
        <w:t>m</w:t>
      </w:r>
      <w:r>
        <w:rPr>
          <w:rFonts w:hint="eastAsia" w:cs="Times New Roman"/>
          <w:color w:val="auto"/>
          <w:spacing w:val="0"/>
          <w:w w:val="100"/>
          <w:position w:val="0"/>
          <w:sz w:val="24"/>
          <w:szCs w:val="24"/>
          <w:vertAlign w:val="superscript"/>
          <w:lang w:val="en-US" w:eastAsia="zh-CN"/>
        </w:rPr>
        <w:t>3</w:t>
      </w:r>
      <w:r>
        <w:rPr>
          <w:rFonts w:hint="eastAsia" w:ascii="Times New Roman" w:hAnsi="Times New Roman" w:eastAsia="宋体" w:cs="Times New Roman"/>
          <w:color w:val="auto"/>
          <w:spacing w:val="0"/>
          <w:w w:val="100"/>
          <w:position w:val="0"/>
          <w:sz w:val="24"/>
          <w:szCs w:val="24"/>
          <w:lang w:val="en-US" w:eastAsia="zh-CN"/>
        </w:rPr>
        <w:t>。</w:t>
      </w:r>
    </w:p>
    <w:p w14:paraId="1E0037B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default" w:ascii="Times New Roman" w:hAnsi="Times New Roman" w:eastAsia="宋体" w:cs="Times New Roman"/>
          <w:color w:val="auto"/>
          <w:spacing w:val="0"/>
          <w:w w:val="100"/>
          <w:position w:val="0"/>
          <w:sz w:val="24"/>
          <w:szCs w:val="24"/>
        </w:rPr>
      </w:pPr>
      <w:r>
        <w:rPr>
          <w:rFonts w:hint="eastAsia" w:ascii="Times New Roman" w:hAnsi="Times New Roman" w:eastAsia="宋体" w:cs="Times New Roman"/>
          <w:color w:val="auto"/>
          <w:spacing w:val="0"/>
          <w:w w:val="100"/>
          <w:position w:val="0"/>
          <w:sz w:val="24"/>
          <w:szCs w:val="24"/>
          <w:lang w:val="en-US" w:eastAsia="zh-CN"/>
        </w:rPr>
        <w:t>（7）</w:t>
      </w:r>
      <w:r>
        <w:rPr>
          <w:rFonts w:hint="default" w:ascii="Times New Roman" w:hAnsi="Times New Roman" w:eastAsia="宋体" w:cs="Times New Roman"/>
          <w:color w:val="auto"/>
          <w:spacing w:val="0"/>
          <w:w w:val="100"/>
          <w:position w:val="0"/>
          <w:sz w:val="24"/>
          <w:szCs w:val="24"/>
          <w:lang w:val="en-US" w:eastAsia="zh-CN"/>
        </w:rPr>
        <w:t>G7喷塑废气</w:t>
      </w:r>
    </w:p>
    <w:p w14:paraId="21F0A08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项目喷塑工序产生粉尘。塑粉主要成分为环氧树脂，参照《排放源统计调查产排污核算方法和系数手册》“33-37，431-434机械行业系数手册”“14涂装工段”中“喷塑”工段颗粒物产生系数为300kg/t粉末涂料，经估算本项目塑粉年用量约9t/a，则喷塑颗粒物产生量为2.7t/a。喷塑房内负压收集废气（收集效率按95%计），设置1套布袋除尘器装置（处理效率按99%计），处理后废气经20m高排气筒排放（DA003），布袋除尘收集后回用于生产。</w:t>
      </w:r>
    </w:p>
    <w:p w14:paraId="3688BB8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default"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b/>
          <w:bCs/>
          <w:color w:val="auto"/>
          <w:spacing w:val="0"/>
          <w:w w:val="100"/>
          <w:position w:val="0"/>
          <w:sz w:val="24"/>
          <w:szCs w:val="24"/>
          <w:lang w:val="en-US" w:eastAsia="zh-CN"/>
        </w:rPr>
        <w:t>风量计算：</w:t>
      </w:r>
      <w:r>
        <w:rPr>
          <w:rFonts w:hint="eastAsia" w:ascii="Times New Roman" w:hAnsi="Times New Roman" w:eastAsia="宋体" w:cs="Times New Roman"/>
          <w:color w:val="auto"/>
          <w:spacing w:val="0"/>
          <w:w w:val="100"/>
          <w:position w:val="0"/>
          <w:sz w:val="24"/>
          <w:szCs w:val="24"/>
          <w:lang w:val="en-US" w:eastAsia="zh-CN"/>
        </w:rPr>
        <w:t>本项目建设一个喷塑间，尺寸为20×5×3m，喷塑间每小时换气20次，则排放废气量为6000</w:t>
      </w:r>
      <w:r>
        <w:rPr>
          <w:rFonts w:hint="eastAsia" w:cs="Times New Roman"/>
          <w:color w:val="auto"/>
          <w:spacing w:val="0"/>
          <w:w w:val="100"/>
          <w:position w:val="0"/>
          <w:sz w:val="24"/>
          <w:szCs w:val="24"/>
          <w:lang w:val="en-US" w:eastAsia="zh-CN"/>
        </w:rPr>
        <w:t>m3</w:t>
      </w:r>
      <w:r>
        <w:rPr>
          <w:rFonts w:hint="eastAsia" w:ascii="Times New Roman" w:hAnsi="Times New Roman" w:eastAsia="宋体" w:cs="Times New Roman"/>
          <w:color w:val="auto"/>
          <w:spacing w:val="0"/>
          <w:w w:val="100"/>
          <w:position w:val="0"/>
          <w:sz w:val="24"/>
          <w:szCs w:val="24"/>
          <w:lang w:val="en-US" w:eastAsia="zh-CN"/>
        </w:rPr>
        <w:t>/h。</w:t>
      </w:r>
    </w:p>
    <w:p w14:paraId="641421F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喷塑工序平均每年工作约1200h，风机风量为6000m</w:t>
      </w:r>
      <w:r>
        <w:rPr>
          <w:rFonts w:hint="eastAsia" w:ascii="Times New Roman" w:hAnsi="Times New Roman" w:eastAsia="宋体" w:cs="Times New Roman"/>
          <w:color w:val="auto"/>
          <w:spacing w:val="0"/>
          <w:w w:val="100"/>
          <w:position w:val="0"/>
          <w:sz w:val="24"/>
          <w:szCs w:val="24"/>
          <w:vertAlign w:val="superscript"/>
          <w:lang w:val="en-US" w:eastAsia="zh-CN"/>
        </w:rPr>
        <w:t>3</w:t>
      </w:r>
      <w:r>
        <w:rPr>
          <w:rFonts w:hint="eastAsia" w:ascii="Times New Roman" w:hAnsi="Times New Roman" w:eastAsia="宋体" w:cs="Times New Roman"/>
          <w:color w:val="auto"/>
          <w:spacing w:val="0"/>
          <w:w w:val="100"/>
          <w:position w:val="0"/>
          <w:sz w:val="24"/>
          <w:szCs w:val="24"/>
          <w:lang w:val="en-US" w:eastAsia="zh-CN"/>
        </w:rPr>
        <w:t>/h。</w:t>
      </w:r>
      <w:r>
        <w:rPr>
          <w:rFonts w:hint="eastAsia" w:ascii="Times New Roman" w:hAnsi="Times New Roman" w:eastAsia="宋体" w:cs="Times New Roman"/>
          <w:b w:val="0"/>
          <w:bCs w:val="0"/>
          <w:color w:val="000000"/>
          <w:spacing w:val="4"/>
          <w:sz w:val="24"/>
          <w:lang w:val="en-US" w:eastAsia="zh-CN"/>
        </w:rPr>
        <w:t>经计算，颗粒物有组织产生量为2.565t/a，排放速率2.1375kg/h，排放浓度356.25mg/m</w:t>
      </w:r>
      <w:r>
        <w:rPr>
          <w:rFonts w:hint="eastAsia" w:ascii="Times New Roman" w:hAnsi="Times New Roman" w:eastAsia="宋体" w:cs="Times New Roman"/>
          <w:b w:val="0"/>
          <w:bCs w:val="0"/>
          <w:color w:val="000000"/>
          <w:spacing w:val="4"/>
          <w:sz w:val="24"/>
          <w:vertAlign w:val="superscript"/>
          <w:lang w:val="en-US" w:eastAsia="zh-CN"/>
        </w:rPr>
        <w:t>3</w:t>
      </w:r>
      <w:r>
        <w:rPr>
          <w:rFonts w:hint="eastAsia" w:ascii="Times New Roman" w:hAnsi="Times New Roman" w:eastAsia="宋体" w:cs="Times New Roman"/>
          <w:b w:val="0"/>
          <w:bCs w:val="0"/>
          <w:color w:val="000000"/>
          <w:spacing w:val="4"/>
          <w:sz w:val="24"/>
          <w:vertAlign w:val="baseline"/>
          <w:lang w:val="en-US" w:eastAsia="zh-CN"/>
        </w:rPr>
        <w:t>，</w:t>
      </w:r>
      <w:r>
        <w:rPr>
          <w:rFonts w:hint="eastAsia" w:ascii="Times New Roman" w:hAnsi="Times New Roman" w:eastAsia="宋体" w:cs="Times New Roman"/>
          <w:b w:val="0"/>
          <w:bCs w:val="0"/>
          <w:color w:val="000000"/>
          <w:spacing w:val="4"/>
          <w:sz w:val="24"/>
          <w:lang w:val="en-US" w:eastAsia="zh-CN"/>
        </w:rPr>
        <w:t>该排放口颗粒物有组织排放量为0.0257t/a，有组织排放速率0.0214kg/h，排放浓度有组织3.57mg/m</w:t>
      </w:r>
      <w:r>
        <w:rPr>
          <w:rFonts w:hint="eastAsia" w:ascii="Times New Roman" w:hAnsi="Times New Roman" w:eastAsia="宋体" w:cs="Times New Roman"/>
          <w:b w:val="0"/>
          <w:bCs w:val="0"/>
          <w:color w:val="000000"/>
          <w:spacing w:val="4"/>
          <w:sz w:val="24"/>
          <w:vertAlign w:val="superscript"/>
          <w:lang w:val="en-US" w:eastAsia="zh-CN"/>
        </w:rPr>
        <w:t>3</w:t>
      </w:r>
      <w:r>
        <w:rPr>
          <w:rFonts w:hint="eastAsia" w:ascii="Times New Roman" w:hAnsi="Times New Roman" w:eastAsia="宋体" w:cs="Times New Roman"/>
          <w:color w:val="auto"/>
          <w:spacing w:val="0"/>
          <w:w w:val="100"/>
          <w:position w:val="0"/>
          <w:sz w:val="24"/>
          <w:szCs w:val="24"/>
          <w:lang w:val="en-US" w:eastAsia="zh-CN"/>
        </w:rPr>
        <w:t>。</w:t>
      </w:r>
    </w:p>
    <w:p w14:paraId="5388B80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rFonts w:hint="default" w:ascii="Times New Roman" w:hAnsi="Times New Roman" w:eastAsia="宋体" w:cs="Times New Roman"/>
          <w:color w:val="auto"/>
          <w:spacing w:val="0"/>
          <w:w w:val="100"/>
          <w:position w:val="0"/>
          <w:sz w:val="24"/>
          <w:szCs w:val="24"/>
        </w:rPr>
      </w:pPr>
      <w:r>
        <w:rPr>
          <w:rFonts w:hint="eastAsia" w:ascii="Times New Roman" w:hAnsi="Times New Roman" w:eastAsia="宋体" w:cs="Times New Roman"/>
          <w:color w:val="auto"/>
          <w:spacing w:val="0"/>
          <w:w w:val="100"/>
          <w:position w:val="0"/>
          <w:sz w:val="24"/>
          <w:szCs w:val="24"/>
          <w:lang w:val="en-US" w:eastAsia="zh-CN"/>
        </w:rPr>
        <w:t>（8）</w:t>
      </w:r>
      <w:r>
        <w:rPr>
          <w:rFonts w:hint="default" w:ascii="Times New Roman" w:hAnsi="Times New Roman" w:eastAsia="宋体" w:cs="Times New Roman"/>
          <w:color w:val="auto"/>
          <w:spacing w:val="0"/>
          <w:w w:val="100"/>
          <w:position w:val="0"/>
          <w:sz w:val="24"/>
          <w:szCs w:val="24"/>
          <w:lang w:val="en-US" w:eastAsia="zh-CN"/>
        </w:rPr>
        <w:t>G</w:t>
      </w:r>
      <w:r>
        <w:rPr>
          <w:rFonts w:hint="eastAsia" w:ascii="Times New Roman" w:hAnsi="Times New Roman" w:eastAsia="宋体" w:cs="Times New Roman"/>
          <w:color w:val="auto"/>
          <w:spacing w:val="0"/>
          <w:w w:val="100"/>
          <w:position w:val="0"/>
          <w:sz w:val="24"/>
          <w:szCs w:val="24"/>
          <w:lang w:val="en-US" w:eastAsia="zh-CN"/>
        </w:rPr>
        <w:t>8</w:t>
      </w:r>
      <w:r>
        <w:rPr>
          <w:rFonts w:hint="default" w:ascii="Times New Roman" w:hAnsi="Times New Roman" w:eastAsia="宋体" w:cs="Times New Roman"/>
          <w:color w:val="auto"/>
          <w:spacing w:val="0"/>
          <w:w w:val="100"/>
          <w:position w:val="0"/>
          <w:sz w:val="24"/>
          <w:szCs w:val="24"/>
          <w:lang w:val="en-US" w:eastAsia="zh-CN"/>
        </w:rPr>
        <w:t>固化废气</w:t>
      </w:r>
    </w:p>
    <w:p w14:paraId="05F974E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18" w:firstLineChars="200"/>
        <w:textAlignment w:val="auto"/>
        <w:rPr>
          <w:snapToGrid w:val="0"/>
          <w:color w:val="auto"/>
        </w:rPr>
      </w:pPr>
      <w:r>
        <w:rPr>
          <w:rFonts w:hint="eastAsia" w:ascii="Times New Roman" w:hAnsi="Times New Roman" w:cs="Times New Roman"/>
          <w:b w:val="0"/>
          <w:bCs w:val="0"/>
          <w:color w:val="auto"/>
          <w:sz w:val="24"/>
          <w:highlight w:val="none"/>
          <w:lang w:val="en-US" w:eastAsia="zh-CN"/>
        </w:rPr>
        <w:t>参照《排放源统计调查产排污核算方法和系数手册》“33-37，431-434机械44行业系数手册”“14涂装工段”中“喷塑后烘干”工段挥发性有机物产生系数为1.2kg/t-原料。本项目塑粉使用量为9t/a，则固化废气VOCs（以非甲烷总烃计）产生量为0.0108t/a。固化在直式烘道内进行，固化废气仅在烘道进口及出口逸散，本项目设一条喷塑流水线，拟在烘道两端分别设置废气收集集气罩，根据前文集气罩大小为0.2m*0.2m，计算出风量为1814.4m</w:t>
      </w:r>
      <w:r>
        <w:rPr>
          <w:rFonts w:hint="eastAsia" w:ascii="Times New Roman" w:hAnsi="Times New Roman" w:cs="Times New Roman"/>
          <w:b w:val="0"/>
          <w:bCs w:val="0"/>
          <w:color w:val="auto"/>
          <w:sz w:val="24"/>
          <w:highlight w:val="none"/>
          <w:vertAlign w:val="superscript"/>
          <w:lang w:val="en-US" w:eastAsia="zh-CN"/>
        </w:rPr>
        <w:t>3</w:t>
      </w:r>
      <w:r>
        <w:rPr>
          <w:rFonts w:hint="eastAsia" w:ascii="Times New Roman" w:hAnsi="Times New Roman" w:cs="Times New Roman"/>
          <w:b w:val="0"/>
          <w:bCs w:val="0"/>
          <w:color w:val="auto"/>
          <w:sz w:val="24"/>
          <w:highlight w:val="none"/>
          <w:lang w:val="en-US" w:eastAsia="zh-CN"/>
        </w:rPr>
        <w:t>/h，考虑到损耗风量取值为2000m</w:t>
      </w:r>
      <w:r>
        <w:rPr>
          <w:rFonts w:hint="eastAsia" w:ascii="Times New Roman" w:hAnsi="Times New Roman" w:cs="Times New Roman"/>
          <w:b w:val="0"/>
          <w:bCs w:val="0"/>
          <w:color w:val="auto"/>
          <w:sz w:val="24"/>
          <w:highlight w:val="none"/>
          <w:vertAlign w:val="superscript"/>
          <w:lang w:val="en-US" w:eastAsia="zh-CN"/>
        </w:rPr>
        <w:t>3</w:t>
      </w:r>
      <w:r>
        <w:rPr>
          <w:rFonts w:hint="eastAsia" w:ascii="Times New Roman" w:hAnsi="Times New Roman" w:cs="Times New Roman"/>
          <w:b w:val="0"/>
          <w:bCs w:val="0"/>
          <w:color w:val="auto"/>
          <w:sz w:val="24"/>
          <w:highlight w:val="none"/>
          <w:lang w:val="en-US" w:eastAsia="zh-CN"/>
        </w:rPr>
        <w:t>/h。固化废气经收集后，通过二级活性炭装置处置，通过20m高排气筒（DA004）外排。废气收集效率以90%计，二级活性炭装置处理效率为90%，喷塑固化工序平均每年工作1200h，则非甲烷总烃有组织产生量 0.0097t/a，产生速率0.008kg/h，产生浓度4mg/m</w:t>
      </w:r>
      <w:r>
        <w:rPr>
          <w:rFonts w:hint="eastAsia" w:ascii="Times New Roman" w:hAnsi="Times New Roman" w:cs="Times New Roman"/>
          <w:b w:val="0"/>
          <w:bCs w:val="0"/>
          <w:color w:val="auto"/>
          <w:sz w:val="24"/>
          <w:highlight w:val="none"/>
          <w:vertAlign w:val="superscript"/>
          <w:lang w:val="en-US" w:eastAsia="zh-CN"/>
        </w:rPr>
        <w:t>3</w:t>
      </w:r>
      <w:r>
        <w:rPr>
          <w:rFonts w:hint="eastAsia" w:ascii="Times New Roman" w:hAnsi="Times New Roman" w:cs="Times New Roman"/>
          <w:b w:val="0"/>
          <w:bCs w:val="0"/>
          <w:color w:val="auto"/>
          <w:sz w:val="24"/>
          <w:highlight w:val="none"/>
          <w:lang w:val="en-US" w:eastAsia="zh-CN"/>
        </w:rPr>
        <w:t>；经二级活性炭装置处理后，非甲烷总烃有组织排放量0.001t/a，排放速率 0.001kg/h，排放浓度0.5mg/m</w:t>
      </w:r>
      <w:r>
        <w:rPr>
          <w:rFonts w:hint="eastAsia" w:ascii="Times New Roman" w:hAnsi="Times New Roman" w:cs="Times New Roman"/>
          <w:b w:val="0"/>
          <w:bCs w:val="0"/>
          <w:color w:val="auto"/>
          <w:sz w:val="24"/>
          <w:highlight w:val="none"/>
          <w:vertAlign w:val="superscript"/>
          <w:lang w:val="en-US" w:eastAsia="zh-CN"/>
        </w:rPr>
        <w:t>3</w:t>
      </w:r>
      <w:r>
        <w:rPr>
          <w:rFonts w:hint="eastAsia" w:ascii="Times New Roman" w:hAnsi="Times New Roman" w:cs="Times New Roman"/>
          <w:color w:val="auto"/>
          <w:spacing w:val="1"/>
          <w:sz w:val="24"/>
          <w:szCs w:val="24"/>
          <w:lang w:val="en-US" w:eastAsia="zh-CN"/>
        </w:rPr>
        <w:t>。</w:t>
      </w:r>
      <w:bookmarkEnd w:id="42"/>
    </w:p>
    <w:p w14:paraId="3DB20F47">
      <w:pPr>
        <w:keepNext w:val="0"/>
        <w:keepLines w:val="0"/>
        <w:pageBreakBefore w:val="0"/>
        <w:widowControl w:val="0"/>
        <w:kinsoku/>
        <w:wordWrap/>
        <w:overflowPunct/>
        <w:topLinePunct w:val="0"/>
        <w:autoSpaceDE/>
        <w:autoSpaceDN/>
        <w:bidi w:val="0"/>
        <w:adjustRightInd w:val="0"/>
        <w:snapToGrid w:val="0"/>
        <w:spacing w:line="360" w:lineRule="auto"/>
        <w:ind w:leftChars="0" w:firstLine="518" w:firstLineChars="20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3.2</w:t>
      </w:r>
      <w:r>
        <w:rPr>
          <w:rFonts w:hint="default" w:ascii="Times New Roman" w:hAnsi="Times New Roman" w:cs="Times New Roman"/>
          <w:b/>
          <w:bCs/>
          <w:color w:val="auto"/>
          <w:sz w:val="24"/>
          <w:highlight w:val="none"/>
        </w:rPr>
        <w:t>无组织废气</w:t>
      </w:r>
    </w:p>
    <w:p w14:paraId="5AC2242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textAlignment w:val="auto"/>
        <w:rPr>
          <w:rFonts w:hint="default" w:ascii="Times New Roman" w:hAnsi="Times New Roman" w:cs="Times New Roman"/>
          <w:color w:val="auto"/>
          <w:kern w:val="0"/>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①</w:t>
      </w:r>
      <w:r>
        <w:rPr>
          <w:rFonts w:hint="eastAsia" w:ascii="Times New Roman" w:hAnsi="Times New Roman" w:eastAsia="宋体" w:cs="Times New Roman"/>
          <w:b w:val="0"/>
          <w:bCs w:val="0"/>
          <w:color w:val="auto"/>
          <w:sz w:val="24"/>
          <w:szCs w:val="24"/>
          <w:highlight w:val="none"/>
          <w:lang w:val="en-US" w:eastAsia="zh-CN"/>
        </w:rPr>
        <w:t>未被收集的有机废气</w:t>
      </w:r>
    </w:p>
    <w:p w14:paraId="4FBA7736">
      <w:pPr>
        <w:keepNext w:val="0"/>
        <w:keepLines w:val="0"/>
        <w:pageBreakBefore w:val="0"/>
        <w:widowControl w:val="0"/>
        <w:kinsoku/>
        <w:wordWrap/>
        <w:overflowPunct/>
        <w:topLinePunct w:val="0"/>
        <w:autoSpaceDE/>
        <w:autoSpaceDN/>
        <w:bidi w:val="0"/>
        <w:adjustRightInd w:val="0"/>
        <w:snapToGrid w:val="0"/>
        <w:spacing w:line="360" w:lineRule="auto"/>
        <w:ind w:firstLine="518"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DA002涂胶、热压、烘干工序未收集非甲烷总烃无组织排放量</w:t>
      </w:r>
      <w:r>
        <w:rPr>
          <w:rFonts w:hint="eastAsia" w:cs="Times New Roman"/>
          <w:color w:val="auto"/>
          <w:spacing w:val="0"/>
          <w:w w:val="100"/>
          <w:position w:val="0"/>
          <w:sz w:val="24"/>
          <w:szCs w:val="24"/>
          <w:lang w:val="en-US" w:eastAsia="zh-CN"/>
        </w:rPr>
        <w:t>0.557</w:t>
      </w:r>
      <w:r>
        <w:rPr>
          <w:rFonts w:hint="default" w:ascii="Times New Roman" w:hAnsi="Times New Roman" w:eastAsia="宋体" w:cs="Times New Roman"/>
          <w:color w:val="auto"/>
          <w:spacing w:val="0"/>
          <w:w w:val="100"/>
          <w:position w:val="0"/>
          <w:sz w:val="24"/>
          <w:szCs w:val="24"/>
        </w:rPr>
        <w:t>t/a，排放速率</w:t>
      </w:r>
      <w:r>
        <w:rPr>
          <w:rFonts w:hint="eastAsia" w:cs="Times New Roman"/>
          <w:color w:val="auto"/>
          <w:spacing w:val="0"/>
          <w:w w:val="100"/>
          <w:position w:val="0"/>
          <w:sz w:val="24"/>
          <w:szCs w:val="24"/>
          <w:lang w:val="en-US" w:eastAsia="zh-CN"/>
        </w:rPr>
        <w:t>0.232</w:t>
      </w:r>
      <w:r>
        <w:rPr>
          <w:rFonts w:hint="default" w:ascii="Times New Roman" w:hAnsi="Times New Roman" w:eastAsia="宋体" w:cs="Times New Roman"/>
          <w:color w:val="auto"/>
          <w:spacing w:val="0"/>
          <w:w w:val="100"/>
          <w:position w:val="0"/>
          <w:sz w:val="24"/>
          <w:szCs w:val="24"/>
        </w:rPr>
        <w:t>kg/h；其中苯酚无组织排放量0.175t/a，排放速率0.073kg/h；甲醛无组织排放量0.054t/a，排放速率0.023kg/h。</w:t>
      </w:r>
    </w:p>
    <w:p w14:paraId="168DFA95">
      <w:pPr>
        <w:keepNext w:val="0"/>
        <w:keepLines w:val="0"/>
        <w:pageBreakBefore w:val="0"/>
        <w:widowControl w:val="0"/>
        <w:kinsoku/>
        <w:wordWrap/>
        <w:overflowPunct/>
        <w:topLinePunct w:val="0"/>
        <w:autoSpaceDE/>
        <w:autoSpaceDN/>
        <w:bidi w:val="0"/>
        <w:adjustRightInd w:val="0"/>
        <w:snapToGrid w:val="0"/>
        <w:spacing w:line="360" w:lineRule="auto"/>
        <w:ind w:firstLine="518"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DA004喷塑固化烘道未收集非甲烷总烃无组织排放量0.0011t/a，排放速率0.001kg/h；</w:t>
      </w:r>
    </w:p>
    <w:p w14:paraId="5EA139FE">
      <w:pPr>
        <w:keepNext w:val="0"/>
        <w:keepLines w:val="0"/>
        <w:pageBreakBefore w:val="0"/>
        <w:widowControl w:val="0"/>
        <w:kinsoku/>
        <w:wordWrap/>
        <w:overflowPunct/>
        <w:topLinePunct/>
        <w:autoSpaceDE w:val="0"/>
        <w:autoSpaceDN/>
        <w:bidi w:val="0"/>
        <w:adjustRightInd w:val="0"/>
        <w:snapToGrid w:val="0"/>
        <w:spacing w:line="360" w:lineRule="auto"/>
        <w:ind w:leftChars="0" w:firstLine="518" w:firstLineChars="200"/>
        <w:textAlignment w:val="auto"/>
        <w:rPr>
          <w:rFonts w:hint="default" w:ascii="Times New Roman" w:hAnsi="Times New Roman" w:cs="Times New Roman"/>
          <w:b/>
          <w:bCs/>
          <w:color w:val="auto"/>
          <w:kern w:val="0"/>
          <w:sz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②</w:t>
      </w:r>
      <w:r>
        <w:rPr>
          <w:rFonts w:hint="eastAsia" w:ascii="Times New Roman" w:hAnsi="Times New Roman" w:eastAsia="宋体" w:cs="Times New Roman"/>
          <w:b w:val="0"/>
          <w:bCs w:val="0"/>
          <w:color w:val="auto"/>
          <w:sz w:val="24"/>
          <w:szCs w:val="24"/>
          <w:highlight w:val="none"/>
          <w:lang w:val="en-US" w:eastAsia="zh-CN"/>
        </w:rPr>
        <w:t>未被收集的</w:t>
      </w:r>
      <w:r>
        <w:rPr>
          <w:rFonts w:hint="default" w:ascii="Times New Roman" w:hAnsi="Times New Roman" w:eastAsia="宋体" w:cs="Times New Roman"/>
          <w:b w:val="0"/>
          <w:bCs w:val="0"/>
          <w:color w:val="auto"/>
          <w:sz w:val="24"/>
          <w:szCs w:val="24"/>
          <w:highlight w:val="none"/>
          <w:lang w:val="en-US" w:eastAsia="zh-CN"/>
        </w:rPr>
        <w:t>颗粒物</w:t>
      </w:r>
    </w:p>
    <w:p w14:paraId="0CBA2909">
      <w:pPr>
        <w:spacing w:line="360" w:lineRule="auto"/>
        <w:ind w:firstLine="518" w:firstLineChars="200"/>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DA001抛光、混料、打磨工序未收集颗粒物无组织排放量0.1836t/a，排放速率0.077kg/h；</w:t>
      </w:r>
    </w:p>
    <w:p w14:paraId="4D85183E">
      <w:pPr>
        <w:spacing w:line="360" w:lineRule="auto"/>
        <w:ind w:firstLine="518" w:firstLineChars="200"/>
        <w:rPr>
          <w:rFonts w:hint="eastAsia" w:ascii="Times New Roman" w:hAnsi="Times New Roman" w:eastAsia="宋体" w:cs="Times New Roman"/>
          <w:color w:val="auto"/>
          <w:spacing w:val="0"/>
          <w:w w:val="100"/>
          <w:position w:val="0"/>
          <w:sz w:val="24"/>
          <w:szCs w:val="24"/>
          <w:lang w:val="en-US" w:eastAsia="zh-CN"/>
        </w:rPr>
      </w:pPr>
      <w:r>
        <w:rPr>
          <w:rFonts w:hint="eastAsia" w:ascii="Times New Roman" w:hAnsi="Times New Roman" w:eastAsia="宋体" w:cs="Times New Roman"/>
          <w:color w:val="auto"/>
          <w:spacing w:val="0"/>
          <w:w w:val="100"/>
          <w:position w:val="0"/>
          <w:sz w:val="24"/>
          <w:szCs w:val="24"/>
          <w:lang w:val="en-US" w:eastAsia="zh-CN"/>
        </w:rPr>
        <w:t>DA003喷塑工序未收集颗粒物无组织排放量0.135t/a，排放速率0.113kg/h；</w:t>
      </w:r>
    </w:p>
    <w:p w14:paraId="3946E568">
      <w:pPr>
        <w:sectPr>
          <w:footerReference r:id="rId12" w:type="default"/>
          <w:pgSz w:w="11906" w:h="16838"/>
          <w:pgMar w:top="1440" w:right="1418" w:bottom="1440" w:left="1418" w:header="851" w:footer="992" w:gutter="0"/>
          <w:pgNumType w:fmt="numberInDash"/>
          <w:cols w:space="720" w:num="1"/>
          <w:docGrid w:type="linesAndChars" w:linePitch="326" w:charSpace="3920"/>
        </w:sectPr>
      </w:pPr>
    </w:p>
    <w:p w14:paraId="642534CC">
      <w:pPr>
        <w:pStyle w:val="4"/>
        <w:rPr>
          <w:rFonts w:ascii="Times New Roman" w:hAnsi="Times New Roman"/>
          <w:snapToGrid w:val="0"/>
          <w:color w:val="auto"/>
        </w:rPr>
      </w:pPr>
      <w:bookmarkStart w:id="43" w:name="_Toc97323097"/>
      <w:r>
        <w:rPr>
          <w:rFonts w:ascii="Times New Roman" w:hAnsi="Times New Roman"/>
          <w:snapToGrid w:val="0"/>
          <w:color w:val="auto"/>
        </w:rPr>
        <w:t>3.2</w:t>
      </w:r>
      <w:r>
        <w:rPr>
          <w:rFonts w:ascii="Times New Roman" w:hAnsi="Times New Roman"/>
          <w:snapToGrid w:val="0"/>
          <w:color w:val="auto"/>
          <w:kern w:val="0"/>
          <w:szCs w:val="21"/>
        </w:rPr>
        <w:t>废气收集、处理及排放方式汇总</w:t>
      </w:r>
      <w:bookmarkEnd w:id="43"/>
    </w:p>
    <w:p w14:paraId="4B794575">
      <w:pPr>
        <w:autoSpaceDE w:val="0"/>
        <w:autoSpaceDN w:val="0"/>
        <w:adjustRightInd w:val="0"/>
        <w:snapToGrid w:val="0"/>
        <w:ind w:firstLine="420" w:firstLineChars="200"/>
        <w:rPr>
          <w:snapToGrid w:val="0"/>
          <w:color w:val="auto"/>
          <w:kern w:val="0"/>
          <w:szCs w:val="21"/>
        </w:rPr>
      </w:pPr>
      <w:r>
        <w:rPr>
          <w:snapToGrid w:val="0"/>
          <w:color w:val="auto"/>
          <w:kern w:val="0"/>
          <w:szCs w:val="21"/>
        </w:rPr>
        <w:t>废气收集、处理及排放方式情况见表3-</w:t>
      </w:r>
      <w:r>
        <w:rPr>
          <w:rFonts w:hint="eastAsia"/>
          <w:snapToGrid w:val="0"/>
          <w:color w:val="auto"/>
          <w:kern w:val="0"/>
          <w:szCs w:val="21"/>
          <w:lang w:val="en-US" w:eastAsia="zh-CN"/>
        </w:rPr>
        <w:t>3</w:t>
      </w:r>
      <w:r>
        <w:rPr>
          <w:snapToGrid w:val="0"/>
          <w:color w:val="auto"/>
          <w:kern w:val="0"/>
          <w:szCs w:val="21"/>
        </w:rPr>
        <w:t>。</w:t>
      </w:r>
    </w:p>
    <w:p w14:paraId="73C5E15F">
      <w:pPr>
        <w:adjustRightInd w:val="0"/>
        <w:snapToGrid w:val="0"/>
        <w:spacing w:line="240" w:lineRule="auto"/>
        <w:jc w:val="center"/>
        <w:rPr>
          <w:rFonts w:hint="default" w:ascii="Times New Roman" w:hAnsi="Times New Roman" w:cs="Times New Roman"/>
          <w:b/>
          <w:bCs/>
          <w:snapToGrid w:val="0"/>
          <w:color w:val="auto"/>
          <w:kern w:val="0"/>
          <w:szCs w:val="21"/>
        </w:rPr>
      </w:pPr>
      <w:r>
        <w:rPr>
          <w:rFonts w:hint="default" w:ascii="Times New Roman" w:hAnsi="Times New Roman" w:cs="Times New Roman"/>
          <w:b/>
          <w:bCs/>
          <w:snapToGrid w:val="0"/>
          <w:color w:val="auto"/>
          <w:kern w:val="0"/>
          <w:szCs w:val="21"/>
        </w:rPr>
        <w:t>表</w:t>
      </w:r>
      <w:r>
        <w:rPr>
          <w:rFonts w:hint="eastAsia" w:ascii="Times New Roman" w:hAnsi="Times New Roman" w:cs="Times New Roman"/>
          <w:b/>
          <w:bCs/>
          <w:snapToGrid w:val="0"/>
          <w:color w:val="auto"/>
          <w:kern w:val="0"/>
          <w:szCs w:val="21"/>
          <w:lang w:val="en-US" w:eastAsia="zh-CN"/>
        </w:rPr>
        <w:t>3-3</w:t>
      </w:r>
      <w:r>
        <w:rPr>
          <w:rFonts w:hint="default" w:ascii="Times New Roman" w:hAnsi="Times New Roman" w:cs="Times New Roman"/>
          <w:b/>
          <w:bCs/>
          <w:snapToGrid w:val="0"/>
          <w:color w:val="auto"/>
          <w:kern w:val="0"/>
          <w:szCs w:val="21"/>
        </w:rPr>
        <w:t xml:space="preserve">  废气收集、处理、排放方式情况一览表</w:t>
      </w:r>
    </w:p>
    <w:tbl>
      <w:tblPr>
        <w:tblStyle w:val="25"/>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612"/>
        <w:gridCol w:w="683"/>
        <w:gridCol w:w="570"/>
        <w:gridCol w:w="683"/>
        <w:gridCol w:w="878"/>
        <w:gridCol w:w="578"/>
        <w:gridCol w:w="459"/>
        <w:gridCol w:w="459"/>
        <w:gridCol w:w="524"/>
        <w:gridCol w:w="924"/>
        <w:gridCol w:w="810"/>
        <w:gridCol w:w="924"/>
        <w:gridCol w:w="635"/>
        <w:gridCol w:w="629"/>
        <w:gridCol w:w="456"/>
        <w:gridCol w:w="456"/>
        <w:gridCol w:w="476"/>
        <w:gridCol w:w="674"/>
        <w:gridCol w:w="691"/>
        <w:gridCol w:w="836"/>
        <w:gridCol w:w="745"/>
      </w:tblGrid>
      <w:tr w14:paraId="460B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9" w:type="pct"/>
            <w:vMerge w:val="restart"/>
            <w:noWrap w:val="0"/>
            <w:tcMar>
              <w:left w:w="0" w:type="dxa"/>
              <w:right w:w="0" w:type="dxa"/>
            </w:tcMar>
            <w:vAlign w:val="center"/>
          </w:tcPr>
          <w:p w14:paraId="0BF7698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bookmarkStart w:id="44" w:name="OLE_LINK1" w:colFirst="0" w:colLast="4"/>
            <w:r>
              <w:rPr>
                <w:rFonts w:hint="default" w:ascii="Times New Roman" w:hAnsi="Times New Roman" w:eastAsia="宋体" w:cs="Times New Roman"/>
                <w:b/>
                <w:bCs/>
                <w:color w:val="auto"/>
                <w:sz w:val="21"/>
                <w:szCs w:val="21"/>
                <w:highlight w:val="none"/>
              </w:rPr>
              <w:t>产排污环节</w:t>
            </w:r>
          </w:p>
        </w:tc>
        <w:tc>
          <w:tcPr>
            <w:tcW w:w="216" w:type="pct"/>
            <w:vMerge w:val="restart"/>
            <w:noWrap w:val="0"/>
            <w:tcMar>
              <w:left w:w="0" w:type="dxa"/>
              <w:right w:w="0" w:type="dxa"/>
            </w:tcMar>
            <w:vAlign w:val="center"/>
          </w:tcPr>
          <w:p w14:paraId="51BBD7F3">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污染物种类</w:t>
            </w:r>
          </w:p>
        </w:tc>
        <w:tc>
          <w:tcPr>
            <w:tcW w:w="241" w:type="pct"/>
            <w:vMerge w:val="restart"/>
            <w:noWrap w:val="0"/>
            <w:tcMar>
              <w:left w:w="0" w:type="dxa"/>
              <w:right w:w="0" w:type="dxa"/>
            </w:tcMar>
            <w:vAlign w:val="center"/>
          </w:tcPr>
          <w:p w14:paraId="7795CAC3">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污染物产生浓度mg/m</w:t>
            </w:r>
            <w:r>
              <w:rPr>
                <w:rFonts w:hint="default" w:ascii="Times New Roman" w:hAnsi="Times New Roman" w:eastAsia="宋体" w:cs="Times New Roman"/>
                <w:b/>
                <w:bCs/>
                <w:color w:val="auto"/>
                <w:sz w:val="21"/>
                <w:szCs w:val="21"/>
                <w:highlight w:val="none"/>
                <w:vertAlign w:val="superscript"/>
              </w:rPr>
              <w:t>3</w:t>
            </w:r>
          </w:p>
        </w:tc>
        <w:tc>
          <w:tcPr>
            <w:tcW w:w="201" w:type="pct"/>
            <w:vMerge w:val="restart"/>
            <w:noWrap w:val="0"/>
            <w:tcMar>
              <w:left w:w="0" w:type="dxa"/>
              <w:right w:w="0" w:type="dxa"/>
            </w:tcMar>
            <w:vAlign w:val="center"/>
          </w:tcPr>
          <w:p w14:paraId="37AD9883">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污染物产生速率kg/h</w:t>
            </w:r>
          </w:p>
        </w:tc>
        <w:tc>
          <w:tcPr>
            <w:tcW w:w="241" w:type="pct"/>
            <w:vMerge w:val="restart"/>
            <w:noWrap w:val="0"/>
            <w:tcMar>
              <w:left w:w="0" w:type="dxa"/>
              <w:right w:w="0" w:type="dxa"/>
            </w:tcMar>
            <w:vAlign w:val="center"/>
          </w:tcPr>
          <w:p w14:paraId="66DEF22B">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污染物产生量t/a</w:t>
            </w:r>
          </w:p>
        </w:tc>
        <w:tc>
          <w:tcPr>
            <w:tcW w:w="1023" w:type="pct"/>
            <w:gridSpan w:val="5"/>
            <w:noWrap w:val="0"/>
            <w:tcMar>
              <w:left w:w="0" w:type="dxa"/>
              <w:right w:w="0" w:type="dxa"/>
            </w:tcMar>
            <w:vAlign w:val="center"/>
          </w:tcPr>
          <w:p w14:paraId="05ACBCB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治理设施</w:t>
            </w:r>
          </w:p>
        </w:tc>
        <w:tc>
          <w:tcPr>
            <w:tcW w:w="326" w:type="pct"/>
            <w:vMerge w:val="restart"/>
            <w:noWrap w:val="0"/>
            <w:tcMar>
              <w:left w:w="0" w:type="dxa"/>
              <w:right w:w="0" w:type="dxa"/>
            </w:tcMar>
            <w:vAlign w:val="center"/>
          </w:tcPr>
          <w:p w14:paraId="7873B09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污染物排放浓度mg/m</w:t>
            </w:r>
            <w:r>
              <w:rPr>
                <w:rFonts w:hint="default" w:ascii="Times New Roman" w:hAnsi="Times New Roman" w:eastAsia="宋体" w:cs="Times New Roman"/>
                <w:b/>
                <w:bCs/>
                <w:color w:val="auto"/>
                <w:sz w:val="21"/>
                <w:szCs w:val="21"/>
                <w:highlight w:val="none"/>
                <w:vertAlign w:val="superscript"/>
              </w:rPr>
              <w:t>3</w:t>
            </w:r>
          </w:p>
        </w:tc>
        <w:tc>
          <w:tcPr>
            <w:tcW w:w="286" w:type="pct"/>
            <w:vMerge w:val="restart"/>
            <w:noWrap w:val="0"/>
            <w:tcMar>
              <w:left w:w="0" w:type="dxa"/>
              <w:right w:w="0" w:type="dxa"/>
            </w:tcMar>
            <w:vAlign w:val="center"/>
          </w:tcPr>
          <w:p w14:paraId="032FF8C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污染物排放速率kg/h</w:t>
            </w:r>
          </w:p>
        </w:tc>
        <w:tc>
          <w:tcPr>
            <w:tcW w:w="326" w:type="pct"/>
            <w:vMerge w:val="restart"/>
            <w:noWrap w:val="0"/>
            <w:tcMar>
              <w:left w:w="0" w:type="dxa"/>
              <w:right w:w="0" w:type="dxa"/>
            </w:tcMar>
            <w:vAlign w:val="center"/>
          </w:tcPr>
          <w:p w14:paraId="58E399D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污染物排放量t/a</w:t>
            </w:r>
          </w:p>
        </w:tc>
        <w:tc>
          <w:tcPr>
            <w:tcW w:w="446" w:type="pct"/>
            <w:gridSpan w:val="2"/>
            <w:noWrap w:val="0"/>
            <w:tcMar>
              <w:left w:w="0" w:type="dxa"/>
              <w:right w:w="0" w:type="dxa"/>
            </w:tcMar>
            <w:vAlign w:val="center"/>
          </w:tcPr>
          <w:p w14:paraId="1454A134">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排放标准</w:t>
            </w:r>
          </w:p>
        </w:tc>
        <w:tc>
          <w:tcPr>
            <w:tcW w:w="1530" w:type="pct"/>
            <w:gridSpan w:val="7"/>
            <w:noWrap w:val="0"/>
            <w:vAlign w:val="center"/>
          </w:tcPr>
          <w:p w14:paraId="5619C0D1">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排放口基本情况</w:t>
            </w:r>
          </w:p>
        </w:tc>
      </w:tr>
      <w:tr w14:paraId="6FC3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9" w:type="pct"/>
            <w:vMerge w:val="continue"/>
            <w:noWrap w:val="0"/>
            <w:tcMar>
              <w:left w:w="0" w:type="dxa"/>
              <w:right w:w="0" w:type="dxa"/>
            </w:tcMar>
            <w:vAlign w:val="center"/>
          </w:tcPr>
          <w:p w14:paraId="2326CDD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16" w:type="pct"/>
            <w:vMerge w:val="continue"/>
            <w:noWrap w:val="0"/>
            <w:tcMar>
              <w:left w:w="0" w:type="dxa"/>
              <w:right w:w="0" w:type="dxa"/>
            </w:tcMar>
            <w:vAlign w:val="center"/>
          </w:tcPr>
          <w:p w14:paraId="32EA03E9">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41" w:type="pct"/>
            <w:vMerge w:val="continue"/>
            <w:noWrap w:val="0"/>
            <w:tcMar>
              <w:left w:w="0" w:type="dxa"/>
              <w:right w:w="0" w:type="dxa"/>
            </w:tcMar>
            <w:vAlign w:val="center"/>
          </w:tcPr>
          <w:p w14:paraId="67FBD6E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01" w:type="pct"/>
            <w:vMerge w:val="continue"/>
            <w:noWrap w:val="0"/>
            <w:tcMar>
              <w:left w:w="0" w:type="dxa"/>
              <w:right w:w="0" w:type="dxa"/>
            </w:tcMar>
            <w:vAlign w:val="center"/>
          </w:tcPr>
          <w:p w14:paraId="21BD91B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41" w:type="pct"/>
            <w:vMerge w:val="continue"/>
            <w:noWrap w:val="0"/>
            <w:tcMar>
              <w:left w:w="0" w:type="dxa"/>
              <w:right w:w="0" w:type="dxa"/>
            </w:tcMar>
            <w:vAlign w:val="center"/>
          </w:tcPr>
          <w:p w14:paraId="3A791AC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310" w:type="pct"/>
            <w:vMerge w:val="restart"/>
            <w:noWrap w:val="0"/>
            <w:tcMar>
              <w:left w:w="0" w:type="dxa"/>
              <w:right w:w="0" w:type="dxa"/>
            </w:tcMar>
            <w:vAlign w:val="center"/>
          </w:tcPr>
          <w:p w14:paraId="462FC1B1">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治理工艺</w:t>
            </w:r>
          </w:p>
        </w:tc>
        <w:tc>
          <w:tcPr>
            <w:tcW w:w="204" w:type="pct"/>
            <w:vMerge w:val="restart"/>
            <w:noWrap w:val="0"/>
            <w:tcMar>
              <w:left w:w="0" w:type="dxa"/>
              <w:right w:w="0" w:type="dxa"/>
            </w:tcMar>
            <w:vAlign w:val="center"/>
          </w:tcPr>
          <w:p w14:paraId="7D1E5B51">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处理能力m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/h</w:t>
            </w:r>
          </w:p>
        </w:tc>
        <w:tc>
          <w:tcPr>
            <w:tcW w:w="162" w:type="pct"/>
            <w:vMerge w:val="restart"/>
            <w:noWrap w:val="0"/>
            <w:tcMar>
              <w:left w:w="0" w:type="dxa"/>
              <w:right w:w="0" w:type="dxa"/>
            </w:tcMar>
            <w:vAlign w:val="center"/>
          </w:tcPr>
          <w:p w14:paraId="0D773D7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收集效率%</w:t>
            </w:r>
          </w:p>
        </w:tc>
        <w:tc>
          <w:tcPr>
            <w:tcW w:w="162" w:type="pct"/>
            <w:vMerge w:val="restart"/>
            <w:noWrap w:val="0"/>
            <w:tcMar>
              <w:left w:w="0" w:type="dxa"/>
              <w:right w:w="0" w:type="dxa"/>
            </w:tcMar>
            <w:vAlign w:val="center"/>
          </w:tcPr>
          <w:p w14:paraId="746F6A6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去除率%</w:t>
            </w:r>
          </w:p>
        </w:tc>
        <w:tc>
          <w:tcPr>
            <w:tcW w:w="183" w:type="pct"/>
            <w:vMerge w:val="restart"/>
            <w:noWrap w:val="0"/>
            <w:tcMar>
              <w:left w:w="0" w:type="dxa"/>
              <w:right w:w="0" w:type="dxa"/>
            </w:tcMar>
            <w:vAlign w:val="center"/>
          </w:tcPr>
          <w:p w14:paraId="27CDBF5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是否为可行技术</w:t>
            </w:r>
          </w:p>
        </w:tc>
        <w:tc>
          <w:tcPr>
            <w:tcW w:w="326" w:type="pct"/>
            <w:vMerge w:val="continue"/>
            <w:noWrap w:val="0"/>
            <w:tcMar>
              <w:left w:w="0" w:type="dxa"/>
              <w:right w:w="0" w:type="dxa"/>
            </w:tcMar>
            <w:vAlign w:val="center"/>
          </w:tcPr>
          <w:p w14:paraId="31A497A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86" w:type="pct"/>
            <w:vMerge w:val="continue"/>
            <w:noWrap w:val="0"/>
            <w:tcMar>
              <w:left w:w="0" w:type="dxa"/>
              <w:right w:w="0" w:type="dxa"/>
            </w:tcMar>
            <w:vAlign w:val="center"/>
          </w:tcPr>
          <w:p w14:paraId="6FCAC3A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326" w:type="pct"/>
            <w:vMerge w:val="continue"/>
            <w:noWrap w:val="0"/>
            <w:tcMar>
              <w:left w:w="0" w:type="dxa"/>
              <w:right w:w="0" w:type="dxa"/>
            </w:tcMar>
            <w:vAlign w:val="center"/>
          </w:tcPr>
          <w:p w14:paraId="4C6892D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24" w:type="pct"/>
            <w:vMerge w:val="restart"/>
            <w:noWrap w:val="0"/>
            <w:tcMar>
              <w:left w:w="0" w:type="dxa"/>
              <w:right w:w="0" w:type="dxa"/>
            </w:tcMar>
            <w:vAlign w:val="center"/>
          </w:tcPr>
          <w:p w14:paraId="27D43E9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浓度mg/m</w:t>
            </w:r>
            <w:r>
              <w:rPr>
                <w:rFonts w:hint="default" w:ascii="Times New Roman" w:hAnsi="Times New Roman" w:eastAsia="宋体" w:cs="Times New Roman"/>
                <w:b/>
                <w:bCs/>
                <w:color w:val="auto"/>
                <w:sz w:val="21"/>
                <w:szCs w:val="21"/>
                <w:highlight w:val="none"/>
                <w:vertAlign w:val="superscript"/>
              </w:rPr>
              <w:t>3</w:t>
            </w:r>
          </w:p>
        </w:tc>
        <w:tc>
          <w:tcPr>
            <w:tcW w:w="222" w:type="pct"/>
            <w:vMerge w:val="restart"/>
            <w:noWrap w:val="0"/>
            <w:tcMar>
              <w:left w:w="0" w:type="dxa"/>
              <w:right w:w="0" w:type="dxa"/>
            </w:tcMar>
            <w:vAlign w:val="center"/>
          </w:tcPr>
          <w:p w14:paraId="3E956DC7">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速率kg/h</w:t>
            </w:r>
          </w:p>
        </w:tc>
        <w:tc>
          <w:tcPr>
            <w:tcW w:w="161" w:type="pct"/>
            <w:vMerge w:val="restart"/>
            <w:noWrap w:val="0"/>
            <w:vAlign w:val="center"/>
          </w:tcPr>
          <w:p w14:paraId="5C403DAB">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高度</w:t>
            </w:r>
          </w:p>
          <w:p w14:paraId="6A7A6F13">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w:t>
            </w:r>
          </w:p>
        </w:tc>
        <w:tc>
          <w:tcPr>
            <w:tcW w:w="161" w:type="pct"/>
            <w:vMerge w:val="restart"/>
            <w:noWrap w:val="0"/>
            <w:vAlign w:val="center"/>
          </w:tcPr>
          <w:p w14:paraId="3ACE476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内径</w:t>
            </w:r>
          </w:p>
          <w:p w14:paraId="26A3AFF3">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w:t>
            </w:r>
          </w:p>
        </w:tc>
        <w:tc>
          <w:tcPr>
            <w:tcW w:w="168" w:type="pct"/>
            <w:vMerge w:val="restart"/>
            <w:noWrap w:val="0"/>
            <w:vAlign w:val="center"/>
          </w:tcPr>
          <w:p w14:paraId="3ADDD401">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温度</w:t>
            </w:r>
          </w:p>
          <w:p w14:paraId="29157A04">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w:t>
            </w:r>
          </w:p>
        </w:tc>
        <w:tc>
          <w:tcPr>
            <w:tcW w:w="238" w:type="pct"/>
            <w:vMerge w:val="restart"/>
            <w:noWrap w:val="0"/>
            <w:vAlign w:val="center"/>
          </w:tcPr>
          <w:p w14:paraId="0DD3C15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编号</w:t>
            </w:r>
          </w:p>
        </w:tc>
        <w:tc>
          <w:tcPr>
            <w:tcW w:w="244" w:type="pct"/>
            <w:vMerge w:val="restart"/>
            <w:noWrap w:val="0"/>
            <w:vAlign w:val="center"/>
          </w:tcPr>
          <w:p w14:paraId="099F370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类型</w:t>
            </w:r>
          </w:p>
        </w:tc>
        <w:tc>
          <w:tcPr>
            <w:tcW w:w="556" w:type="pct"/>
            <w:gridSpan w:val="2"/>
            <w:noWrap w:val="0"/>
            <w:vAlign w:val="center"/>
          </w:tcPr>
          <w:p w14:paraId="2FF9A53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坐标</w:t>
            </w:r>
          </w:p>
        </w:tc>
      </w:tr>
      <w:tr w14:paraId="427A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9" w:type="pct"/>
            <w:vMerge w:val="continue"/>
            <w:noWrap w:val="0"/>
            <w:tcMar>
              <w:left w:w="0" w:type="dxa"/>
              <w:right w:w="0" w:type="dxa"/>
            </w:tcMar>
            <w:vAlign w:val="center"/>
          </w:tcPr>
          <w:p w14:paraId="64416139">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16" w:type="pct"/>
            <w:vMerge w:val="continue"/>
            <w:noWrap w:val="0"/>
            <w:tcMar>
              <w:left w:w="0" w:type="dxa"/>
              <w:right w:w="0" w:type="dxa"/>
            </w:tcMar>
            <w:vAlign w:val="center"/>
          </w:tcPr>
          <w:p w14:paraId="69BFEF70">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41" w:type="pct"/>
            <w:vMerge w:val="continue"/>
            <w:noWrap w:val="0"/>
            <w:tcMar>
              <w:left w:w="0" w:type="dxa"/>
              <w:right w:w="0" w:type="dxa"/>
            </w:tcMar>
            <w:vAlign w:val="center"/>
          </w:tcPr>
          <w:p w14:paraId="619F80F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01" w:type="pct"/>
            <w:vMerge w:val="continue"/>
            <w:noWrap w:val="0"/>
            <w:tcMar>
              <w:left w:w="0" w:type="dxa"/>
              <w:right w:w="0" w:type="dxa"/>
            </w:tcMar>
            <w:vAlign w:val="center"/>
          </w:tcPr>
          <w:p w14:paraId="3CC24A1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41" w:type="pct"/>
            <w:vMerge w:val="continue"/>
            <w:noWrap w:val="0"/>
            <w:tcMar>
              <w:left w:w="0" w:type="dxa"/>
              <w:right w:w="0" w:type="dxa"/>
            </w:tcMar>
            <w:vAlign w:val="center"/>
          </w:tcPr>
          <w:p w14:paraId="5867DA87">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310" w:type="pct"/>
            <w:vMerge w:val="continue"/>
            <w:noWrap w:val="0"/>
            <w:tcMar>
              <w:left w:w="0" w:type="dxa"/>
              <w:right w:w="0" w:type="dxa"/>
            </w:tcMar>
            <w:vAlign w:val="center"/>
          </w:tcPr>
          <w:p w14:paraId="1CA83FDB">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04" w:type="pct"/>
            <w:vMerge w:val="continue"/>
            <w:noWrap w:val="0"/>
            <w:tcMar>
              <w:left w:w="0" w:type="dxa"/>
              <w:right w:w="0" w:type="dxa"/>
            </w:tcMar>
            <w:vAlign w:val="center"/>
          </w:tcPr>
          <w:p w14:paraId="4DC131F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162" w:type="pct"/>
            <w:vMerge w:val="continue"/>
            <w:noWrap w:val="0"/>
            <w:tcMar>
              <w:left w:w="0" w:type="dxa"/>
              <w:right w:w="0" w:type="dxa"/>
            </w:tcMar>
            <w:vAlign w:val="center"/>
          </w:tcPr>
          <w:p w14:paraId="589FF86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162" w:type="pct"/>
            <w:vMerge w:val="continue"/>
            <w:noWrap w:val="0"/>
            <w:tcMar>
              <w:left w:w="0" w:type="dxa"/>
              <w:right w:w="0" w:type="dxa"/>
            </w:tcMar>
            <w:vAlign w:val="center"/>
          </w:tcPr>
          <w:p w14:paraId="79F0EBD2">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183" w:type="pct"/>
            <w:vMerge w:val="continue"/>
            <w:noWrap w:val="0"/>
            <w:tcMar>
              <w:left w:w="0" w:type="dxa"/>
              <w:right w:w="0" w:type="dxa"/>
            </w:tcMar>
            <w:vAlign w:val="center"/>
          </w:tcPr>
          <w:p w14:paraId="1D987C88">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326" w:type="pct"/>
            <w:vMerge w:val="continue"/>
            <w:noWrap w:val="0"/>
            <w:tcMar>
              <w:left w:w="0" w:type="dxa"/>
              <w:right w:w="0" w:type="dxa"/>
            </w:tcMar>
            <w:vAlign w:val="center"/>
          </w:tcPr>
          <w:p w14:paraId="5347EC1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86" w:type="pct"/>
            <w:vMerge w:val="continue"/>
            <w:noWrap w:val="0"/>
            <w:tcMar>
              <w:left w:w="0" w:type="dxa"/>
              <w:right w:w="0" w:type="dxa"/>
            </w:tcMar>
            <w:vAlign w:val="center"/>
          </w:tcPr>
          <w:p w14:paraId="4B0C205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326" w:type="pct"/>
            <w:vMerge w:val="continue"/>
            <w:noWrap w:val="0"/>
            <w:tcMar>
              <w:left w:w="0" w:type="dxa"/>
              <w:right w:w="0" w:type="dxa"/>
            </w:tcMar>
            <w:vAlign w:val="center"/>
          </w:tcPr>
          <w:p w14:paraId="3AA2D14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24" w:type="pct"/>
            <w:vMerge w:val="continue"/>
            <w:noWrap w:val="0"/>
            <w:tcMar>
              <w:left w:w="0" w:type="dxa"/>
              <w:right w:w="0" w:type="dxa"/>
            </w:tcMar>
            <w:vAlign w:val="center"/>
          </w:tcPr>
          <w:p w14:paraId="7F7EA8C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22" w:type="pct"/>
            <w:vMerge w:val="continue"/>
            <w:noWrap w:val="0"/>
            <w:tcMar>
              <w:left w:w="0" w:type="dxa"/>
              <w:right w:w="0" w:type="dxa"/>
            </w:tcMar>
            <w:vAlign w:val="center"/>
          </w:tcPr>
          <w:p w14:paraId="1AA29131">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161" w:type="pct"/>
            <w:vMerge w:val="continue"/>
            <w:noWrap w:val="0"/>
            <w:vAlign w:val="center"/>
          </w:tcPr>
          <w:p w14:paraId="1B2FA50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161" w:type="pct"/>
            <w:vMerge w:val="continue"/>
            <w:noWrap w:val="0"/>
            <w:vAlign w:val="center"/>
          </w:tcPr>
          <w:p w14:paraId="647B535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168" w:type="pct"/>
            <w:vMerge w:val="continue"/>
            <w:noWrap w:val="0"/>
            <w:vAlign w:val="center"/>
          </w:tcPr>
          <w:p w14:paraId="7D3BA764">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38" w:type="pct"/>
            <w:vMerge w:val="continue"/>
            <w:noWrap w:val="0"/>
            <w:vAlign w:val="center"/>
          </w:tcPr>
          <w:p w14:paraId="30B3C98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44" w:type="pct"/>
            <w:vMerge w:val="continue"/>
            <w:noWrap w:val="0"/>
            <w:vAlign w:val="center"/>
          </w:tcPr>
          <w:p w14:paraId="7DBEB9A8">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p>
        </w:tc>
        <w:tc>
          <w:tcPr>
            <w:tcW w:w="295" w:type="pct"/>
            <w:noWrap w:val="0"/>
            <w:vAlign w:val="center"/>
          </w:tcPr>
          <w:p w14:paraId="045969B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经度</w:t>
            </w:r>
          </w:p>
        </w:tc>
        <w:tc>
          <w:tcPr>
            <w:tcW w:w="261" w:type="pct"/>
            <w:noWrap w:val="0"/>
            <w:vAlign w:val="center"/>
          </w:tcPr>
          <w:p w14:paraId="171E8CE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纬度</w:t>
            </w:r>
          </w:p>
        </w:tc>
      </w:tr>
      <w:tr w14:paraId="3304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59" w:type="pct"/>
            <w:noWrap w:val="0"/>
            <w:tcMar>
              <w:left w:w="0" w:type="dxa"/>
              <w:right w:w="0" w:type="dxa"/>
            </w:tcMar>
            <w:vAlign w:val="center"/>
          </w:tcPr>
          <w:p w14:paraId="171DB07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抛光、混料、打磨</w:t>
            </w:r>
          </w:p>
        </w:tc>
        <w:tc>
          <w:tcPr>
            <w:tcW w:w="216" w:type="pct"/>
            <w:noWrap w:val="0"/>
            <w:tcMar>
              <w:left w:w="0" w:type="dxa"/>
              <w:right w:w="0" w:type="dxa"/>
            </w:tcMar>
            <w:vAlign w:val="center"/>
          </w:tcPr>
          <w:p w14:paraId="3411BB64">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p>
        </w:tc>
        <w:tc>
          <w:tcPr>
            <w:tcW w:w="241" w:type="pct"/>
            <w:noWrap w:val="0"/>
            <w:tcMar>
              <w:left w:w="0" w:type="dxa"/>
              <w:right w:w="0" w:type="dxa"/>
            </w:tcMar>
            <w:vAlign w:val="center"/>
          </w:tcPr>
          <w:p w14:paraId="63FB7003">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57.37</w:t>
            </w:r>
          </w:p>
        </w:tc>
        <w:tc>
          <w:tcPr>
            <w:tcW w:w="201" w:type="pct"/>
            <w:noWrap w:val="0"/>
            <w:tcMar>
              <w:left w:w="0" w:type="dxa"/>
              <w:right w:w="0" w:type="dxa"/>
            </w:tcMar>
            <w:vAlign w:val="center"/>
          </w:tcPr>
          <w:p w14:paraId="7ED4A55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0.688</w:t>
            </w:r>
          </w:p>
        </w:tc>
        <w:tc>
          <w:tcPr>
            <w:tcW w:w="241" w:type="pct"/>
            <w:noWrap w:val="0"/>
            <w:tcMar>
              <w:left w:w="0" w:type="dxa"/>
              <w:right w:w="0" w:type="dxa"/>
            </w:tcMar>
            <w:vAlign w:val="center"/>
          </w:tcPr>
          <w:p w14:paraId="5F343687">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1.6521</w:t>
            </w:r>
          </w:p>
        </w:tc>
        <w:tc>
          <w:tcPr>
            <w:tcW w:w="310" w:type="pct"/>
            <w:noWrap w:val="0"/>
            <w:tcMar>
              <w:left w:w="0" w:type="dxa"/>
              <w:right w:w="0" w:type="dxa"/>
            </w:tcMar>
            <w:vAlign w:val="center"/>
          </w:tcPr>
          <w:p w14:paraId="4BC7E522">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布袋除尘</w:t>
            </w:r>
          </w:p>
        </w:tc>
        <w:tc>
          <w:tcPr>
            <w:tcW w:w="204" w:type="pct"/>
            <w:noWrap w:val="0"/>
            <w:tcMar>
              <w:left w:w="0" w:type="dxa"/>
              <w:right w:w="0" w:type="dxa"/>
            </w:tcMar>
            <w:vAlign w:val="center"/>
          </w:tcPr>
          <w:p w14:paraId="5A0F3EA2">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12000</w:t>
            </w:r>
          </w:p>
        </w:tc>
        <w:tc>
          <w:tcPr>
            <w:tcW w:w="162" w:type="pct"/>
            <w:noWrap w:val="0"/>
            <w:tcMar>
              <w:left w:w="0" w:type="dxa"/>
              <w:right w:w="0" w:type="dxa"/>
            </w:tcMar>
            <w:vAlign w:val="center"/>
          </w:tcPr>
          <w:p w14:paraId="30456EB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w:t>
            </w:r>
          </w:p>
        </w:tc>
        <w:tc>
          <w:tcPr>
            <w:tcW w:w="162" w:type="pct"/>
            <w:noWrap w:val="0"/>
            <w:tcMar>
              <w:left w:w="0" w:type="dxa"/>
              <w:right w:w="0" w:type="dxa"/>
            </w:tcMar>
            <w:vAlign w:val="center"/>
          </w:tcPr>
          <w:p w14:paraId="3A9F4B79">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99</w:t>
            </w:r>
          </w:p>
        </w:tc>
        <w:tc>
          <w:tcPr>
            <w:tcW w:w="183" w:type="pct"/>
            <w:noWrap w:val="0"/>
            <w:tcMar>
              <w:left w:w="0" w:type="dxa"/>
              <w:right w:w="0" w:type="dxa"/>
            </w:tcMar>
            <w:vAlign w:val="center"/>
          </w:tcPr>
          <w:p w14:paraId="1C9BA7D1">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是</w:t>
            </w:r>
          </w:p>
        </w:tc>
        <w:tc>
          <w:tcPr>
            <w:tcW w:w="326" w:type="pct"/>
            <w:noWrap w:val="0"/>
            <w:vAlign w:val="center"/>
          </w:tcPr>
          <w:p w14:paraId="19E99AD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0.57</w:t>
            </w:r>
          </w:p>
        </w:tc>
        <w:tc>
          <w:tcPr>
            <w:tcW w:w="286" w:type="pct"/>
            <w:noWrap w:val="0"/>
            <w:vAlign w:val="center"/>
          </w:tcPr>
          <w:p w14:paraId="7741CEA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0.007</w:t>
            </w:r>
          </w:p>
        </w:tc>
        <w:tc>
          <w:tcPr>
            <w:tcW w:w="326" w:type="pct"/>
            <w:noWrap w:val="0"/>
            <w:vAlign w:val="center"/>
          </w:tcPr>
          <w:p w14:paraId="4563B73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0.0165</w:t>
            </w:r>
          </w:p>
        </w:tc>
        <w:tc>
          <w:tcPr>
            <w:tcW w:w="224" w:type="pct"/>
            <w:noWrap w:val="0"/>
            <w:vAlign w:val="center"/>
          </w:tcPr>
          <w:p w14:paraId="0CFF8347">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120</w:t>
            </w:r>
          </w:p>
        </w:tc>
        <w:tc>
          <w:tcPr>
            <w:tcW w:w="222" w:type="pct"/>
            <w:noWrap w:val="0"/>
            <w:vAlign w:val="center"/>
          </w:tcPr>
          <w:p w14:paraId="350B90E1">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5.9</w:t>
            </w:r>
          </w:p>
        </w:tc>
        <w:tc>
          <w:tcPr>
            <w:tcW w:w="161" w:type="pct"/>
            <w:noWrap w:val="0"/>
            <w:tcMar>
              <w:left w:w="0" w:type="dxa"/>
              <w:right w:w="0" w:type="dxa"/>
            </w:tcMar>
            <w:vAlign w:val="center"/>
          </w:tcPr>
          <w:p w14:paraId="30FD963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61" w:type="pct"/>
            <w:noWrap w:val="0"/>
            <w:tcMar>
              <w:left w:w="0" w:type="dxa"/>
              <w:right w:w="0" w:type="dxa"/>
            </w:tcMar>
            <w:vAlign w:val="center"/>
          </w:tcPr>
          <w:p w14:paraId="272833B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0.5</w:t>
            </w:r>
          </w:p>
        </w:tc>
        <w:tc>
          <w:tcPr>
            <w:tcW w:w="168" w:type="pct"/>
            <w:noWrap w:val="0"/>
            <w:tcMar>
              <w:left w:w="0" w:type="dxa"/>
              <w:right w:w="0" w:type="dxa"/>
            </w:tcMar>
            <w:vAlign w:val="center"/>
          </w:tcPr>
          <w:p w14:paraId="317C70F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w:t>
            </w:r>
          </w:p>
        </w:tc>
        <w:tc>
          <w:tcPr>
            <w:tcW w:w="238" w:type="pct"/>
            <w:noWrap w:val="0"/>
            <w:tcMar>
              <w:left w:w="0" w:type="dxa"/>
              <w:right w:w="0" w:type="dxa"/>
            </w:tcMar>
            <w:vAlign w:val="center"/>
          </w:tcPr>
          <w:p w14:paraId="47E6DDFB">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DA001</w:t>
            </w:r>
          </w:p>
        </w:tc>
        <w:tc>
          <w:tcPr>
            <w:tcW w:w="244" w:type="pct"/>
            <w:noWrap w:val="0"/>
            <w:tcMar>
              <w:left w:w="0" w:type="dxa"/>
              <w:right w:w="0" w:type="dxa"/>
            </w:tcMar>
            <w:vAlign w:val="center"/>
          </w:tcPr>
          <w:p w14:paraId="31CE9A7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一般排放口</w:t>
            </w:r>
          </w:p>
        </w:tc>
        <w:tc>
          <w:tcPr>
            <w:tcW w:w="295" w:type="pct"/>
            <w:noWrap w:val="0"/>
            <w:tcMar>
              <w:left w:w="0" w:type="dxa"/>
              <w:right w:w="0" w:type="dxa"/>
            </w:tcMar>
            <w:vAlign w:val="center"/>
          </w:tcPr>
          <w:p w14:paraId="03872B8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116度58分40.4</w:t>
            </w:r>
            <w:r>
              <w:rPr>
                <w:rFonts w:hint="eastAsia" w:ascii="Times New Roman" w:hAnsi="Times New Roman" w:cs="Times New Roman"/>
                <w:color w:val="auto"/>
                <w:sz w:val="21"/>
                <w:szCs w:val="21"/>
                <w:highlight w:val="none"/>
                <w:lang w:val="en-US" w:eastAsia="zh-CN"/>
              </w:rPr>
              <w:t>23</w:t>
            </w:r>
            <w:r>
              <w:rPr>
                <w:rFonts w:hint="default" w:ascii="Times New Roman" w:hAnsi="Times New Roman" w:cs="Times New Roman"/>
                <w:color w:val="auto"/>
                <w:sz w:val="21"/>
                <w:szCs w:val="21"/>
                <w:highlight w:val="none"/>
              </w:rPr>
              <w:t>秒</w:t>
            </w:r>
          </w:p>
        </w:tc>
        <w:tc>
          <w:tcPr>
            <w:tcW w:w="261" w:type="pct"/>
            <w:noWrap w:val="0"/>
            <w:tcMar>
              <w:left w:w="0" w:type="dxa"/>
              <w:right w:w="0" w:type="dxa"/>
            </w:tcMar>
            <w:vAlign w:val="center"/>
          </w:tcPr>
          <w:p w14:paraId="7307104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32度34分13.4</w:t>
            </w:r>
            <w:r>
              <w:rPr>
                <w:rFonts w:hint="eastAsia" w:ascii="Times New Roman" w:hAnsi="Times New Roman" w:cs="Times New Roman"/>
                <w:color w:val="auto"/>
                <w:sz w:val="21"/>
                <w:szCs w:val="21"/>
                <w:highlight w:val="none"/>
                <w:lang w:val="en-US" w:eastAsia="zh-CN"/>
              </w:rPr>
              <w:t>23</w:t>
            </w:r>
            <w:r>
              <w:rPr>
                <w:rFonts w:hint="default" w:ascii="Times New Roman" w:hAnsi="Times New Roman" w:cs="Times New Roman"/>
                <w:color w:val="auto"/>
                <w:sz w:val="21"/>
                <w:szCs w:val="21"/>
                <w:highlight w:val="none"/>
              </w:rPr>
              <w:t>秒</w:t>
            </w:r>
          </w:p>
        </w:tc>
      </w:tr>
      <w:tr w14:paraId="0173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59" w:type="pct"/>
            <w:vMerge w:val="restart"/>
            <w:noWrap w:val="0"/>
            <w:tcMar>
              <w:left w:w="0" w:type="dxa"/>
              <w:right w:w="0" w:type="dxa"/>
            </w:tcMar>
            <w:vAlign w:val="center"/>
          </w:tcPr>
          <w:p w14:paraId="235BC6D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涂胶、热压、烘干</w:t>
            </w:r>
          </w:p>
        </w:tc>
        <w:tc>
          <w:tcPr>
            <w:tcW w:w="216" w:type="pct"/>
            <w:noWrap w:val="0"/>
            <w:tcMar>
              <w:left w:w="0" w:type="dxa"/>
              <w:right w:w="0" w:type="dxa"/>
            </w:tcMar>
            <w:vAlign w:val="center"/>
          </w:tcPr>
          <w:p w14:paraId="54BA86E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非甲烷总烃</w:t>
            </w:r>
          </w:p>
        </w:tc>
        <w:tc>
          <w:tcPr>
            <w:tcW w:w="241" w:type="pct"/>
            <w:noWrap w:val="0"/>
            <w:tcMar>
              <w:left w:w="0" w:type="dxa"/>
              <w:right w:w="0" w:type="dxa"/>
            </w:tcMar>
            <w:vAlign w:val="center"/>
          </w:tcPr>
          <w:p w14:paraId="50008C3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116.04</w:t>
            </w:r>
          </w:p>
        </w:tc>
        <w:tc>
          <w:tcPr>
            <w:tcW w:w="201" w:type="pct"/>
            <w:noWrap w:val="0"/>
            <w:tcMar>
              <w:left w:w="0" w:type="dxa"/>
              <w:right w:w="0" w:type="dxa"/>
            </w:tcMar>
            <w:vAlign w:val="center"/>
          </w:tcPr>
          <w:p w14:paraId="4FCAF42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2.089</w:t>
            </w:r>
          </w:p>
        </w:tc>
        <w:tc>
          <w:tcPr>
            <w:tcW w:w="241" w:type="pct"/>
            <w:noWrap w:val="0"/>
            <w:tcMar>
              <w:left w:w="0" w:type="dxa"/>
              <w:right w:w="0" w:type="dxa"/>
            </w:tcMar>
            <w:vAlign w:val="center"/>
          </w:tcPr>
          <w:p w14:paraId="67E40FE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000000"/>
                <w:kern w:val="0"/>
                <w:sz w:val="21"/>
                <w:szCs w:val="21"/>
                <w:u w:val="none"/>
                <w:lang w:val="en-US" w:eastAsia="zh-CN" w:bidi="ar"/>
              </w:rPr>
              <w:t>5.0132</w:t>
            </w:r>
          </w:p>
        </w:tc>
        <w:tc>
          <w:tcPr>
            <w:tcW w:w="310" w:type="pct"/>
            <w:vMerge w:val="restart"/>
            <w:noWrap w:val="0"/>
            <w:tcMar>
              <w:left w:w="0" w:type="dxa"/>
              <w:right w:w="0" w:type="dxa"/>
            </w:tcMar>
            <w:vAlign w:val="center"/>
          </w:tcPr>
          <w:p w14:paraId="1A36CBB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风冷+ 二级活性炭吸附</w:t>
            </w:r>
          </w:p>
        </w:tc>
        <w:tc>
          <w:tcPr>
            <w:tcW w:w="204" w:type="pct"/>
            <w:vMerge w:val="restart"/>
            <w:noWrap w:val="0"/>
            <w:tcMar>
              <w:left w:w="0" w:type="dxa"/>
              <w:right w:w="0" w:type="dxa"/>
            </w:tcMar>
            <w:vAlign w:val="center"/>
          </w:tcPr>
          <w:p w14:paraId="30ADC49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18000</w:t>
            </w:r>
          </w:p>
        </w:tc>
        <w:tc>
          <w:tcPr>
            <w:tcW w:w="162" w:type="pct"/>
            <w:vMerge w:val="restart"/>
            <w:noWrap w:val="0"/>
            <w:tcMar>
              <w:left w:w="0" w:type="dxa"/>
              <w:right w:w="0" w:type="dxa"/>
            </w:tcMar>
            <w:vAlign w:val="center"/>
          </w:tcPr>
          <w:p w14:paraId="472E06B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62" w:type="pct"/>
            <w:vMerge w:val="restart"/>
            <w:noWrap w:val="0"/>
            <w:tcMar>
              <w:left w:w="0" w:type="dxa"/>
              <w:right w:w="0" w:type="dxa"/>
            </w:tcMar>
            <w:vAlign w:val="center"/>
          </w:tcPr>
          <w:p w14:paraId="5380C9B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83" w:type="pct"/>
            <w:vMerge w:val="restart"/>
            <w:noWrap w:val="0"/>
            <w:tcMar>
              <w:left w:w="0" w:type="dxa"/>
              <w:right w:w="0" w:type="dxa"/>
            </w:tcMar>
            <w:vAlign w:val="center"/>
          </w:tcPr>
          <w:p w14:paraId="1455008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是</w:t>
            </w:r>
          </w:p>
        </w:tc>
        <w:tc>
          <w:tcPr>
            <w:tcW w:w="326" w:type="pct"/>
            <w:noWrap w:val="0"/>
            <w:vAlign w:val="center"/>
          </w:tcPr>
          <w:p w14:paraId="20D9A05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000000"/>
                <w:kern w:val="0"/>
                <w:sz w:val="21"/>
                <w:szCs w:val="21"/>
                <w:u w:val="none"/>
                <w:lang w:val="en-US" w:eastAsia="zh-CN" w:bidi="ar"/>
              </w:rPr>
              <w:t>11.61</w:t>
            </w:r>
          </w:p>
        </w:tc>
        <w:tc>
          <w:tcPr>
            <w:tcW w:w="286" w:type="pct"/>
            <w:noWrap w:val="0"/>
            <w:vAlign w:val="center"/>
          </w:tcPr>
          <w:p w14:paraId="423734E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000000"/>
                <w:kern w:val="0"/>
                <w:sz w:val="21"/>
                <w:szCs w:val="21"/>
                <w:u w:val="none"/>
                <w:lang w:val="en-US" w:eastAsia="zh-CN" w:bidi="ar"/>
              </w:rPr>
              <w:t>0.2089</w:t>
            </w:r>
          </w:p>
        </w:tc>
        <w:tc>
          <w:tcPr>
            <w:tcW w:w="326" w:type="pct"/>
            <w:noWrap w:val="0"/>
            <w:vAlign w:val="center"/>
          </w:tcPr>
          <w:p w14:paraId="0A494CC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000000"/>
                <w:kern w:val="0"/>
                <w:sz w:val="21"/>
                <w:szCs w:val="21"/>
                <w:u w:val="none"/>
                <w:lang w:val="en-US" w:eastAsia="zh-CN" w:bidi="ar"/>
              </w:rPr>
              <w:t>0.5013</w:t>
            </w:r>
          </w:p>
        </w:tc>
        <w:tc>
          <w:tcPr>
            <w:tcW w:w="224" w:type="pct"/>
            <w:noWrap w:val="0"/>
            <w:vAlign w:val="center"/>
          </w:tcPr>
          <w:p w14:paraId="3395B4E2">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222" w:type="pct"/>
            <w:noWrap w:val="0"/>
            <w:vAlign w:val="center"/>
          </w:tcPr>
          <w:p w14:paraId="7705588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61" w:type="pct"/>
            <w:noWrap w:val="0"/>
            <w:tcMar>
              <w:left w:w="0" w:type="dxa"/>
              <w:right w:w="0" w:type="dxa"/>
            </w:tcMar>
            <w:vAlign w:val="center"/>
          </w:tcPr>
          <w:p w14:paraId="6433F268">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61" w:type="pct"/>
            <w:vMerge w:val="restart"/>
            <w:noWrap w:val="0"/>
            <w:tcMar>
              <w:left w:w="0" w:type="dxa"/>
              <w:right w:w="0" w:type="dxa"/>
            </w:tcMar>
            <w:vAlign w:val="center"/>
          </w:tcPr>
          <w:p w14:paraId="28AF8E48">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0.6</w:t>
            </w:r>
          </w:p>
        </w:tc>
        <w:tc>
          <w:tcPr>
            <w:tcW w:w="168" w:type="pct"/>
            <w:vMerge w:val="restart"/>
            <w:noWrap w:val="0"/>
            <w:tcMar>
              <w:left w:w="0" w:type="dxa"/>
              <w:right w:w="0" w:type="dxa"/>
            </w:tcMar>
            <w:vAlign w:val="center"/>
          </w:tcPr>
          <w:p w14:paraId="67F4754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w:t>
            </w:r>
          </w:p>
        </w:tc>
        <w:tc>
          <w:tcPr>
            <w:tcW w:w="238" w:type="pct"/>
            <w:vMerge w:val="restart"/>
            <w:noWrap w:val="0"/>
            <w:tcMar>
              <w:left w:w="0" w:type="dxa"/>
              <w:right w:w="0" w:type="dxa"/>
            </w:tcMar>
            <w:vAlign w:val="center"/>
          </w:tcPr>
          <w:p w14:paraId="408329D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DA002</w:t>
            </w:r>
          </w:p>
        </w:tc>
        <w:tc>
          <w:tcPr>
            <w:tcW w:w="244" w:type="pct"/>
            <w:vMerge w:val="restart"/>
            <w:noWrap w:val="0"/>
            <w:tcMar>
              <w:left w:w="0" w:type="dxa"/>
              <w:right w:w="0" w:type="dxa"/>
            </w:tcMar>
            <w:vAlign w:val="center"/>
          </w:tcPr>
          <w:p w14:paraId="09C5447C">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一般排放口</w:t>
            </w:r>
          </w:p>
        </w:tc>
        <w:tc>
          <w:tcPr>
            <w:tcW w:w="295" w:type="pct"/>
            <w:vMerge w:val="restart"/>
            <w:noWrap w:val="0"/>
            <w:tcMar>
              <w:left w:w="0" w:type="dxa"/>
              <w:right w:w="0" w:type="dxa"/>
            </w:tcMar>
            <w:vAlign w:val="center"/>
          </w:tcPr>
          <w:p w14:paraId="6ED84FF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116度58分40.4</w:t>
            </w:r>
            <w:r>
              <w:rPr>
                <w:rFonts w:hint="eastAsia" w:ascii="Times New Roman" w:hAnsi="Times New Roman" w:cs="Times New Roman"/>
                <w:color w:val="auto"/>
                <w:sz w:val="21"/>
                <w:szCs w:val="21"/>
                <w:highlight w:val="none"/>
                <w:lang w:val="en-US" w:eastAsia="zh-CN"/>
              </w:rPr>
              <w:t>23</w:t>
            </w:r>
            <w:r>
              <w:rPr>
                <w:rFonts w:hint="default" w:ascii="Times New Roman" w:hAnsi="Times New Roman" w:cs="Times New Roman"/>
                <w:color w:val="auto"/>
                <w:sz w:val="21"/>
                <w:szCs w:val="21"/>
                <w:highlight w:val="none"/>
              </w:rPr>
              <w:t>秒</w:t>
            </w:r>
          </w:p>
        </w:tc>
        <w:tc>
          <w:tcPr>
            <w:tcW w:w="261" w:type="pct"/>
            <w:vMerge w:val="restart"/>
            <w:noWrap w:val="0"/>
            <w:tcMar>
              <w:left w:w="0" w:type="dxa"/>
              <w:right w:w="0" w:type="dxa"/>
            </w:tcMar>
            <w:vAlign w:val="center"/>
          </w:tcPr>
          <w:p w14:paraId="13500AB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32度34分13.4</w:t>
            </w:r>
            <w:r>
              <w:rPr>
                <w:rFonts w:hint="eastAsia" w:ascii="Times New Roman" w:hAnsi="Times New Roman" w:cs="Times New Roman"/>
                <w:color w:val="auto"/>
                <w:sz w:val="21"/>
                <w:szCs w:val="21"/>
                <w:highlight w:val="none"/>
                <w:lang w:val="en-US" w:eastAsia="zh-CN"/>
              </w:rPr>
              <w:t>23</w:t>
            </w:r>
            <w:r>
              <w:rPr>
                <w:rFonts w:hint="default" w:ascii="Times New Roman" w:hAnsi="Times New Roman" w:cs="Times New Roman"/>
                <w:color w:val="auto"/>
                <w:sz w:val="21"/>
                <w:szCs w:val="21"/>
                <w:highlight w:val="none"/>
              </w:rPr>
              <w:t>秒</w:t>
            </w:r>
          </w:p>
        </w:tc>
      </w:tr>
      <w:tr w14:paraId="7F11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59" w:type="pct"/>
            <w:vMerge w:val="continue"/>
            <w:noWrap w:val="0"/>
            <w:tcMar>
              <w:left w:w="0" w:type="dxa"/>
              <w:right w:w="0" w:type="dxa"/>
            </w:tcMar>
            <w:vAlign w:val="center"/>
          </w:tcPr>
          <w:p w14:paraId="0EA8141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16" w:type="pct"/>
            <w:noWrap w:val="0"/>
            <w:tcMar>
              <w:left w:w="0" w:type="dxa"/>
              <w:right w:w="0" w:type="dxa"/>
            </w:tcMar>
            <w:vAlign w:val="center"/>
          </w:tcPr>
          <w:p w14:paraId="378E113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苯酚</w:t>
            </w:r>
          </w:p>
        </w:tc>
        <w:tc>
          <w:tcPr>
            <w:tcW w:w="241" w:type="pct"/>
            <w:noWrap w:val="0"/>
            <w:tcMar>
              <w:left w:w="0" w:type="dxa"/>
              <w:right w:w="0" w:type="dxa"/>
            </w:tcMar>
            <w:vAlign w:val="center"/>
          </w:tcPr>
          <w:p w14:paraId="3852038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36.46</w:t>
            </w:r>
          </w:p>
        </w:tc>
        <w:tc>
          <w:tcPr>
            <w:tcW w:w="201" w:type="pct"/>
            <w:noWrap w:val="0"/>
            <w:tcMar>
              <w:left w:w="0" w:type="dxa"/>
              <w:right w:w="0" w:type="dxa"/>
            </w:tcMar>
            <w:vAlign w:val="center"/>
          </w:tcPr>
          <w:p w14:paraId="3F9995B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0.656</w:t>
            </w:r>
          </w:p>
        </w:tc>
        <w:tc>
          <w:tcPr>
            <w:tcW w:w="241" w:type="pct"/>
            <w:noWrap w:val="0"/>
            <w:tcMar>
              <w:left w:w="0" w:type="dxa"/>
              <w:right w:w="0" w:type="dxa"/>
            </w:tcMar>
            <w:vAlign w:val="center"/>
          </w:tcPr>
          <w:p w14:paraId="064FF5A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1.575</w:t>
            </w:r>
          </w:p>
        </w:tc>
        <w:tc>
          <w:tcPr>
            <w:tcW w:w="310" w:type="pct"/>
            <w:vMerge w:val="continue"/>
            <w:noWrap w:val="0"/>
            <w:tcMar>
              <w:left w:w="0" w:type="dxa"/>
              <w:right w:w="0" w:type="dxa"/>
            </w:tcMar>
            <w:vAlign w:val="center"/>
          </w:tcPr>
          <w:p w14:paraId="63E4A3D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204" w:type="pct"/>
            <w:vMerge w:val="continue"/>
            <w:noWrap w:val="0"/>
            <w:tcMar>
              <w:left w:w="0" w:type="dxa"/>
              <w:right w:w="0" w:type="dxa"/>
            </w:tcMar>
            <w:vAlign w:val="center"/>
          </w:tcPr>
          <w:p w14:paraId="5C805F6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162" w:type="pct"/>
            <w:vMerge w:val="continue"/>
            <w:noWrap w:val="0"/>
            <w:tcMar>
              <w:left w:w="0" w:type="dxa"/>
              <w:right w:w="0" w:type="dxa"/>
            </w:tcMar>
            <w:vAlign w:val="center"/>
          </w:tcPr>
          <w:p w14:paraId="3DB55A1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162" w:type="pct"/>
            <w:vMerge w:val="continue"/>
            <w:noWrap w:val="0"/>
            <w:tcMar>
              <w:left w:w="0" w:type="dxa"/>
              <w:right w:w="0" w:type="dxa"/>
            </w:tcMar>
            <w:vAlign w:val="center"/>
          </w:tcPr>
          <w:p w14:paraId="28F94AE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183" w:type="pct"/>
            <w:vMerge w:val="continue"/>
            <w:noWrap w:val="0"/>
            <w:tcMar>
              <w:left w:w="0" w:type="dxa"/>
              <w:right w:w="0" w:type="dxa"/>
            </w:tcMar>
            <w:vAlign w:val="center"/>
          </w:tcPr>
          <w:p w14:paraId="17F75CB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326" w:type="pct"/>
            <w:noWrap w:val="0"/>
            <w:vAlign w:val="center"/>
          </w:tcPr>
          <w:p w14:paraId="206B3A7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3.64</w:t>
            </w:r>
          </w:p>
        </w:tc>
        <w:tc>
          <w:tcPr>
            <w:tcW w:w="286" w:type="pct"/>
            <w:noWrap w:val="0"/>
            <w:vAlign w:val="center"/>
          </w:tcPr>
          <w:p w14:paraId="20F5223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0.066</w:t>
            </w:r>
          </w:p>
        </w:tc>
        <w:tc>
          <w:tcPr>
            <w:tcW w:w="326" w:type="pct"/>
            <w:noWrap w:val="0"/>
            <w:vAlign w:val="center"/>
          </w:tcPr>
          <w:p w14:paraId="0F6818F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0.1575</w:t>
            </w:r>
          </w:p>
        </w:tc>
        <w:tc>
          <w:tcPr>
            <w:tcW w:w="224" w:type="pct"/>
            <w:noWrap w:val="0"/>
            <w:vAlign w:val="center"/>
          </w:tcPr>
          <w:p w14:paraId="00C5395A">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lang w:val="en-US" w:eastAsia="zh-CN"/>
              </w:rPr>
              <w:t>100</w:t>
            </w:r>
          </w:p>
        </w:tc>
        <w:tc>
          <w:tcPr>
            <w:tcW w:w="222" w:type="pct"/>
            <w:noWrap w:val="0"/>
            <w:vAlign w:val="center"/>
          </w:tcPr>
          <w:p w14:paraId="496BDF21">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lang w:val="en-US" w:eastAsia="zh-CN"/>
              </w:rPr>
              <w:t>0.17</w:t>
            </w:r>
          </w:p>
        </w:tc>
        <w:tc>
          <w:tcPr>
            <w:tcW w:w="161" w:type="pct"/>
            <w:noWrap w:val="0"/>
            <w:tcMar>
              <w:left w:w="0" w:type="dxa"/>
              <w:right w:w="0" w:type="dxa"/>
            </w:tcMar>
            <w:vAlign w:val="center"/>
          </w:tcPr>
          <w:p w14:paraId="388E8414">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61" w:type="pct"/>
            <w:vMerge w:val="continue"/>
            <w:noWrap w:val="0"/>
            <w:tcMar>
              <w:left w:w="0" w:type="dxa"/>
              <w:right w:w="0" w:type="dxa"/>
            </w:tcMar>
            <w:vAlign w:val="center"/>
          </w:tcPr>
          <w:p w14:paraId="1F88BF93">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168" w:type="pct"/>
            <w:vMerge w:val="continue"/>
            <w:noWrap w:val="0"/>
            <w:tcMar>
              <w:left w:w="0" w:type="dxa"/>
              <w:right w:w="0" w:type="dxa"/>
            </w:tcMar>
            <w:vAlign w:val="center"/>
          </w:tcPr>
          <w:p w14:paraId="6EE0CEA9">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38" w:type="pct"/>
            <w:vMerge w:val="continue"/>
            <w:noWrap w:val="0"/>
            <w:tcMar>
              <w:left w:w="0" w:type="dxa"/>
              <w:right w:w="0" w:type="dxa"/>
            </w:tcMar>
            <w:vAlign w:val="center"/>
          </w:tcPr>
          <w:p w14:paraId="2FA7B4C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44" w:type="pct"/>
            <w:vMerge w:val="continue"/>
            <w:noWrap w:val="0"/>
            <w:tcMar>
              <w:left w:w="0" w:type="dxa"/>
              <w:right w:w="0" w:type="dxa"/>
            </w:tcMar>
            <w:vAlign w:val="center"/>
          </w:tcPr>
          <w:p w14:paraId="38250EB2">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95" w:type="pct"/>
            <w:vMerge w:val="continue"/>
            <w:noWrap w:val="0"/>
            <w:tcMar>
              <w:left w:w="0" w:type="dxa"/>
              <w:right w:w="0" w:type="dxa"/>
            </w:tcMar>
            <w:vAlign w:val="center"/>
          </w:tcPr>
          <w:p w14:paraId="2C1A06E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61" w:type="pct"/>
            <w:vMerge w:val="continue"/>
            <w:noWrap w:val="0"/>
            <w:tcMar>
              <w:left w:w="0" w:type="dxa"/>
              <w:right w:w="0" w:type="dxa"/>
            </w:tcMar>
            <w:vAlign w:val="center"/>
          </w:tcPr>
          <w:p w14:paraId="036FBBF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r>
      <w:tr w14:paraId="1886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59" w:type="pct"/>
            <w:vMerge w:val="continue"/>
            <w:noWrap w:val="0"/>
            <w:tcMar>
              <w:left w:w="0" w:type="dxa"/>
              <w:right w:w="0" w:type="dxa"/>
            </w:tcMar>
            <w:vAlign w:val="center"/>
          </w:tcPr>
          <w:p w14:paraId="55E7E5E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16" w:type="pct"/>
            <w:noWrap w:val="0"/>
            <w:tcMar>
              <w:left w:w="0" w:type="dxa"/>
              <w:right w:w="0" w:type="dxa"/>
            </w:tcMar>
            <w:vAlign w:val="center"/>
          </w:tcPr>
          <w:p w14:paraId="4557BD5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甲醛</w:t>
            </w:r>
          </w:p>
        </w:tc>
        <w:tc>
          <w:tcPr>
            <w:tcW w:w="241" w:type="pct"/>
            <w:noWrap w:val="0"/>
            <w:tcMar>
              <w:left w:w="0" w:type="dxa"/>
              <w:right w:w="0" w:type="dxa"/>
            </w:tcMar>
            <w:vAlign w:val="center"/>
          </w:tcPr>
          <w:p w14:paraId="3305221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11.25</w:t>
            </w:r>
          </w:p>
        </w:tc>
        <w:tc>
          <w:tcPr>
            <w:tcW w:w="201" w:type="pct"/>
            <w:noWrap w:val="0"/>
            <w:tcMar>
              <w:left w:w="0" w:type="dxa"/>
              <w:right w:w="0" w:type="dxa"/>
            </w:tcMar>
            <w:vAlign w:val="center"/>
          </w:tcPr>
          <w:p w14:paraId="7F70D93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0.203</w:t>
            </w:r>
          </w:p>
        </w:tc>
        <w:tc>
          <w:tcPr>
            <w:tcW w:w="241" w:type="pct"/>
            <w:noWrap w:val="0"/>
            <w:tcMar>
              <w:left w:w="0" w:type="dxa"/>
              <w:right w:w="0" w:type="dxa"/>
            </w:tcMar>
            <w:vAlign w:val="center"/>
          </w:tcPr>
          <w:p w14:paraId="68F7F77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0.486</w:t>
            </w:r>
          </w:p>
        </w:tc>
        <w:tc>
          <w:tcPr>
            <w:tcW w:w="310" w:type="pct"/>
            <w:vMerge w:val="continue"/>
            <w:noWrap w:val="0"/>
            <w:tcMar>
              <w:left w:w="0" w:type="dxa"/>
              <w:right w:w="0" w:type="dxa"/>
            </w:tcMar>
            <w:vAlign w:val="center"/>
          </w:tcPr>
          <w:p w14:paraId="1CE97A1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204" w:type="pct"/>
            <w:vMerge w:val="continue"/>
            <w:noWrap w:val="0"/>
            <w:tcMar>
              <w:left w:w="0" w:type="dxa"/>
              <w:right w:w="0" w:type="dxa"/>
            </w:tcMar>
            <w:vAlign w:val="center"/>
          </w:tcPr>
          <w:p w14:paraId="4A69733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162" w:type="pct"/>
            <w:vMerge w:val="continue"/>
            <w:noWrap w:val="0"/>
            <w:tcMar>
              <w:left w:w="0" w:type="dxa"/>
              <w:right w:w="0" w:type="dxa"/>
            </w:tcMar>
            <w:vAlign w:val="center"/>
          </w:tcPr>
          <w:p w14:paraId="03E8990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162" w:type="pct"/>
            <w:vMerge w:val="continue"/>
            <w:noWrap w:val="0"/>
            <w:tcMar>
              <w:left w:w="0" w:type="dxa"/>
              <w:right w:w="0" w:type="dxa"/>
            </w:tcMar>
            <w:vAlign w:val="center"/>
          </w:tcPr>
          <w:p w14:paraId="13281B7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183" w:type="pct"/>
            <w:vMerge w:val="continue"/>
            <w:noWrap w:val="0"/>
            <w:tcMar>
              <w:left w:w="0" w:type="dxa"/>
              <w:right w:w="0" w:type="dxa"/>
            </w:tcMar>
            <w:vAlign w:val="center"/>
          </w:tcPr>
          <w:p w14:paraId="03C847E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p>
        </w:tc>
        <w:tc>
          <w:tcPr>
            <w:tcW w:w="326" w:type="pct"/>
            <w:noWrap w:val="0"/>
            <w:vAlign w:val="center"/>
          </w:tcPr>
          <w:p w14:paraId="14DFC59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286" w:type="pct"/>
            <w:noWrap w:val="0"/>
            <w:vAlign w:val="center"/>
          </w:tcPr>
          <w:p w14:paraId="40CC490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0.02</w:t>
            </w:r>
          </w:p>
        </w:tc>
        <w:tc>
          <w:tcPr>
            <w:tcW w:w="326" w:type="pct"/>
            <w:noWrap w:val="0"/>
            <w:vAlign w:val="center"/>
          </w:tcPr>
          <w:p w14:paraId="13F9503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0.0486</w:t>
            </w:r>
          </w:p>
        </w:tc>
        <w:tc>
          <w:tcPr>
            <w:tcW w:w="224" w:type="pct"/>
            <w:noWrap w:val="0"/>
            <w:vAlign w:val="center"/>
          </w:tcPr>
          <w:p w14:paraId="614056E8">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lang w:val="en-US" w:eastAsia="zh-CN"/>
              </w:rPr>
              <w:t>25</w:t>
            </w:r>
          </w:p>
        </w:tc>
        <w:tc>
          <w:tcPr>
            <w:tcW w:w="222" w:type="pct"/>
            <w:noWrap w:val="0"/>
            <w:vAlign w:val="center"/>
          </w:tcPr>
          <w:p w14:paraId="4470614C">
            <w:pPr>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lang w:val="en-US" w:eastAsia="zh-CN"/>
              </w:rPr>
              <w:t>0.43</w:t>
            </w:r>
          </w:p>
        </w:tc>
        <w:tc>
          <w:tcPr>
            <w:tcW w:w="161" w:type="pct"/>
            <w:noWrap w:val="0"/>
            <w:tcMar>
              <w:left w:w="0" w:type="dxa"/>
              <w:right w:w="0" w:type="dxa"/>
            </w:tcMar>
            <w:vAlign w:val="center"/>
          </w:tcPr>
          <w:p w14:paraId="1D552FBC">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61" w:type="pct"/>
            <w:vMerge w:val="continue"/>
            <w:noWrap w:val="0"/>
            <w:tcMar>
              <w:left w:w="0" w:type="dxa"/>
              <w:right w:w="0" w:type="dxa"/>
            </w:tcMar>
            <w:vAlign w:val="center"/>
          </w:tcPr>
          <w:p w14:paraId="611D0991">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168" w:type="pct"/>
            <w:vMerge w:val="continue"/>
            <w:noWrap w:val="0"/>
            <w:tcMar>
              <w:left w:w="0" w:type="dxa"/>
              <w:right w:w="0" w:type="dxa"/>
            </w:tcMar>
            <w:vAlign w:val="center"/>
          </w:tcPr>
          <w:p w14:paraId="5865E08D">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38" w:type="pct"/>
            <w:vMerge w:val="continue"/>
            <w:noWrap w:val="0"/>
            <w:tcMar>
              <w:left w:w="0" w:type="dxa"/>
              <w:right w:w="0" w:type="dxa"/>
            </w:tcMar>
            <w:vAlign w:val="center"/>
          </w:tcPr>
          <w:p w14:paraId="4CA56A33">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44" w:type="pct"/>
            <w:vMerge w:val="continue"/>
            <w:noWrap w:val="0"/>
            <w:tcMar>
              <w:left w:w="0" w:type="dxa"/>
              <w:right w:w="0" w:type="dxa"/>
            </w:tcMar>
            <w:vAlign w:val="center"/>
          </w:tcPr>
          <w:p w14:paraId="18E5306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95" w:type="pct"/>
            <w:vMerge w:val="continue"/>
            <w:noWrap w:val="0"/>
            <w:tcMar>
              <w:left w:w="0" w:type="dxa"/>
              <w:right w:w="0" w:type="dxa"/>
            </w:tcMar>
            <w:vAlign w:val="center"/>
          </w:tcPr>
          <w:p w14:paraId="71D571B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61" w:type="pct"/>
            <w:vMerge w:val="continue"/>
            <w:noWrap w:val="0"/>
            <w:tcMar>
              <w:left w:w="0" w:type="dxa"/>
              <w:right w:w="0" w:type="dxa"/>
            </w:tcMar>
            <w:vAlign w:val="center"/>
          </w:tcPr>
          <w:p w14:paraId="4A23006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p>
        </w:tc>
      </w:tr>
      <w:tr w14:paraId="54BC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59" w:type="pct"/>
            <w:noWrap w:val="0"/>
            <w:tcMar>
              <w:left w:w="0" w:type="dxa"/>
              <w:right w:w="0" w:type="dxa"/>
            </w:tcMar>
            <w:vAlign w:val="center"/>
          </w:tcPr>
          <w:p w14:paraId="236C211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喷塑</w:t>
            </w:r>
          </w:p>
        </w:tc>
        <w:tc>
          <w:tcPr>
            <w:tcW w:w="216" w:type="pct"/>
            <w:noWrap w:val="0"/>
            <w:tcMar>
              <w:left w:w="0" w:type="dxa"/>
              <w:right w:w="0" w:type="dxa"/>
            </w:tcMar>
            <w:vAlign w:val="center"/>
          </w:tcPr>
          <w:p w14:paraId="599791A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颗粒物</w:t>
            </w:r>
          </w:p>
        </w:tc>
        <w:tc>
          <w:tcPr>
            <w:tcW w:w="241" w:type="pct"/>
            <w:noWrap w:val="0"/>
            <w:tcMar>
              <w:left w:w="0" w:type="dxa"/>
              <w:right w:w="0" w:type="dxa"/>
            </w:tcMar>
            <w:vAlign w:val="center"/>
          </w:tcPr>
          <w:p w14:paraId="5F8AD83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356.25</w:t>
            </w:r>
          </w:p>
        </w:tc>
        <w:tc>
          <w:tcPr>
            <w:tcW w:w="201" w:type="pct"/>
            <w:noWrap w:val="0"/>
            <w:tcMar>
              <w:left w:w="0" w:type="dxa"/>
              <w:right w:w="0" w:type="dxa"/>
            </w:tcMar>
            <w:vAlign w:val="center"/>
          </w:tcPr>
          <w:p w14:paraId="4B2FB9E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2.138</w:t>
            </w:r>
          </w:p>
        </w:tc>
        <w:tc>
          <w:tcPr>
            <w:tcW w:w="241" w:type="pct"/>
            <w:noWrap w:val="0"/>
            <w:tcMar>
              <w:left w:w="0" w:type="dxa"/>
              <w:right w:w="0" w:type="dxa"/>
            </w:tcMar>
            <w:vAlign w:val="center"/>
          </w:tcPr>
          <w:p w14:paraId="091BEBE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2.565</w:t>
            </w:r>
          </w:p>
        </w:tc>
        <w:tc>
          <w:tcPr>
            <w:tcW w:w="310" w:type="pct"/>
            <w:noWrap w:val="0"/>
            <w:tcMar>
              <w:left w:w="0" w:type="dxa"/>
              <w:right w:w="0" w:type="dxa"/>
            </w:tcMar>
            <w:vAlign w:val="center"/>
          </w:tcPr>
          <w:p w14:paraId="631100B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布袋除尘</w:t>
            </w:r>
          </w:p>
        </w:tc>
        <w:tc>
          <w:tcPr>
            <w:tcW w:w="204" w:type="pct"/>
            <w:noWrap w:val="0"/>
            <w:tcMar>
              <w:left w:w="0" w:type="dxa"/>
              <w:right w:w="0" w:type="dxa"/>
            </w:tcMar>
            <w:vAlign w:val="center"/>
          </w:tcPr>
          <w:p w14:paraId="725F39B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6000</w:t>
            </w:r>
          </w:p>
        </w:tc>
        <w:tc>
          <w:tcPr>
            <w:tcW w:w="162" w:type="pct"/>
            <w:noWrap w:val="0"/>
            <w:tcMar>
              <w:left w:w="0" w:type="dxa"/>
              <w:right w:w="0" w:type="dxa"/>
            </w:tcMar>
            <w:vAlign w:val="center"/>
          </w:tcPr>
          <w:p w14:paraId="0DD1EB0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62" w:type="pct"/>
            <w:noWrap w:val="0"/>
            <w:tcMar>
              <w:left w:w="0" w:type="dxa"/>
              <w:right w:w="0" w:type="dxa"/>
            </w:tcMar>
            <w:vAlign w:val="center"/>
          </w:tcPr>
          <w:p w14:paraId="44BC906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183" w:type="pct"/>
            <w:noWrap w:val="0"/>
            <w:tcMar>
              <w:left w:w="0" w:type="dxa"/>
              <w:right w:w="0" w:type="dxa"/>
            </w:tcMar>
            <w:vAlign w:val="center"/>
          </w:tcPr>
          <w:p w14:paraId="768443F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是</w:t>
            </w:r>
          </w:p>
        </w:tc>
        <w:tc>
          <w:tcPr>
            <w:tcW w:w="326" w:type="pct"/>
            <w:noWrap w:val="0"/>
            <w:vAlign w:val="center"/>
          </w:tcPr>
          <w:p w14:paraId="7371956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3.57</w:t>
            </w:r>
          </w:p>
        </w:tc>
        <w:tc>
          <w:tcPr>
            <w:tcW w:w="286" w:type="pct"/>
            <w:noWrap w:val="0"/>
            <w:vAlign w:val="center"/>
          </w:tcPr>
          <w:p w14:paraId="4FFAF67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0.021</w:t>
            </w:r>
          </w:p>
        </w:tc>
        <w:tc>
          <w:tcPr>
            <w:tcW w:w="326" w:type="pct"/>
            <w:noWrap w:val="0"/>
            <w:vAlign w:val="center"/>
          </w:tcPr>
          <w:p w14:paraId="42C5DD0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0.0257</w:t>
            </w:r>
          </w:p>
        </w:tc>
        <w:tc>
          <w:tcPr>
            <w:tcW w:w="224" w:type="pct"/>
            <w:noWrap w:val="0"/>
            <w:vAlign w:val="center"/>
          </w:tcPr>
          <w:p w14:paraId="481E8E05">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222" w:type="pct"/>
            <w:noWrap w:val="0"/>
            <w:vAlign w:val="center"/>
          </w:tcPr>
          <w:p w14:paraId="77AD7DA3">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61" w:type="pct"/>
            <w:noWrap w:val="0"/>
            <w:tcMar>
              <w:left w:w="0" w:type="dxa"/>
              <w:right w:w="0" w:type="dxa"/>
            </w:tcMar>
            <w:vAlign w:val="center"/>
          </w:tcPr>
          <w:p w14:paraId="7FECA844">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61" w:type="pct"/>
            <w:noWrap w:val="0"/>
            <w:tcMar>
              <w:left w:w="0" w:type="dxa"/>
              <w:right w:w="0" w:type="dxa"/>
            </w:tcMar>
            <w:vAlign w:val="center"/>
          </w:tcPr>
          <w:p w14:paraId="26EAB970">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w:t>
            </w:r>
          </w:p>
        </w:tc>
        <w:tc>
          <w:tcPr>
            <w:tcW w:w="168" w:type="pct"/>
            <w:noWrap w:val="0"/>
            <w:tcMar>
              <w:left w:w="0" w:type="dxa"/>
              <w:right w:w="0" w:type="dxa"/>
            </w:tcMar>
            <w:vAlign w:val="center"/>
          </w:tcPr>
          <w:p w14:paraId="250EDCD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w:t>
            </w:r>
          </w:p>
        </w:tc>
        <w:tc>
          <w:tcPr>
            <w:tcW w:w="238" w:type="pct"/>
            <w:noWrap w:val="0"/>
            <w:tcMar>
              <w:left w:w="0" w:type="dxa"/>
              <w:right w:w="0" w:type="dxa"/>
            </w:tcMar>
            <w:vAlign w:val="center"/>
          </w:tcPr>
          <w:p w14:paraId="60B92A7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DA003</w:t>
            </w:r>
          </w:p>
        </w:tc>
        <w:tc>
          <w:tcPr>
            <w:tcW w:w="244" w:type="pct"/>
            <w:noWrap w:val="0"/>
            <w:tcMar>
              <w:left w:w="0" w:type="dxa"/>
              <w:right w:w="0" w:type="dxa"/>
            </w:tcMar>
            <w:vAlign w:val="center"/>
          </w:tcPr>
          <w:p w14:paraId="42A4B07A">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一般排放口</w:t>
            </w:r>
          </w:p>
        </w:tc>
        <w:tc>
          <w:tcPr>
            <w:tcW w:w="295" w:type="pct"/>
            <w:noWrap w:val="0"/>
            <w:tcMar>
              <w:left w:w="0" w:type="dxa"/>
              <w:right w:w="0" w:type="dxa"/>
            </w:tcMar>
            <w:vAlign w:val="center"/>
          </w:tcPr>
          <w:p w14:paraId="55A91E0B">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116度58分40.4</w:t>
            </w:r>
            <w:r>
              <w:rPr>
                <w:rFonts w:hint="eastAsia" w:ascii="Times New Roman" w:hAnsi="Times New Roman" w:cs="Times New Roman"/>
                <w:color w:val="auto"/>
                <w:sz w:val="21"/>
                <w:szCs w:val="21"/>
                <w:highlight w:val="none"/>
                <w:lang w:val="en-US" w:eastAsia="zh-CN"/>
              </w:rPr>
              <w:t>24</w:t>
            </w:r>
            <w:r>
              <w:rPr>
                <w:rFonts w:hint="default" w:ascii="Times New Roman" w:hAnsi="Times New Roman" w:cs="Times New Roman"/>
                <w:color w:val="auto"/>
                <w:sz w:val="21"/>
                <w:szCs w:val="21"/>
                <w:highlight w:val="none"/>
              </w:rPr>
              <w:t>秒</w:t>
            </w:r>
          </w:p>
        </w:tc>
        <w:tc>
          <w:tcPr>
            <w:tcW w:w="261" w:type="pct"/>
            <w:noWrap w:val="0"/>
            <w:tcMar>
              <w:left w:w="0" w:type="dxa"/>
              <w:right w:w="0" w:type="dxa"/>
            </w:tcMar>
            <w:vAlign w:val="center"/>
          </w:tcPr>
          <w:p w14:paraId="6EDFB2D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32度34分13.4</w:t>
            </w:r>
            <w:r>
              <w:rPr>
                <w:rFonts w:hint="eastAsia" w:ascii="Times New Roman" w:hAnsi="Times New Roman" w:cs="Times New Roman"/>
                <w:color w:val="auto"/>
                <w:sz w:val="21"/>
                <w:szCs w:val="21"/>
                <w:highlight w:val="none"/>
                <w:lang w:val="en-US" w:eastAsia="zh-CN"/>
              </w:rPr>
              <w:t>22</w:t>
            </w:r>
            <w:r>
              <w:rPr>
                <w:rFonts w:hint="default" w:ascii="Times New Roman" w:hAnsi="Times New Roman" w:cs="Times New Roman"/>
                <w:color w:val="auto"/>
                <w:sz w:val="21"/>
                <w:szCs w:val="21"/>
                <w:highlight w:val="none"/>
              </w:rPr>
              <w:t>秒</w:t>
            </w:r>
          </w:p>
        </w:tc>
      </w:tr>
      <w:tr w14:paraId="52D6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59" w:type="pct"/>
            <w:noWrap w:val="0"/>
            <w:tcMar>
              <w:left w:w="0" w:type="dxa"/>
              <w:right w:w="0" w:type="dxa"/>
            </w:tcMar>
            <w:vAlign w:val="center"/>
          </w:tcPr>
          <w:p w14:paraId="52A5B5F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固化</w:t>
            </w:r>
          </w:p>
        </w:tc>
        <w:tc>
          <w:tcPr>
            <w:tcW w:w="216" w:type="pct"/>
            <w:noWrap w:val="0"/>
            <w:tcMar>
              <w:left w:w="0" w:type="dxa"/>
              <w:right w:w="0" w:type="dxa"/>
            </w:tcMar>
            <w:vAlign w:val="center"/>
          </w:tcPr>
          <w:p w14:paraId="66C2DA3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非甲烷总烃</w:t>
            </w:r>
          </w:p>
        </w:tc>
        <w:tc>
          <w:tcPr>
            <w:tcW w:w="241" w:type="pct"/>
            <w:noWrap w:val="0"/>
            <w:tcMar>
              <w:left w:w="0" w:type="dxa"/>
              <w:right w:w="0" w:type="dxa"/>
            </w:tcMar>
            <w:vAlign w:val="center"/>
          </w:tcPr>
          <w:p w14:paraId="097EF61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4.05</w:t>
            </w:r>
          </w:p>
        </w:tc>
        <w:tc>
          <w:tcPr>
            <w:tcW w:w="201" w:type="pct"/>
            <w:noWrap w:val="0"/>
            <w:tcMar>
              <w:left w:w="0" w:type="dxa"/>
              <w:right w:w="0" w:type="dxa"/>
            </w:tcMar>
            <w:vAlign w:val="center"/>
          </w:tcPr>
          <w:p w14:paraId="5B61EE9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0.008</w:t>
            </w:r>
          </w:p>
        </w:tc>
        <w:tc>
          <w:tcPr>
            <w:tcW w:w="241" w:type="pct"/>
            <w:noWrap w:val="0"/>
            <w:tcMar>
              <w:left w:w="0" w:type="dxa"/>
              <w:right w:w="0" w:type="dxa"/>
            </w:tcMar>
            <w:vAlign w:val="center"/>
          </w:tcPr>
          <w:p w14:paraId="4B37277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0.0097</w:t>
            </w:r>
          </w:p>
        </w:tc>
        <w:tc>
          <w:tcPr>
            <w:tcW w:w="310" w:type="pct"/>
            <w:noWrap w:val="0"/>
            <w:tcMar>
              <w:left w:w="0" w:type="dxa"/>
              <w:right w:w="0" w:type="dxa"/>
            </w:tcMar>
            <w:vAlign w:val="center"/>
          </w:tcPr>
          <w:p w14:paraId="598AA88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二级活性炭吸附</w:t>
            </w:r>
          </w:p>
        </w:tc>
        <w:tc>
          <w:tcPr>
            <w:tcW w:w="204" w:type="pct"/>
            <w:noWrap w:val="0"/>
            <w:tcMar>
              <w:left w:w="0" w:type="dxa"/>
              <w:right w:w="0" w:type="dxa"/>
            </w:tcMar>
            <w:vAlign w:val="center"/>
          </w:tcPr>
          <w:p w14:paraId="275E4B0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62" w:type="pct"/>
            <w:noWrap w:val="0"/>
            <w:tcMar>
              <w:left w:w="0" w:type="dxa"/>
              <w:right w:w="0" w:type="dxa"/>
            </w:tcMar>
            <w:vAlign w:val="center"/>
          </w:tcPr>
          <w:p w14:paraId="241A95F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62" w:type="pct"/>
            <w:noWrap w:val="0"/>
            <w:tcMar>
              <w:left w:w="0" w:type="dxa"/>
              <w:right w:w="0" w:type="dxa"/>
            </w:tcMar>
            <w:vAlign w:val="center"/>
          </w:tcPr>
          <w:p w14:paraId="0E8D762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83" w:type="pct"/>
            <w:noWrap w:val="0"/>
            <w:tcMar>
              <w:left w:w="0" w:type="dxa"/>
              <w:right w:w="0" w:type="dxa"/>
            </w:tcMar>
            <w:vAlign w:val="center"/>
          </w:tcPr>
          <w:p w14:paraId="27D6D4F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是</w:t>
            </w:r>
          </w:p>
        </w:tc>
        <w:tc>
          <w:tcPr>
            <w:tcW w:w="326" w:type="pct"/>
            <w:noWrap w:val="0"/>
            <w:vAlign w:val="center"/>
          </w:tcPr>
          <w:p w14:paraId="50C6FA6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0.41</w:t>
            </w:r>
          </w:p>
        </w:tc>
        <w:tc>
          <w:tcPr>
            <w:tcW w:w="286" w:type="pct"/>
            <w:noWrap w:val="0"/>
            <w:vAlign w:val="center"/>
          </w:tcPr>
          <w:p w14:paraId="0A9C952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w:t>
            </w:r>
          </w:p>
        </w:tc>
        <w:tc>
          <w:tcPr>
            <w:tcW w:w="326" w:type="pct"/>
            <w:noWrap w:val="0"/>
            <w:vAlign w:val="center"/>
          </w:tcPr>
          <w:p w14:paraId="280B977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w:t>
            </w:r>
          </w:p>
        </w:tc>
        <w:tc>
          <w:tcPr>
            <w:tcW w:w="224" w:type="pct"/>
            <w:noWrap w:val="0"/>
            <w:vAlign w:val="center"/>
          </w:tcPr>
          <w:p w14:paraId="7D1F387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222" w:type="pct"/>
            <w:noWrap w:val="0"/>
            <w:vAlign w:val="center"/>
          </w:tcPr>
          <w:p w14:paraId="6C7D19C7">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61" w:type="pct"/>
            <w:noWrap w:val="0"/>
            <w:tcMar>
              <w:left w:w="0" w:type="dxa"/>
              <w:right w:w="0" w:type="dxa"/>
            </w:tcMar>
            <w:vAlign w:val="center"/>
          </w:tcPr>
          <w:p w14:paraId="261EDA84">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61" w:type="pct"/>
            <w:noWrap w:val="0"/>
            <w:tcMar>
              <w:left w:w="0" w:type="dxa"/>
              <w:right w:w="0" w:type="dxa"/>
            </w:tcMar>
            <w:vAlign w:val="center"/>
          </w:tcPr>
          <w:p w14:paraId="0CE5E44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w:t>
            </w:r>
          </w:p>
        </w:tc>
        <w:tc>
          <w:tcPr>
            <w:tcW w:w="168" w:type="pct"/>
            <w:noWrap w:val="0"/>
            <w:tcMar>
              <w:left w:w="0" w:type="dxa"/>
              <w:right w:w="0" w:type="dxa"/>
            </w:tcMar>
            <w:vAlign w:val="center"/>
          </w:tcPr>
          <w:p w14:paraId="19D99332">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40</w:t>
            </w:r>
          </w:p>
        </w:tc>
        <w:tc>
          <w:tcPr>
            <w:tcW w:w="238" w:type="pct"/>
            <w:noWrap w:val="0"/>
            <w:tcMar>
              <w:left w:w="0" w:type="dxa"/>
              <w:right w:w="0" w:type="dxa"/>
            </w:tcMar>
            <w:vAlign w:val="center"/>
          </w:tcPr>
          <w:p w14:paraId="403559FE">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DA004</w:t>
            </w:r>
          </w:p>
        </w:tc>
        <w:tc>
          <w:tcPr>
            <w:tcW w:w="244" w:type="pct"/>
            <w:noWrap w:val="0"/>
            <w:tcMar>
              <w:left w:w="0" w:type="dxa"/>
              <w:right w:w="0" w:type="dxa"/>
            </w:tcMar>
            <w:vAlign w:val="center"/>
          </w:tcPr>
          <w:p w14:paraId="32611166">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一般排放口</w:t>
            </w:r>
          </w:p>
        </w:tc>
        <w:tc>
          <w:tcPr>
            <w:tcW w:w="295" w:type="pct"/>
            <w:noWrap w:val="0"/>
            <w:tcMar>
              <w:left w:w="0" w:type="dxa"/>
              <w:right w:w="0" w:type="dxa"/>
            </w:tcMar>
            <w:vAlign w:val="center"/>
          </w:tcPr>
          <w:p w14:paraId="5C9D9094">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116度58分40.4</w:t>
            </w:r>
            <w:r>
              <w:rPr>
                <w:rFonts w:hint="eastAsia" w:ascii="Times New Roman" w:hAnsi="Times New Roman" w:cs="Times New Roman"/>
                <w:color w:val="auto"/>
                <w:sz w:val="21"/>
                <w:szCs w:val="21"/>
                <w:highlight w:val="none"/>
                <w:lang w:val="en-US" w:eastAsia="zh-CN"/>
              </w:rPr>
              <w:t>22</w:t>
            </w:r>
            <w:r>
              <w:rPr>
                <w:rFonts w:hint="default" w:ascii="Times New Roman" w:hAnsi="Times New Roman" w:cs="Times New Roman"/>
                <w:color w:val="auto"/>
                <w:sz w:val="21"/>
                <w:szCs w:val="21"/>
                <w:highlight w:val="none"/>
              </w:rPr>
              <w:t>秒</w:t>
            </w:r>
          </w:p>
        </w:tc>
        <w:tc>
          <w:tcPr>
            <w:tcW w:w="261" w:type="pct"/>
            <w:noWrap w:val="0"/>
            <w:tcMar>
              <w:left w:w="0" w:type="dxa"/>
              <w:right w:w="0" w:type="dxa"/>
            </w:tcMar>
            <w:vAlign w:val="center"/>
          </w:tcPr>
          <w:p w14:paraId="649554DC">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32度34分13.4</w:t>
            </w:r>
            <w:r>
              <w:rPr>
                <w:rFonts w:hint="eastAsia" w:ascii="Times New Roman" w:hAnsi="Times New Roman" w:cs="Times New Roman"/>
                <w:color w:val="auto"/>
                <w:sz w:val="21"/>
                <w:szCs w:val="21"/>
                <w:highlight w:val="none"/>
                <w:lang w:val="en-US" w:eastAsia="zh-CN"/>
              </w:rPr>
              <w:t>74</w:t>
            </w:r>
            <w:r>
              <w:rPr>
                <w:rFonts w:hint="default" w:ascii="Times New Roman" w:hAnsi="Times New Roman" w:cs="Times New Roman"/>
                <w:color w:val="auto"/>
                <w:sz w:val="21"/>
                <w:szCs w:val="21"/>
                <w:highlight w:val="none"/>
              </w:rPr>
              <w:t>秒</w:t>
            </w:r>
          </w:p>
        </w:tc>
      </w:tr>
      <w:bookmarkEnd w:id="44"/>
    </w:tbl>
    <w:p w14:paraId="56C1BE59">
      <w:pPr>
        <w:adjustRightInd w:val="0"/>
        <w:snapToGrid w:val="0"/>
        <w:ind w:firstLine="420" w:firstLineChars="200"/>
        <w:jc w:val="left"/>
        <w:rPr>
          <w:rFonts w:hint="default" w:ascii="Times New Roman" w:hAnsi="Times New Roman" w:cs="Times New Roman"/>
          <w:snapToGrid w:val="0"/>
          <w:color w:val="auto"/>
          <w:kern w:val="0"/>
          <w:szCs w:val="21"/>
        </w:rPr>
      </w:pPr>
      <w:r>
        <w:rPr>
          <w:snapToGrid w:val="0"/>
          <w:color w:val="auto"/>
        </w:rPr>
        <w:t>无组织废气产生及排放情况见表3</w:t>
      </w:r>
      <w:r>
        <w:rPr>
          <w:rFonts w:hint="eastAsia"/>
          <w:snapToGrid w:val="0"/>
          <w:color w:val="auto"/>
          <w:lang w:val="en-US" w:eastAsia="zh-CN"/>
        </w:rPr>
        <w:t>-4</w:t>
      </w:r>
      <w:r>
        <w:rPr>
          <w:rFonts w:hint="default" w:ascii="Times New Roman" w:hAnsi="Times New Roman" w:cs="Times New Roman"/>
          <w:snapToGrid w:val="0"/>
          <w:color w:val="auto"/>
          <w:kern w:val="0"/>
          <w:szCs w:val="21"/>
        </w:rPr>
        <w:t>。</w:t>
      </w:r>
    </w:p>
    <w:p w14:paraId="13CCCB73">
      <w:pPr>
        <w:adjustRightInd w:val="0"/>
        <w:snapToGrid w:val="0"/>
        <w:spacing w:line="240" w:lineRule="auto"/>
        <w:jc w:val="center"/>
        <w:rPr>
          <w:rFonts w:hint="default" w:ascii="Times New Roman" w:hAnsi="Times New Roman" w:cs="Times New Roman"/>
          <w:b/>
          <w:bCs/>
          <w:snapToGrid w:val="0"/>
          <w:color w:val="auto"/>
          <w:kern w:val="0"/>
          <w:szCs w:val="21"/>
        </w:rPr>
      </w:pPr>
      <w:r>
        <w:rPr>
          <w:rFonts w:hint="default" w:ascii="Times New Roman" w:hAnsi="Times New Roman" w:cs="Times New Roman"/>
          <w:b/>
          <w:bCs/>
          <w:snapToGrid w:val="0"/>
          <w:color w:val="auto"/>
          <w:kern w:val="0"/>
          <w:szCs w:val="21"/>
        </w:rPr>
        <w:t>表</w:t>
      </w:r>
      <w:r>
        <w:rPr>
          <w:rFonts w:hint="eastAsia" w:ascii="Times New Roman" w:hAnsi="Times New Roman" w:cs="Times New Roman"/>
          <w:b/>
          <w:bCs/>
          <w:snapToGrid w:val="0"/>
          <w:color w:val="auto"/>
          <w:kern w:val="0"/>
          <w:szCs w:val="21"/>
          <w:lang w:val="en-US" w:eastAsia="zh-CN"/>
        </w:rPr>
        <w:t>3-4</w:t>
      </w:r>
      <w:r>
        <w:rPr>
          <w:rFonts w:hint="default" w:ascii="Times New Roman" w:hAnsi="Times New Roman" w:cs="Times New Roman"/>
          <w:b/>
          <w:bCs/>
          <w:snapToGrid w:val="0"/>
          <w:color w:val="auto"/>
          <w:kern w:val="0"/>
          <w:szCs w:val="21"/>
        </w:rPr>
        <w:t xml:space="preserve">  建设项目有组织废气产生及排放情况一览表</w:t>
      </w:r>
    </w:p>
    <w:tbl>
      <w:tblPr>
        <w:tblStyle w:val="25"/>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19"/>
        <w:gridCol w:w="1236"/>
        <w:gridCol w:w="2702"/>
        <w:gridCol w:w="2105"/>
        <w:gridCol w:w="2447"/>
        <w:gridCol w:w="2025"/>
        <w:gridCol w:w="2274"/>
      </w:tblGrid>
      <w:tr w14:paraId="5C3C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876" w:type="pct"/>
            <w:gridSpan w:val="2"/>
            <w:noWrap w:val="0"/>
            <w:vAlign w:val="center"/>
          </w:tcPr>
          <w:p w14:paraId="42038199">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来源</w:t>
            </w:r>
          </w:p>
        </w:tc>
        <w:tc>
          <w:tcPr>
            <w:tcW w:w="964" w:type="pct"/>
            <w:noWrap w:val="0"/>
            <w:vAlign w:val="center"/>
          </w:tcPr>
          <w:p w14:paraId="7D3DEA3F">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污染物名称</w:t>
            </w:r>
          </w:p>
        </w:tc>
        <w:tc>
          <w:tcPr>
            <w:tcW w:w="751" w:type="pct"/>
            <w:noWrap w:val="0"/>
            <w:vAlign w:val="center"/>
          </w:tcPr>
          <w:p w14:paraId="30F31B56">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产生量t/a</w:t>
            </w:r>
          </w:p>
        </w:tc>
        <w:tc>
          <w:tcPr>
            <w:tcW w:w="873" w:type="pct"/>
            <w:noWrap w:val="0"/>
            <w:vAlign w:val="center"/>
          </w:tcPr>
          <w:p w14:paraId="26FB9897">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产生速率kg/h</w:t>
            </w:r>
          </w:p>
        </w:tc>
        <w:tc>
          <w:tcPr>
            <w:tcW w:w="722" w:type="pct"/>
            <w:noWrap w:val="0"/>
            <w:vAlign w:val="center"/>
          </w:tcPr>
          <w:p w14:paraId="207BBCB8">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排放量t/a</w:t>
            </w:r>
          </w:p>
        </w:tc>
        <w:tc>
          <w:tcPr>
            <w:tcW w:w="811" w:type="pct"/>
            <w:noWrap w:val="0"/>
            <w:vAlign w:val="center"/>
          </w:tcPr>
          <w:p w14:paraId="6717C589">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排放速率kg/h</w:t>
            </w:r>
          </w:p>
        </w:tc>
      </w:tr>
      <w:tr w14:paraId="7BCD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435" w:type="pct"/>
            <w:vMerge w:val="restart"/>
            <w:noWrap w:val="0"/>
            <w:vAlign w:val="center"/>
          </w:tcPr>
          <w:p w14:paraId="0AECA3D3">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lang w:val="en-US" w:eastAsia="zh-CN"/>
              </w:rPr>
              <w:t>生产厂房</w:t>
            </w:r>
          </w:p>
        </w:tc>
        <w:tc>
          <w:tcPr>
            <w:tcW w:w="440" w:type="pct"/>
            <w:noWrap w:val="0"/>
            <w:vAlign w:val="center"/>
          </w:tcPr>
          <w:p w14:paraId="3B655777">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抛光、混料、打磨</w:t>
            </w:r>
          </w:p>
        </w:tc>
        <w:tc>
          <w:tcPr>
            <w:tcW w:w="2558" w:type="dxa"/>
            <w:noWrap w:val="0"/>
            <w:vAlign w:val="center"/>
          </w:tcPr>
          <w:p w14:paraId="61F3E28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1993" w:type="dxa"/>
            <w:noWrap w:val="0"/>
            <w:vAlign w:val="center"/>
          </w:tcPr>
          <w:p w14:paraId="56B824B4">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0.1836</w:t>
            </w:r>
          </w:p>
        </w:tc>
        <w:tc>
          <w:tcPr>
            <w:tcW w:w="2316" w:type="dxa"/>
            <w:noWrap w:val="0"/>
            <w:vAlign w:val="center"/>
          </w:tcPr>
          <w:p w14:paraId="6DEAB25B">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0.077</w:t>
            </w:r>
          </w:p>
        </w:tc>
        <w:tc>
          <w:tcPr>
            <w:tcW w:w="1916" w:type="dxa"/>
            <w:noWrap w:val="0"/>
            <w:vAlign w:val="center"/>
          </w:tcPr>
          <w:p w14:paraId="2737FB3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0.1836</w:t>
            </w:r>
          </w:p>
        </w:tc>
        <w:tc>
          <w:tcPr>
            <w:tcW w:w="2152" w:type="dxa"/>
            <w:noWrap w:val="0"/>
            <w:vAlign w:val="center"/>
          </w:tcPr>
          <w:p w14:paraId="40A0DCD1">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0.077</w:t>
            </w:r>
          </w:p>
        </w:tc>
      </w:tr>
      <w:tr w14:paraId="7FEA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8" w:hRule="atLeast"/>
        </w:trPr>
        <w:tc>
          <w:tcPr>
            <w:tcW w:w="435" w:type="pct"/>
            <w:vMerge w:val="continue"/>
            <w:noWrap w:val="0"/>
            <w:vAlign w:val="center"/>
          </w:tcPr>
          <w:p w14:paraId="3E524A52">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snapToGrid w:val="0"/>
                <w:color w:val="auto"/>
                <w:kern w:val="0"/>
                <w:sz w:val="21"/>
                <w:szCs w:val="21"/>
                <w:highlight w:val="none"/>
                <w:lang w:eastAsia="zh-CN"/>
              </w:rPr>
            </w:pPr>
          </w:p>
        </w:tc>
        <w:tc>
          <w:tcPr>
            <w:tcW w:w="440" w:type="pct"/>
            <w:vMerge w:val="restart"/>
            <w:noWrap w:val="0"/>
            <w:vAlign w:val="center"/>
          </w:tcPr>
          <w:p w14:paraId="52FB7F04">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涂胶、热压、烘干</w:t>
            </w:r>
          </w:p>
        </w:tc>
        <w:tc>
          <w:tcPr>
            <w:tcW w:w="2558" w:type="dxa"/>
            <w:noWrap w:val="0"/>
            <w:vAlign w:val="center"/>
          </w:tcPr>
          <w:p w14:paraId="5CA52F78">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非甲烷总烃</w:t>
            </w:r>
          </w:p>
        </w:tc>
        <w:tc>
          <w:tcPr>
            <w:tcW w:w="1993" w:type="dxa"/>
            <w:noWrap w:val="0"/>
            <w:vAlign w:val="center"/>
          </w:tcPr>
          <w:p w14:paraId="379022D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0.557</w:t>
            </w:r>
          </w:p>
        </w:tc>
        <w:tc>
          <w:tcPr>
            <w:tcW w:w="2316" w:type="dxa"/>
            <w:noWrap w:val="0"/>
            <w:vAlign w:val="center"/>
          </w:tcPr>
          <w:p w14:paraId="272072E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0.232</w:t>
            </w:r>
          </w:p>
        </w:tc>
        <w:tc>
          <w:tcPr>
            <w:tcW w:w="1916" w:type="dxa"/>
            <w:noWrap w:val="0"/>
            <w:vAlign w:val="center"/>
          </w:tcPr>
          <w:p w14:paraId="7CF5F92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0.786</w:t>
            </w:r>
          </w:p>
        </w:tc>
        <w:tc>
          <w:tcPr>
            <w:tcW w:w="2152" w:type="dxa"/>
            <w:noWrap w:val="0"/>
            <w:vAlign w:val="center"/>
          </w:tcPr>
          <w:p w14:paraId="42FA23F4">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0.328</w:t>
            </w:r>
          </w:p>
        </w:tc>
      </w:tr>
      <w:tr w14:paraId="2349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8" w:hRule="atLeast"/>
        </w:trPr>
        <w:tc>
          <w:tcPr>
            <w:tcW w:w="435" w:type="pct"/>
            <w:vMerge w:val="continue"/>
            <w:noWrap w:val="0"/>
            <w:vAlign w:val="center"/>
          </w:tcPr>
          <w:p w14:paraId="3BA8F57A">
            <w:pPr>
              <w:autoSpaceDE w:val="0"/>
              <w:autoSpaceDN w:val="0"/>
              <w:adjustRightInd w:val="0"/>
              <w:snapToGrid w:val="0"/>
              <w:spacing w:line="240" w:lineRule="auto"/>
              <w:jc w:val="center"/>
            </w:pPr>
          </w:p>
        </w:tc>
        <w:tc>
          <w:tcPr>
            <w:tcW w:w="440" w:type="pct"/>
            <w:vMerge w:val="continue"/>
            <w:noWrap w:val="0"/>
            <w:vAlign w:val="center"/>
          </w:tcPr>
          <w:p w14:paraId="67787B72">
            <w:pPr>
              <w:autoSpaceDE w:val="0"/>
              <w:autoSpaceDN w:val="0"/>
              <w:adjustRightInd w:val="0"/>
              <w:snapToGrid w:val="0"/>
              <w:spacing w:line="240" w:lineRule="auto"/>
              <w:jc w:val="center"/>
            </w:pPr>
          </w:p>
        </w:tc>
        <w:tc>
          <w:tcPr>
            <w:tcW w:w="2558" w:type="dxa"/>
            <w:noWrap w:val="0"/>
            <w:vAlign w:val="center"/>
          </w:tcPr>
          <w:p w14:paraId="3931574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苯酚</w:t>
            </w:r>
          </w:p>
        </w:tc>
        <w:tc>
          <w:tcPr>
            <w:tcW w:w="1993" w:type="dxa"/>
            <w:noWrap w:val="0"/>
            <w:vAlign w:val="center"/>
          </w:tcPr>
          <w:p w14:paraId="5F61407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0.175</w:t>
            </w:r>
          </w:p>
        </w:tc>
        <w:tc>
          <w:tcPr>
            <w:tcW w:w="2316" w:type="dxa"/>
            <w:noWrap w:val="0"/>
            <w:vAlign w:val="center"/>
          </w:tcPr>
          <w:p w14:paraId="254692A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0.073</w:t>
            </w:r>
          </w:p>
        </w:tc>
        <w:tc>
          <w:tcPr>
            <w:tcW w:w="1916" w:type="dxa"/>
            <w:noWrap w:val="0"/>
            <w:vAlign w:val="center"/>
          </w:tcPr>
          <w:p w14:paraId="289914B8">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0.175</w:t>
            </w:r>
          </w:p>
        </w:tc>
        <w:tc>
          <w:tcPr>
            <w:tcW w:w="2152" w:type="dxa"/>
            <w:noWrap w:val="0"/>
            <w:vAlign w:val="center"/>
          </w:tcPr>
          <w:p w14:paraId="22053C84">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0.073</w:t>
            </w:r>
          </w:p>
        </w:tc>
      </w:tr>
      <w:tr w14:paraId="7863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8" w:hRule="atLeast"/>
        </w:trPr>
        <w:tc>
          <w:tcPr>
            <w:tcW w:w="435" w:type="pct"/>
            <w:vMerge w:val="continue"/>
            <w:noWrap w:val="0"/>
            <w:vAlign w:val="center"/>
          </w:tcPr>
          <w:p w14:paraId="190F8D22">
            <w:pPr>
              <w:autoSpaceDE w:val="0"/>
              <w:autoSpaceDN w:val="0"/>
              <w:adjustRightInd w:val="0"/>
              <w:snapToGrid w:val="0"/>
              <w:spacing w:line="240" w:lineRule="auto"/>
              <w:jc w:val="center"/>
              <w:rPr>
                <w:rFonts w:hint="default" w:ascii="Times New Roman" w:hAnsi="Times New Roman" w:cs="Times New Roman"/>
                <w:color w:val="auto"/>
                <w:sz w:val="21"/>
                <w:szCs w:val="21"/>
                <w:highlight w:val="none"/>
                <w:lang w:val="en-US" w:eastAsia="zh-CN"/>
              </w:rPr>
            </w:pPr>
          </w:p>
        </w:tc>
        <w:tc>
          <w:tcPr>
            <w:tcW w:w="440" w:type="pct"/>
            <w:vMerge w:val="continue"/>
            <w:noWrap w:val="0"/>
            <w:vAlign w:val="center"/>
          </w:tcPr>
          <w:p w14:paraId="5507B815">
            <w:pPr>
              <w:autoSpaceDE w:val="0"/>
              <w:autoSpaceDN w:val="0"/>
              <w:adjustRightInd w:val="0"/>
              <w:snapToGrid w:val="0"/>
              <w:spacing w:line="240" w:lineRule="auto"/>
              <w:jc w:val="center"/>
              <w:rPr>
                <w:rFonts w:hint="default" w:ascii="Times New Roman" w:hAnsi="Times New Roman" w:cs="Times New Roman"/>
                <w:color w:val="auto"/>
                <w:sz w:val="21"/>
                <w:szCs w:val="21"/>
                <w:highlight w:val="none"/>
                <w:lang w:val="en-US" w:eastAsia="zh-CN"/>
              </w:rPr>
            </w:pPr>
          </w:p>
        </w:tc>
        <w:tc>
          <w:tcPr>
            <w:tcW w:w="2558" w:type="dxa"/>
            <w:noWrap w:val="0"/>
            <w:vAlign w:val="center"/>
          </w:tcPr>
          <w:p w14:paraId="235E7B4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甲醛</w:t>
            </w:r>
          </w:p>
        </w:tc>
        <w:tc>
          <w:tcPr>
            <w:tcW w:w="1993" w:type="dxa"/>
            <w:noWrap w:val="0"/>
            <w:vAlign w:val="center"/>
          </w:tcPr>
          <w:p w14:paraId="56E88501">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0.054</w:t>
            </w:r>
          </w:p>
        </w:tc>
        <w:tc>
          <w:tcPr>
            <w:tcW w:w="2316" w:type="dxa"/>
            <w:noWrap w:val="0"/>
            <w:vAlign w:val="center"/>
          </w:tcPr>
          <w:p w14:paraId="4C7452E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0.023</w:t>
            </w:r>
          </w:p>
        </w:tc>
        <w:tc>
          <w:tcPr>
            <w:tcW w:w="1916" w:type="dxa"/>
            <w:noWrap w:val="0"/>
            <w:vAlign w:val="center"/>
          </w:tcPr>
          <w:p w14:paraId="556E81C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0.054</w:t>
            </w:r>
          </w:p>
        </w:tc>
        <w:tc>
          <w:tcPr>
            <w:tcW w:w="2152" w:type="dxa"/>
            <w:noWrap w:val="0"/>
            <w:vAlign w:val="center"/>
          </w:tcPr>
          <w:p w14:paraId="5C1ED0C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0.023</w:t>
            </w:r>
          </w:p>
        </w:tc>
      </w:tr>
      <w:tr w14:paraId="05B9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35" w:type="pct"/>
            <w:vMerge w:val="continue"/>
            <w:noWrap w:val="0"/>
            <w:vAlign w:val="center"/>
          </w:tcPr>
          <w:p w14:paraId="3E7E4702">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snapToGrid w:val="0"/>
                <w:color w:val="auto"/>
                <w:kern w:val="0"/>
                <w:sz w:val="21"/>
                <w:szCs w:val="21"/>
                <w:highlight w:val="none"/>
                <w:lang w:eastAsia="zh-CN"/>
              </w:rPr>
            </w:pPr>
          </w:p>
        </w:tc>
        <w:tc>
          <w:tcPr>
            <w:tcW w:w="440" w:type="pct"/>
            <w:noWrap w:val="0"/>
            <w:vAlign w:val="center"/>
          </w:tcPr>
          <w:p w14:paraId="0F8EA582">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喷塑</w:t>
            </w:r>
          </w:p>
        </w:tc>
        <w:tc>
          <w:tcPr>
            <w:tcW w:w="2558" w:type="dxa"/>
            <w:noWrap w:val="0"/>
            <w:vAlign w:val="center"/>
          </w:tcPr>
          <w:p w14:paraId="73B541DD">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1993" w:type="dxa"/>
            <w:noWrap w:val="0"/>
            <w:vAlign w:val="center"/>
          </w:tcPr>
          <w:p w14:paraId="6641D5FD">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0.135</w:t>
            </w:r>
          </w:p>
        </w:tc>
        <w:tc>
          <w:tcPr>
            <w:tcW w:w="2316" w:type="dxa"/>
            <w:noWrap w:val="0"/>
            <w:vAlign w:val="center"/>
          </w:tcPr>
          <w:p w14:paraId="2E34C14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0.113</w:t>
            </w:r>
          </w:p>
        </w:tc>
        <w:tc>
          <w:tcPr>
            <w:tcW w:w="1916" w:type="dxa"/>
            <w:noWrap w:val="0"/>
            <w:vAlign w:val="center"/>
          </w:tcPr>
          <w:p w14:paraId="70FC7D69">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0.135</w:t>
            </w:r>
          </w:p>
        </w:tc>
        <w:tc>
          <w:tcPr>
            <w:tcW w:w="2152" w:type="dxa"/>
            <w:noWrap w:val="0"/>
            <w:vAlign w:val="center"/>
          </w:tcPr>
          <w:p w14:paraId="49F1A7D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0.113</w:t>
            </w:r>
          </w:p>
        </w:tc>
      </w:tr>
      <w:tr w14:paraId="5D4A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35" w:type="pct"/>
            <w:vMerge w:val="continue"/>
            <w:noWrap w:val="0"/>
            <w:vAlign w:val="center"/>
          </w:tcPr>
          <w:p w14:paraId="69C95369">
            <w:pPr>
              <w:keepNext w:val="0"/>
              <w:keepLines w:val="0"/>
              <w:pageBreakBefore w:val="0"/>
              <w:topLinePunct/>
              <w:autoSpaceDE w:val="0"/>
              <w:bidi w:val="0"/>
              <w:adjustRightInd w:val="0"/>
              <w:snapToGrid w:val="0"/>
              <w:spacing w:line="240" w:lineRule="auto"/>
              <w:ind w:leftChars="0"/>
              <w:jc w:val="center"/>
              <w:rPr>
                <w:rFonts w:hint="default" w:ascii="Times New Roman" w:hAnsi="Times New Roman" w:cs="Times New Roman"/>
                <w:snapToGrid w:val="0"/>
                <w:color w:val="auto"/>
                <w:kern w:val="0"/>
                <w:sz w:val="21"/>
                <w:szCs w:val="21"/>
                <w:highlight w:val="none"/>
                <w:lang w:eastAsia="zh-CN"/>
              </w:rPr>
            </w:pPr>
          </w:p>
        </w:tc>
        <w:tc>
          <w:tcPr>
            <w:tcW w:w="440" w:type="pct"/>
            <w:noWrap w:val="0"/>
            <w:vAlign w:val="center"/>
          </w:tcPr>
          <w:p w14:paraId="57B4C774">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固化</w:t>
            </w:r>
          </w:p>
        </w:tc>
        <w:tc>
          <w:tcPr>
            <w:tcW w:w="2558" w:type="dxa"/>
            <w:noWrap w:val="0"/>
            <w:vAlign w:val="center"/>
          </w:tcPr>
          <w:p w14:paraId="295AA9FB">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非甲烷总烃</w:t>
            </w:r>
          </w:p>
        </w:tc>
        <w:tc>
          <w:tcPr>
            <w:tcW w:w="1993" w:type="dxa"/>
            <w:noWrap w:val="0"/>
            <w:vAlign w:val="center"/>
          </w:tcPr>
          <w:p w14:paraId="4B4C9AF2">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0.0011</w:t>
            </w:r>
          </w:p>
        </w:tc>
        <w:tc>
          <w:tcPr>
            <w:tcW w:w="2316" w:type="dxa"/>
            <w:noWrap w:val="0"/>
            <w:vAlign w:val="center"/>
          </w:tcPr>
          <w:p w14:paraId="12EBBF6D">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0.001</w:t>
            </w:r>
          </w:p>
        </w:tc>
        <w:tc>
          <w:tcPr>
            <w:tcW w:w="1916" w:type="dxa"/>
            <w:noWrap w:val="0"/>
            <w:vAlign w:val="center"/>
          </w:tcPr>
          <w:p w14:paraId="5E909712">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0.0011</w:t>
            </w:r>
          </w:p>
        </w:tc>
        <w:tc>
          <w:tcPr>
            <w:tcW w:w="2152" w:type="dxa"/>
            <w:noWrap w:val="0"/>
            <w:vAlign w:val="center"/>
          </w:tcPr>
          <w:p w14:paraId="6FC99FE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0.001</w:t>
            </w:r>
          </w:p>
        </w:tc>
      </w:tr>
    </w:tbl>
    <w:p w14:paraId="11F39720">
      <w:pPr>
        <w:pStyle w:val="74"/>
        <w:snapToGrid w:val="0"/>
        <w:spacing w:line="240" w:lineRule="auto"/>
        <w:ind w:firstLine="0" w:firstLineChars="0"/>
        <w:jc w:val="left"/>
        <w:rPr>
          <w:snapToGrid w:val="0"/>
          <w:color w:val="auto"/>
          <w:sz w:val="18"/>
          <w:szCs w:val="18"/>
        </w:rPr>
        <w:sectPr>
          <w:pgSz w:w="16838" w:h="11906" w:orient="landscape"/>
          <w:pgMar w:top="1418" w:right="1440" w:bottom="1418" w:left="1440" w:header="851" w:footer="992" w:gutter="0"/>
          <w:pgNumType w:fmt="numberInDash"/>
          <w:cols w:space="720" w:num="1"/>
          <w:docGrid w:type="lines" w:linePitch="326" w:charSpace="3920"/>
        </w:sectPr>
      </w:pPr>
    </w:p>
    <w:p w14:paraId="3473F4FE">
      <w:pPr>
        <w:pStyle w:val="4"/>
        <w:rPr>
          <w:rFonts w:ascii="Times New Roman" w:hAnsi="Times New Roman"/>
          <w:snapToGrid w:val="0"/>
          <w:color w:val="auto"/>
        </w:rPr>
      </w:pPr>
      <w:bookmarkStart w:id="45" w:name="_Toc97323098"/>
      <w:r>
        <w:rPr>
          <w:rFonts w:ascii="Times New Roman" w:hAnsi="Times New Roman"/>
          <w:snapToGrid w:val="0"/>
          <w:color w:val="auto"/>
        </w:rPr>
        <w:t>3.3</w:t>
      </w:r>
      <w:r>
        <w:rPr>
          <w:rFonts w:ascii="Times New Roman" w:hAnsi="Times New Roman"/>
          <w:snapToGrid w:val="0"/>
          <w:color w:val="auto"/>
          <w:kern w:val="0"/>
          <w:szCs w:val="21"/>
        </w:rPr>
        <w:t>大气环境影响预测与评价</w:t>
      </w:r>
      <w:bookmarkEnd w:id="45"/>
    </w:p>
    <w:p w14:paraId="72D81867">
      <w:pPr>
        <w:widowControl/>
        <w:snapToGrid w:val="0"/>
        <w:spacing w:line="360" w:lineRule="auto"/>
        <w:ind w:firstLine="518" w:firstLineChars="200"/>
        <w:jc w:val="left"/>
        <w:rPr>
          <w:b/>
          <w:bCs/>
          <w:snapToGrid w:val="0"/>
          <w:color w:val="auto"/>
          <w:kern w:val="0"/>
          <w:sz w:val="24"/>
          <w:szCs w:val="32"/>
        </w:rPr>
      </w:pPr>
      <w:bookmarkStart w:id="46" w:name="_Toc13746216"/>
      <w:r>
        <w:rPr>
          <w:rFonts w:hint="eastAsia"/>
          <w:b/>
          <w:bCs/>
          <w:snapToGrid w:val="0"/>
          <w:color w:val="auto"/>
          <w:kern w:val="0"/>
          <w:sz w:val="24"/>
          <w:szCs w:val="32"/>
          <w:lang w:val="en-US" w:eastAsia="zh-CN"/>
        </w:rPr>
        <w:t>3</w:t>
      </w:r>
      <w:r>
        <w:rPr>
          <w:b/>
          <w:bCs/>
          <w:snapToGrid w:val="0"/>
          <w:color w:val="auto"/>
          <w:kern w:val="0"/>
          <w:sz w:val="24"/>
          <w:szCs w:val="32"/>
        </w:rPr>
        <w:t>.3.1</w:t>
      </w:r>
      <w:bookmarkEnd w:id="46"/>
      <w:r>
        <w:rPr>
          <w:b/>
          <w:bCs/>
          <w:snapToGrid w:val="0"/>
          <w:color w:val="auto"/>
          <w:kern w:val="0"/>
          <w:sz w:val="24"/>
          <w:szCs w:val="32"/>
        </w:rPr>
        <w:t>评价等级确定</w:t>
      </w:r>
    </w:p>
    <w:p w14:paraId="676F880B">
      <w:pPr>
        <w:pStyle w:val="74"/>
        <w:spacing w:line="360" w:lineRule="auto"/>
        <w:ind w:firstLine="518"/>
        <w:rPr>
          <w:bCs/>
          <w:snapToGrid w:val="0"/>
          <w:color w:val="auto"/>
          <w:kern w:val="0"/>
          <w:sz w:val="24"/>
          <w:szCs w:val="32"/>
        </w:rPr>
      </w:pPr>
      <w:r>
        <w:rPr>
          <w:snapToGrid w:val="0"/>
          <w:color w:val="auto"/>
          <w:kern w:val="0"/>
          <w:sz w:val="24"/>
          <w:szCs w:val="32"/>
        </w:rPr>
        <w:t>根据《环境影响评价技术导则-大气环境》（HJ2.2-2018）中的相关规定及要求，采用ARESCREEN模型对项目的废气排放进行估算预测。计算污染物的最大地面浓度占标率Pi(第I个污染物)，及第I个污染物的地面空气质量浓度达标准限值10%时所对应的最远距离D</w:t>
      </w:r>
      <w:r>
        <w:rPr>
          <w:snapToGrid w:val="0"/>
          <w:color w:val="auto"/>
          <w:kern w:val="0"/>
          <w:sz w:val="24"/>
          <w:szCs w:val="32"/>
          <w:vertAlign w:val="subscript"/>
        </w:rPr>
        <w:t>10%</w:t>
      </w:r>
      <w:r>
        <w:rPr>
          <w:snapToGrid w:val="0"/>
          <w:color w:val="auto"/>
          <w:kern w:val="0"/>
          <w:sz w:val="24"/>
          <w:szCs w:val="32"/>
        </w:rPr>
        <w:t>，其中Pi定义为：</w:t>
      </w:r>
    </w:p>
    <w:p w14:paraId="6C10283F">
      <w:pPr>
        <w:spacing w:line="360" w:lineRule="auto"/>
        <w:jc w:val="center"/>
        <w:rPr>
          <w:snapToGrid w:val="0"/>
          <w:color w:val="auto"/>
          <w:kern w:val="0"/>
          <w:sz w:val="24"/>
          <w:szCs w:val="32"/>
        </w:rPr>
      </w:pPr>
      <w:r>
        <w:rPr>
          <w:snapToGrid w:val="0"/>
          <w:color w:val="auto"/>
          <w:kern w:val="0"/>
          <w:sz w:val="24"/>
          <w:szCs w:val="32"/>
        </w:rPr>
        <w:t>Pi＝（C</w:t>
      </w:r>
      <w:r>
        <w:rPr>
          <w:snapToGrid w:val="0"/>
          <w:color w:val="auto"/>
          <w:kern w:val="0"/>
          <w:sz w:val="24"/>
          <w:szCs w:val="32"/>
          <w:vertAlign w:val="subscript"/>
        </w:rPr>
        <w:t>i</w:t>
      </w:r>
      <w:r>
        <w:rPr>
          <w:snapToGrid w:val="0"/>
          <w:color w:val="auto"/>
          <w:kern w:val="0"/>
          <w:sz w:val="24"/>
          <w:szCs w:val="32"/>
        </w:rPr>
        <w:t>/C</w:t>
      </w:r>
      <w:r>
        <w:rPr>
          <w:snapToGrid w:val="0"/>
          <w:color w:val="auto"/>
          <w:kern w:val="0"/>
          <w:sz w:val="24"/>
          <w:szCs w:val="32"/>
          <w:vertAlign w:val="subscript"/>
        </w:rPr>
        <w:t>0i</w:t>
      </w:r>
      <w:r>
        <w:rPr>
          <w:snapToGrid w:val="0"/>
          <w:color w:val="auto"/>
          <w:kern w:val="0"/>
          <w:sz w:val="24"/>
          <w:szCs w:val="32"/>
        </w:rPr>
        <w:t>）×100%</w:t>
      </w:r>
    </w:p>
    <w:p w14:paraId="473FB670">
      <w:pPr>
        <w:spacing w:line="360" w:lineRule="auto"/>
        <w:ind w:firstLine="518" w:firstLineChars="200"/>
        <w:rPr>
          <w:snapToGrid w:val="0"/>
          <w:color w:val="auto"/>
          <w:kern w:val="0"/>
          <w:sz w:val="24"/>
          <w:szCs w:val="32"/>
        </w:rPr>
      </w:pPr>
      <w:r>
        <w:rPr>
          <w:snapToGrid w:val="0"/>
          <w:color w:val="auto"/>
          <w:kern w:val="0"/>
          <w:sz w:val="24"/>
          <w:szCs w:val="32"/>
        </w:rPr>
        <w:t>式中：P</w:t>
      </w:r>
      <w:r>
        <w:rPr>
          <w:snapToGrid w:val="0"/>
          <w:color w:val="auto"/>
          <w:kern w:val="0"/>
          <w:sz w:val="24"/>
          <w:szCs w:val="32"/>
          <w:vertAlign w:val="subscript"/>
        </w:rPr>
        <w:t>i</w:t>
      </w:r>
      <w:r>
        <w:rPr>
          <w:snapToGrid w:val="0"/>
          <w:color w:val="auto"/>
          <w:kern w:val="0"/>
          <w:sz w:val="24"/>
          <w:szCs w:val="32"/>
        </w:rPr>
        <w:t>－第I个污染物的最大地面空气质量浓度占标率，%；</w:t>
      </w:r>
    </w:p>
    <w:p w14:paraId="09E704CA">
      <w:pPr>
        <w:spacing w:line="360" w:lineRule="auto"/>
        <w:ind w:firstLine="518" w:firstLineChars="200"/>
        <w:rPr>
          <w:snapToGrid w:val="0"/>
          <w:color w:val="auto"/>
          <w:kern w:val="0"/>
          <w:sz w:val="24"/>
          <w:szCs w:val="32"/>
        </w:rPr>
      </w:pPr>
      <w:r>
        <w:rPr>
          <w:snapToGrid w:val="0"/>
          <w:color w:val="auto"/>
          <w:kern w:val="0"/>
          <w:sz w:val="24"/>
          <w:szCs w:val="32"/>
        </w:rPr>
        <w:t>C</w:t>
      </w:r>
      <w:r>
        <w:rPr>
          <w:snapToGrid w:val="0"/>
          <w:color w:val="auto"/>
          <w:kern w:val="0"/>
          <w:sz w:val="24"/>
          <w:szCs w:val="32"/>
          <w:vertAlign w:val="subscript"/>
        </w:rPr>
        <w:t>i</w:t>
      </w:r>
      <w:r>
        <w:rPr>
          <w:snapToGrid w:val="0"/>
          <w:color w:val="auto"/>
          <w:kern w:val="0"/>
          <w:sz w:val="24"/>
          <w:szCs w:val="32"/>
        </w:rPr>
        <w:t>－采用估算模式计算出的第I个污染物的最大1h地面空气质量浓度，μg/</w:t>
      </w:r>
      <w:r>
        <w:rPr>
          <w:rFonts w:hint="eastAsia"/>
          <w:snapToGrid w:val="0"/>
          <w:color w:val="auto"/>
          <w:kern w:val="0"/>
          <w:sz w:val="24"/>
          <w:szCs w:val="32"/>
          <w:lang w:eastAsia="zh-CN"/>
        </w:rPr>
        <w:t>m3</w:t>
      </w:r>
      <w:r>
        <w:rPr>
          <w:snapToGrid w:val="0"/>
          <w:color w:val="auto"/>
          <w:kern w:val="0"/>
          <w:sz w:val="24"/>
          <w:szCs w:val="32"/>
        </w:rPr>
        <w:t>；</w:t>
      </w:r>
    </w:p>
    <w:p w14:paraId="0EE62EB7">
      <w:pPr>
        <w:pStyle w:val="74"/>
        <w:spacing w:line="360" w:lineRule="auto"/>
        <w:ind w:firstLine="518"/>
        <w:rPr>
          <w:snapToGrid w:val="0"/>
          <w:color w:val="auto"/>
          <w:kern w:val="0"/>
          <w:sz w:val="24"/>
          <w:szCs w:val="32"/>
        </w:rPr>
      </w:pPr>
      <w:r>
        <w:rPr>
          <w:snapToGrid w:val="0"/>
          <w:color w:val="auto"/>
          <w:kern w:val="0"/>
          <w:sz w:val="24"/>
          <w:szCs w:val="32"/>
        </w:rPr>
        <w:t>C</w:t>
      </w:r>
      <w:r>
        <w:rPr>
          <w:snapToGrid w:val="0"/>
          <w:color w:val="auto"/>
          <w:kern w:val="0"/>
          <w:sz w:val="24"/>
          <w:szCs w:val="32"/>
          <w:vertAlign w:val="subscript"/>
        </w:rPr>
        <w:t>0i</w:t>
      </w:r>
      <w:r>
        <w:rPr>
          <w:snapToGrid w:val="0"/>
          <w:color w:val="auto"/>
          <w:kern w:val="0"/>
          <w:sz w:val="24"/>
          <w:szCs w:val="32"/>
        </w:rPr>
        <w:t>－第I个污染物的环境空气质量标准，μg/</w:t>
      </w:r>
      <w:r>
        <w:rPr>
          <w:rFonts w:hint="eastAsia"/>
          <w:snapToGrid w:val="0"/>
          <w:color w:val="auto"/>
          <w:kern w:val="0"/>
          <w:sz w:val="24"/>
          <w:szCs w:val="32"/>
          <w:lang w:eastAsia="zh-CN"/>
        </w:rPr>
        <w:t>m3</w:t>
      </w:r>
      <w:r>
        <w:rPr>
          <w:snapToGrid w:val="0"/>
          <w:color w:val="auto"/>
          <w:kern w:val="0"/>
          <w:sz w:val="24"/>
          <w:szCs w:val="32"/>
        </w:rPr>
        <w:t>。一般选用GB3095中1小时平均质量浓度的二级浓度限值，如项目位于一类环境空气功能区，应选择相应的一级浓度限值；对该标准中未包含的污染物，使用已确定的各评价因子1h平均质量浓度限值。对仅有8h平均质量浓度限值、日平均质量浓度限值或年平均质量浓度限值的，可分别按2倍、3倍、6倍折算为1h平均质量浓度限值。</w:t>
      </w:r>
    </w:p>
    <w:p w14:paraId="0514F0E3">
      <w:pPr>
        <w:spacing w:line="360" w:lineRule="auto"/>
        <w:ind w:firstLine="455" w:firstLineChars="176"/>
        <w:jc w:val="left"/>
        <w:rPr>
          <w:snapToGrid w:val="0"/>
          <w:color w:val="auto"/>
          <w:kern w:val="0"/>
          <w:sz w:val="24"/>
          <w:szCs w:val="32"/>
        </w:rPr>
      </w:pPr>
      <w:r>
        <w:rPr>
          <w:snapToGrid w:val="0"/>
          <w:color w:val="auto"/>
          <w:kern w:val="0"/>
          <w:sz w:val="24"/>
          <w:szCs w:val="32"/>
        </w:rPr>
        <w:t>评价等级按下表的分级判据进行划分：</w:t>
      </w:r>
    </w:p>
    <w:p w14:paraId="230CEE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auto"/>
          <w:kern w:val="0"/>
        </w:rPr>
      </w:pPr>
      <w:r>
        <w:rPr>
          <w:b/>
          <w:bCs/>
          <w:snapToGrid w:val="0"/>
          <w:color w:val="auto"/>
          <w:kern w:val="0"/>
        </w:rPr>
        <w:t>表3-</w:t>
      </w:r>
      <w:r>
        <w:rPr>
          <w:rFonts w:hint="eastAsia"/>
          <w:b/>
          <w:bCs/>
          <w:snapToGrid w:val="0"/>
          <w:color w:val="auto"/>
          <w:kern w:val="0"/>
          <w:lang w:val="en-US" w:eastAsia="zh-CN"/>
        </w:rPr>
        <w:t>6</w:t>
      </w:r>
      <w:r>
        <w:rPr>
          <w:b/>
          <w:bCs/>
          <w:snapToGrid w:val="0"/>
          <w:color w:val="auto"/>
          <w:kern w:val="0"/>
        </w:rPr>
        <w:t xml:space="preserve">  评价等级判别表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0"/>
        <w:gridCol w:w="4351"/>
      </w:tblGrid>
      <w:tr w14:paraId="7197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350" w:type="dxa"/>
            <w:noWrap w:val="0"/>
            <w:vAlign w:val="center"/>
          </w:tcPr>
          <w:p w14:paraId="5AEDAC30">
            <w:pPr>
              <w:snapToGrid w:val="0"/>
              <w:spacing w:line="240" w:lineRule="auto"/>
              <w:jc w:val="center"/>
              <w:rPr>
                <w:b/>
                <w:bCs/>
                <w:snapToGrid w:val="0"/>
                <w:color w:val="auto"/>
                <w:kern w:val="0"/>
                <w:sz w:val="21"/>
                <w:szCs w:val="18"/>
              </w:rPr>
            </w:pPr>
            <w:r>
              <w:rPr>
                <w:b/>
                <w:bCs/>
                <w:snapToGrid w:val="0"/>
                <w:color w:val="auto"/>
                <w:kern w:val="0"/>
                <w:sz w:val="21"/>
                <w:szCs w:val="18"/>
              </w:rPr>
              <w:t>评价工作等级</w:t>
            </w:r>
          </w:p>
        </w:tc>
        <w:tc>
          <w:tcPr>
            <w:tcW w:w="4351" w:type="dxa"/>
            <w:noWrap w:val="0"/>
            <w:vAlign w:val="center"/>
          </w:tcPr>
          <w:p w14:paraId="1421B400">
            <w:pPr>
              <w:snapToGrid w:val="0"/>
              <w:spacing w:line="240" w:lineRule="auto"/>
              <w:jc w:val="center"/>
              <w:rPr>
                <w:b/>
                <w:bCs/>
                <w:snapToGrid w:val="0"/>
                <w:color w:val="auto"/>
                <w:kern w:val="0"/>
                <w:sz w:val="21"/>
                <w:szCs w:val="18"/>
              </w:rPr>
            </w:pPr>
            <w:r>
              <w:rPr>
                <w:b/>
                <w:bCs/>
                <w:snapToGrid w:val="0"/>
                <w:color w:val="auto"/>
                <w:kern w:val="0"/>
                <w:sz w:val="21"/>
                <w:szCs w:val="18"/>
              </w:rPr>
              <w:t>评价工作分级判据</w:t>
            </w:r>
          </w:p>
        </w:tc>
      </w:tr>
      <w:tr w14:paraId="2F17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350" w:type="dxa"/>
            <w:noWrap w:val="0"/>
            <w:vAlign w:val="center"/>
          </w:tcPr>
          <w:p w14:paraId="3C3823AA">
            <w:pPr>
              <w:snapToGrid w:val="0"/>
              <w:spacing w:line="240" w:lineRule="auto"/>
              <w:jc w:val="center"/>
              <w:rPr>
                <w:snapToGrid w:val="0"/>
                <w:color w:val="auto"/>
                <w:kern w:val="0"/>
                <w:sz w:val="21"/>
                <w:szCs w:val="18"/>
              </w:rPr>
            </w:pPr>
            <w:r>
              <w:rPr>
                <w:snapToGrid w:val="0"/>
                <w:color w:val="auto"/>
                <w:kern w:val="0"/>
                <w:sz w:val="21"/>
                <w:szCs w:val="18"/>
              </w:rPr>
              <w:t>一级评价</w:t>
            </w:r>
          </w:p>
        </w:tc>
        <w:tc>
          <w:tcPr>
            <w:tcW w:w="4351" w:type="dxa"/>
            <w:noWrap w:val="0"/>
            <w:vAlign w:val="center"/>
          </w:tcPr>
          <w:p w14:paraId="3D608E7B">
            <w:pPr>
              <w:snapToGrid w:val="0"/>
              <w:spacing w:line="240" w:lineRule="auto"/>
              <w:jc w:val="center"/>
              <w:rPr>
                <w:snapToGrid w:val="0"/>
                <w:color w:val="auto"/>
                <w:kern w:val="0"/>
                <w:sz w:val="21"/>
                <w:szCs w:val="18"/>
              </w:rPr>
            </w:pPr>
            <w:r>
              <w:rPr>
                <w:snapToGrid w:val="0"/>
                <w:color w:val="auto"/>
                <w:kern w:val="0"/>
                <w:sz w:val="21"/>
                <w:szCs w:val="18"/>
              </w:rPr>
              <w:t>Pmax</w:t>
            </w:r>
            <w:r>
              <w:rPr>
                <w:rFonts w:hint="eastAsia" w:ascii="宋体" w:hAnsi="宋体" w:cs="宋体"/>
                <w:snapToGrid w:val="0"/>
                <w:color w:val="auto"/>
                <w:kern w:val="0"/>
                <w:sz w:val="21"/>
                <w:szCs w:val="18"/>
              </w:rPr>
              <w:t>≧</w:t>
            </w:r>
            <w:r>
              <w:rPr>
                <w:snapToGrid w:val="0"/>
                <w:color w:val="auto"/>
                <w:kern w:val="0"/>
                <w:sz w:val="21"/>
                <w:szCs w:val="18"/>
              </w:rPr>
              <w:t>10%</w:t>
            </w:r>
          </w:p>
        </w:tc>
      </w:tr>
      <w:tr w14:paraId="0907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350" w:type="dxa"/>
            <w:noWrap w:val="0"/>
            <w:vAlign w:val="center"/>
          </w:tcPr>
          <w:p w14:paraId="135B2231">
            <w:pPr>
              <w:snapToGrid w:val="0"/>
              <w:spacing w:line="240" w:lineRule="auto"/>
              <w:jc w:val="center"/>
              <w:rPr>
                <w:snapToGrid w:val="0"/>
                <w:color w:val="auto"/>
                <w:kern w:val="0"/>
                <w:sz w:val="21"/>
                <w:szCs w:val="18"/>
              </w:rPr>
            </w:pPr>
            <w:r>
              <w:rPr>
                <w:snapToGrid w:val="0"/>
                <w:color w:val="auto"/>
                <w:kern w:val="0"/>
                <w:sz w:val="21"/>
                <w:szCs w:val="18"/>
              </w:rPr>
              <w:t>二级评价</w:t>
            </w:r>
          </w:p>
        </w:tc>
        <w:tc>
          <w:tcPr>
            <w:tcW w:w="4351" w:type="dxa"/>
            <w:noWrap w:val="0"/>
            <w:vAlign w:val="center"/>
          </w:tcPr>
          <w:p w14:paraId="799608BA">
            <w:pPr>
              <w:snapToGrid w:val="0"/>
              <w:spacing w:line="240" w:lineRule="auto"/>
              <w:jc w:val="center"/>
              <w:rPr>
                <w:snapToGrid w:val="0"/>
                <w:color w:val="auto"/>
                <w:kern w:val="0"/>
                <w:sz w:val="21"/>
                <w:szCs w:val="18"/>
              </w:rPr>
            </w:pPr>
            <w:r>
              <w:rPr>
                <w:snapToGrid w:val="0"/>
                <w:color w:val="auto"/>
                <w:kern w:val="0"/>
                <w:sz w:val="21"/>
                <w:szCs w:val="18"/>
              </w:rPr>
              <w:t>1%</w:t>
            </w:r>
            <w:r>
              <w:rPr>
                <w:rFonts w:hint="eastAsia" w:ascii="宋体" w:hAnsi="宋体" w:cs="宋体"/>
                <w:snapToGrid w:val="0"/>
                <w:color w:val="auto"/>
                <w:kern w:val="0"/>
                <w:sz w:val="21"/>
                <w:szCs w:val="18"/>
              </w:rPr>
              <w:t>≦</w:t>
            </w:r>
            <w:r>
              <w:rPr>
                <w:snapToGrid w:val="0"/>
                <w:color w:val="auto"/>
                <w:kern w:val="0"/>
                <w:sz w:val="21"/>
                <w:szCs w:val="18"/>
              </w:rPr>
              <w:t>Pmax&lt;10%</w:t>
            </w:r>
          </w:p>
        </w:tc>
      </w:tr>
      <w:tr w14:paraId="2AEC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350" w:type="dxa"/>
            <w:noWrap w:val="0"/>
            <w:vAlign w:val="center"/>
          </w:tcPr>
          <w:p w14:paraId="6E679DB8">
            <w:pPr>
              <w:snapToGrid w:val="0"/>
              <w:spacing w:line="240" w:lineRule="auto"/>
              <w:jc w:val="center"/>
              <w:rPr>
                <w:snapToGrid w:val="0"/>
                <w:color w:val="auto"/>
                <w:kern w:val="0"/>
                <w:sz w:val="21"/>
                <w:szCs w:val="18"/>
              </w:rPr>
            </w:pPr>
            <w:r>
              <w:rPr>
                <w:snapToGrid w:val="0"/>
                <w:color w:val="auto"/>
                <w:kern w:val="0"/>
                <w:sz w:val="21"/>
                <w:szCs w:val="18"/>
              </w:rPr>
              <w:t>三级评价</w:t>
            </w:r>
          </w:p>
        </w:tc>
        <w:tc>
          <w:tcPr>
            <w:tcW w:w="4351" w:type="dxa"/>
            <w:noWrap w:val="0"/>
            <w:vAlign w:val="center"/>
          </w:tcPr>
          <w:p w14:paraId="2192B333">
            <w:pPr>
              <w:snapToGrid w:val="0"/>
              <w:spacing w:line="240" w:lineRule="auto"/>
              <w:jc w:val="center"/>
              <w:rPr>
                <w:snapToGrid w:val="0"/>
                <w:color w:val="auto"/>
                <w:kern w:val="0"/>
                <w:sz w:val="21"/>
                <w:szCs w:val="18"/>
              </w:rPr>
            </w:pPr>
            <w:r>
              <w:rPr>
                <w:snapToGrid w:val="0"/>
                <w:color w:val="auto"/>
                <w:kern w:val="0"/>
                <w:sz w:val="21"/>
                <w:szCs w:val="18"/>
              </w:rPr>
              <w:t>Pmax&lt;1%</w:t>
            </w:r>
          </w:p>
        </w:tc>
      </w:tr>
    </w:tbl>
    <w:p w14:paraId="6655DE04">
      <w:pPr>
        <w:pStyle w:val="76"/>
        <w:snapToGrid w:val="0"/>
        <w:spacing w:beforeLines="0" w:afterLines="0" w:line="360" w:lineRule="auto"/>
        <w:ind w:left="0" w:leftChars="0" w:firstLine="518"/>
        <w:rPr>
          <w:snapToGrid w:val="0"/>
          <w:color w:val="auto"/>
          <w:sz w:val="24"/>
          <w:szCs w:val="24"/>
        </w:rPr>
      </w:pPr>
      <w:r>
        <w:rPr>
          <w:snapToGrid w:val="0"/>
          <w:color w:val="auto"/>
          <w:sz w:val="24"/>
          <w:szCs w:val="24"/>
        </w:rPr>
        <w:t>根据项目特点，选择</w:t>
      </w:r>
      <w:r>
        <w:rPr>
          <w:rFonts w:hint="eastAsia"/>
          <w:snapToGrid w:val="0"/>
          <w:color w:val="auto"/>
          <w:sz w:val="24"/>
          <w:szCs w:val="24"/>
        </w:rPr>
        <w:t>PM10</w:t>
      </w:r>
      <w:r>
        <w:rPr>
          <w:rFonts w:hint="eastAsia"/>
          <w:snapToGrid w:val="0"/>
          <w:color w:val="auto"/>
          <w:sz w:val="24"/>
          <w:szCs w:val="24"/>
          <w:lang w:eastAsia="zh-CN"/>
        </w:rPr>
        <w:t>、</w:t>
      </w:r>
      <w:r>
        <w:rPr>
          <w:rFonts w:hint="eastAsia"/>
          <w:snapToGrid w:val="0"/>
          <w:color w:val="auto"/>
          <w:sz w:val="24"/>
          <w:szCs w:val="24"/>
        </w:rPr>
        <w:t>TSP</w:t>
      </w:r>
      <w:r>
        <w:rPr>
          <w:rFonts w:hint="eastAsia"/>
          <w:snapToGrid w:val="0"/>
          <w:color w:val="auto"/>
          <w:sz w:val="24"/>
          <w:szCs w:val="24"/>
          <w:lang w:eastAsia="zh-CN"/>
        </w:rPr>
        <w:t>、</w:t>
      </w:r>
      <w:r>
        <w:rPr>
          <w:rFonts w:hint="eastAsia"/>
          <w:snapToGrid w:val="0"/>
          <w:color w:val="auto"/>
          <w:sz w:val="24"/>
          <w:szCs w:val="24"/>
        </w:rPr>
        <w:t>非甲烷总烃</w:t>
      </w:r>
      <w:r>
        <w:rPr>
          <w:rFonts w:hint="eastAsia"/>
          <w:snapToGrid w:val="0"/>
          <w:color w:val="auto"/>
          <w:sz w:val="24"/>
          <w:szCs w:val="24"/>
          <w:lang w:eastAsia="zh-CN"/>
        </w:rPr>
        <w:t>、</w:t>
      </w:r>
      <w:r>
        <w:rPr>
          <w:rFonts w:hint="eastAsia"/>
          <w:snapToGrid w:val="0"/>
          <w:color w:val="auto"/>
          <w:sz w:val="24"/>
          <w:szCs w:val="24"/>
        </w:rPr>
        <w:t>甲醛</w:t>
      </w:r>
      <w:r>
        <w:rPr>
          <w:rFonts w:hint="eastAsia"/>
          <w:snapToGrid w:val="0"/>
          <w:color w:val="auto"/>
          <w:sz w:val="24"/>
          <w:szCs w:val="24"/>
          <w:lang w:eastAsia="zh-CN"/>
        </w:rPr>
        <w:t>、</w:t>
      </w:r>
      <w:r>
        <w:rPr>
          <w:rFonts w:hint="eastAsia"/>
          <w:snapToGrid w:val="0"/>
          <w:color w:val="auto"/>
          <w:sz w:val="24"/>
          <w:szCs w:val="24"/>
        </w:rPr>
        <w:t>苯酚</w:t>
      </w:r>
      <w:r>
        <w:rPr>
          <w:snapToGrid w:val="0"/>
          <w:color w:val="auto"/>
          <w:sz w:val="24"/>
          <w:szCs w:val="24"/>
        </w:rPr>
        <w:t>作为预测因子</w:t>
      </w:r>
      <w:r>
        <w:rPr>
          <w:rFonts w:hint="default" w:ascii="Times New Roman" w:hAnsi="Times New Roman" w:cs="Times New Roman"/>
          <w:color w:val="auto"/>
          <w:spacing w:val="0"/>
          <w:position w:val="0"/>
          <w:sz w:val="24"/>
          <w:szCs w:val="24"/>
        </w:rPr>
        <w:t>。</w:t>
      </w:r>
    </w:p>
    <w:p w14:paraId="0BE00E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bCs/>
          <w:snapToGrid w:val="0"/>
          <w:color w:val="auto"/>
          <w:kern w:val="0"/>
        </w:rPr>
      </w:pPr>
      <w:r>
        <w:rPr>
          <w:rFonts w:ascii="Times New Roman" w:hAnsi="Times New Roman" w:eastAsia="宋体" w:cs="Times New Roman"/>
          <w:b/>
          <w:bCs/>
          <w:snapToGrid w:val="0"/>
          <w:color w:val="auto"/>
          <w:kern w:val="0"/>
        </w:rPr>
        <w:t>表3-</w:t>
      </w:r>
      <w:r>
        <w:rPr>
          <w:rFonts w:hint="eastAsia" w:cs="Times New Roman"/>
          <w:b/>
          <w:bCs/>
          <w:snapToGrid w:val="0"/>
          <w:color w:val="auto"/>
          <w:kern w:val="0"/>
          <w:lang w:val="en-US" w:eastAsia="zh-CN"/>
        </w:rPr>
        <w:t>7</w:t>
      </w:r>
      <w:r>
        <w:rPr>
          <w:rFonts w:ascii="Times New Roman" w:hAnsi="Times New Roman" w:eastAsia="宋体" w:cs="Times New Roman"/>
          <w:b/>
          <w:bCs/>
          <w:snapToGrid w:val="0"/>
          <w:color w:val="auto"/>
          <w:kern w:val="0"/>
        </w:rPr>
        <w:t xml:space="preserve">   评价因子和评价标准一览表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1080"/>
        <w:gridCol w:w="2067"/>
        <w:gridCol w:w="4256"/>
      </w:tblGrid>
      <w:tr w14:paraId="6D50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350" w:type="dxa"/>
            <w:noWrap w:val="0"/>
            <w:vAlign w:val="center"/>
          </w:tcPr>
          <w:p w14:paraId="148C4762">
            <w:pPr>
              <w:adjustRightInd w:val="0"/>
              <w:snapToGrid w:val="0"/>
              <w:spacing w:line="240" w:lineRule="auto"/>
              <w:jc w:val="center"/>
              <w:textAlignment w:val="baseline"/>
              <w:rPr>
                <w:b/>
                <w:snapToGrid w:val="0"/>
                <w:color w:val="auto"/>
                <w:kern w:val="0"/>
                <w:sz w:val="21"/>
                <w:szCs w:val="18"/>
              </w:rPr>
            </w:pPr>
            <w:r>
              <w:rPr>
                <w:b/>
                <w:snapToGrid w:val="0"/>
                <w:color w:val="auto"/>
                <w:kern w:val="0"/>
                <w:sz w:val="21"/>
                <w:szCs w:val="18"/>
              </w:rPr>
              <w:t>评价因子</w:t>
            </w:r>
          </w:p>
        </w:tc>
        <w:tc>
          <w:tcPr>
            <w:tcW w:w="1080" w:type="dxa"/>
            <w:noWrap w:val="0"/>
            <w:vAlign w:val="center"/>
          </w:tcPr>
          <w:p w14:paraId="5432FB1A">
            <w:pPr>
              <w:adjustRightInd w:val="0"/>
              <w:snapToGrid w:val="0"/>
              <w:spacing w:line="240" w:lineRule="auto"/>
              <w:jc w:val="center"/>
              <w:textAlignment w:val="baseline"/>
              <w:rPr>
                <w:b/>
                <w:snapToGrid w:val="0"/>
                <w:color w:val="auto"/>
                <w:kern w:val="0"/>
                <w:sz w:val="21"/>
                <w:szCs w:val="18"/>
              </w:rPr>
            </w:pPr>
            <w:r>
              <w:rPr>
                <w:b/>
                <w:snapToGrid w:val="0"/>
                <w:color w:val="auto"/>
                <w:kern w:val="0"/>
                <w:sz w:val="21"/>
                <w:szCs w:val="18"/>
              </w:rPr>
              <w:t>平均时段</w:t>
            </w:r>
          </w:p>
        </w:tc>
        <w:tc>
          <w:tcPr>
            <w:tcW w:w="2067" w:type="dxa"/>
            <w:noWrap w:val="0"/>
            <w:vAlign w:val="center"/>
          </w:tcPr>
          <w:p w14:paraId="320A0F41">
            <w:pPr>
              <w:adjustRightInd w:val="0"/>
              <w:snapToGrid w:val="0"/>
              <w:spacing w:line="240" w:lineRule="auto"/>
              <w:jc w:val="center"/>
              <w:textAlignment w:val="baseline"/>
              <w:rPr>
                <w:b/>
                <w:snapToGrid w:val="0"/>
                <w:color w:val="auto"/>
                <w:kern w:val="0"/>
                <w:sz w:val="21"/>
                <w:szCs w:val="18"/>
              </w:rPr>
            </w:pPr>
            <w:r>
              <w:rPr>
                <w:b/>
                <w:snapToGrid w:val="0"/>
                <w:color w:val="auto"/>
                <w:kern w:val="0"/>
                <w:sz w:val="21"/>
                <w:szCs w:val="18"/>
              </w:rPr>
              <w:t>标准值（μg/m</w:t>
            </w:r>
            <w:r>
              <w:rPr>
                <w:b/>
                <w:snapToGrid w:val="0"/>
                <w:color w:val="auto"/>
                <w:kern w:val="0"/>
                <w:sz w:val="21"/>
                <w:szCs w:val="18"/>
                <w:vertAlign w:val="superscript"/>
              </w:rPr>
              <w:t>3</w:t>
            </w:r>
            <w:r>
              <w:rPr>
                <w:b/>
                <w:snapToGrid w:val="0"/>
                <w:color w:val="auto"/>
                <w:kern w:val="0"/>
                <w:sz w:val="21"/>
                <w:szCs w:val="18"/>
              </w:rPr>
              <w:t>）</w:t>
            </w:r>
          </w:p>
        </w:tc>
        <w:tc>
          <w:tcPr>
            <w:tcW w:w="4256" w:type="dxa"/>
            <w:noWrap w:val="0"/>
            <w:vAlign w:val="center"/>
          </w:tcPr>
          <w:p w14:paraId="7072EC8A">
            <w:pPr>
              <w:adjustRightInd w:val="0"/>
              <w:snapToGrid w:val="0"/>
              <w:spacing w:line="240" w:lineRule="auto"/>
              <w:jc w:val="center"/>
              <w:textAlignment w:val="baseline"/>
              <w:rPr>
                <w:b/>
                <w:snapToGrid w:val="0"/>
                <w:color w:val="auto"/>
                <w:kern w:val="0"/>
                <w:sz w:val="21"/>
                <w:szCs w:val="18"/>
              </w:rPr>
            </w:pPr>
            <w:r>
              <w:rPr>
                <w:b/>
                <w:snapToGrid w:val="0"/>
                <w:color w:val="auto"/>
                <w:kern w:val="0"/>
                <w:sz w:val="21"/>
                <w:szCs w:val="18"/>
              </w:rPr>
              <w:t>标准来源</w:t>
            </w:r>
          </w:p>
        </w:tc>
      </w:tr>
      <w:tr w14:paraId="4F2F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350" w:type="dxa"/>
            <w:noWrap w:val="0"/>
            <w:vAlign w:val="center"/>
          </w:tcPr>
          <w:p w14:paraId="237A59F1">
            <w:pPr>
              <w:adjustRightInd w:val="0"/>
              <w:snapToGrid w:val="0"/>
              <w:spacing w:line="240" w:lineRule="auto"/>
              <w:jc w:val="center"/>
              <w:textAlignment w:val="baseline"/>
              <w:rPr>
                <w:rFonts w:hint="default"/>
                <w:snapToGrid w:val="0"/>
                <w:color w:val="auto"/>
                <w:kern w:val="0"/>
                <w:sz w:val="21"/>
                <w:szCs w:val="18"/>
                <w:lang w:val="en-US" w:eastAsia="zh-CN"/>
              </w:rPr>
            </w:pPr>
            <w:r>
              <w:rPr>
                <w:rFonts w:hint="eastAsia"/>
                <w:snapToGrid w:val="0"/>
                <w:color w:val="auto"/>
                <w:kern w:val="0"/>
                <w:sz w:val="21"/>
                <w:szCs w:val="18"/>
                <w:lang w:val="en-US" w:eastAsia="zh-CN"/>
              </w:rPr>
              <w:t>PM10</w:t>
            </w:r>
          </w:p>
        </w:tc>
        <w:tc>
          <w:tcPr>
            <w:tcW w:w="1080" w:type="dxa"/>
            <w:noWrap w:val="0"/>
            <w:vAlign w:val="center"/>
          </w:tcPr>
          <w:p w14:paraId="38F518F5">
            <w:pPr>
              <w:adjustRightInd w:val="0"/>
              <w:snapToGrid w:val="0"/>
              <w:spacing w:line="240" w:lineRule="auto"/>
              <w:jc w:val="center"/>
              <w:textAlignment w:val="baseline"/>
              <w:rPr>
                <w:rFonts w:hint="eastAsia"/>
                <w:snapToGrid w:val="0"/>
                <w:color w:val="auto"/>
                <w:kern w:val="0"/>
                <w:sz w:val="21"/>
                <w:szCs w:val="18"/>
                <w:lang w:val="en-US" w:eastAsia="zh-CN"/>
              </w:rPr>
            </w:pPr>
            <w:r>
              <w:rPr>
                <w:rFonts w:hint="eastAsia"/>
                <w:snapToGrid w:val="0"/>
                <w:color w:val="auto"/>
                <w:kern w:val="0"/>
                <w:sz w:val="21"/>
                <w:szCs w:val="18"/>
                <w:lang w:val="en-US" w:eastAsia="zh-CN"/>
              </w:rPr>
              <w:t>日均值</w:t>
            </w:r>
          </w:p>
        </w:tc>
        <w:tc>
          <w:tcPr>
            <w:tcW w:w="2067" w:type="dxa"/>
            <w:noWrap w:val="0"/>
            <w:vAlign w:val="center"/>
          </w:tcPr>
          <w:p w14:paraId="6541A34B">
            <w:pPr>
              <w:adjustRightInd w:val="0"/>
              <w:snapToGrid w:val="0"/>
              <w:spacing w:line="240" w:lineRule="auto"/>
              <w:jc w:val="center"/>
              <w:textAlignment w:val="baseline"/>
              <w:rPr>
                <w:rFonts w:hint="default"/>
                <w:snapToGrid w:val="0"/>
                <w:color w:val="auto"/>
                <w:kern w:val="0"/>
                <w:sz w:val="21"/>
                <w:szCs w:val="18"/>
                <w:lang w:val="en-US" w:eastAsia="zh-CN"/>
              </w:rPr>
            </w:pPr>
            <w:r>
              <w:rPr>
                <w:rFonts w:hint="eastAsia"/>
                <w:snapToGrid w:val="0"/>
                <w:color w:val="auto"/>
                <w:kern w:val="0"/>
                <w:sz w:val="21"/>
                <w:szCs w:val="18"/>
                <w:lang w:val="en-US" w:eastAsia="zh-CN"/>
              </w:rPr>
              <w:t>120</w:t>
            </w:r>
          </w:p>
        </w:tc>
        <w:tc>
          <w:tcPr>
            <w:tcW w:w="4256" w:type="dxa"/>
            <w:vMerge w:val="restart"/>
            <w:noWrap w:val="0"/>
            <w:vAlign w:val="center"/>
          </w:tcPr>
          <w:p w14:paraId="6987B84F">
            <w:pPr>
              <w:snapToGrid w:val="0"/>
              <w:spacing w:line="240" w:lineRule="auto"/>
              <w:jc w:val="center"/>
              <w:rPr>
                <w:snapToGrid w:val="0"/>
                <w:color w:val="auto"/>
                <w:kern w:val="0"/>
                <w:sz w:val="21"/>
                <w:szCs w:val="18"/>
              </w:rPr>
            </w:pPr>
            <w:r>
              <w:rPr>
                <w:snapToGrid w:val="0"/>
                <w:color w:val="auto"/>
                <w:kern w:val="0"/>
                <w:sz w:val="21"/>
                <w:szCs w:val="18"/>
              </w:rPr>
              <w:t>《环境空气质量标准》（</w:t>
            </w:r>
            <w:r>
              <w:rPr>
                <w:rFonts w:hint="eastAsia"/>
                <w:snapToGrid w:val="0"/>
                <w:color w:val="auto"/>
                <w:kern w:val="0"/>
                <w:sz w:val="21"/>
                <w:szCs w:val="18"/>
                <w:lang w:eastAsia="zh-CN"/>
              </w:rPr>
              <w:t>GB3095-2026</w:t>
            </w:r>
            <w:r>
              <w:rPr>
                <w:snapToGrid w:val="0"/>
                <w:color w:val="auto"/>
                <w:kern w:val="0"/>
                <w:sz w:val="21"/>
                <w:szCs w:val="18"/>
              </w:rPr>
              <w:t>）</w:t>
            </w:r>
            <w:r>
              <w:rPr>
                <w:rFonts w:hint="eastAsia"/>
                <w:snapToGrid w:val="0"/>
                <w:color w:val="auto"/>
                <w:kern w:val="0"/>
                <w:sz w:val="21"/>
                <w:szCs w:val="18"/>
                <w:lang w:val="en-US" w:eastAsia="zh-CN"/>
              </w:rPr>
              <w:t>过渡阶段二级标准</w:t>
            </w:r>
            <w:r>
              <w:rPr>
                <w:snapToGrid w:val="0"/>
                <w:color w:val="auto"/>
                <w:kern w:val="0"/>
                <w:sz w:val="21"/>
                <w:szCs w:val="18"/>
              </w:rPr>
              <w:t>（对仅有8h平均质量浓度限值、日平均质量浓度限值或年平均质量浓度限值的，可分别按2倍、3倍、6倍折算为1h平均质量浓度限值）</w:t>
            </w:r>
          </w:p>
        </w:tc>
      </w:tr>
      <w:tr w14:paraId="368D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350" w:type="dxa"/>
            <w:noWrap w:val="0"/>
            <w:vAlign w:val="center"/>
          </w:tcPr>
          <w:p w14:paraId="063067E7">
            <w:pPr>
              <w:adjustRightInd w:val="0"/>
              <w:snapToGrid w:val="0"/>
              <w:spacing w:line="240" w:lineRule="auto"/>
              <w:jc w:val="center"/>
              <w:textAlignment w:val="baseline"/>
              <w:rPr>
                <w:rFonts w:hint="default"/>
                <w:snapToGrid w:val="0"/>
                <w:color w:val="auto"/>
                <w:kern w:val="0"/>
                <w:sz w:val="21"/>
                <w:szCs w:val="18"/>
                <w:lang w:val="en-US" w:eastAsia="zh-CN"/>
              </w:rPr>
            </w:pPr>
            <w:r>
              <w:rPr>
                <w:rFonts w:hint="eastAsia"/>
                <w:snapToGrid w:val="0"/>
                <w:color w:val="auto"/>
                <w:kern w:val="0"/>
                <w:sz w:val="21"/>
                <w:szCs w:val="18"/>
                <w:lang w:val="en-US" w:eastAsia="zh-CN"/>
              </w:rPr>
              <w:t>TSP</w:t>
            </w:r>
          </w:p>
        </w:tc>
        <w:tc>
          <w:tcPr>
            <w:tcW w:w="1080" w:type="dxa"/>
            <w:noWrap w:val="0"/>
            <w:vAlign w:val="center"/>
          </w:tcPr>
          <w:p w14:paraId="76E77F60">
            <w:pPr>
              <w:adjustRightInd w:val="0"/>
              <w:snapToGrid w:val="0"/>
              <w:spacing w:line="240" w:lineRule="auto"/>
              <w:jc w:val="center"/>
              <w:textAlignment w:val="baseline"/>
              <w:rPr>
                <w:rFonts w:hint="default"/>
                <w:snapToGrid w:val="0"/>
                <w:color w:val="auto"/>
                <w:kern w:val="0"/>
                <w:sz w:val="21"/>
                <w:szCs w:val="18"/>
                <w:lang w:val="en-US" w:eastAsia="zh-CN"/>
              </w:rPr>
            </w:pPr>
            <w:r>
              <w:rPr>
                <w:rFonts w:hint="eastAsia"/>
                <w:snapToGrid w:val="0"/>
                <w:color w:val="auto"/>
                <w:kern w:val="0"/>
                <w:sz w:val="21"/>
                <w:szCs w:val="18"/>
                <w:lang w:val="en-US" w:eastAsia="zh-CN"/>
              </w:rPr>
              <w:t>日均值</w:t>
            </w:r>
          </w:p>
        </w:tc>
        <w:tc>
          <w:tcPr>
            <w:tcW w:w="2067" w:type="dxa"/>
            <w:noWrap w:val="0"/>
            <w:vAlign w:val="center"/>
          </w:tcPr>
          <w:p w14:paraId="2A2D8CBE">
            <w:pPr>
              <w:adjustRightInd w:val="0"/>
              <w:snapToGrid w:val="0"/>
              <w:spacing w:line="240" w:lineRule="auto"/>
              <w:jc w:val="center"/>
              <w:textAlignment w:val="baseline"/>
              <w:rPr>
                <w:rFonts w:hint="default"/>
                <w:snapToGrid w:val="0"/>
                <w:color w:val="auto"/>
                <w:kern w:val="0"/>
                <w:sz w:val="21"/>
                <w:szCs w:val="18"/>
                <w:lang w:val="en-US" w:eastAsia="zh-CN"/>
              </w:rPr>
            </w:pPr>
            <w:r>
              <w:rPr>
                <w:rFonts w:hint="eastAsia"/>
                <w:snapToGrid w:val="0"/>
                <w:color w:val="auto"/>
                <w:kern w:val="0"/>
                <w:sz w:val="21"/>
                <w:szCs w:val="18"/>
                <w:lang w:val="en-US" w:eastAsia="zh-CN"/>
              </w:rPr>
              <w:t>300</w:t>
            </w:r>
          </w:p>
        </w:tc>
        <w:tc>
          <w:tcPr>
            <w:tcW w:w="4256" w:type="dxa"/>
            <w:vMerge w:val="continue"/>
            <w:noWrap w:val="0"/>
            <w:vAlign w:val="center"/>
          </w:tcPr>
          <w:p w14:paraId="748922C8">
            <w:pPr>
              <w:snapToGrid w:val="0"/>
              <w:spacing w:line="240" w:lineRule="auto"/>
              <w:jc w:val="center"/>
              <w:rPr>
                <w:snapToGrid w:val="0"/>
                <w:color w:val="auto"/>
                <w:kern w:val="0"/>
                <w:sz w:val="21"/>
                <w:szCs w:val="18"/>
              </w:rPr>
            </w:pPr>
          </w:p>
        </w:tc>
      </w:tr>
      <w:tr w14:paraId="446D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350" w:type="dxa"/>
            <w:noWrap w:val="0"/>
            <w:vAlign w:val="center"/>
          </w:tcPr>
          <w:p w14:paraId="0F16AAD0">
            <w:pPr>
              <w:adjustRightInd w:val="0"/>
              <w:snapToGrid w:val="0"/>
              <w:spacing w:line="240" w:lineRule="auto"/>
              <w:jc w:val="center"/>
              <w:textAlignment w:val="baseline"/>
              <w:rPr>
                <w:rFonts w:hint="eastAsia" w:ascii="Times New Roman" w:hAnsi="Times New Roman" w:eastAsia="宋体" w:cs="Times New Roman"/>
                <w:snapToGrid w:val="0"/>
                <w:color w:val="auto"/>
                <w:kern w:val="0"/>
                <w:sz w:val="21"/>
                <w:szCs w:val="18"/>
                <w:lang w:val="en-US" w:eastAsia="zh-CN" w:bidi="ar-SA"/>
              </w:rPr>
            </w:pPr>
            <w:r>
              <w:rPr>
                <w:rFonts w:hint="eastAsia"/>
                <w:snapToGrid w:val="0"/>
                <w:color w:val="auto"/>
                <w:kern w:val="0"/>
                <w:sz w:val="21"/>
                <w:szCs w:val="18"/>
                <w:lang w:val="en-US" w:eastAsia="zh-CN"/>
              </w:rPr>
              <w:t>非甲烷总烃</w:t>
            </w:r>
          </w:p>
        </w:tc>
        <w:tc>
          <w:tcPr>
            <w:tcW w:w="1080" w:type="dxa"/>
            <w:noWrap w:val="0"/>
            <w:vAlign w:val="center"/>
          </w:tcPr>
          <w:p w14:paraId="782C59F4">
            <w:pPr>
              <w:adjustRightInd w:val="0"/>
              <w:snapToGrid w:val="0"/>
              <w:spacing w:line="240" w:lineRule="auto"/>
              <w:jc w:val="center"/>
              <w:textAlignment w:val="baseline"/>
              <w:rPr>
                <w:rFonts w:hint="eastAsia" w:ascii="Times New Roman" w:hAnsi="Times New Roman" w:eastAsia="宋体" w:cs="Times New Roman"/>
                <w:snapToGrid w:val="0"/>
                <w:color w:val="auto"/>
                <w:kern w:val="0"/>
                <w:sz w:val="21"/>
                <w:szCs w:val="18"/>
                <w:lang w:val="en-US" w:eastAsia="zh-CN" w:bidi="ar-SA"/>
              </w:rPr>
            </w:pPr>
            <w:r>
              <w:rPr>
                <w:rFonts w:hint="eastAsia"/>
                <w:snapToGrid w:val="0"/>
                <w:color w:val="auto"/>
                <w:kern w:val="0"/>
                <w:sz w:val="21"/>
                <w:szCs w:val="18"/>
                <w:lang w:val="en-US" w:eastAsia="zh-CN"/>
              </w:rPr>
              <w:t>一次值</w:t>
            </w:r>
          </w:p>
        </w:tc>
        <w:tc>
          <w:tcPr>
            <w:tcW w:w="2067" w:type="dxa"/>
            <w:noWrap w:val="0"/>
            <w:vAlign w:val="center"/>
          </w:tcPr>
          <w:p w14:paraId="0CFFA073">
            <w:pPr>
              <w:adjustRightInd w:val="0"/>
              <w:snapToGrid w:val="0"/>
              <w:spacing w:line="240" w:lineRule="auto"/>
              <w:jc w:val="center"/>
              <w:textAlignment w:val="baseline"/>
              <w:rPr>
                <w:rFonts w:hint="default" w:ascii="Times New Roman" w:hAnsi="Times New Roman" w:eastAsia="宋体" w:cs="Times New Roman"/>
                <w:snapToGrid w:val="0"/>
                <w:color w:val="auto"/>
                <w:kern w:val="0"/>
                <w:sz w:val="21"/>
                <w:szCs w:val="18"/>
                <w:lang w:val="en-US" w:eastAsia="zh-CN" w:bidi="ar-SA"/>
              </w:rPr>
            </w:pPr>
            <w:r>
              <w:rPr>
                <w:rFonts w:hint="eastAsia"/>
                <w:snapToGrid w:val="0"/>
                <w:color w:val="auto"/>
                <w:kern w:val="0"/>
                <w:sz w:val="21"/>
                <w:szCs w:val="18"/>
                <w:lang w:val="en-US" w:eastAsia="zh-CN"/>
              </w:rPr>
              <w:t>2000</w:t>
            </w:r>
          </w:p>
        </w:tc>
        <w:tc>
          <w:tcPr>
            <w:tcW w:w="4256" w:type="dxa"/>
            <w:noWrap w:val="0"/>
            <w:vAlign w:val="center"/>
          </w:tcPr>
          <w:p w14:paraId="160FEE54">
            <w:pPr>
              <w:snapToGrid w:val="0"/>
              <w:spacing w:line="240" w:lineRule="auto"/>
              <w:jc w:val="center"/>
              <w:rPr>
                <w:rFonts w:ascii="Times New Roman" w:hAnsi="Times New Roman" w:eastAsia="宋体" w:cs="Times New Roman"/>
                <w:snapToGrid w:val="0"/>
                <w:color w:val="auto"/>
                <w:kern w:val="0"/>
                <w:sz w:val="21"/>
                <w:szCs w:val="18"/>
              </w:rPr>
            </w:pPr>
            <w:r>
              <w:rPr>
                <w:rFonts w:hint="eastAsia" w:ascii="Times New Roman" w:hAnsi="Times New Roman" w:eastAsia="宋体" w:cs="Times New Roman"/>
                <w:snapToGrid w:val="0"/>
                <w:color w:val="auto"/>
                <w:kern w:val="0"/>
                <w:sz w:val="21"/>
                <w:szCs w:val="18"/>
              </w:rPr>
              <w:t>《大气污染物综合排放标准详解》</w:t>
            </w:r>
          </w:p>
        </w:tc>
      </w:tr>
      <w:tr w14:paraId="3AD1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1350" w:type="dxa"/>
            <w:noWrap w:val="0"/>
            <w:vAlign w:val="center"/>
          </w:tcPr>
          <w:p w14:paraId="1FAB025E">
            <w:pPr>
              <w:adjustRightInd w:val="0"/>
              <w:snapToGrid w:val="0"/>
              <w:spacing w:line="240" w:lineRule="auto"/>
              <w:jc w:val="center"/>
              <w:textAlignment w:val="baseline"/>
              <w:rPr>
                <w:rFonts w:hint="eastAsia" w:ascii="Times New Roman" w:hAnsi="Times New Roman" w:eastAsia="宋体" w:cs="Times New Roman"/>
                <w:snapToGrid w:val="0"/>
                <w:color w:val="auto"/>
                <w:kern w:val="0"/>
                <w:sz w:val="21"/>
                <w:szCs w:val="18"/>
                <w:lang w:val="en-US" w:eastAsia="zh-CN" w:bidi="ar-SA"/>
              </w:rPr>
            </w:pPr>
            <w:r>
              <w:rPr>
                <w:rFonts w:hint="eastAsia"/>
                <w:snapToGrid w:val="0"/>
                <w:color w:val="auto"/>
                <w:kern w:val="0"/>
                <w:sz w:val="21"/>
                <w:szCs w:val="18"/>
                <w:lang w:val="en-US" w:eastAsia="zh-CN"/>
              </w:rPr>
              <w:t>甲醛</w:t>
            </w:r>
          </w:p>
        </w:tc>
        <w:tc>
          <w:tcPr>
            <w:tcW w:w="1080" w:type="dxa"/>
            <w:noWrap w:val="0"/>
            <w:vAlign w:val="center"/>
          </w:tcPr>
          <w:p w14:paraId="44FB57B1">
            <w:pPr>
              <w:adjustRightInd w:val="0"/>
              <w:snapToGrid w:val="0"/>
              <w:spacing w:line="240" w:lineRule="auto"/>
              <w:jc w:val="center"/>
              <w:textAlignment w:val="baseline"/>
              <w:rPr>
                <w:rFonts w:ascii="Times New Roman" w:hAnsi="Times New Roman" w:eastAsia="宋体" w:cs="Times New Roman"/>
                <w:snapToGrid w:val="0"/>
                <w:color w:val="auto"/>
                <w:kern w:val="0"/>
                <w:sz w:val="21"/>
                <w:szCs w:val="18"/>
                <w:lang w:val="en-US" w:eastAsia="zh-CN" w:bidi="ar-SA"/>
              </w:rPr>
            </w:pPr>
            <w:r>
              <w:rPr>
                <w:snapToGrid w:val="0"/>
                <w:color w:val="auto"/>
                <w:kern w:val="0"/>
                <w:sz w:val="21"/>
                <w:szCs w:val="18"/>
              </w:rPr>
              <w:t>1小时平均</w:t>
            </w:r>
          </w:p>
        </w:tc>
        <w:tc>
          <w:tcPr>
            <w:tcW w:w="2067" w:type="dxa"/>
            <w:noWrap w:val="0"/>
            <w:vAlign w:val="center"/>
          </w:tcPr>
          <w:p w14:paraId="605A96B1">
            <w:pPr>
              <w:adjustRightInd w:val="0"/>
              <w:snapToGrid w:val="0"/>
              <w:spacing w:line="240" w:lineRule="auto"/>
              <w:jc w:val="center"/>
              <w:textAlignment w:val="baseline"/>
              <w:rPr>
                <w:rFonts w:hint="default" w:ascii="Times New Roman" w:hAnsi="Times New Roman" w:eastAsia="宋体" w:cs="Times New Roman"/>
                <w:snapToGrid w:val="0"/>
                <w:color w:val="auto"/>
                <w:kern w:val="0"/>
                <w:sz w:val="21"/>
                <w:szCs w:val="18"/>
                <w:lang w:val="en-US" w:eastAsia="zh-CN" w:bidi="ar-SA"/>
              </w:rPr>
            </w:pPr>
            <w:r>
              <w:rPr>
                <w:rFonts w:hint="eastAsia"/>
                <w:snapToGrid w:val="0"/>
                <w:color w:val="auto"/>
                <w:kern w:val="0"/>
                <w:sz w:val="21"/>
                <w:szCs w:val="18"/>
                <w:lang w:val="en-US" w:eastAsia="zh-CN"/>
              </w:rPr>
              <w:t>50</w:t>
            </w:r>
          </w:p>
        </w:tc>
        <w:tc>
          <w:tcPr>
            <w:tcW w:w="4256" w:type="dxa"/>
            <w:noWrap w:val="0"/>
            <w:vAlign w:val="center"/>
          </w:tcPr>
          <w:p w14:paraId="08F06963">
            <w:pPr>
              <w:snapToGrid w:val="0"/>
              <w:spacing w:line="240" w:lineRule="auto"/>
              <w:jc w:val="center"/>
              <w:rPr>
                <w:rFonts w:ascii="Times New Roman" w:hAnsi="Times New Roman" w:eastAsia="宋体" w:cs="Times New Roman"/>
                <w:snapToGrid w:val="0"/>
                <w:color w:val="auto"/>
                <w:kern w:val="0"/>
                <w:sz w:val="21"/>
                <w:szCs w:val="18"/>
              </w:rPr>
            </w:pPr>
            <w:r>
              <w:rPr>
                <w:rFonts w:hint="eastAsia" w:ascii="Times New Roman" w:hAnsi="Times New Roman" w:eastAsia="宋体" w:cs="Times New Roman"/>
                <w:snapToGrid w:val="0"/>
                <w:color w:val="auto"/>
                <w:kern w:val="0"/>
                <w:sz w:val="21"/>
                <w:szCs w:val="18"/>
              </w:rPr>
              <w:t>《环境影响评价技术导则 大气环境》附录 D.1</w:t>
            </w:r>
          </w:p>
        </w:tc>
      </w:tr>
      <w:tr w14:paraId="333D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1350" w:type="dxa"/>
            <w:noWrap w:val="0"/>
            <w:vAlign w:val="center"/>
          </w:tcPr>
          <w:p w14:paraId="19CEDAE3">
            <w:pPr>
              <w:adjustRightInd w:val="0"/>
              <w:snapToGrid w:val="0"/>
              <w:spacing w:line="240" w:lineRule="auto"/>
              <w:jc w:val="center"/>
              <w:textAlignment w:val="baseline"/>
              <w:rPr>
                <w:rFonts w:hint="default"/>
                <w:snapToGrid w:val="0"/>
                <w:color w:val="auto"/>
                <w:kern w:val="0"/>
                <w:sz w:val="21"/>
                <w:szCs w:val="18"/>
                <w:lang w:val="en-US" w:eastAsia="zh-CN"/>
              </w:rPr>
            </w:pPr>
            <w:r>
              <w:rPr>
                <w:rFonts w:hint="eastAsia"/>
                <w:snapToGrid w:val="0"/>
                <w:color w:val="auto"/>
                <w:kern w:val="0"/>
                <w:sz w:val="21"/>
                <w:szCs w:val="18"/>
                <w:lang w:val="en-US" w:eastAsia="zh-CN"/>
              </w:rPr>
              <w:t>苯酚</w:t>
            </w:r>
          </w:p>
        </w:tc>
        <w:tc>
          <w:tcPr>
            <w:tcW w:w="1080" w:type="dxa"/>
            <w:noWrap w:val="0"/>
            <w:vAlign w:val="center"/>
          </w:tcPr>
          <w:p w14:paraId="79448EB3">
            <w:pPr>
              <w:adjustRightInd w:val="0"/>
              <w:snapToGrid w:val="0"/>
              <w:spacing w:line="240" w:lineRule="auto"/>
              <w:jc w:val="center"/>
              <w:textAlignment w:val="baseline"/>
              <w:rPr>
                <w:rFonts w:hint="eastAsia"/>
                <w:snapToGrid w:val="0"/>
                <w:color w:val="auto"/>
                <w:kern w:val="0"/>
                <w:sz w:val="21"/>
                <w:szCs w:val="18"/>
                <w:lang w:val="en-US" w:eastAsia="zh-CN"/>
              </w:rPr>
            </w:pPr>
            <w:r>
              <w:rPr>
                <w:snapToGrid w:val="0"/>
                <w:color w:val="auto"/>
                <w:kern w:val="0"/>
                <w:sz w:val="21"/>
                <w:szCs w:val="18"/>
              </w:rPr>
              <w:t>1小时平均</w:t>
            </w:r>
          </w:p>
        </w:tc>
        <w:tc>
          <w:tcPr>
            <w:tcW w:w="2067" w:type="dxa"/>
            <w:noWrap w:val="0"/>
            <w:vAlign w:val="center"/>
          </w:tcPr>
          <w:p w14:paraId="592EA167">
            <w:pPr>
              <w:adjustRightInd w:val="0"/>
              <w:snapToGrid w:val="0"/>
              <w:spacing w:line="240" w:lineRule="auto"/>
              <w:jc w:val="center"/>
              <w:textAlignment w:val="baseline"/>
              <w:rPr>
                <w:rFonts w:hint="default"/>
                <w:snapToGrid w:val="0"/>
                <w:color w:val="auto"/>
                <w:kern w:val="0"/>
                <w:sz w:val="21"/>
                <w:szCs w:val="18"/>
                <w:lang w:val="en-US" w:eastAsia="zh-CN"/>
              </w:rPr>
            </w:pPr>
            <w:r>
              <w:rPr>
                <w:rFonts w:hint="eastAsia"/>
                <w:snapToGrid w:val="0"/>
                <w:color w:val="auto"/>
                <w:kern w:val="0"/>
                <w:sz w:val="21"/>
                <w:szCs w:val="18"/>
                <w:lang w:val="en-US" w:eastAsia="zh-CN"/>
              </w:rPr>
              <w:t>50</w:t>
            </w:r>
          </w:p>
        </w:tc>
        <w:tc>
          <w:tcPr>
            <w:tcW w:w="4256" w:type="dxa"/>
            <w:noWrap w:val="0"/>
            <w:vAlign w:val="center"/>
          </w:tcPr>
          <w:p w14:paraId="09669436">
            <w:pPr>
              <w:snapToGrid w:val="0"/>
              <w:spacing w:line="240" w:lineRule="auto"/>
              <w:jc w:val="center"/>
              <w:rPr>
                <w:rFonts w:hint="eastAsia" w:ascii="Times New Roman" w:hAnsi="Times New Roman" w:eastAsia="宋体" w:cs="Times New Roman"/>
                <w:snapToGrid w:val="0"/>
                <w:color w:val="auto"/>
                <w:kern w:val="0"/>
                <w:sz w:val="21"/>
                <w:szCs w:val="18"/>
                <w:lang w:val="en-US" w:eastAsia="zh-CN"/>
              </w:rPr>
            </w:pPr>
            <w:r>
              <w:rPr>
                <w:rFonts w:ascii="Times New Roman" w:hAnsi="Times New Roman" w:eastAsia="宋体" w:cs="Times New Roman"/>
                <w:snapToGrid w:val="0"/>
                <w:color w:val="auto"/>
                <w:kern w:val="0"/>
                <w:sz w:val="21"/>
                <w:szCs w:val="18"/>
              </w:rPr>
              <w:t>《居住区大气中酚卫生标准》</w:t>
            </w:r>
            <w:r>
              <w:rPr>
                <w:rFonts w:hint="eastAsia" w:ascii="Times New Roman" w:hAnsi="Times New Roman" w:eastAsia="宋体" w:cs="Times New Roman"/>
                <w:snapToGrid w:val="0"/>
                <w:color w:val="auto"/>
                <w:kern w:val="0"/>
                <w:sz w:val="21"/>
                <w:szCs w:val="18"/>
                <w:lang w:eastAsia="zh-CN"/>
              </w:rPr>
              <w:t>（</w:t>
            </w:r>
            <w:r>
              <w:rPr>
                <w:rFonts w:ascii="Times New Roman" w:hAnsi="Times New Roman" w:eastAsia="宋体" w:cs="Times New Roman"/>
                <w:snapToGrid w:val="0"/>
                <w:color w:val="auto"/>
                <w:kern w:val="0"/>
                <w:sz w:val="21"/>
                <w:szCs w:val="18"/>
              </w:rPr>
              <w:t>GB18067</w:t>
            </w:r>
            <w:r>
              <w:rPr>
                <w:rFonts w:hint="eastAsia" w:ascii="Times New Roman" w:hAnsi="Times New Roman" w:eastAsia="宋体" w:cs="Times New Roman"/>
                <w:snapToGrid w:val="0"/>
                <w:color w:val="auto"/>
                <w:kern w:val="0"/>
                <w:sz w:val="21"/>
                <w:szCs w:val="18"/>
                <w:lang w:val="en-US" w:eastAsia="zh-CN"/>
              </w:rPr>
              <w:t>-</w:t>
            </w:r>
            <w:r>
              <w:rPr>
                <w:rFonts w:ascii="Times New Roman" w:hAnsi="Times New Roman" w:eastAsia="宋体" w:cs="Times New Roman"/>
                <w:snapToGrid w:val="0"/>
                <w:color w:val="auto"/>
                <w:kern w:val="0"/>
                <w:sz w:val="21"/>
                <w:szCs w:val="18"/>
              </w:rPr>
              <w:t>2000</w:t>
            </w:r>
            <w:r>
              <w:rPr>
                <w:rFonts w:hint="eastAsia" w:ascii="Times New Roman" w:hAnsi="Times New Roman" w:eastAsia="宋体" w:cs="Times New Roman"/>
                <w:snapToGrid w:val="0"/>
                <w:color w:val="auto"/>
                <w:kern w:val="0"/>
                <w:sz w:val="21"/>
                <w:szCs w:val="18"/>
                <w:lang w:eastAsia="zh-CN"/>
              </w:rPr>
              <w:t>）</w:t>
            </w:r>
          </w:p>
        </w:tc>
      </w:tr>
    </w:tbl>
    <w:p w14:paraId="7B0A395D">
      <w:pPr>
        <w:spacing w:line="360" w:lineRule="auto"/>
        <w:ind w:firstLine="455" w:firstLineChars="176"/>
        <w:jc w:val="left"/>
        <w:rPr>
          <w:snapToGrid w:val="0"/>
          <w:color w:val="auto"/>
          <w:kern w:val="0"/>
          <w:sz w:val="24"/>
          <w:szCs w:val="32"/>
        </w:rPr>
      </w:pPr>
      <w:r>
        <w:rPr>
          <w:snapToGrid w:val="0"/>
          <w:color w:val="auto"/>
          <w:kern w:val="0"/>
          <w:sz w:val="24"/>
          <w:szCs w:val="32"/>
        </w:rPr>
        <w:t>主要废气污染源排放参数见下表：</w:t>
      </w:r>
    </w:p>
    <w:p w14:paraId="727389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bCs/>
          <w:snapToGrid w:val="0"/>
          <w:color w:val="auto"/>
          <w:kern w:val="0"/>
        </w:rPr>
      </w:pPr>
      <w:r>
        <w:rPr>
          <w:rFonts w:ascii="Times New Roman" w:hAnsi="Times New Roman" w:eastAsia="宋体" w:cs="Times New Roman"/>
          <w:b/>
          <w:bCs/>
          <w:snapToGrid w:val="0"/>
          <w:color w:val="auto"/>
          <w:kern w:val="0"/>
        </w:rPr>
        <w:t>表3-</w:t>
      </w:r>
      <w:r>
        <w:rPr>
          <w:rFonts w:hint="eastAsia" w:cs="Times New Roman"/>
          <w:b/>
          <w:bCs/>
          <w:snapToGrid w:val="0"/>
          <w:color w:val="auto"/>
          <w:kern w:val="0"/>
          <w:lang w:val="en-US" w:eastAsia="zh-CN"/>
        </w:rPr>
        <w:t>8</w:t>
      </w:r>
      <w:r>
        <w:rPr>
          <w:rFonts w:ascii="Times New Roman" w:hAnsi="Times New Roman" w:eastAsia="宋体" w:cs="Times New Roman"/>
          <w:b/>
          <w:bCs/>
          <w:snapToGrid w:val="0"/>
          <w:color w:val="auto"/>
          <w:kern w:val="0"/>
        </w:rPr>
        <w:t xml:space="preserve">   主要废气污染源参数一览表</w:t>
      </w:r>
      <w:r>
        <w:rPr>
          <w:rFonts w:hint="eastAsia" w:cs="Times New Roman"/>
          <w:b/>
          <w:bCs/>
          <w:snapToGrid w:val="0"/>
          <w:color w:val="auto"/>
          <w:kern w:val="0"/>
          <w:lang w:eastAsia="zh-CN"/>
        </w:rPr>
        <w:t>（</w:t>
      </w:r>
      <w:r>
        <w:rPr>
          <w:rFonts w:ascii="Times New Roman" w:hAnsi="Times New Roman" w:eastAsia="宋体" w:cs="Times New Roman"/>
          <w:b/>
          <w:bCs/>
          <w:snapToGrid w:val="0"/>
          <w:color w:val="auto"/>
          <w:kern w:val="0"/>
        </w:rPr>
        <w:t>点源</w:t>
      </w:r>
      <w:r>
        <w:rPr>
          <w:rFonts w:hint="eastAsia" w:cs="Times New Roman"/>
          <w:b/>
          <w:bCs/>
          <w:snapToGrid w:val="0"/>
          <w:color w:val="auto"/>
          <w:kern w:val="0"/>
          <w:lang w:eastAsia="zh-CN"/>
        </w:rPr>
        <w:t>）</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6"/>
        <w:gridCol w:w="708"/>
        <w:gridCol w:w="627"/>
        <w:gridCol w:w="628"/>
        <w:gridCol w:w="495"/>
        <w:gridCol w:w="550"/>
        <w:gridCol w:w="550"/>
        <w:gridCol w:w="550"/>
        <w:gridCol w:w="411"/>
        <w:gridCol w:w="550"/>
        <w:gridCol w:w="696"/>
        <w:gridCol w:w="670"/>
        <w:gridCol w:w="670"/>
        <w:gridCol w:w="670"/>
        <w:gridCol w:w="670"/>
      </w:tblGrid>
      <w:tr w14:paraId="241A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20" w:hRule="atLeast"/>
          <w:jc w:val="center"/>
        </w:trPr>
        <w:tc>
          <w:tcPr>
            <w:tcW w:w="296" w:type="dxa"/>
            <w:vMerge w:val="restart"/>
            <w:noWrap w:val="0"/>
            <w:vAlign w:val="center"/>
          </w:tcPr>
          <w:p w14:paraId="11298AB9">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bCs/>
                <w:snapToGrid w:val="0"/>
                <w:color w:val="auto"/>
                <w:kern w:val="0"/>
                <w:sz w:val="21"/>
                <w:szCs w:val="21"/>
              </w:rPr>
              <w:t>编号</w:t>
            </w:r>
          </w:p>
        </w:tc>
        <w:tc>
          <w:tcPr>
            <w:tcW w:w="708" w:type="dxa"/>
            <w:vMerge w:val="restart"/>
            <w:noWrap w:val="0"/>
            <w:vAlign w:val="center"/>
          </w:tcPr>
          <w:p w14:paraId="49D569C4">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名称</w:t>
            </w:r>
          </w:p>
        </w:tc>
        <w:tc>
          <w:tcPr>
            <w:tcW w:w="1255" w:type="dxa"/>
            <w:gridSpan w:val="2"/>
            <w:vMerge w:val="restart"/>
            <w:noWrap w:val="0"/>
            <w:vAlign w:val="center"/>
          </w:tcPr>
          <w:p w14:paraId="21974730">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排气筒底部中心经纬度</w:t>
            </w:r>
          </w:p>
        </w:tc>
        <w:tc>
          <w:tcPr>
            <w:tcW w:w="495" w:type="dxa"/>
            <w:vMerge w:val="restart"/>
            <w:noWrap w:val="0"/>
            <w:vAlign w:val="center"/>
          </w:tcPr>
          <w:p w14:paraId="7EF1650D">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排气筒底部海拔高度/m</w:t>
            </w:r>
          </w:p>
        </w:tc>
        <w:tc>
          <w:tcPr>
            <w:tcW w:w="550" w:type="dxa"/>
            <w:vMerge w:val="restart"/>
            <w:noWrap w:val="0"/>
            <w:vAlign w:val="center"/>
          </w:tcPr>
          <w:p w14:paraId="17CB333C">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排气筒</w:t>
            </w:r>
          </w:p>
          <w:p w14:paraId="2C04AA63">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高度/m</w:t>
            </w:r>
          </w:p>
        </w:tc>
        <w:tc>
          <w:tcPr>
            <w:tcW w:w="550" w:type="dxa"/>
            <w:vMerge w:val="restart"/>
            <w:noWrap w:val="0"/>
            <w:vAlign w:val="center"/>
          </w:tcPr>
          <w:p w14:paraId="0FAF78CB">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排气筒出口内径</w:t>
            </w:r>
          </w:p>
          <w:p w14:paraId="6EFFDADE">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/m</w:t>
            </w:r>
          </w:p>
        </w:tc>
        <w:tc>
          <w:tcPr>
            <w:tcW w:w="550" w:type="dxa"/>
            <w:vMerge w:val="restart"/>
            <w:noWrap w:val="0"/>
            <w:vAlign w:val="center"/>
          </w:tcPr>
          <w:p w14:paraId="2DD5FEA7">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b/>
                <w:snapToGrid w:val="0"/>
                <w:color w:val="auto"/>
                <w:kern w:val="0"/>
                <w:sz w:val="21"/>
                <w:szCs w:val="21"/>
                <w:lang w:val="en-US" w:eastAsia="zh-CN"/>
              </w:rPr>
            </w:pPr>
            <w:r>
              <w:rPr>
                <w:rFonts w:hint="eastAsia"/>
                <w:b/>
                <w:snapToGrid w:val="0"/>
                <w:color w:val="auto"/>
                <w:kern w:val="0"/>
                <w:sz w:val="21"/>
                <w:szCs w:val="21"/>
                <w:lang w:val="en-US" w:eastAsia="zh-CN"/>
              </w:rPr>
              <w:t>风量m3/h</w:t>
            </w:r>
          </w:p>
        </w:tc>
        <w:tc>
          <w:tcPr>
            <w:tcW w:w="411" w:type="dxa"/>
            <w:vMerge w:val="restart"/>
            <w:noWrap w:val="0"/>
            <w:vAlign w:val="center"/>
          </w:tcPr>
          <w:p w14:paraId="0C1F41BC">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烟气温度/℃</w:t>
            </w:r>
          </w:p>
        </w:tc>
        <w:tc>
          <w:tcPr>
            <w:tcW w:w="550" w:type="dxa"/>
            <w:vMerge w:val="restart"/>
            <w:noWrap w:val="0"/>
            <w:vAlign w:val="center"/>
          </w:tcPr>
          <w:p w14:paraId="634D39A7">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年排放小时数</w:t>
            </w:r>
          </w:p>
        </w:tc>
        <w:tc>
          <w:tcPr>
            <w:tcW w:w="696" w:type="dxa"/>
            <w:vMerge w:val="restart"/>
            <w:noWrap w:val="0"/>
            <w:vAlign w:val="center"/>
          </w:tcPr>
          <w:p w14:paraId="70FD4AA8">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排放工况</w:t>
            </w:r>
          </w:p>
        </w:tc>
        <w:tc>
          <w:tcPr>
            <w:tcW w:w="2680" w:type="dxa"/>
            <w:gridSpan w:val="4"/>
            <w:noWrap w:val="0"/>
            <w:vAlign w:val="center"/>
          </w:tcPr>
          <w:p w14:paraId="512E3E2B">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kern w:val="0"/>
                <w:sz w:val="21"/>
                <w:szCs w:val="21"/>
              </w:rPr>
            </w:pPr>
            <w:r>
              <w:rPr>
                <w:b/>
                <w:snapToGrid w:val="0"/>
                <w:color w:val="auto"/>
                <w:kern w:val="0"/>
                <w:sz w:val="21"/>
                <w:szCs w:val="21"/>
              </w:rPr>
              <w:t>排放速率kg/h</w:t>
            </w:r>
          </w:p>
        </w:tc>
      </w:tr>
      <w:tr w14:paraId="2270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 w:hRule="atLeast"/>
          <w:jc w:val="center"/>
        </w:trPr>
        <w:tc>
          <w:tcPr>
            <w:tcW w:w="296" w:type="dxa"/>
            <w:vMerge w:val="continue"/>
            <w:noWrap w:val="0"/>
            <w:vAlign w:val="center"/>
          </w:tcPr>
          <w:p w14:paraId="279E733F">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bCs/>
                <w:snapToGrid w:val="0"/>
                <w:color w:val="auto"/>
                <w:sz w:val="21"/>
                <w:szCs w:val="21"/>
              </w:rPr>
            </w:pPr>
          </w:p>
        </w:tc>
        <w:tc>
          <w:tcPr>
            <w:tcW w:w="708" w:type="dxa"/>
            <w:vMerge w:val="continue"/>
            <w:noWrap w:val="0"/>
            <w:vAlign w:val="center"/>
          </w:tcPr>
          <w:p w14:paraId="08C07B79">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p>
        </w:tc>
        <w:tc>
          <w:tcPr>
            <w:tcW w:w="1255" w:type="dxa"/>
            <w:gridSpan w:val="2"/>
            <w:vMerge w:val="continue"/>
            <w:noWrap w:val="0"/>
            <w:vAlign w:val="center"/>
          </w:tcPr>
          <w:p w14:paraId="78B8C69B">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p>
        </w:tc>
        <w:tc>
          <w:tcPr>
            <w:tcW w:w="495" w:type="dxa"/>
            <w:vMerge w:val="continue"/>
            <w:noWrap w:val="0"/>
            <w:vAlign w:val="center"/>
          </w:tcPr>
          <w:p w14:paraId="76BD7383">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p>
        </w:tc>
        <w:tc>
          <w:tcPr>
            <w:tcW w:w="550" w:type="dxa"/>
            <w:vMerge w:val="continue"/>
            <w:noWrap w:val="0"/>
            <w:vAlign w:val="center"/>
          </w:tcPr>
          <w:p w14:paraId="536C021E">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p>
        </w:tc>
        <w:tc>
          <w:tcPr>
            <w:tcW w:w="550" w:type="dxa"/>
            <w:vMerge w:val="continue"/>
            <w:noWrap w:val="0"/>
            <w:vAlign w:val="center"/>
          </w:tcPr>
          <w:p w14:paraId="47C4CE67">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p>
        </w:tc>
        <w:tc>
          <w:tcPr>
            <w:tcW w:w="550" w:type="dxa"/>
            <w:vMerge w:val="continue"/>
            <w:noWrap w:val="0"/>
            <w:vAlign w:val="center"/>
          </w:tcPr>
          <w:p w14:paraId="46779A2F">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p>
        </w:tc>
        <w:tc>
          <w:tcPr>
            <w:tcW w:w="411" w:type="dxa"/>
            <w:vMerge w:val="continue"/>
            <w:noWrap w:val="0"/>
            <w:vAlign w:val="center"/>
          </w:tcPr>
          <w:p w14:paraId="3A5B65A8">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p>
        </w:tc>
        <w:tc>
          <w:tcPr>
            <w:tcW w:w="550" w:type="dxa"/>
            <w:vMerge w:val="continue"/>
            <w:noWrap w:val="0"/>
            <w:vAlign w:val="center"/>
          </w:tcPr>
          <w:p w14:paraId="1375D8C8">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p>
        </w:tc>
        <w:tc>
          <w:tcPr>
            <w:tcW w:w="696" w:type="dxa"/>
            <w:vMerge w:val="continue"/>
            <w:noWrap w:val="0"/>
            <w:vAlign w:val="center"/>
          </w:tcPr>
          <w:p w14:paraId="3848BE49">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p>
        </w:tc>
        <w:tc>
          <w:tcPr>
            <w:tcW w:w="670" w:type="dxa"/>
            <w:noWrap w:val="0"/>
            <w:vAlign w:val="center"/>
          </w:tcPr>
          <w:p w14:paraId="3ECE645C">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bCs/>
                <w:snapToGrid w:val="0"/>
                <w:color w:val="auto"/>
                <w:sz w:val="21"/>
                <w:szCs w:val="21"/>
              </w:rPr>
            </w:pPr>
            <w:r>
              <w:rPr>
                <w:b/>
                <w:bCs/>
                <w:snapToGrid w:val="0"/>
                <w:color w:val="auto"/>
                <w:sz w:val="21"/>
                <w:szCs w:val="21"/>
              </w:rPr>
              <w:t>PM</w:t>
            </w:r>
            <w:r>
              <w:rPr>
                <w:b/>
                <w:bCs/>
                <w:snapToGrid w:val="0"/>
                <w:color w:val="auto"/>
                <w:sz w:val="21"/>
                <w:szCs w:val="21"/>
                <w:vertAlign w:val="subscript"/>
              </w:rPr>
              <w:t>10</w:t>
            </w:r>
          </w:p>
        </w:tc>
        <w:tc>
          <w:tcPr>
            <w:tcW w:w="670" w:type="dxa"/>
            <w:noWrap w:val="0"/>
            <w:vAlign w:val="center"/>
          </w:tcPr>
          <w:p w14:paraId="55A787B5">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b/>
                <w:snapToGrid w:val="0"/>
                <w:color w:val="auto"/>
                <w:sz w:val="21"/>
                <w:szCs w:val="21"/>
                <w:lang w:val="en-US" w:eastAsia="zh-CN"/>
              </w:rPr>
            </w:pPr>
            <w:r>
              <w:rPr>
                <w:rFonts w:hint="eastAsia"/>
                <w:b/>
                <w:snapToGrid w:val="0"/>
                <w:color w:val="auto"/>
                <w:sz w:val="21"/>
                <w:szCs w:val="21"/>
                <w:lang w:val="en-US" w:eastAsia="zh-CN"/>
              </w:rPr>
              <w:t>非甲烷总烃</w:t>
            </w:r>
          </w:p>
        </w:tc>
        <w:tc>
          <w:tcPr>
            <w:tcW w:w="670" w:type="dxa"/>
            <w:noWrap w:val="0"/>
            <w:vAlign w:val="center"/>
          </w:tcPr>
          <w:p w14:paraId="1E343AF9">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21"/>
              </w:rPr>
            </w:pPr>
            <w:r>
              <w:rPr>
                <w:rFonts w:hint="eastAsia"/>
                <w:b/>
                <w:snapToGrid w:val="0"/>
                <w:color w:val="auto"/>
                <w:sz w:val="21"/>
                <w:szCs w:val="21"/>
                <w:lang w:val="en-US" w:eastAsia="zh-CN"/>
              </w:rPr>
              <w:t>甲醛</w:t>
            </w:r>
          </w:p>
        </w:tc>
        <w:tc>
          <w:tcPr>
            <w:tcW w:w="670" w:type="dxa"/>
            <w:noWrap w:val="0"/>
            <w:vAlign w:val="center"/>
          </w:tcPr>
          <w:p w14:paraId="301767E7">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eastAsia="宋体"/>
                <w:b/>
                <w:snapToGrid w:val="0"/>
                <w:color w:val="auto"/>
                <w:sz w:val="21"/>
                <w:szCs w:val="21"/>
                <w:lang w:val="en-US" w:eastAsia="zh-CN"/>
              </w:rPr>
            </w:pPr>
            <w:r>
              <w:rPr>
                <w:rFonts w:hint="eastAsia"/>
                <w:b/>
                <w:snapToGrid w:val="0"/>
                <w:color w:val="auto"/>
                <w:sz w:val="21"/>
                <w:szCs w:val="21"/>
                <w:lang w:val="en-US" w:eastAsia="zh-CN"/>
              </w:rPr>
              <w:t>苯酚</w:t>
            </w:r>
          </w:p>
        </w:tc>
      </w:tr>
      <w:tr w14:paraId="2172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5" w:hRule="atLeast"/>
          <w:jc w:val="center"/>
        </w:trPr>
        <w:tc>
          <w:tcPr>
            <w:tcW w:w="296" w:type="dxa"/>
            <w:noWrap w:val="0"/>
            <w:vAlign w:val="center"/>
          </w:tcPr>
          <w:p w14:paraId="177902B1">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snapToGrid w:val="0"/>
                <w:color w:val="auto"/>
                <w:sz w:val="21"/>
                <w:szCs w:val="21"/>
              </w:rPr>
            </w:pPr>
            <w:r>
              <w:rPr>
                <w:snapToGrid w:val="0"/>
                <w:color w:val="auto"/>
                <w:sz w:val="21"/>
                <w:szCs w:val="21"/>
              </w:rPr>
              <w:t>1#</w:t>
            </w:r>
          </w:p>
        </w:tc>
        <w:tc>
          <w:tcPr>
            <w:tcW w:w="708" w:type="dxa"/>
            <w:noWrap w:val="0"/>
            <w:vAlign w:val="center"/>
          </w:tcPr>
          <w:p w14:paraId="05463D7B">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snapToGrid w:val="0"/>
                <w:color w:val="auto"/>
                <w:sz w:val="21"/>
                <w:szCs w:val="21"/>
              </w:rPr>
            </w:pPr>
            <w:r>
              <w:rPr>
                <w:snapToGrid w:val="0"/>
                <w:color w:val="auto"/>
                <w:sz w:val="21"/>
                <w:szCs w:val="21"/>
              </w:rPr>
              <w:t>DA001</w:t>
            </w:r>
          </w:p>
        </w:tc>
        <w:tc>
          <w:tcPr>
            <w:tcW w:w="627" w:type="dxa"/>
            <w:noWrap w:val="0"/>
            <w:vAlign w:val="center"/>
          </w:tcPr>
          <w:p w14:paraId="2AC98220">
            <w:pPr>
              <w:keepNext w:val="0"/>
              <w:keepLines w:val="0"/>
              <w:pageBreakBefore w:val="0"/>
              <w:kinsoku/>
              <w:wordWrap/>
              <w:overflowPunct/>
              <w:topLinePunct w:val="0"/>
              <w:autoSpaceDE w:val="0"/>
              <w:autoSpaceDN w:val="0"/>
              <w:bidi w:val="0"/>
              <w:adjustRightInd w:val="0"/>
              <w:snapToGrid w:val="0"/>
              <w:jc w:val="center"/>
              <w:rPr>
                <w:snapToGrid w:val="0"/>
                <w:color w:val="auto"/>
                <w:sz w:val="21"/>
                <w:szCs w:val="21"/>
              </w:rPr>
            </w:pPr>
            <w:r>
              <w:rPr>
                <w:rFonts w:hint="default" w:ascii="Times New Roman" w:hAnsi="Times New Roman" w:cs="Times New Roman"/>
                <w:color w:val="auto"/>
                <w:sz w:val="21"/>
                <w:szCs w:val="21"/>
                <w:highlight w:val="none"/>
              </w:rPr>
              <w:t>116度58分40.4</w:t>
            </w:r>
            <w:r>
              <w:rPr>
                <w:rFonts w:hint="eastAsia" w:ascii="Times New Roman" w:hAnsi="Times New Roman" w:cs="Times New Roman"/>
                <w:color w:val="auto"/>
                <w:sz w:val="21"/>
                <w:szCs w:val="21"/>
                <w:highlight w:val="none"/>
                <w:lang w:val="en-US" w:eastAsia="zh-CN"/>
              </w:rPr>
              <w:t>23</w:t>
            </w:r>
            <w:r>
              <w:rPr>
                <w:rFonts w:hint="default" w:ascii="Times New Roman" w:hAnsi="Times New Roman" w:cs="Times New Roman"/>
                <w:color w:val="auto"/>
                <w:sz w:val="21"/>
                <w:szCs w:val="21"/>
                <w:highlight w:val="none"/>
              </w:rPr>
              <w:t>秒</w:t>
            </w:r>
          </w:p>
        </w:tc>
        <w:tc>
          <w:tcPr>
            <w:tcW w:w="628" w:type="dxa"/>
            <w:noWrap w:val="0"/>
            <w:vAlign w:val="center"/>
          </w:tcPr>
          <w:p w14:paraId="108D4E9C">
            <w:pPr>
              <w:keepNext w:val="0"/>
              <w:keepLines w:val="0"/>
              <w:pageBreakBefore w:val="0"/>
              <w:kinsoku/>
              <w:wordWrap/>
              <w:overflowPunct/>
              <w:topLinePunct w:val="0"/>
              <w:autoSpaceDE w:val="0"/>
              <w:autoSpaceDN w:val="0"/>
              <w:bidi w:val="0"/>
              <w:adjustRightInd w:val="0"/>
              <w:snapToGrid w:val="0"/>
              <w:jc w:val="center"/>
              <w:rPr>
                <w:rFonts w:hint="eastAsia"/>
                <w:snapToGrid w:val="0"/>
                <w:color w:val="auto"/>
                <w:kern w:val="0"/>
                <w:sz w:val="21"/>
                <w:szCs w:val="21"/>
              </w:rPr>
            </w:pPr>
            <w:r>
              <w:rPr>
                <w:rFonts w:hint="default" w:ascii="Times New Roman" w:hAnsi="Times New Roman" w:cs="Times New Roman"/>
                <w:color w:val="auto"/>
                <w:sz w:val="21"/>
                <w:szCs w:val="21"/>
                <w:highlight w:val="none"/>
              </w:rPr>
              <w:t>32度34分13.4</w:t>
            </w:r>
            <w:r>
              <w:rPr>
                <w:rFonts w:hint="eastAsia" w:ascii="Times New Roman" w:hAnsi="Times New Roman" w:cs="Times New Roman"/>
                <w:color w:val="auto"/>
                <w:sz w:val="21"/>
                <w:szCs w:val="21"/>
                <w:highlight w:val="none"/>
                <w:lang w:val="en-US" w:eastAsia="zh-CN"/>
              </w:rPr>
              <w:t>23</w:t>
            </w:r>
            <w:r>
              <w:rPr>
                <w:rFonts w:hint="default" w:ascii="Times New Roman" w:hAnsi="Times New Roman" w:cs="Times New Roman"/>
                <w:color w:val="auto"/>
                <w:sz w:val="21"/>
                <w:szCs w:val="21"/>
                <w:highlight w:val="none"/>
              </w:rPr>
              <w:t>秒</w:t>
            </w:r>
          </w:p>
        </w:tc>
        <w:tc>
          <w:tcPr>
            <w:tcW w:w="495" w:type="dxa"/>
            <w:noWrap w:val="0"/>
            <w:vAlign w:val="center"/>
          </w:tcPr>
          <w:p w14:paraId="7300748F">
            <w:pPr>
              <w:keepNext w:val="0"/>
              <w:keepLines w:val="0"/>
              <w:pageBreakBefore w:val="0"/>
              <w:kinsoku/>
              <w:wordWrap/>
              <w:overflowPunct/>
              <w:topLinePunct w:val="0"/>
              <w:autoSpaceDE w:val="0"/>
              <w:autoSpaceDN w:val="0"/>
              <w:bidi w:val="0"/>
              <w:adjustRightInd w:val="0"/>
              <w:snapToGrid w:val="0"/>
              <w:jc w:val="center"/>
              <w:rPr>
                <w:snapToGrid w:val="0"/>
                <w:color w:val="auto"/>
                <w:sz w:val="21"/>
                <w:szCs w:val="21"/>
              </w:rPr>
            </w:pPr>
            <w:r>
              <w:rPr>
                <w:rFonts w:hint="default" w:ascii="Times New Roman" w:hAnsi="Times New Roman" w:eastAsia="宋体" w:cs="Times New Roman"/>
                <w:color w:val="auto"/>
                <w:sz w:val="21"/>
                <w:szCs w:val="21"/>
                <w:highlight w:val="none"/>
                <w:lang w:val="en-US" w:eastAsia="zh-CN"/>
              </w:rPr>
              <w:t>20</w:t>
            </w:r>
          </w:p>
        </w:tc>
        <w:tc>
          <w:tcPr>
            <w:tcW w:w="550" w:type="dxa"/>
            <w:noWrap w:val="0"/>
            <w:vAlign w:val="center"/>
          </w:tcPr>
          <w:p w14:paraId="62BB5BB0">
            <w:pPr>
              <w:keepNext w:val="0"/>
              <w:keepLines w:val="0"/>
              <w:pageBreakBefore w:val="0"/>
              <w:kinsoku/>
              <w:wordWrap/>
              <w:overflowPunct/>
              <w:topLinePunct w:val="0"/>
              <w:autoSpaceDE w:val="0"/>
              <w:autoSpaceDN w:val="0"/>
              <w:bidi w:val="0"/>
              <w:adjustRightInd w:val="0"/>
              <w:snapToGrid w:val="0"/>
              <w:jc w:val="center"/>
              <w:rPr>
                <w:snapToGrid w:val="0"/>
                <w:color w:val="auto"/>
                <w:sz w:val="21"/>
                <w:szCs w:val="21"/>
              </w:rPr>
            </w:pPr>
            <w:r>
              <w:rPr>
                <w:rFonts w:hint="eastAsia" w:ascii="Times New Roman" w:hAnsi="Times New Roman" w:eastAsia="宋体" w:cs="Times New Roman"/>
                <w:color w:val="auto"/>
                <w:sz w:val="21"/>
                <w:szCs w:val="21"/>
                <w:highlight w:val="none"/>
                <w:lang w:val="en-US" w:eastAsia="zh-CN"/>
              </w:rPr>
              <w:t>0.5</w:t>
            </w:r>
          </w:p>
        </w:tc>
        <w:tc>
          <w:tcPr>
            <w:tcW w:w="550" w:type="dxa"/>
            <w:noWrap w:val="0"/>
            <w:vAlign w:val="center"/>
          </w:tcPr>
          <w:p w14:paraId="6EA8B852">
            <w:pPr>
              <w:keepNext w:val="0"/>
              <w:keepLines w:val="0"/>
              <w:pageBreakBefore w:val="0"/>
              <w:kinsoku/>
              <w:wordWrap/>
              <w:overflowPunct/>
              <w:topLinePunct w:val="0"/>
              <w:autoSpaceDE w:val="0"/>
              <w:autoSpaceDN w:val="0"/>
              <w:bidi w:val="0"/>
              <w:adjustRightInd w:val="0"/>
              <w:snapToGrid w:val="0"/>
              <w:jc w:val="center"/>
              <w:rPr>
                <w:snapToGrid w:val="0"/>
                <w:color w:val="auto"/>
                <w:sz w:val="21"/>
                <w:szCs w:val="21"/>
              </w:rPr>
            </w:pPr>
            <w:r>
              <w:rPr>
                <w:rFonts w:hint="eastAsia" w:ascii="Times New Roman" w:hAnsi="Times New Roman" w:eastAsia="宋体" w:cs="Times New Roman"/>
                <w:color w:val="auto"/>
                <w:sz w:val="21"/>
                <w:szCs w:val="21"/>
                <w:highlight w:val="none"/>
                <w:lang w:val="en-US" w:eastAsia="zh-CN"/>
              </w:rPr>
              <w:t>25</w:t>
            </w:r>
          </w:p>
        </w:tc>
        <w:tc>
          <w:tcPr>
            <w:tcW w:w="550" w:type="dxa"/>
            <w:noWrap w:val="0"/>
            <w:vAlign w:val="center"/>
          </w:tcPr>
          <w:p w14:paraId="4CD4E985">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snapToGrid w:val="0"/>
                <w:color w:val="auto"/>
                <w:sz w:val="21"/>
                <w:szCs w:val="21"/>
                <w:lang w:val="en-US" w:eastAsia="zh-CN"/>
              </w:rPr>
            </w:pPr>
            <w:r>
              <w:rPr>
                <w:rFonts w:hint="eastAsia"/>
                <w:snapToGrid w:val="0"/>
                <w:color w:val="auto"/>
                <w:sz w:val="21"/>
                <w:szCs w:val="21"/>
                <w:lang w:val="en-US" w:eastAsia="zh-CN"/>
              </w:rPr>
              <w:t>12000</w:t>
            </w:r>
          </w:p>
        </w:tc>
        <w:tc>
          <w:tcPr>
            <w:tcW w:w="411" w:type="dxa"/>
            <w:noWrap w:val="0"/>
            <w:vAlign w:val="center"/>
          </w:tcPr>
          <w:p w14:paraId="2E0D5479">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eastAsia="宋体"/>
                <w:snapToGrid w:val="0"/>
                <w:color w:val="auto"/>
                <w:sz w:val="21"/>
                <w:szCs w:val="21"/>
                <w:lang w:eastAsia="zh-CN"/>
              </w:rPr>
            </w:pPr>
            <w:r>
              <w:rPr>
                <w:snapToGrid w:val="0"/>
                <w:color w:val="auto"/>
                <w:sz w:val="21"/>
                <w:szCs w:val="21"/>
              </w:rPr>
              <w:t>2</w:t>
            </w:r>
            <w:r>
              <w:rPr>
                <w:rFonts w:hint="eastAsia"/>
                <w:snapToGrid w:val="0"/>
                <w:color w:val="auto"/>
                <w:sz w:val="21"/>
                <w:szCs w:val="21"/>
                <w:lang w:val="en-US" w:eastAsia="zh-CN"/>
              </w:rPr>
              <w:t>5</w:t>
            </w:r>
          </w:p>
        </w:tc>
        <w:tc>
          <w:tcPr>
            <w:tcW w:w="550" w:type="dxa"/>
            <w:noWrap w:val="0"/>
            <w:vAlign w:val="center"/>
          </w:tcPr>
          <w:p w14:paraId="26CD1644">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snapToGrid w:val="0"/>
                <w:color w:val="auto"/>
                <w:sz w:val="21"/>
                <w:szCs w:val="21"/>
                <w:lang w:val="en-US" w:eastAsia="zh-CN"/>
              </w:rPr>
            </w:pPr>
            <w:r>
              <w:rPr>
                <w:rFonts w:hint="eastAsia"/>
                <w:snapToGrid w:val="0"/>
                <w:color w:val="auto"/>
                <w:sz w:val="21"/>
                <w:szCs w:val="21"/>
                <w:lang w:val="en-US" w:eastAsia="zh-CN"/>
              </w:rPr>
              <w:t>2400</w:t>
            </w:r>
          </w:p>
        </w:tc>
        <w:tc>
          <w:tcPr>
            <w:tcW w:w="696" w:type="dxa"/>
            <w:noWrap w:val="0"/>
            <w:vAlign w:val="center"/>
          </w:tcPr>
          <w:p w14:paraId="794A05E9">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snapToGrid w:val="0"/>
                <w:color w:val="auto"/>
                <w:sz w:val="21"/>
                <w:szCs w:val="21"/>
              </w:rPr>
            </w:pPr>
            <w:r>
              <w:rPr>
                <w:snapToGrid w:val="0"/>
                <w:color w:val="auto"/>
                <w:sz w:val="21"/>
                <w:szCs w:val="21"/>
              </w:rPr>
              <w:t>正常</w:t>
            </w:r>
          </w:p>
        </w:tc>
        <w:tc>
          <w:tcPr>
            <w:tcW w:w="670" w:type="dxa"/>
            <w:noWrap w:val="0"/>
            <w:vAlign w:val="center"/>
          </w:tcPr>
          <w:p w14:paraId="11C8B555">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snapToGrid w:val="0"/>
                <w:color w:val="auto"/>
                <w:sz w:val="21"/>
                <w:szCs w:val="21"/>
                <w:lang w:val="en-US" w:eastAsia="zh-CN"/>
              </w:rPr>
            </w:pPr>
            <w:r>
              <w:rPr>
                <w:rFonts w:hint="eastAsia"/>
                <w:snapToGrid w:val="0"/>
                <w:color w:val="auto"/>
                <w:sz w:val="21"/>
                <w:szCs w:val="21"/>
                <w:lang w:val="en-US" w:eastAsia="zh-CN"/>
              </w:rPr>
              <w:t>0.007</w:t>
            </w:r>
          </w:p>
        </w:tc>
        <w:tc>
          <w:tcPr>
            <w:tcW w:w="670" w:type="dxa"/>
            <w:noWrap w:val="0"/>
            <w:vAlign w:val="center"/>
          </w:tcPr>
          <w:p w14:paraId="3A4F16CC">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snapToGrid w:val="0"/>
                <w:color w:val="auto"/>
                <w:sz w:val="21"/>
                <w:szCs w:val="21"/>
                <w:lang w:val="en-US" w:eastAsia="zh-CN"/>
              </w:rPr>
            </w:pPr>
            <w:r>
              <w:rPr>
                <w:rFonts w:hint="eastAsia"/>
                <w:snapToGrid w:val="0"/>
                <w:color w:val="auto"/>
                <w:sz w:val="21"/>
                <w:szCs w:val="21"/>
                <w:lang w:val="en-US" w:eastAsia="zh-CN"/>
              </w:rPr>
              <w:t>/</w:t>
            </w:r>
          </w:p>
        </w:tc>
        <w:tc>
          <w:tcPr>
            <w:tcW w:w="670" w:type="dxa"/>
            <w:noWrap w:val="0"/>
            <w:vAlign w:val="center"/>
          </w:tcPr>
          <w:p w14:paraId="6A158596">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snapToGrid w:val="0"/>
                <w:color w:val="auto"/>
                <w:sz w:val="21"/>
                <w:szCs w:val="21"/>
                <w:lang w:val="en-US" w:eastAsia="zh-CN"/>
              </w:rPr>
            </w:pPr>
            <w:r>
              <w:rPr>
                <w:rFonts w:hint="eastAsia"/>
                <w:snapToGrid w:val="0"/>
                <w:color w:val="auto"/>
                <w:sz w:val="21"/>
                <w:szCs w:val="21"/>
                <w:lang w:val="en-US" w:eastAsia="zh-CN"/>
              </w:rPr>
              <w:t>/</w:t>
            </w:r>
          </w:p>
        </w:tc>
        <w:tc>
          <w:tcPr>
            <w:tcW w:w="670" w:type="dxa"/>
            <w:noWrap w:val="0"/>
            <w:vAlign w:val="center"/>
          </w:tcPr>
          <w:p w14:paraId="46F538DC">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snapToGrid w:val="0"/>
                <w:color w:val="auto"/>
                <w:sz w:val="21"/>
                <w:szCs w:val="21"/>
                <w:lang w:val="en-US" w:eastAsia="zh-CN"/>
              </w:rPr>
            </w:pPr>
            <w:r>
              <w:rPr>
                <w:rFonts w:hint="eastAsia"/>
                <w:snapToGrid w:val="0"/>
                <w:color w:val="auto"/>
                <w:sz w:val="21"/>
                <w:szCs w:val="21"/>
                <w:lang w:val="en-US" w:eastAsia="zh-CN"/>
              </w:rPr>
              <w:t>/</w:t>
            </w:r>
          </w:p>
        </w:tc>
      </w:tr>
      <w:tr w14:paraId="365E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5" w:hRule="atLeast"/>
          <w:jc w:val="center"/>
        </w:trPr>
        <w:tc>
          <w:tcPr>
            <w:tcW w:w="296" w:type="dxa"/>
            <w:noWrap w:val="0"/>
            <w:vAlign w:val="center"/>
          </w:tcPr>
          <w:p w14:paraId="1176C1F6">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eastAsia="宋体"/>
                <w:snapToGrid w:val="0"/>
                <w:color w:val="auto"/>
                <w:sz w:val="21"/>
                <w:szCs w:val="21"/>
                <w:lang w:val="en-US" w:eastAsia="zh-CN"/>
              </w:rPr>
            </w:pPr>
            <w:r>
              <w:rPr>
                <w:rFonts w:hint="eastAsia"/>
                <w:snapToGrid w:val="0"/>
                <w:color w:val="auto"/>
                <w:sz w:val="21"/>
                <w:szCs w:val="21"/>
                <w:lang w:val="en-US" w:eastAsia="zh-CN"/>
              </w:rPr>
              <w:t>2</w:t>
            </w:r>
            <w:r>
              <w:rPr>
                <w:snapToGrid w:val="0"/>
                <w:color w:val="auto"/>
                <w:sz w:val="21"/>
                <w:szCs w:val="21"/>
              </w:rPr>
              <w:t>#</w:t>
            </w:r>
          </w:p>
        </w:tc>
        <w:tc>
          <w:tcPr>
            <w:tcW w:w="708" w:type="dxa"/>
            <w:noWrap w:val="0"/>
            <w:vAlign w:val="center"/>
          </w:tcPr>
          <w:p w14:paraId="71B94816">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eastAsia="宋体"/>
                <w:snapToGrid w:val="0"/>
                <w:color w:val="auto"/>
                <w:sz w:val="21"/>
                <w:szCs w:val="21"/>
                <w:lang w:eastAsia="zh-CN"/>
              </w:rPr>
            </w:pPr>
            <w:r>
              <w:rPr>
                <w:snapToGrid w:val="0"/>
                <w:color w:val="auto"/>
                <w:sz w:val="21"/>
                <w:szCs w:val="21"/>
              </w:rPr>
              <w:t>DA00</w:t>
            </w:r>
            <w:r>
              <w:rPr>
                <w:rFonts w:hint="eastAsia"/>
                <w:snapToGrid w:val="0"/>
                <w:color w:val="auto"/>
                <w:sz w:val="21"/>
                <w:szCs w:val="21"/>
                <w:lang w:val="en-US" w:eastAsia="zh-CN"/>
              </w:rPr>
              <w:t>2</w:t>
            </w:r>
          </w:p>
        </w:tc>
        <w:tc>
          <w:tcPr>
            <w:tcW w:w="627" w:type="dxa"/>
            <w:noWrap w:val="0"/>
            <w:vAlign w:val="center"/>
          </w:tcPr>
          <w:p w14:paraId="779B59F9">
            <w:pPr>
              <w:keepNext w:val="0"/>
              <w:keepLines w:val="0"/>
              <w:pageBreakBefore w:val="0"/>
              <w:kinsoku/>
              <w:wordWrap/>
              <w:overflowPunct/>
              <w:topLinePunct w:val="0"/>
              <w:autoSpaceDE w:val="0"/>
              <w:autoSpaceDN w:val="0"/>
              <w:bidi w:val="0"/>
              <w:adjustRightInd w:val="0"/>
              <w:snapToGrid w:val="0"/>
              <w:jc w:val="center"/>
              <w:rPr>
                <w:rFonts w:hint="eastAsia"/>
                <w:snapToGrid w:val="0"/>
                <w:color w:val="auto"/>
                <w:kern w:val="0"/>
                <w:sz w:val="21"/>
                <w:szCs w:val="21"/>
              </w:rPr>
            </w:pPr>
            <w:r>
              <w:rPr>
                <w:rFonts w:hint="default" w:ascii="Times New Roman" w:hAnsi="Times New Roman" w:cs="Times New Roman"/>
                <w:color w:val="auto"/>
                <w:sz w:val="21"/>
                <w:szCs w:val="21"/>
                <w:highlight w:val="none"/>
              </w:rPr>
              <w:t>116度58分40.4</w:t>
            </w:r>
            <w:r>
              <w:rPr>
                <w:rFonts w:hint="eastAsia" w:ascii="Times New Roman" w:hAnsi="Times New Roman" w:cs="Times New Roman"/>
                <w:color w:val="auto"/>
                <w:sz w:val="21"/>
                <w:szCs w:val="21"/>
                <w:highlight w:val="none"/>
                <w:lang w:val="en-US" w:eastAsia="zh-CN"/>
              </w:rPr>
              <w:t>23</w:t>
            </w:r>
            <w:r>
              <w:rPr>
                <w:rFonts w:hint="default" w:ascii="Times New Roman" w:hAnsi="Times New Roman" w:cs="Times New Roman"/>
                <w:color w:val="auto"/>
                <w:sz w:val="21"/>
                <w:szCs w:val="21"/>
                <w:highlight w:val="none"/>
              </w:rPr>
              <w:t>秒</w:t>
            </w:r>
          </w:p>
        </w:tc>
        <w:tc>
          <w:tcPr>
            <w:tcW w:w="628" w:type="dxa"/>
            <w:noWrap w:val="0"/>
            <w:vAlign w:val="center"/>
          </w:tcPr>
          <w:p w14:paraId="21071DF4">
            <w:pPr>
              <w:keepNext w:val="0"/>
              <w:keepLines w:val="0"/>
              <w:pageBreakBefore w:val="0"/>
              <w:kinsoku/>
              <w:wordWrap/>
              <w:overflowPunct/>
              <w:topLinePunct w:val="0"/>
              <w:autoSpaceDE w:val="0"/>
              <w:autoSpaceDN w:val="0"/>
              <w:bidi w:val="0"/>
              <w:adjustRightInd w:val="0"/>
              <w:snapToGrid w:val="0"/>
              <w:jc w:val="center"/>
              <w:rPr>
                <w:rFonts w:hint="eastAsia"/>
                <w:snapToGrid w:val="0"/>
                <w:color w:val="auto"/>
                <w:kern w:val="0"/>
                <w:sz w:val="21"/>
                <w:szCs w:val="21"/>
              </w:rPr>
            </w:pPr>
            <w:r>
              <w:rPr>
                <w:rFonts w:hint="default" w:ascii="Times New Roman" w:hAnsi="Times New Roman" w:cs="Times New Roman"/>
                <w:color w:val="auto"/>
                <w:sz w:val="21"/>
                <w:szCs w:val="21"/>
                <w:highlight w:val="none"/>
              </w:rPr>
              <w:t>32度34分13.4</w:t>
            </w:r>
            <w:r>
              <w:rPr>
                <w:rFonts w:hint="eastAsia" w:ascii="Times New Roman" w:hAnsi="Times New Roman" w:cs="Times New Roman"/>
                <w:color w:val="auto"/>
                <w:sz w:val="21"/>
                <w:szCs w:val="21"/>
                <w:highlight w:val="none"/>
                <w:lang w:val="en-US" w:eastAsia="zh-CN"/>
              </w:rPr>
              <w:t>23</w:t>
            </w:r>
            <w:r>
              <w:rPr>
                <w:rFonts w:hint="default" w:ascii="Times New Roman" w:hAnsi="Times New Roman" w:cs="Times New Roman"/>
                <w:color w:val="auto"/>
                <w:sz w:val="21"/>
                <w:szCs w:val="21"/>
                <w:highlight w:val="none"/>
              </w:rPr>
              <w:t>秒</w:t>
            </w:r>
          </w:p>
        </w:tc>
        <w:tc>
          <w:tcPr>
            <w:tcW w:w="495" w:type="dxa"/>
            <w:noWrap w:val="0"/>
            <w:vAlign w:val="center"/>
          </w:tcPr>
          <w:p w14:paraId="23F3C075">
            <w:pPr>
              <w:keepNext w:val="0"/>
              <w:keepLines w:val="0"/>
              <w:pageBreakBefore w:val="0"/>
              <w:kinsoku/>
              <w:wordWrap/>
              <w:overflowPunct/>
              <w:topLinePunct w:val="0"/>
              <w:autoSpaceDE w:val="0"/>
              <w:autoSpaceDN w:val="0"/>
              <w:bidi w:val="0"/>
              <w:adjustRightInd w:val="0"/>
              <w:snapToGrid w:val="0"/>
              <w:jc w:val="center"/>
              <w:rPr>
                <w:snapToGrid w:val="0"/>
                <w:color w:val="auto"/>
                <w:sz w:val="21"/>
                <w:szCs w:val="21"/>
              </w:rPr>
            </w:pPr>
            <w:r>
              <w:rPr>
                <w:rFonts w:hint="default" w:ascii="Times New Roman" w:hAnsi="Times New Roman" w:eastAsia="宋体" w:cs="Times New Roman"/>
                <w:color w:val="auto"/>
                <w:sz w:val="21"/>
                <w:szCs w:val="21"/>
                <w:highlight w:val="none"/>
                <w:lang w:val="en-US" w:eastAsia="zh-CN"/>
              </w:rPr>
              <w:t>20</w:t>
            </w:r>
          </w:p>
        </w:tc>
        <w:tc>
          <w:tcPr>
            <w:tcW w:w="550" w:type="dxa"/>
            <w:noWrap w:val="0"/>
            <w:vAlign w:val="center"/>
          </w:tcPr>
          <w:p w14:paraId="4477D7D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pacing w:val="0"/>
                <w:position w:val="0"/>
                <w:sz w:val="21"/>
                <w:szCs w:val="21"/>
              </w:rPr>
            </w:pPr>
            <w:r>
              <w:rPr>
                <w:rFonts w:hint="eastAsia" w:ascii="Times New Roman" w:hAnsi="Times New Roman" w:eastAsia="宋体" w:cs="Times New Roman"/>
                <w:color w:val="auto"/>
                <w:sz w:val="21"/>
                <w:szCs w:val="21"/>
                <w:highlight w:val="none"/>
                <w:lang w:val="en-US" w:eastAsia="zh-CN"/>
              </w:rPr>
              <w:t>0.6</w:t>
            </w:r>
          </w:p>
        </w:tc>
        <w:tc>
          <w:tcPr>
            <w:tcW w:w="550" w:type="dxa"/>
            <w:noWrap w:val="0"/>
            <w:vAlign w:val="center"/>
          </w:tcPr>
          <w:p w14:paraId="70C15EE2">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pacing w:val="0"/>
                <w:position w:val="0"/>
                <w:sz w:val="21"/>
                <w:szCs w:val="21"/>
              </w:rPr>
            </w:pPr>
            <w:r>
              <w:rPr>
                <w:rFonts w:hint="eastAsia" w:ascii="Times New Roman" w:hAnsi="Times New Roman" w:eastAsia="宋体" w:cs="Times New Roman"/>
                <w:color w:val="auto"/>
                <w:sz w:val="21"/>
                <w:szCs w:val="21"/>
                <w:highlight w:val="none"/>
                <w:lang w:val="en-US" w:eastAsia="zh-CN"/>
              </w:rPr>
              <w:t>25</w:t>
            </w:r>
          </w:p>
        </w:tc>
        <w:tc>
          <w:tcPr>
            <w:tcW w:w="550" w:type="dxa"/>
            <w:noWrap w:val="0"/>
            <w:vAlign w:val="center"/>
          </w:tcPr>
          <w:p w14:paraId="21CED42A">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18000</w:t>
            </w:r>
          </w:p>
        </w:tc>
        <w:tc>
          <w:tcPr>
            <w:tcW w:w="411" w:type="dxa"/>
            <w:noWrap w:val="0"/>
            <w:vAlign w:val="center"/>
          </w:tcPr>
          <w:p w14:paraId="24CDD461">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snapToGrid w:val="0"/>
                <w:color w:val="auto"/>
                <w:sz w:val="21"/>
                <w:szCs w:val="21"/>
                <w:lang w:val="en-US" w:eastAsia="zh-CN"/>
              </w:rPr>
            </w:pPr>
            <w:r>
              <w:rPr>
                <w:rFonts w:hint="eastAsia"/>
                <w:snapToGrid w:val="0"/>
                <w:color w:val="auto"/>
                <w:sz w:val="21"/>
                <w:szCs w:val="21"/>
                <w:lang w:val="en-US" w:eastAsia="zh-CN"/>
              </w:rPr>
              <w:t>40</w:t>
            </w:r>
          </w:p>
        </w:tc>
        <w:tc>
          <w:tcPr>
            <w:tcW w:w="550" w:type="dxa"/>
            <w:noWrap w:val="0"/>
            <w:vAlign w:val="center"/>
          </w:tcPr>
          <w:p w14:paraId="060CB065">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snapToGrid w:val="0"/>
                <w:color w:val="auto"/>
                <w:sz w:val="21"/>
                <w:szCs w:val="21"/>
                <w:lang w:val="en-US" w:eastAsia="zh-CN"/>
              </w:rPr>
            </w:pPr>
            <w:r>
              <w:rPr>
                <w:rFonts w:hint="eastAsia"/>
                <w:snapToGrid w:val="0"/>
                <w:color w:val="auto"/>
                <w:sz w:val="21"/>
                <w:szCs w:val="21"/>
                <w:lang w:val="en-US" w:eastAsia="zh-CN"/>
              </w:rPr>
              <w:t>2400</w:t>
            </w:r>
          </w:p>
        </w:tc>
        <w:tc>
          <w:tcPr>
            <w:tcW w:w="696" w:type="dxa"/>
            <w:noWrap w:val="0"/>
            <w:vAlign w:val="center"/>
          </w:tcPr>
          <w:p w14:paraId="039B0DDE">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snapToGrid w:val="0"/>
                <w:color w:val="auto"/>
                <w:sz w:val="21"/>
                <w:szCs w:val="21"/>
              </w:rPr>
            </w:pPr>
            <w:r>
              <w:rPr>
                <w:snapToGrid w:val="0"/>
                <w:color w:val="auto"/>
                <w:sz w:val="21"/>
                <w:szCs w:val="21"/>
              </w:rPr>
              <w:t>正常</w:t>
            </w:r>
          </w:p>
        </w:tc>
        <w:tc>
          <w:tcPr>
            <w:tcW w:w="670" w:type="dxa"/>
            <w:noWrap w:val="0"/>
            <w:vAlign w:val="center"/>
          </w:tcPr>
          <w:p w14:paraId="4955544E">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snapToGrid w:val="0"/>
                <w:color w:val="auto"/>
                <w:sz w:val="21"/>
                <w:szCs w:val="21"/>
                <w:lang w:val="en-US" w:eastAsia="zh-CN"/>
              </w:rPr>
            </w:pPr>
            <w:r>
              <w:rPr>
                <w:rFonts w:hint="eastAsia"/>
                <w:snapToGrid w:val="0"/>
                <w:color w:val="auto"/>
                <w:sz w:val="21"/>
                <w:szCs w:val="21"/>
                <w:lang w:val="en-US" w:eastAsia="zh-CN"/>
              </w:rPr>
              <w:t>/</w:t>
            </w:r>
          </w:p>
        </w:tc>
        <w:tc>
          <w:tcPr>
            <w:tcW w:w="670" w:type="dxa"/>
            <w:noWrap w:val="0"/>
            <w:vAlign w:val="center"/>
          </w:tcPr>
          <w:p w14:paraId="58479DB3">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0.2089</w:t>
            </w:r>
          </w:p>
        </w:tc>
        <w:tc>
          <w:tcPr>
            <w:tcW w:w="670" w:type="dxa"/>
            <w:noWrap w:val="0"/>
            <w:vAlign w:val="center"/>
          </w:tcPr>
          <w:p w14:paraId="1A711DAA">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0.066</w:t>
            </w:r>
          </w:p>
        </w:tc>
        <w:tc>
          <w:tcPr>
            <w:tcW w:w="670" w:type="dxa"/>
            <w:noWrap w:val="0"/>
            <w:vAlign w:val="center"/>
          </w:tcPr>
          <w:p w14:paraId="599D075A">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0.02</w:t>
            </w:r>
          </w:p>
        </w:tc>
      </w:tr>
      <w:tr w14:paraId="6ECC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5" w:hRule="atLeast"/>
          <w:jc w:val="center"/>
        </w:trPr>
        <w:tc>
          <w:tcPr>
            <w:tcW w:w="296" w:type="dxa"/>
            <w:noWrap w:val="0"/>
            <w:vAlign w:val="center"/>
          </w:tcPr>
          <w:p w14:paraId="3C32CE84">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snapToGrid w:val="0"/>
                <w:color w:val="auto"/>
                <w:sz w:val="21"/>
                <w:szCs w:val="21"/>
              </w:rPr>
            </w:pPr>
            <w:r>
              <w:rPr>
                <w:rFonts w:hint="eastAsia"/>
                <w:snapToGrid w:val="0"/>
                <w:color w:val="auto"/>
                <w:sz w:val="21"/>
                <w:szCs w:val="21"/>
                <w:lang w:val="en-US" w:eastAsia="zh-CN"/>
              </w:rPr>
              <w:t>3</w:t>
            </w:r>
            <w:r>
              <w:rPr>
                <w:snapToGrid w:val="0"/>
                <w:color w:val="auto"/>
                <w:sz w:val="21"/>
                <w:szCs w:val="21"/>
              </w:rPr>
              <w:t>#</w:t>
            </w:r>
          </w:p>
        </w:tc>
        <w:tc>
          <w:tcPr>
            <w:tcW w:w="708" w:type="dxa"/>
            <w:noWrap w:val="0"/>
            <w:vAlign w:val="center"/>
          </w:tcPr>
          <w:p w14:paraId="268D3CE9">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eastAsia="宋体"/>
                <w:snapToGrid w:val="0"/>
                <w:color w:val="auto"/>
                <w:sz w:val="21"/>
                <w:szCs w:val="21"/>
                <w:lang w:eastAsia="zh-CN"/>
              </w:rPr>
            </w:pPr>
            <w:r>
              <w:rPr>
                <w:snapToGrid w:val="0"/>
                <w:color w:val="auto"/>
                <w:sz w:val="21"/>
                <w:szCs w:val="21"/>
              </w:rPr>
              <w:t>DA00</w:t>
            </w:r>
            <w:r>
              <w:rPr>
                <w:rFonts w:hint="eastAsia"/>
                <w:snapToGrid w:val="0"/>
                <w:color w:val="auto"/>
                <w:sz w:val="21"/>
                <w:szCs w:val="21"/>
                <w:lang w:val="en-US" w:eastAsia="zh-CN"/>
              </w:rPr>
              <w:t>3</w:t>
            </w:r>
          </w:p>
        </w:tc>
        <w:tc>
          <w:tcPr>
            <w:tcW w:w="627" w:type="dxa"/>
            <w:noWrap w:val="0"/>
            <w:vAlign w:val="center"/>
          </w:tcPr>
          <w:p w14:paraId="0AEB2DD3">
            <w:pPr>
              <w:keepNext w:val="0"/>
              <w:keepLines w:val="0"/>
              <w:pageBreakBefore w:val="0"/>
              <w:kinsoku/>
              <w:wordWrap/>
              <w:overflowPunct/>
              <w:topLinePunct w:val="0"/>
              <w:autoSpaceDE w:val="0"/>
              <w:autoSpaceDN w:val="0"/>
              <w:bidi w:val="0"/>
              <w:adjustRightInd w:val="0"/>
              <w:snapToGrid w:val="0"/>
              <w:jc w:val="center"/>
              <w:rPr>
                <w:rFonts w:hint="eastAsia"/>
                <w:snapToGrid w:val="0"/>
                <w:color w:val="auto"/>
                <w:kern w:val="0"/>
                <w:sz w:val="21"/>
                <w:szCs w:val="21"/>
              </w:rPr>
            </w:pPr>
            <w:r>
              <w:rPr>
                <w:rFonts w:hint="default" w:ascii="Times New Roman" w:hAnsi="Times New Roman" w:cs="Times New Roman"/>
                <w:color w:val="auto"/>
                <w:sz w:val="21"/>
                <w:szCs w:val="21"/>
                <w:highlight w:val="none"/>
              </w:rPr>
              <w:t>116度58分40.4</w:t>
            </w:r>
            <w:r>
              <w:rPr>
                <w:rFonts w:hint="eastAsia" w:ascii="Times New Roman" w:hAnsi="Times New Roman" w:cs="Times New Roman"/>
                <w:color w:val="auto"/>
                <w:sz w:val="21"/>
                <w:szCs w:val="21"/>
                <w:highlight w:val="none"/>
                <w:lang w:val="en-US" w:eastAsia="zh-CN"/>
              </w:rPr>
              <w:t>24</w:t>
            </w:r>
            <w:r>
              <w:rPr>
                <w:rFonts w:hint="default" w:ascii="Times New Roman" w:hAnsi="Times New Roman" w:cs="Times New Roman"/>
                <w:color w:val="auto"/>
                <w:sz w:val="21"/>
                <w:szCs w:val="21"/>
                <w:highlight w:val="none"/>
              </w:rPr>
              <w:t>秒</w:t>
            </w:r>
          </w:p>
        </w:tc>
        <w:tc>
          <w:tcPr>
            <w:tcW w:w="628" w:type="dxa"/>
            <w:noWrap w:val="0"/>
            <w:vAlign w:val="center"/>
          </w:tcPr>
          <w:p w14:paraId="7302CD3A">
            <w:pPr>
              <w:keepNext w:val="0"/>
              <w:keepLines w:val="0"/>
              <w:pageBreakBefore w:val="0"/>
              <w:kinsoku/>
              <w:wordWrap/>
              <w:overflowPunct/>
              <w:topLinePunct w:val="0"/>
              <w:autoSpaceDE w:val="0"/>
              <w:autoSpaceDN w:val="0"/>
              <w:bidi w:val="0"/>
              <w:adjustRightInd w:val="0"/>
              <w:snapToGrid w:val="0"/>
              <w:jc w:val="center"/>
              <w:rPr>
                <w:rFonts w:hint="eastAsia"/>
                <w:snapToGrid w:val="0"/>
                <w:color w:val="auto"/>
                <w:kern w:val="0"/>
                <w:sz w:val="21"/>
                <w:szCs w:val="21"/>
              </w:rPr>
            </w:pPr>
            <w:r>
              <w:rPr>
                <w:rFonts w:hint="default" w:ascii="Times New Roman" w:hAnsi="Times New Roman" w:cs="Times New Roman"/>
                <w:color w:val="auto"/>
                <w:sz w:val="21"/>
                <w:szCs w:val="21"/>
                <w:highlight w:val="none"/>
              </w:rPr>
              <w:t>32度34分13.4</w:t>
            </w:r>
            <w:r>
              <w:rPr>
                <w:rFonts w:hint="eastAsia" w:ascii="Times New Roman" w:hAnsi="Times New Roman" w:cs="Times New Roman"/>
                <w:color w:val="auto"/>
                <w:sz w:val="21"/>
                <w:szCs w:val="21"/>
                <w:highlight w:val="none"/>
                <w:lang w:val="en-US" w:eastAsia="zh-CN"/>
              </w:rPr>
              <w:t>22</w:t>
            </w:r>
            <w:r>
              <w:rPr>
                <w:rFonts w:hint="default" w:ascii="Times New Roman" w:hAnsi="Times New Roman" w:cs="Times New Roman"/>
                <w:color w:val="auto"/>
                <w:sz w:val="21"/>
                <w:szCs w:val="21"/>
                <w:highlight w:val="none"/>
              </w:rPr>
              <w:t>秒</w:t>
            </w:r>
          </w:p>
        </w:tc>
        <w:tc>
          <w:tcPr>
            <w:tcW w:w="495" w:type="dxa"/>
            <w:noWrap w:val="0"/>
            <w:vAlign w:val="center"/>
          </w:tcPr>
          <w:p w14:paraId="0024207C">
            <w:pPr>
              <w:keepNext w:val="0"/>
              <w:keepLines w:val="0"/>
              <w:pageBreakBefore w:val="0"/>
              <w:kinsoku/>
              <w:wordWrap/>
              <w:overflowPunct/>
              <w:topLinePunct w:val="0"/>
              <w:autoSpaceDE w:val="0"/>
              <w:autoSpaceDN w:val="0"/>
              <w:bidi w:val="0"/>
              <w:adjustRightInd w:val="0"/>
              <w:snapToGrid w:val="0"/>
              <w:jc w:val="center"/>
              <w:rPr>
                <w:snapToGrid w:val="0"/>
                <w:color w:val="auto"/>
                <w:sz w:val="21"/>
                <w:szCs w:val="21"/>
              </w:rPr>
            </w:pPr>
            <w:r>
              <w:rPr>
                <w:rFonts w:hint="default" w:ascii="Times New Roman" w:hAnsi="Times New Roman" w:eastAsia="宋体" w:cs="Times New Roman"/>
                <w:color w:val="auto"/>
                <w:sz w:val="21"/>
                <w:szCs w:val="21"/>
                <w:highlight w:val="none"/>
                <w:lang w:val="en-US" w:eastAsia="zh-CN"/>
              </w:rPr>
              <w:t>20</w:t>
            </w:r>
          </w:p>
        </w:tc>
        <w:tc>
          <w:tcPr>
            <w:tcW w:w="550" w:type="dxa"/>
            <w:noWrap w:val="0"/>
            <w:vAlign w:val="center"/>
          </w:tcPr>
          <w:p w14:paraId="2FE0F922">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pacing w:val="0"/>
                <w:position w:val="0"/>
                <w:sz w:val="21"/>
                <w:szCs w:val="21"/>
              </w:rPr>
            </w:pPr>
            <w:r>
              <w:rPr>
                <w:rFonts w:hint="eastAsia" w:ascii="Times New Roman" w:hAnsi="Times New Roman" w:eastAsia="宋体" w:cs="Times New Roman"/>
                <w:color w:val="auto"/>
                <w:sz w:val="21"/>
                <w:szCs w:val="21"/>
                <w:highlight w:val="none"/>
                <w:lang w:val="en-US" w:eastAsia="zh-CN"/>
              </w:rPr>
              <w:t>0.2</w:t>
            </w:r>
          </w:p>
        </w:tc>
        <w:tc>
          <w:tcPr>
            <w:tcW w:w="550" w:type="dxa"/>
            <w:noWrap w:val="0"/>
            <w:vAlign w:val="center"/>
          </w:tcPr>
          <w:p w14:paraId="4212E22F">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pacing w:val="0"/>
                <w:position w:val="0"/>
                <w:sz w:val="21"/>
                <w:szCs w:val="21"/>
              </w:rPr>
            </w:pPr>
            <w:r>
              <w:rPr>
                <w:rFonts w:hint="eastAsia" w:ascii="Times New Roman" w:hAnsi="Times New Roman" w:eastAsia="宋体" w:cs="Times New Roman"/>
                <w:color w:val="auto"/>
                <w:sz w:val="21"/>
                <w:szCs w:val="21"/>
                <w:highlight w:val="none"/>
                <w:lang w:val="en-US" w:eastAsia="zh-CN"/>
              </w:rPr>
              <w:t>25</w:t>
            </w:r>
          </w:p>
        </w:tc>
        <w:tc>
          <w:tcPr>
            <w:tcW w:w="550" w:type="dxa"/>
            <w:noWrap w:val="0"/>
            <w:vAlign w:val="center"/>
          </w:tcPr>
          <w:p w14:paraId="28880F70">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6000</w:t>
            </w:r>
          </w:p>
        </w:tc>
        <w:tc>
          <w:tcPr>
            <w:tcW w:w="411" w:type="dxa"/>
            <w:noWrap w:val="0"/>
            <w:vAlign w:val="center"/>
          </w:tcPr>
          <w:p w14:paraId="1E582040">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snapToGrid w:val="0"/>
                <w:color w:val="auto"/>
                <w:sz w:val="21"/>
                <w:szCs w:val="21"/>
                <w:lang w:val="en-US" w:eastAsia="zh-CN"/>
              </w:rPr>
            </w:pPr>
            <w:r>
              <w:rPr>
                <w:rFonts w:hint="eastAsia"/>
                <w:snapToGrid w:val="0"/>
                <w:color w:val="auto"/>
                <w:sz w:val="21"/>
                <w:szCs w:val="21"/>
                <w:lang w:val="en-US" w:eastAsia="zh-CN"/>
              </w:rPr>
              <w:t>25</w:t>
            </w:r>
          </w:p>
        </w:tc>
        <w:tc>
          <w:tcPr>
            <w:tcW w:w="550" w:type="dxa"/>
            <w:noWrap w:val="0"/>
            <w:vAlign w:val="center"/>
          </w:tcPr>
          <w:p w14:paraId="0DDE3178">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1200</w:t>
            </w:r>
          </w:p>
        </w:tc>
        <w:tc>
          <w:tcPr>
            <w:tcW w:w="696" w:type="dxa"/>
            <w:noWrap w:val="0"/>
            <w:vAlign w:val="center"/>
          </w:tcPr>
          <w:p w14:paraId="50E3BDAF">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snapToGrid w:val="0"/>
                <w:color w:val="auto"/>
                <w:sz w:val="21"/>
                <w:szCs w:val="21"/>
              </w:rPr>
            </w:pPr>
            <w:r>
              <w:rPr>
                <w:snapToGrid w:val="0"/>
                <w:color w:val="auto"/>
                <w:sz w:val="21"/>
                <w:szCs w:val="21"/>
              </w:rPr>
              <w:t>正常</w:t>
            </w:r>
          </w:p>
        </w:tc>
        <w:tc>
          <w:tcPr>
            <w:tcW w:w="670" w:type="dxa"/>
            <w:noWrap w:val="0"/>
            <w:vAlign w:val="center"/>
          </w:tcPr>
          <w:p w14:paraId="01271613">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0.021</w:t>
            </w:r>
          </w:p>
        </w:tc>
        <w:tc>
          <w:tcPr>
            <w:tcW w:w="670" w:type="dxa"/>
            <w:noWrap w:val="0"/>
            <w:vAlign w:val="center"/>
          </w:tcPr>
          <w:p w14:paraId="07795128">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snapToGrid w:val="0"/>
                <w:color w:val="auto"/>
                <w:sz w:val="21"/>
                <w:szCs w:val="21"/>
                <w:lang w:val="en-US" w:eastAsia="zh-CN"/>
              </w:rPr>
            </w:pPr>
            <w:r>
              <w:rPr>
                <w:rFonts w:hint="eastAsia"/>
                <w:snapToGrid w:val="0"/>
                <w:color w:val="auto"/>
                <w:sz w:val="21"/>
                <w:szCs w:val="21"/>
                <w:lang w:val="en-US" w:eastAsia="zh-CN"/>
              </w:rPr>
              <w:t>/</w:t>
            </w:r>
          </w:p>
        </w:tc>
        <w:tc>
          <w:tcPr>
            <w:tcW w:w="670" w:type="dxa"/>
            <w:noWrap w:val="0"/>
            <w:vAlign w:val="center"/>
          </w:tcPr>
          <w:p w14:paraId="7F483041">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snapToGrid w:val="0"/>
                <w:color w:val="auto"/>
                <w:sz w:val="21"/>
                <w:szCs w:val="21"/>
                <w:lang w:val="en-US" w:eastAsia="zh-CN"/>
              </w:rPr>
            </w:pPr>
            <w:r>
              <w:rPr>
                <w:rFonts w:hint="eastAsia"/>
                <w:snapToGrid w:val="0"/>
                <w:color w:val="auto"/>
                <w:sz w:val="21"/>
                <w:szCs w:val="21"/>
                <w:lang w:val="en-US" w:eastAsia="zh-CN"/>
              </w:rPr>
              <w:t>/</w:t>
            </w:r>
          </w:p>
        </w:tc>
        <w:tc>
          <w:tcPr>
            <w:tcW w:w="670" w:type="dxa"/>
            <w:noWrap w:val="0"/>
            <w:vAlign w:val="center"/>
          </w:tcPr>
          <w:p w14:paraId="75E73327">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snapToGrid w:val="0"/>
                <w:color w:val="auto"/>
                <w:sz w:val="21"/>
                <w:szCs w:val="21"/>
                <w:lang w:val="en-US" w:eastAsia="zh-CN"/>
              </w:rPr>
            </w:pPr>
            <w:r>
              <w:rPr>
                <w:rFonts w:hint="eastAsia"/>
                <w:snapToGrid w:val="0"/>
                <w:color w:val="auto"/>
                <w:sz w:val="21"/>
                <w:szCs w:val="21"/>
                <w:lang w:val="en-US" w:eastAsia="zh-CN"/>
              </w:rPr>
              <w:t>/</w:t>
            </w:r>
          </w:p>
        </w:tc>
      </w:tr>
      <w:tr w14:paraId="6137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5" w:hRule="atLeast"/>
          <w:jc w:val="center"/>
        </w:trPr>
        <w:tc>
          <w:tcPr>
            <w:tcW w:w="296" w:type="dxa"/>
            <w:noWrap w:val="0"/>
            <w:vAlign w:val="center"/>
          </w:tcPr>
          <w:p w14:paraId="7A30A026">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snapToGrid w:val="0"/>
                <w:color w:val="auto"/>
                <w:sz w:val="21"/>
                <w:szCs w:val="21"/>
              </w:rPr>
            </w:pPr>
            <w:r>
              <w:rPr>
                <w:rFonts w:hint="eastAsia"/>
                <w:snapToGrid w:val="0"/>
                <w:color w:val="auto"/>
                <w:sz w:val="21"/>
                <w:szCs w:val="21"/>
                <w:lang w:val="en-US" w:eastAsia="zh-CN"/>
              </w:rPr>
              <w:t>4</w:t>
            </w:r>
            <w:r>
              <w:rPr>
                <w:snapToGrid w:val="0"/>
                <w:color w:val="auto"/>
                <w:sz w:val="21"/>
                <w:szCs w:val="21"/>
              </w:rPr>
              <w:t>#</w:t>
            </w:r>
          </w:p>
        </w:tc>
        <w:tc>
          <w:tcPr>
            <w:tcW w:w="708" w:type="dxa"/>
            <w:noWrap w:val="0"/>
            <w:vAlign w:val="center"/>
          </w:tcPr>
          <w:p w14:paraId="17FA4897">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eastAsia="宋体"/>
                <w:snapToGrid w:val="0"/>
                <w:color w:val="auto"/>
                <w:sz w:val="21"/>
                <w:szCs w:val="21"/>
                <w:lang w:eastAsia="zh-CN"/>
              </w:rPr>
            </w:pPr>
            <w:r>
              <w:rPr>
                <w:snapToGrid w:val="0"/>
                <w:color w:val="auto"/>
                <w:sz w:val="21"/>
                <w:szCs w:val="21"/>
              </w:rPr>
              <w:t>DA00</w:t>
            </w:r>
            <w:r>
              <w:rPr>
                <w:rFonts w:hint="eastAsia"/>
                <w:snapToGrid w:val="0"/>
                <w:color w:val="auto"/>
                <w:sz w:val="21"/>
                <w:szCs w:val="21"/>
                <w:lang w:val="en-US" w:eastAsia="zh-CN"/>
              </w:rPr>
              <w:t>4</w:t>
            </w:r>
          </w:p>
        </w:tc>
        <w:tc>
          <w:tcPr>
            <w:tcW w:w="627" w:type="dxa"/>
            <w:noWrap w:val="0"/>
            <w:vAlign w:val="center"/>
          </w:tcPr>
          <w:p w14:paraId="60533B5E">
            <w:pPr>
              <w:keepNext w:val="0"/>
              <w:keepLines w:val="0"/>
              <w:pageBreakBefore w:val="0"/>
              <w:kinsoku/>
              <w:wordWrap/>
              <w:overflowPunct/>
              <w:topLinePunct w:val="0"/>
              <w:autoSpaceDE w:val="0"/>
              <w:autoSpaceDN w:val="0"/>
              <w:bidi w:val="0"/>
              <w:adjustRightInd w:val="0"/>
              <w:snapToGrid w:val="0"/>
              <w:jc w:val="center"/>
              <w:rPr>
                <w:rFonts w:hint="eastAsia"/>
                <w:snapToGrid w:val="0"/>
                <w:color w:val="auto"/>
                <w:kern w:val="0"/>
                <w:sz w:val="21"/>
                <w:szCs w:val="21"/>
              </w:rPr>
            </w:pPr>
            <w:r>
              <w:rPr>
                <w:rFonts w:hint="default" w:ascii="Times New Roman" w:hAnsi="Times New Roman" w:cs="Times New Roman"/>
                <w:color w:val="auto"/>
                <w:sz w:val="21"/>
                <w:szCs w:val="21"/>
                <w:highlight w:val="none"/>
              </w:rPr>
              <w:t>116度58分40.4</w:t>
            </w:r>
            <w:r>
              <w:rPr>
                <w:rFonts w:hint="eastAsia" w:ascii="Times New Roman" w:hAnsi="Times New Roman" w:cs="Times New Roman"/>
                <w:color w:val="auto"/>
                <w:sz w:val="21"/>
                <w:szCs w:val="21"/>
                <w:highlight w:val="none"/>
                <w:lang w:val="en-US" w:eastAsia="zh-CN"/>
              </w:rPr>
              <w:t>22</w:t>
            </w:r>
            <w:r>
              <w:rPr>
                <w:rFonts w:hint="default" w:ascii="Times New Roman" w:hAnsi="Times New Roman" w:cs="Times New Roman"/>
                <w:color w:val="auto"/>
                <w:sz w:val="21"/>
                <w:szCs w:val="21"/>
                <w:highlight w:val="none"/>
              </w:rPr>
              <w:t>秒</w:t>
            </w:r>
          </w:p>
        </w:tc>
        <w:tc>
          <w:tcPr>
            <w:tcW w:w="628" w:type="dxa"/>
            <w:noWrap w:val="0"/>
            <w:vAlign w:val="center"/>
          </w:tcPr>
          <w:p w14:paraId="10F36047">
            <w:pPr>
              <w:keepNext w:val="0"/>
              <w:keepLines w:val="0"/>
              <w:pageBreakBefore w:val="0"/>
              <w:kinsoku/>
              <w:wordWrap/>
              <w:overflowPunct/>
              <w:topLinePunct w:val="0"/>
              <w:autoSpaceDE w:val="0"/>
              <w:autoSpaceDN w:val="0"/>
              <w:bidi w:val="0"/>
              <w:adjustRightInd w:val="0"/>
              <w:snapToGrid w:val="0"/>
              <w:jc w:val="center"/>
              <w:rPr>
                <w:rFonts w:hint="eastAsia"/>
                <w:snapToGrid w:val="0"/>
                <w:color w:val="auto"/>
                <w:kern w:val="0"/>
                <w:sz w:val="21"/>
                <w:szCs w:val="21"/>
              </w:rPr>
            </w:pPr>
            <w:r>
              <w:rPr>
                <w:rFonts w:hint="default" w:ascii="Times New Roman" w:hAnsi="Times New Roman" w:cs="Times New Roman"/>
                <w:color w:val="auto"/>
                <w:sz w:val="21"/>
                <w:szCs w:val="21"/>
                <w:highlight w:val="none"/>
              </w:rPr>
              <w:t>32度34分13.4</w:t>
            </w:r>
            <w:r>
              <w:rPr>
                <w:rFonts w:hint="eastAsia" w:ascii="Times New Roman" w:hAnsi="Times New Roman" w:cs="Times New Roman"/>
                <w:color w:val="auto"/>
                <w:sz w:val="21"/>
                <w:szCs w:val="21"/>
                <w:highlight w:val="none"/>
                <w:lang w:val="en-US" w:eastAsia="zh-CN"/>
              </w:rPr>
              <w:t>74</w:t>
            </w:r>
            <w:r>
              <w:rPr>
                <w:rFonts w:hint="default" w:ascii="Times New Roman" w:hAnsi="Times New Roman" w:cs="Times New Roman"/>
                <w:color w:val="auto"/>
                <w:sz w:val="21"/>
                <w:szCs w:val="21"/>
                <w:highlight w:val="none"/>
              </w:rPr>
              <w:t>秒</w:t>
            </w:r>
          </w:p>
        </w:tc>
        <w:tc>
          <w:tcPr>
            <w:tcW w:w="495" w:type="dxa"/>
            <w:noWrap w:val="0"/>
            <w:vAlign w:val="center"/>
          </w:tcPr>
          <w:p w14:paraId="1675245A">
            <w:pPr>
              <w:keepNext w:val="0"/>
              <w:keepLines w:val="0"/>
              <w:pageBreakBefore w:val="0"/>
              <w:kinsoku/>
              <w:wordWrap/>
              <w:overflowPunct/>
              <w:topLinePunct w:val="0"/>
              <w:autoSpaceDE w:val="0"/>
              <w:autoSpaceDN w:val="0"/>
              <w:bidi w:val="0"/>
              <w:adjustRightInd w:val="0"/>
              <w:snapToGrid w:val="0"/>
              <w:jc w:val="center"/>
              <w:rPr>
                <w:snapToGrid w:val="0"/>
                <w:color w:val="auto"/>
                <w:sz w:val="21"/>
                <w:szCs w:val="21"/>
              </w:rPr>
            </w:pPr>
            <w:r>
              <w:rPr>
                <w:rFonts w:hint="default" w:ascii="Times New Roman" w:hAnsi="Times New Roman" w:eastAsia="宋体" w:cs="Times New Roman"/>
                <w:color w:val="auto"/>
                <w:sz w:val="21"/>
                <w:szCs w:val="21"/>
                <w:highlight w:val="none"/>
                <w:lang w:val="en-US" w:eastAsia="zh-CN"/>
              </w:rPr>
              <w:t>20</w:t>
            </w:r>
          </w:p>
        </w:tc>
        <w:tc>
          <w:tcPr>
            <w:tcW w:w="550" w:type="dxa"/>
            <w:noWrap w:val="0"/>
            <w:vAlign w:val="center"/>
          </w:tcPr>
          <w:p w14:paraId="6A9B9A57">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pacing w:val="0"/>
                <w:position w:val="0"/>
                <w:sz w:val="21"/>
                <w:szCs w:val="21"/>
              </w:rPr>
            </w:pPr>
            <w:r>
              <w:rPr>
                <w:rFonts w:hint="eastAsia" w:ascii="Times New Roman" w:hAnsi="Times New Roman" w:eastAsia="宋体" w:cs="Times New Roman"/>
                <w:color w:val="auto"/>
                <w:sz w:val="21"/>
                <w:szCs w:val="21"/>
                <w:highlight w:val="none"/>
                <w:lang w:val="en-US" w:eastAsia="zh-CN"/>
              </w:rPr>
              <w:t>0.1</w:t>
            </w:r>
          </w:p>
        </w:tc>
        <w:tc>
          <w:tcPr>
            <w:tcW w:w="550" w:type="dxa"/>
            <w:noWrap w:val="0"/>
            <w:vAlign w:val="center"/>
          </w:tcPr>
          <w:p w14:paraId="38AD3AF7">
            <w:pPr>
              <w:keepNext w:val="0"/>
              <w:keepLines w:val="0"/>
              <w:pageBreakBefore w:val="0"/>
              <w:kinsoku/>
              <w:wordWrap/>
              <w:overflowPunct/>
              <w:topLinePunct w:val="0"/>
              <w:autoSpaceDE w:val="0"/>
              <w:autoSpaceDN w:val="0"/>
              <w:bidi w:val="0"/>
              <w:adjustRightInd w:val="0"/>
              <w:snapToGrid w:val="0"/>
              <w:jc w:val="center"/>
              <w:rPr>
                <w:rFonts w:hint="default" w:ascii="Times New Roman" w:hAnsi="Times New Roman" w:eastAsia="宋体" w:cs="Times New Roman"/>
                <w:color w:val="auto"/>
                <w:spacing w:val="0"/>
                <w:position w:val="0"/>
                <w:sz w:val="21"/>
                <w:szCs w:val="21"/>
              </w:rPr>
            </w:pPr>
            <w:r>
              <w:rPr>
                <w:rFonts w:hint="eastAsia" w:ascii="Times New Roman" w:hAnsi="Times New Roman" w:eastAsia="宋体" w:cs="Times New Roman"/>
                <w:color w:val="auto"/>
                <w:sz w:val="21"/>
                <w:szCs w:val="21"/>
                <w:highlight w:val="none"/>
                <w:lang w:val="en-US" w:eastAsia="zh-CN"/>
              </w:rPr>
              <w:t>40</w:t>
            </w:r>
          </w:p>
        </w:tc>
        <w:tc>
          <w:tcPr>
            <w:tcW w:w="550" w:type="dxa"/>
            <w:noWrap w:val="0"/>
            <w:vAlign w:val="center"/>
          </w:tcPr>
          <w:p w14:paraId="52FB51A7">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2000</w:t>
            </w:r>
          </w:p>
        </w:tc>
        <w:tc>
          <w:tcPr>
            <w:tcW w:w="411" w:type="dxa"/>
            <w:noWrap w:val="0"/>
            <w:vAlign w:val="center"/>
          </w:tcPr>
          <w:p w14:paraId="46BF0F6F">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snapToGrid w:val="0"/>
                <w:color w:val="auto"/>
                <w:sz w:val="21"/>
                <w:szCs w:val="21"/>
                <w:lang w:val="en-US" w:eastAsia="zh-CN"/>
              </w:rPr>
            </w:pPr>
            <w:r>
              <w:rPr>
                <w:rFonts w:hint="eastAsia"/>
                <w:snapToGrid w:val="0"/>
                <w:color w:val="auto"/>
                <w:sz w:val="21"/>
                <w:szCs w:val="21"/>
                <w:lang w:val="en-US" w:eastAsia="zh-CN"/>
              </w:rPr>
              <w:t>40</w:t>
            </w:r>
          </w:p>
        </w:tc>
        <w:tc>
          <w:tcPr>
            <w:tcW w:w="550" w:type="dxa"/>
            <w:noWrap w:val="0"/>
            <w:vAlign w:val="center"/>
          </w:tcPr>
          <w:p w14:paraId="67D2663B">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1200</w:t>
            </w:r>
          </w:p>
        </w:tc>
        <w:tc>
          <w:tcPr>
            <w:tcW w:w="696" w:type="dxa"/>
            <w:noWrap w:val="0"/>
            <w:vAlign w:val="center"/>
          </w:tcPr>
          <w:p w14:paraId="386F5F03">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snapToGrid w:val="0"/>
                <w:color w:val="auto"/>
                <w:sz w:val="21"/>
                <w:szCs w:val="21"/>
              </w:rPr>
            </w:pPr>
            <w:r>
              <w:rPr>
                <w:snapToGrid w:val="0"/>
                <w:color w:val="auto"/>
                <w:sz w:val="21"/>
                <w:szCs w:val="21"/>
              </w:rPr>
              <w:t>正常</w:t>
            </w:r>
          </w:p>
        </w:tc>
        <w:tc>
          <w:tcPr>
            <w:tcW w:w="670" w:type="dxa"/>
            <w:noWrap w:val="0"/>
            <w:vAlign w:val="center"/>
          </w:tcPr>
          <w:p w14:paraId="661404D1">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snapToGrid w:val="0"/>
                <w:color w:val="auto"/>
                <w:sz w:val="21"/>
                <w:szCs w:val="21"/>
                <w:lang w:val="en-US" w:eastAsia="zh-CN"/>
              </w:rPr>
            </w:pPr>
            <w:r>
              <w:rPr>
                <w:rFonts w:hint="eastAsia"/>
                <w:snapToGrid w:val="0"/>
                <w:color w:val="auto"/>
                <w:sz w:val="21"/>
                <w:szCs w:val="21"/>
                <w:lang w:val="en-US" w:eastAsia="zh-CN"/>
              </w:rPr>
              <w:t>/</w:t>
            </w:r>
          </w:p>
        </w:tc>
        <w:tc>
          <w:tcPr>
            <w:tcW w:w="670" w:type="dxa"/>
            <w:noWrap w:val="0"/>
            <w:vAlign w:val="center"/>
          </w:tcPr>
          <w:p w14:paraId="237B5E99">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snapToGrid w:val="0"/>
                <w:color w:val="auto"/>
                <w:sz w:val="21"/>
                <w:szCs w:val="21"/>
                <w:lang w:val="en-US" w:eastAsia="zh-CN"/>
              </w:rPr>
            </w:pPr>
            <w:r>
              <w:rPr>
                <w:rFonts w:hint="eastAsia"/>
                <w:snapToGrid w:val="0"/>
                <w:color w:val="auto"/>
                <w:sz w:val="21"/>
                <w:szCs w:val="21"/>
                <w:lang w:val="en-US" w:eastAsia="zh-CN"/>
              </w:rPr>
              <w:t>0.001</w:t>
            </w:r>
          </w:p>
        </w:tc>
        <w:tc>
          <w:tcPr>
            <w:tcW w:w="670" w:type="dxa"/>
            <w:noWrap w:val="0"/>
            <w:vAlign w:val="center"/>
          </w:tcPr>
          <w:p w14:paraId="26055929">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snapToGrid w:val="0"/>
                <w:color w:val="auto"/>
                <w:sz w:val="21"/>
                <w:szCs w:val="21"/>
                <w:lang w:val="en-US" w:eastAsia="zh-CN"/>
              </w:rPr>
            </w:pPr>
            <w:r>
              <w:rPr>
                <w:rFonts w:hint="eastAsia"/>
                <w:snapToGrid w:val="0"/>
                <w:color w:val="auto"/>
                <w:sz w:val="21"/>
                <w:szCs w:val="21"/>
                <w:lang w:val="en-US" w:eastAsia="zh-CN"/>
              </w:rPr>
              <w:t>/</w:t>
            </w:r>
          </w:p>
        </w:tc>
        <w:tc>
          <w:tcPr>
            <w:tcW w:w="670" w:type="dxa"/>
            <w:noWrap w:val="0"/>
            <w:vAlign w:val="center"/>
          </w:tcPr>
          <w:p w14:paraId="52E31ACB">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eastAsia"/>
                <w:snapToGrid w:val="0"/>
                <w:color w:val="auto"/>
                <w:sz w:val="21"/>
                <w:szCs w:val="21"/>
                <w:lang w:val="en-US" w:eastAsia="zh-CN"/>
              </w:rPr>
            </w:pPr>
            <w:r>
              <w:rPr>
                <w:rFonts w:hint="eastAsia"/>
                <w:snapToGrid w:val="0"/>
                <w:color w:val="auto"/>
                <w:sz w:val="21"/>
                <w:szCs w:val="21"/>
                <w:lang w:val="en-US" w:eastAsia="zh-CN"/>
              </w:rPr>
              <w:t>/</w:t>
            </w:r>
          </w:p>
        </w:tc>
      </w:tr>
    </w:tbl>
    <w:p w14:paraId="715455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bCs/>
          <w:snapToGrid w:val="0"/>
          <w:color w:val="auto"/>
          <w:kern w:val="0"/>
        </w:rPr>
      </w:pPr>
      <w:r>
        <w:rPr>
          <w:rFonts w:ascii="Times New Roman" w:hAnsi="Times New Roman" w:eastAsia="宋体" w:cs="Times New Roman"/>
          <w:b/>
          <w:bCs/>
          <w:snapToGrid w:val="0"/>
          <w:color w:val="auto"/>
          <w:kern w:val="0"/>
        </w:rPr>
        <w:t>表3-</w:t>
      </w:r>
      <w:r>
        <w:rPr>
          <w:rFonts w:hint="eastAsia" w:cs="Times New Roman"/>
          <w:b/>
          <w:bCs/>
          <w:snapToGrid w:val="0"/>
          <w:color w:val="auto"/>
          <w:kern w:val="0"/>
          <w:lang w:val="en-US" w:eastAsia="zh-CN"/>
        </w:rPr>
        <w:t>9</w:t>
      </w:r>
      <w:r>
        <w:rPr>
          <w:rFonts w:ascii="Times New Roman" w:hAnsi="Times New Roman" w:eastAsia="宋体" w:cs="Times New Roman"/>
          <w:b/>
          <w:bCs/>
          <w:snapToGrid w:val="0"/>
          <w:color w:val="auto"/>
          <w:kern w:val="0"/>
        </w:rPr>
        <w:t xml:space="preserve">  主要废气污染源参数一览表</w:t>
      </w:r>
      <w:r>
        <w:rPr>
          <w:rFonts w:hint="eastAsia" w:cs="Times New Roman"/>
          <w:b/>
          <w:bCs/>
          <w:snapToGrid w:val="0"/>
          <w:color w:val="auto"/>
          <w:kern w:val="0"/>
          <w:lang w:eastAsia="zh-CN"/>
        </w:rPr>
        <w:t>（</w:t>
      </w:r>
      <w:r>
        <w:rPr>
          <w:rFonts w:ascii="Times New Roman" w:hAnsi="Times New Roman" w:eastAsia="宋体" w:cs="Times New Roman"/>
          <w:b/>
          <w:bCs/>
          <w:snapToGrid w:val="0"/>
          <w:color w:val="auto"/>
          <w:kern w:val="0"/>
        </w:rPr>
        <w:t>面源</w:t>
      </w:r>
      <w:r>
        <w:rPr>
          <w:rFonts w:hint="eastAsia" w:cs="Times New Roman"/>
          <w:b/>
          <w:bCs/>
          <w:snapToGrid w:val="0"/>
          <w:color w:val="auto"/>
          <w:kern w:val="0"/>
          <w:lang w:eastAsia="zh-CN"/>
        </w:rPr>
        <w:t>）</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6"/>
        <w:gridCol w:w="1121"/>
        <w:gridCol w:w="730"/>
        <w:gridCol w:w="731"/>
        <w:gridCol w:w="584"/>
        <w:gridCol w:w="1148"/>
        <w:gridCol w:w="652"/>
        <w:gridCol w:w="652"/>
        <w:gridCol w:w="630"/>
        <w:gridCol w:w="551"/>
        <w:gridCol w:w="406"/>
        <w:gridCol w:w="406"/>
        <w:gridCol w:w="406"/>
        <w:gridCol w:w="409"/>
      </w:tblGrid>
      <w:tr w14:paraId="6E80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 w:hRule="atLeast"/>
          <w:jc w:val="center"/>
        </w:trPr>
        <w:tc>
          <w:tcPr>
            <w:tcW w:w="346" w:type="dxa"/>
            <w:vMerge w:val="restart"/>
            <w:noWrap w:val="0"/>
            <w:vAlign w:val="center"/>
          </w:tcPr>
          <w:p w14:paraId="3EB708E7">
            <w:pPr>
              <w:adjustRightInd w:val="0"/>
              <w:snapToGrid w:val="0"/>
              <w:spacing w:line="240" w:lineRule="auto"/>
              <w:jc w:val="center"/>
              <w:rPr>
                <w:b/>
                <w:snapToGrid w:val="0"/>
                <w:color w:val="auto"/>
                <w:sz w:val="21"/>
                <w:szCs w:val="18"/>
              </w:rPr>
            </w:pPr>
            <w:r>
              <w:rPr>
                <w:b/>
                <w:snapToGrid w:val="0"/>
                <w:color w:val="auto"/>
                <w:sz w:val="21"/>
                <w:szCs w:val="18"/>
              </w:rPr>
              <w:t>编号</w:t>
            </w:r>
          </w:p>
        </w:tc>
        <w:tc>
          <w:tcPr>
            <w:tcW w:w="1121" w:type="dxa"/>
            <w:vMerge w:val="restart"/>
            <w:noWrap w:val="0"/>
            <w:vAlign w:val="center"/>
          </w:tcPr>
          <w:p w14:paraId="625516BE">
            <w:pPr>
              <w:adjustRightInd w:val="0"/>
              <w:snapToGrid w:val="0"/>
              <w:spacing w:line="240" w:lineRule="auto"/>
              <w:jc w:val="center"/>
              <w:rPr>
                <w:b/>
                <w:snapToGrid w:val="0"/>
                <w:color w:val="auto"/>
                <w:sz w:val="21"/>
                <w:szCs w:val="18"/>
              </w:rPr>
            </w:pPr>
            <w:r>
              <w:rPr>
                <w:b/>
                <w:snapToGrid w:val="0"/>
                <w:color w:val="auto"/>
                <w:sz w:val="21"/>
                <w:szCs w:val="18"/>
              </w:rPr>
              <w:t>名称</w:t>
            </w:r>
          </w:p>
        </w:tc>
        <w:tc>
          <w:tcPr>
            <w:tcW w:w="1461" w:type="dxa"/>
            <w:gridSpan w:val="2"/>
            <w:noWrap w:val="0"/>
            <w:vAlign w:val="center"/>
          </w:tcPr>
          <w:p w14:paraId="06E1AEE1">
            <w:pPr>
              <w:adjustRightInd w:val="0"/>
              <w:snapToGrid w:val="0"/>
              <w:spacing w:line="240" w:lineRule="auto"/>
              <w:jc w:val="center"/>
              <w:rPr>
                <w:b/>
                <w:snapToGrid w:val="0"/>
                <w:color w:val="auto"/>
                <w:sz w:val="21"/>
                <w:szCs w:val="18"/>
              </w:rPr>
            </w:pPr>
            <w:r>
              <w:rPr>
                <w:b/>
                <w:snapToGrid w:val="0"/>
                <w:color w:val="auto"/>
                <w:sz w:val="21"/>
                <w:szCs w:val="18"/>
              </w:rPr>
              <w:t>面源起点坐标</w:t>
            </w:r>
          </w:p>
        </w:tc>
        <w:tc>
          <w:tcPr>
            <w:tcW w:w="584" w:type="dxa"/>
            <w:vMerge w:val="restart"/>
            <w:noWrap w:val="0"/>
            <w:vAlign w:val="center"/>
          </w:tcPr>
          <w:p w14:paraId="0B725CE9">
            <w:pPr>
              <w:adjustRightInd w:val="0"/>
              <w:snapToGrid w:val="0"/>
              <w:spacing w:line="240" w:lineRule="auto"/>
              <w:jc w:val="center"/>
              <w:rPr>
                <w:b/>
                <w:snapToGrid w:val="0"/>
                <w:color w:val="auto"/>
                <w:sz w:val="21"/>
                <w:szCs w:val="18"/>
              </w:rPr>
            </w:pPr>
            <w:r>
              <w:rPr>
                <w:b/>
                <w:snapToGrid w:val="0"/>
                <w:color w:val="auto"/>
                <w:sz w:val="21"/>
                <w:szCs w:val="18"/>
              </w:rPr>
              <w:t>面源海拔高度(m)</w:t>
            </w:r>
          </w:p>
        </w:tc>
        <w:tc>
          <w:tcPr>
            <w:tcW w:w="1148" w:type="dxa"/>
            <w:vMerge w:val="restart"/>
            <w:noWrap w:val="0"/>
            <w:vAlign w:val="center"/>
          </w:tcPr>
          <w:p w14:paraId="2F46AC8D">
            <w:pPr>
              <w:adjustRightInd w:val="0"/>
              <w:snapToGrid w:val="0"/>
              <w:spacing w:line="240" w:lineRule="auto"/>
              <w:jc w:val="center"/>
              <w:rPr>
                <w:b/>
                <w:snapToGrid w:val="0"/>
                <w:color w:val="auto"/>
                <w:sz w:val="21"/>
                <w:szCs w:val="18"/>
              </w:rPr>
            </w:pPr>
            <w:r>
              <w:rPr>
                <w:b/>
                <w:snapToGrid w:val="0"/>
                <w:color w:val="auto"/>
                <w:sz w:val="21"/>
                <w:szCs w:val="18"/>
              </w:rPr>
              <w:t>面源</w:t>
            </w:r>
            <w:r>
              <w:rPr>
                <w:rFonts w:hint="eastAsia"/>
                <w:b/>
                <w:snapToGrid w:val="0"/>
                <w:color w:val="auto"/>
                <w:sz w:val="21"/>
                <w:szCs w:val="18"/>
                <w:lang w:val="en-US" w:eastAsia="zh-CN"/>
              </w:rPr>
              <w:t>面积</w:t>
            </w:r>
            <w:r>
              <w:rPr>
                <w:b/>
                <w:snapToGrid w:val="0"/>
                <w:color w:val="auto"/>
                <w:sz w:val="21"/>
                <w:szCs w:val="18"/>
              </w:rPr>
              <w:t>/m</w:t>
            </w:r>
            <w:r>
              <w:rPr>
                <w:rFonts w:hint="eastAsia"/>
                <w:b/>
                <w:snapToGrid w:val="0"/>
                <w:color w:val="auto"/>
                <w:sz w:val="21"/>
                <w:szCs w:val="18"/>
                <w:lang w:val="en-US" w:eastAsia="zh-CN"/>
              </w:rPr>
              <w:t>2</w:t>
            </w:r>
          </w:p>
        </w:tc>
        <w:tc>
          <w:tcPr>
            <w:tcW w:w="652" w:type="dxa"/>
            <w:vMerge w:val="restart"/>
            <w:noWrap w:val="0"/>
            <w:vAlign w:val="center"/>
          </w:tcPr>
          <w:p w14:paraId="0BF233EA">
            <w:pPr>
              <w:adjustRightInd w:val="0"/>
              <w:snapToGrid w:val="0"/>
              <w:spacing w:line="240" w:lineRule="auto"/>
              <w:jc w:val="center"/>
              <w:rPr>
                <w:b/>
                <w:snapToGrid w:val="0"/>
                <w:color w:val="auto"/>
                <w:sz w:val="21"/>
                <w:szCs w:val="18"/>
              </w:rPr>
            </w:pPr>
            <w:r>
              <w:rPr>
                <w:b/>
                <w:snapToGrid w:val="0"/>
                <w:color w:val="auto"/>
                <w:sz w:val="21"/>
                <w:szCs w:val="18"/>
              </w:rPr>
              <w:t>与正北方向夹角/。</w:t>
            </w:r>
          </w:p>
        </w:tc>
        <w:tc>
          <w:tcPr>
            <w:tcW w:w="652" w:type="dxa"/>
            <w:vMerge w:val="restart"/>
            <w:noWrap w:val="0"/>
            <w:vAlign w:val="center"/>
          </w:tcPr>
          <w:p w14:paraId="61A7C037">
            <w:pPr>
              <w:adjustRightInd w:val="0"/>
              <w:snapToGrid w:val="0"/>
              <w:spacing w:line="240" w:lineRule="auto"/>
              <w:jc w:val="center"/>
              <w:rPr>
                <w:b/>
                <w:snapToGrid w:val="0"/>
                <w:color w:val="auto"/>
                <w:sz w:val="21"/>
                <w:szCs w:val="18"/>
              </w:rPr>
            </w:pPr>
            <w:r>
              <w:rPr>
                <w:b/>
                <w:snapToGrid w:val="0"/>
                <w:color w:val="auto"/>
                <w:sz w:val="21"/>
                <w:szCs w:val="18"/>
              </w:rPr>
              <w:t>面源排放有效高度/m</w:t>
            </w:r>
          </w:p>
        </w:tc>
        <w:tc>
          <w:tcPr>
            <w:tcW w:w="630" w:type="dxa"/>
            <w:vMerge w:val="restart"/>
            <w:noWrap w:val="0"/>
            <w:vAlign w:val="center"/>
          </w:tcPr>
          <w:p w14:paraId="3401ED1D">
            <w:pPr>
              <w:adjustRightInd w:val="0"/>
              <w:snapToGrid w:val="0"/>
              <w:spacing w:line="240" w:lineRule="auto"/>
              <w:jc w:val="center"/>
              <w:rPr>
                <w:b/>
                <w:snapToGrid w:val="0"/>
                <w:color w:val="auto"/>
                <w:sz w:val="21"/>
                <w:szCs w:val="18"/>
              </w:rPr>
            </w:pPr>
            <w:r>
              <w:rPr>
                <w:b/>
                <w:snapToGrid w:val="0"/>
                <w:color w:val="auto"/>
                <w:sz w:val="21"/>
                <w:szCs w:val="18"/>
              </w:rPr>
              <w:t>年排放小时数</w:t>
            </w:r>
          </w:p>
        </w:tc>
        <w:tc>
          <w:tcPr>
            <w:tcW w:w="551" w:type="dxa"/>
            <w:vMerge w:val="restart"/>
            <w:noWrap w:val="0"/>
            <w:vAlign w:val="center"/>
          </w:tcPr>
          <w:p w14:paraId="2704BCA3">
            <w:pPr>
              <w:adjustRightInd w:val="0"/>
              <w:snapToGrid w:val="0"/>
              <w:spacing w:line="240" w:lineRule="auto"/>
              <w:jc w:val="center"/>
              <w:rPr>
                <w:b/>
                <w:snapToGrid w:val="0"/>
                <w:color w:val="auto"/>
                <w:sz w:val="21"/>
                <w:szCs w:val="18"/>
              </w:rPr>
            </w:pPr>
            <w:r>
              <w:rPr>
                <w:b/>
                <w:snapToGrid w:val="0"/>
                <w:color w:val="auto"/>
                <w:sz w:val="21"/>
                <w:szCs w:val="18"/>
              </w:rPr>
              <w:t>排放工况</w:t>
            </w:r>
          </w:p>
        </w:tc>
        <w:tc>
          <w:tcPr>
            <w:tcW w:w="1627" w:type="dxa"/>
            <w:gridSpan w:val="4"/>
            <w:noWrap w:val="0"/>
            <w:vAlign w:val="center"/>
          </w:tcPr>
          <w:p w14:paraId="6DA412D3">
            <w:pPr>
              <w:adjustRightInd w:val="0"/>
              <w:snapToGrid w:val="0"/>
              <w:spacing w:line="240" w:lineRule="auto"/>
              <w:jc w:val="center"/>
              <w:rPr>
                <w:b/>
                <w:snapToGrid w:val="0"/>
                <w:color w:val="auto"/>
                <w:sz w:val="21"/>
                <w:szCs w:val="18"/>
              </w:rPr>
            </w:pPr>
            <w:r>
              <w:rPr>
                <w:b/>
                <w:snapToGrid w:val="0"/>
                <w:color w:val="auto"/>
                <w:sz w:val="21"/>
                <w:szCs w:val="18"/>
              </w:rPr>
              <w:t>排放速率kg/h</w:t>
            </w:r>
          </w:p>
        </w:tc>
      </w:tr>
      <w:tr w14:paraId="020E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1" w:hRule="atLeast"/>
          <w:jc w:val="center"/>
        </w:trPr>
        <w:tc>
          <w:tcPr>
            <w:tcW w:w="346" w:type="dxa"/>
            <w:vMerge w:val="continue"/>
            <w:noWrap w:val="0"/>
            <w:vAlign w:val="top"/>
          </w:tcPr>
          <w:p w14:paraId="356F71CB">
            <w:pPr>
              <w:adjustRightInd w:val="0"/>
              <w:snapToGrid w:val="0"/>
              <w:spacing w:line="240" w:lineRule="auto"/>
              <w:jc w:val="center"/>
              <w:rPr>
                <w:b/>
                <w:snapToGrid w:val="0"/>
                <w:color w:val="auto"/>
                <w:sz w:val="21"/>
                <w:szCs w:val="18"/>
              </w:rPr>
            </w:pPr>
          </w:p>
        </w:tc>
        <w:tc>
          <w:tcPr>
            <w:tcW w:w="1121" w:type="dxa"/>
            <w:vMerge w:val="continue"/>
            <w:noWrap w:val="0"/>
            <w:vAlign w:val="center"/>
          </w:tcPr>
          <w:p w14:paraId="0B031488">
            <w:pPr>
              <w:adjustRightInd w:val="0"/>
              <w:snapToGrid w:val="0"/>
              <w:spacing w:line="240" w:lineRule="auto"/>
              <w:jc w:val="center"/>
              <w:rPr>
                <w:b/>
                <w:snapToGrid w:val="0"/>
                <w:color w:val="auto"/>
                <w:sz w:val="21"/>
                <w:szCs w:val="18"/>
              </w:rPr>
            </w:pPr>
          </w:p>
        </w:tc>
        <w:tc>
          <w:tcPr>
            <w:tcW w:w="730" w:type="dxa"/>
            <w:noWrap w:val="0"/>
            <w:vAlign w:val="center"/>
          </w:tcPr>
          <w:p w14:paraId="4AE0111F">
            <w:pPr>
              <w:adjustRightInd w:val="0"/>
              <w:snapToGrid w:val="0"/>
              <w:spacing w:line="240" w:lineRule="auto"/>
              <w:jc w:val="center"/>
              <w:rPr>
                <w:rFonts w:hint="default" w:eastAsia="宋体"/>
                <w:b/>
                <w:snapToGrid w:val="0"/>
                <w:color w:val="auto"/>
                <w:sz w:val="21"/>
                <w:szCs w:val="18"/>
                <w:lang w:val="en-US" w:eastAsia="zh-CN"/>
              </w:rPr>
            </w:pPr>
            <w:r>
              <w:rPr>
                <w:rFonts w:hint="eastAsia"/>
                <w:b/>
                <w:snapToGrid w:val="0"/>
                <w:color w:val="auto"/>
                <w:sz w:val="21"/>
                <w:szCs w:val="18"/>
                <w:lang w:val="en-US" w:eastAsia="zh-CN"/>
              </w:rPr>
              <w:t>经度</w:t>
            </w:r>
          </w:p>
        </w:tc>
        <w:tc>
          <w:tcPr>
            <w:tcW w:w="731" w:type="dxa"/>
            <w:noWrap w:val="0"/>
            <w:vAlign w:val="center"/>
          </w:tcPr>
          <w:p w14:paraId="3E4527D6">
            <w:pPr>
              <w:adjustRightInd w:val="0"/>
              <w:snapToGrid w:val="0"/>
              <w:spacing w:line="240" w:lineRule="auto"/>
              <w:jc w:val="center"/>
              <w:rPr>
                <w:rFonts w:hint="eastAsia" w:eastAsia="宋体"/>
                <w:b/>
                <w:snapToGrid w:val="0"/>
                <w:color w:val="auto"/>
                <w:sz w:val="21"/>
                <w:szCs w:val="18"/>
                <w:lang w:eastAsia="zh-CN"/>
              </w:rPr>
            </w:pPr>
            <w:r>
              <w:rPr>
                <w:rFonts w:hint="eastAsia"/>
                <w:b/>
                <w:snapToGrid w:val="0"/>
                <w:color w:val="auto"/>
                <w:sz w:val="21"/>
                <w:szCs w:val="18"/>
                <w:lang w:val="en-US" w:eastAsia="zh-CN"/>
              </w:rPr>
              <w:t>纬度</w:t>
            </w:r>
          </w:p>
        </w:tc>
        <w:tc>
          <w:tcPr>
            <w:tcW w:w="584" w:type="dxa"/>
            <w:vMerge w:val="continue"/>
            <w:noWrap w:val="0"/>
            <w:vAlign w:val="center"/>
          </w:tcPr>
          <w:p w14:paraId="5095ABB1">
            <w:pPr>
              <w:adjustRightInd w:val="0"/>
              <w:snapToGrid w:val="0"/>
              <w:spacing w:line="240" w:lineRule="auto"/>
              <w:jc w:val="center"/>
              <w:rPr>
                <w:b/>
                <w:snapToGrid w:val="0"/>
                <w:color w:val="auto"/>
                <w:sz w:val="21"/>
                <w:szCs w:val="18"/>
              </w:rPr>
            </w:pPr>
          </w:p>
        </w:tc>
        <w:tc>
          <w:tcPr>
            <w:tcW w:w="1148" w:type="dxa"/>
            <w:vMerge w:val="continue"/>
            <w:noWrap w:val="0"/>
            <w:vAlign w:val="center"/>
          </w:tcPr>
          <w:p w14:paraId="1C478032">
            <w:pPr>
              <w:adjustRightInd w:val="0"/>
              <w:snapToGrid w:val="0"/>
              <w:spacing w:line="240" w:lineRule="auto"/>
              <w:jc w:val="center"/>
              <w:rPr>
                <w:b/>
                <w:snapToGrid w:val="0"/>
                <w:color w:val="auto"/>
                <w:sz w:val="21"/>
                <w:szCs w:val="18"/>
              </w:rPr>
            </w:pPr>
          </w:p>
        </w:tc>
        <w:tc>
          <w:tcPr>
            <w:tcW w:w="652" w:type="dxa"/>
            <w:vMerge w:val="continue"/>
            <w:noWrap w:val="0"/>
            <w:vAlign w:val="center"/>
          </w:tcPr>
          <w:p w14:paraId="2D205CCB">
            <w:pPr>
              <w:adjustRightInd w:val="0"/>
              <w:snapToGrid w:val="0"/>
              <w:spacing w:line="240" w:lineRule="auto"/>
              <w:jc w:val="center"/>
              <w:rPr>
                <w:b/>
                <w:snapToGrid w:val="0"/>
                <w:color w:val="auto"/>
                <w:sz w:val="21"/>
                <w:szCs w:val="18"/>
              </w:rPr>
            </w:pPr>
          </w:p>
        </w:tc>
        <w:tc>
          <w:tcPr>
            <w:tcW w:w="652" w:type="dxa"/>
            <w:vMerge w:val="continue"/>
            <w:noWrap w:val="0"/>
            <w:vAlign w:val="center"/>
          </w:tcPr>
          <w:p w14:paraId="5047DB0E">
            <w:pPr>
              <w:adjustRightInd w:val="0"/>
              <w:snapToGrid w:val="0"/>
              <w:spacing w:line="240" w:lineRule="auto"/>
              <w:jc w:val="center"/>
              <w:rPr>
                <w:b/>
                <w:snapToGrid w:val="0"/>
                <w:color w:val="auto"/>
                <w:sz w:val="21"/>
                <w:szCs w:val="18"/>
              </w:rPr>
            </w:pPr>
          </w:p>
        </w:tc>
        <w:tc>
          <w:tcPr>
            <w:tcW w:w="630" w:type="dxa"/>
            <w:vMerge w:val="continue"/>
            <w:noWrap w:val="0"/>
            <w:vAlign w:val="center"/>
          </w:tcPr>
          <w:p w14:paraId="41011F4C">
            <w:pPr>
              <w:adjustRightInd w:val="0"/>
              <w:snapToGrid w:val="0"/>
              <w:spacing w:line="240" w:lineRule="auto"/>
              <w:jc w:val="center"/>
              <w:rPr>
                <w:b/>
                <w:snapToGrid w:val="0"/>
                <w:color w:val="auto"/>
                <w:sz w:val="21"/>
                <w:szCs w:val="18"/>
              </w:rPr>
            </w:pPr>
          </w:p>
        </w:tc>
        <w:tc>
          <w:tcPr>
            <w:tcW w:w="551" w:type="dxa"/>
            <w:vMerge w:val="continue"/>
            <w:noWrap w:val="0"/>
            <w:vAlign w:val="center"/>
          </w:tcPr>
          <w:p w14:paraId="75AD77A6">
            <w:pPr>
              <w:adjustRightInd w:val="0"/>
              <w:snapToGrid w:val="0"/>
              <w:spacing w:line="240" w:lineRule="auto"/>
              <w:jc w:val="center"/>
              <w:rPr>
                <w:b/>
                <w:snapToGrid w:val="0"/>
                <w:color w:val="auto"/>
                <w:sz w:val="21"/>
                <w:szCs w:val="18"/>
              </w:rPr>
            </w:pPr>
          </w:p>
        </w:tc>
        <w:tc>
          <w:tcPr>
            <w:tcW w:w="406" w:type="dxa"/>
            <w:noWrap w:val="0"/>
            <w:vAlign w:val="center"/>
          </w:tcPr>
          <w:p w14:paraId="3B2B8080">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rFonts w:hint="default" w:eastAsia="宋体"/>
                <w:b/>
                <w:snapToGrid w:val="0"/>
                <w:color w:val="auto"/>
                <w:sz w:val="21"/>
                <w:szCs w:val="18"/>
                <w:lang w:val="en-US" w:eastAsia="zh-CN"/>
              </w:rPr>
            </w:pPr>
            <w:r>
              <w:rPr>
                <w:rFonts w:hint="eastAsia"/>
                <w:b/>
                <w:snapToGrid w:val="0"/>
                <w:color w:val="auto"/>
                <w:sz w:val="21"/>
                <w:szCs w:val="18"/>
                <w:lang w:val="en-US" w:eastAsia="zh-CN"/>
              </w:rPr>
              <w:t>TSP</w:t>
            </w:r>
          </w:p>
        </w:tc>
        <w:tc>
          <w:tcPr>
            <w:tcW w:w="406" w:type="dxa"/>
            <w:noWrap w:val="0"/>
            <w:vAlign w:val="center"/>
          </w:tcPr>
          <w:p w14:paraId="3F7E57E2">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18"/>
              </w:rPr>
            </w:pPr>
            <w:r>
              <w:rPr>
                <w:rFonts w:hint="eastAsia"/>
                <w:b/>
                <w:snapToGrid w:val="0"/>
                <w:color w:val="auto"/>
                <w:sz w:val="21"/>
                <w:szCs w:val="21"/>
                <w:lang w:val="en-US" w:eastAsia="zh-CN"/>
              </w:rPr>
              <w:t>非甲烷总烃</w:t>
            </w:r>
          </w:p>
        </w:tc>
        <w:tc>
          <w:tcPr>
            <w:tcW w:w="406" w:type="dxa"/>
            <w:noWrap w:val="0"/>
            <w:vAlign w:val="center"/>
          </w:tcPr>
          <w:p w14:paraId="1FD978C8">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18"/>
              </w:rPr>
            </w:pPr>
            <w:r>
              <w:rPr>
                <w:rFonts w:hint="eastAsia"/>
                <w:b/>
                <w:snapToGrid w:val="0"/>
                <w:color w:val="auto"/>
                <w:sz w:val="21"/>
                <w:szCs w:val="21"/>
                <w:lang w:val="en-US" w:eastAsia="zh-CN"/>
              </w:rPr>
              <w:t>甲醛</w:t>
            </w:r>
          </w:p>
        </w:tc>
        <w:tc>
          <w:tcPr>
            <w:tcW w:w="409" w:type="dxa"/>
            <w:noWrap w:val="0"/>
            <w:vAlign w:val="center"/>
          </w:tcPr>
          <w:p w14:paraId="11D9B3A0">
            <w:pPr>
              <w:keepNext w:val="0"/>
              <w:keepLines w:val="0"/>
              <w:pageBreakBefore w:val="0"/>
              <w:kinsoku/>
              <w:wordWrap/>
              <w:overflowPunct/>
              <w:topLinePunct w:val="0"/>
              <w:autoSpaceDE/>
              <w:autoSpaceDN/>
              <w:bidi w:val="0"/>
              <w:adjustRightInd w:val="0"/>
              <w:snapToGrid w:val="0"/>
              <w:spacing w:line="240" w:lineRule="auto"/>
              <w:ind w:left="0" w:leftChars="0" w:right="0" w:rightChars="0"/>
              <w:jc w:val="center"/>
              <w:rPr>
                <w:b/>
                <w:snapToGrid w:val="0"/>
                <w:color w:val="auto"/>
                <w:sz w:val="21"/>
                <w:szCs w:val="18"/>
              </w:rPr>
            </w:pPr>
            <w:r>
              <w:rPr>
                <w:rFonts w:hint="eastAsia"/>
                <w:b/>
                <w:snapToGrid w:val="0"/>
                <w:color w:val="auto"/>
                <w:sz w:val="21"/>
                <w:szCs w:val="21"/>
                <w:lang w:val="en-US" w:eastAsia="zh-CN"/>
              </w:rPr>
              <w:t>苯酚</w:t>
            </w:r>
          </w:p>
        </w:tc>
      </w:tr>
      <w:tr w14:paraId="3CA6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4" w:hRule="atLeast"/>
          <w:jc w:val="center"/>
        </w:trPr>
        <w:tc>
          <w:tcPr>
            <w:tcW w:w="346" w:type="dxa"/>
            <w:noWrap w:val="0"/>
            <w:vAlign w:val="center"/>
          </w:tcPr>
          <w:p w14:paraId="742E2183">
            <w:pPr>
              <w:adjustRightInd w:val="0"/>
              <w:snapToGrid w:val="0"/>
              <w:spacing w:line="240" w:lineRule="auto"/>
              <w:jc w:val="center"/>
              <w:rPr>
                <w:bCs/>
                <w:snapToGrid w:val="0"/>
                <w:color w:val="auto"/>
                <w:sz w:val="21"/>
                <w:szCs w:val="18"/>
              </w:rPr>
            </w:pPr>
            <w:r>
              <w:rPr>
                <w:bCs/>
                <w:snapToGrid w:val="0"/>
                <w:color w:val="auto"/>
                <w:sz w:val="21"/>
                <w:szCs w:val="18"/>
              </w:rPr>
              <w:t>1</w:t>
            </w:r>
          </w:p>
        </w:tc>
        <w:tc>
          <w:tcPr>
            <w:tcW w:w="1121" w:type="dxa"/>
            <w:noWrap w:val="0"/>
            <w:vAlign w:val="center"/>
          </w:tcPr>
          <w:p w14:paraId="1A8C1C78">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eastAsia="宋体"/>
                <w:snapToGrid w:val="0"/>
                <w:color w:val="auto"/>
                <w:sz w:val="21"/>
                <w:szCs w:val="18"/>
                <w:lang w:val="en-US" w:eastAsia="zh-CN"/>
              </w:rPr>
            </w:pPr>
            <w:r>
              <w:rPr>
                <w:rFonts w:hint="eastAsia"/>
                <w:snapToGrid w:val="0"/>
                <w:color w:val="auto"/>
                <w:sz w:val="21"/>
                <w:szCs w:val="18"/>
                <w:lang w:val="en-US" w:eastAsia="zh-CN"/>
              </w:rPr>
              <w:t>生产厂房</w:t>
            </w:r>
          </w:p>
        </w:tc>
        <w:tc>
          <w:tcPr>
            <w:tcW w:w="730" w:type="dxa"/>
            <w:noWrap w:val="0"/>
            <w:vAlign w:val="center"/>
          </w:tcPr>
          <w:p w14:paraId="27512CBA">
            <w:pPr>
              <w:keepNext w:val="0"/>
              <w:keepLines w:val="0"/>
              <w:pageBreakBefore w:val="0"/>
              <w:kinsoku/>
              <w:wordWrap/>
              <w:overflowPunct/>
              <w:topLinePunct w:val="0"/>
              <w:autoSpaceDE w:val="0"/>
              <w:autoSpaceDN w:val="0"/>
              <w:bidi w:val="0"/>
              <w:adjustRightInd w:val="0"/>
              <w:snapToGrid w:val="0"/>
              <w:jc w:val="center"/>
              <w:rPr>
                <w:rFonts w:hint="eastAsia" w:eastAsia="宋体"/>
                <w:snapToGrid w:val="0"/>
                <w:color w:val="auto"/>
                <w:sz w:val="21"/>
                <w:szCs w:val="18"/>
                <w:lang w:eastAsia="zh-CN"/>
              </w:rPr>
            </w:pPr>
            <w:r>
              <w:rPr>
                <w:rFonts w:hint="default" w:ascii="Times New Roman" w:hAnsi="Times New Roman" w:cs="Times New Roman"/>
                <w:color w:val="auto"/>
                <w:sz w:val="21"/>
                <w:szCs w:val="21"/>
                <w:highlight w:val="none"/>
              </w:rPr>
              <w:t>116度58分40.4</w:t>
            </w:r>
            <w:r>
              <w:rPr>
                <w:rFonts w:hint="eastAsia" w:ascii="Times New Roman" w:hAnsi="Times New Roman" w:cs="Times New Roman"/>
                <w:color w:val="auto"/>
                <w:sz w:val="21"/>
                <w:szCs w:val="21"/>
                <w:highlight w:val="none"/>
                <w:lang w:val="en-US" w:eastAsia="zh-CN"/>
              </w:rPr>
              <w:t>67</w:t>
            </w:r>
            <w:r>
              <w:rPr>
                <w:rFonts w:hint="default" w:ascii="Times New Roman" w:hAnsi="Times New Roman" w:cs="Times New Roman"/>
                <w:color w:val="auto"/>
                <w:sz w:val="21"/>
                <w:szCs w:val="21"/>
                <w:highlight w:val="none"/>
              </w:rPr>
              <w:t>秒</w:t>
            </w:r>
          </w:p>
        </w:tc>
        <w:tc>
          <w:tcPr>
            <w:tcW w:w="731" w:type="dxa"/>
            <w:noWrap w:val="0"/>
            <w:vAlign w:val="center"/>
          </w:tcPr>
          <w:p w14:paraId="5B719D31">
            <w:pPr>
              <w:keepNext w:val="0"/>
              <w:keepLines w:val="0"/>
              <w:pageBreakBefore w:val="0"/>
              <w:kinsoku/>
              <w:wordWrap/>
              <w:overflowPunct/>
              <w:topLinePunct w:val="0"/>
              <w:autoSpaceDE w:val="0"/>
              <w:autoSpaceDN w:val="0"/>
              <w:bidi w:val="0"/>
              <w:adjustRightInd w:val="0"/>
              <w:snapToGrid w:val="0"/>
              <w:jc w:val="center"/>
              <w:rPr>
                <w:rFonts w:hint="eastAsia" w:eastAsia="宋体"/>
                <w:snapToGrid w:val="0"/>
                <w:color w:val="auto"/>
                <w:sz w:val="21"/>
                <w:szCs w:val="18"/>
                <w:lang w:eastAsia="zh-CN"/>
              </w:rPr>
            </w:pPr>
            <w:r>
              <w:rPr>
                <w:rFonts w:hint="default" w:ascii="Times New Roman" w:hAnsi="Times New Roman" w:cs="Times New Roman"/>
                <w:color w:val="auto"/>
                <w:sz w:val="21"/>
                <w:szCs w:val="21"/>
                <w:highlight w:val="none"/>
              </w:rPr>
              <w:t>32度34分13.</w:t>
            </w:r>
            <w:r>
              <w:rPr>
                <w:rFonts w:hint="eastAsia" w:ascii="Times New Roman" w:hAnsi="Times New Roman" w:cs="Times New Roman"/>
                <w:color w:val="auto"/>
                <w:sz w:val="21"/>
                <w:szCs w:val="21"/>
                <w:highlight w:val="none"/>
                <w:lang w:val="en-US" w:eastAsia="zh-CN"/>
              </w:rPr>
              <w:t>418</w:t>
            </w:r>
            <w:r>
              <w:rPr>
                <w:rFonts w:hint="default" w:ascii="Times New Roman" w:hAnsi="Times New Roman" w:cs="Times New Roman"/>
                <w:color w:val="auto"/>
                <w:sz w:val="21"/>
                <w:szCs w:val="21"/>
                <w:highlight w:val="none"/>
              </w:rPr>
              <w:t>秒</w:t>
            </w:r>
          </w:p>
        </w:tc>
        <w:tc>
          <w:tcPr>
            <w:tcW w:w="584" w:type="dxa"/>
            <w:noWrap w:val="0"/>
            <w:vAlign w:val="center"/>
          </w:tcPr>
          <w:p w14:paraId="65EAD6E2">
            <w:pPr>
              <w:adjustRightInd w:val="0"/>
              <w:snapToGrid w:val="0"/>
              <w:spacing w:line="240" w:lineRule="auto"/>
              <w:jc w:val="center"/>
              <w:rPr>
                <w:snapToGrid w:val="0"/>
                <w:color w:val="auto"/>
                <w:sz w:val="21"/>
                <w:szCs w:val="18"/>
              </w:rPr>
            </w:pPr>
            <w:r>
              <w:rPr>
                <w:snapToGrid w:val="0"/>
                <w:color w:val="auto"/>
                <w:sz w:val="21"/>
                <w:szCs w:val="18"/>
              </w:rPr>
              <w:t>25</w:t>
            </w:r>
          </w:p>
        </w:tc>
        <w:tc>
          <w:tcPr>
            <w:tcW w:w="1148" w:type="dxa"/>
            <w:noWrap w:val="0"/>
            <w:vAlign w:val="center"/>
          </w:tcPr>
          <w:p w14:paraId="77227B0E">
            <w:pPr>
              <w:adjustRightInd w:val="0"/>
              <w:snapToGrid w:val="0"/>
              <w:spacing w:line="240" w:lineRule="auto"/>
              <w:jc w:val="center"/>
              <w:rPr>
                <w:rFonts w:hint="default"/>
                <w:snapToGrid w:val="0"/>
                <w:color w:val="auto"/>
                <w:sz w:val="21"/>
                <w:szCs w:val="18"/>
                <w:lang w:val="en-US"/>
              </w:rPr>
            </w:pPr>
            <w:r>
              <w:rPr>
                <w:rFonts w:hint="eastAsia" w:cs="Times New Roman"/>
                <w:snapToGrid w:val="0"/>
                <w:color w:val="auto"/>
                <w:sz w:val="21"/>
                <w:szCs w:val="21"/>
                <w:lang w:val="en-US" w:eastAsia="zh-CN"/>
              </w:rPr>
              <w:t>5000</w:t>
            </w:r>
          </w:p>
        </w:tc>
        <w:tc>
          <w:tcPr>
            <w:tcW w:w="652" w:type="dxa"/>
            <w:noWrap w:val="0"/>
            <w:vAlign w:val="center"/>
          </w:tcPr>
          <w:p w14:paraId="63AE2528">
            <w:pPr>
              <w:adjustRightInd w:val="0"/>
              <w:snapToGrid w:val="0"/>
              <w:spacing w:line="240" w:lineRule="auto"/>
              <w:jc w:val="center"/>
              <w:rPr>
                <w:snapToGrid w:val="0"/>
                <w:color w:val="auto"/>
                <w:sz w:val="21"/>
                <w:szCs w:val="18"/>
              </w:rPr>
            </w:pPr>
            <w:r>
              <w:rPr>
                <w:rFonts w:hint="eastAsia"/>
                <w:snapToGrid w:val="0"/>
                <w:color w:val="auto"/>
                <w:sz w:val="21"/>
                <w:szCs w:val="18"/>
                <w:lang w:val="en-US" w:eastAsia="zh-CN"/>
              </w:rPr>
              <w:t>4</w:t>
            </w:r>
            <w:r>
              <w:rPr>
                <w:snapToGrid w:val="0"/>
                <w:color w:val="auto"/>
                <w:sz w:val="21"/>
                <w:szCs w:val="18"/>
              </w:rPr>
              <w:t>5</w:t>
            </w:r>
          </w:p>
        </w:tc>
        <w:tc>
          <w:tcPr>
            <w:tcW w:w="652" w:type="dxa"/>
            <w:noWrap w:val="0"/>
            <w:vAlign w:val="center"/>
          </w:tcPr>
          <w:p w14:paraId="676722BB">
            <w:pPr>
              <w:adjustRightInd w:val="0"/>
              <w:snapToGrid w:val="0"/>
              <w:spacing w:line="240" w:lineRule="auto"/>
              <w:jc w:val="center"/>
              <w:rPr>
                <w:rFonts w:hint="default" w:eastAsia="宋体"/>
                <w:snapToGrid w:val="0"/>
                <w:color w:val="auto"/>
                <w:sz w:val="21"/>
                <w:szCs w:val="18"/>
                <w:lang w:val="en-US" w:eastAsia="zh-CN"/>
              </w:rPr>
            </w:pPr>
            <w:r>
              <w:rPr>
                <w:rFonts w:hint="eastAsia"/>
                <w:snapToGrid w:val="0"/>
                <w:color w:val="auto"/>
                <w:sz w:val="21"/>
                <w:szCs w:val="18"/>
                <w:lang w:val="en-US" w:eastAsia="zh-CN"/>
              </w:rPr>
              <w:t>12</w:t>
            </w:r>
          </w:p>
        </w:tc>
        <w:tc>
          <w:tcPr>
            <w:tcW w:w="630" w:type="dxa"/>
            <w:noWrap w:val="0"/>
            <w:vAlign w:val="center"/>
          </w:tcPr>
          <w:p w14:paraId="35167CB4">
            <w:pPr>
              <w:adjustRightInd w:val="0"/>
              <w:snapToGrid w:val="0"/>
              <w:spacing w:line="240" w:lineRule="auto"/>
              <w:jc w:val="center"/>
              <w:rPr>
                <w:rFonts w:hint="default" w:eastAsia="宋体"/>
                <w:snapToGrid w:val="0"/>
                <w:color w:val="auto"/>
                <w:sz w:val="21"/>
                <w:szCs w:val="18"/>
                <w:lang w:val="en-US" w:eastAsia="zh-CN"/>
              </w:rPr>
            </w:pPr>
            <w:r>
              <w:rPr>
                <w:rFonts w:hint="eastAsia"/>
                <w:snapToGrid w:val="0"/>
                <w:color w:val="auto"/>
                <w:sz w:val="21"/>
                <w:szCs w:val="18"/>
                <w:lang w:val="en-US" w:eastAsia="zh-CN"/>
              </w:rPr>
              <w:t>2400</w:t>
            </w:r>
          </w:p>
        </w:tc>
        <w:tc>
          <w:tcPr>
            <w:tcW w:w="551" w:type="dxa"/>
            <w:noWrap w:val="0"/>
            <w:vAlign w:val="center"/>
          </w:tcPr>
          <w:p w14:paraId="7614BA91">
            <w:pPr>
              <w:adjustRightInd w:val="0"/>
              <w:snapToGrid w:val="0"/>
              <w:spacing w:line="240" w:lineRule="auto"/>
              <w:jc w:val="center"/>
              <w:rPr>
                <w:snapToGrid w:val="0"/>
                <w:color w:val="auto"/>
                <w:sz w:val="21"/>
                <w:szCs w:val="18"/>
              </w:rPr>
            </w:pPr>
            <w:r>
              <w:rPr>
                <w:snapToGrid w:val="0"/>
                <w:color w:val="auto"/>
                <w:sz w:val="21"/>
                <w:szCs w:val="18"/>
              </w:rPr>
              <w:t>正常</w:t>
            </w:r>
          </w:p>
        </w:tc>
        <w:tc>
          <w:tcPr>
            <w:tcW w:w="406" w:type="dxa"/>
            <w:noWrap w:val="0"/>
            <w:vAlign w:val="center"/>
          </w:tcPr>
          <w:p w14:paraId="741B61C7">
            <w:pPr>
              <w:adjustRightInd w:val="0"/>
              <w:snapToGrid w:val="0"/>
              <w:spacing w:line="240" w:lineRule="auto"/>
              <w:jc w:val="center"/>
              <w:rPr>
                <w:rFonts w:hint="default" w:eastAsia="宋体"/>
                <w:snapToGrid w:val="0"/>
                <w:color w:val="auto"/>
                <w:sz w:val="21"/>
                <w:szCs w:val="18"/>
                <w:lang w:val="en-US" w:eastAsia="zh-CN"/>
              </w:rPr>
            </w:pPr>
            <w:r>
              <w:rPr>
                <w:rFonts w:hint="eastAsia" w:cs="Times New Roman"/>
                <w:color w:val="auto"/>
                <w:sz w:val="21"/>
                <w:szCs w:val="21"/>
                <w:lang w:val="en-US" w:eastAsia="zh-CN"/>
              </w:rPr>
              <w:t>0.133</w:t>
            </w:r>
          </w:p>
        </w:tc>
        <w:tc>
          <w:tcPr>
            <w:tcW w:w="406" w:type="dxa"/>
            <w:noWrap w:val="0"/>
            <w:vAlign w:val="center"/>
          </w:tcPr>
          <w:p w14:paraId="21854135">
            <w:pPr>
              <w:adjustRightInd w:val="0"/>
              <w:snapToGrid w:val="0"/>
              <w:spacing w:line="240" w:lineRule="auto"/>
              <w:jc w:val="center"/>
              <w:rPr>
                <w:rFonts w:hint="default"/>
                <w:snapToGrid w:val="0"/>
                <w:color w:val="auto"/>
                <w:sz w:val="21"/>
                <w:szCs w:val="18"/>
                <w:lang w:val="en-US"/>
              </w:rPr>
            </w:pPr>
            <w:r>
              <w:rPr>
                <w:rFonts w:hint="eastAsia" w:cs="Times New Roman"/>
                <w:color w:val="auto"/>
                <w:sz w:val="21"/>
                <w:szCs w:val="21"/>
                <w:lang w:val="en-US" w:eastAsia="zh-CN"/>
              </w:rPr>
              <w:t>0.232</w:t>
            </w:r>
          </w:p>
        </w:tc>
        <w:tc>
          <w:tcPr>
            <w:tcW w:w="406" w:type="dxa"/>
            <w:noWrap w:val="0"/>
            <w:vAlign w:val="center"/>
          </w:tcPr>
          <w:p w14:paraId="4727E4D5">
            <w:pPr>
              <w:adjustRightInd w:val="0"/>
              <w:snapToGrid w:val="0"/>
              <w:spacing w:line="240" w:lineRule="auto"/>
              <w:jc w:val="center"/>
              <w:rPr>
                <w:rFonts w:hint="default"/>
                <w:snapToGrid w:val="0"/>
                <w:color w:val="auto"/>
                <w:sz w:val="21"/>
                <w:szCs w:val="18"/>
                <w:lang w:val="en-US"/>
              </w:rPr>
            </w:pPr>
            <w:r>
              <w:rPr>
                <w:rFonts w:hint="eastAsia" w:cs="Times New Roman"/>
                <w:color w:val="auto"/>
                <w:sz w:val="21"/>
                <w:szCs w:val="21"/>
                <w:lang w:val="en-US" w:eastAsia="zh-CN"/>
              </w:rPr>
              <w:t>0.073</w:t>
            </w:r>
          </w:p>
        </w:tc>
        <w:tc>
          <w:tcPr>
            <w:tcW w:w="409" w:type="dxa"/>
            <w:noWrap w:val="0"/>
            <w:vAlign w:val="center"/>
          </w:tcPr>
          <w:p w14:paraId="3278565D">
            <w:pPr>
              <w:adjustRightInd w:val="0"/>
              <w:snapToGrid w:val="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0.023</w:t>
            </w:r>
          </w:p>
        </w:tc>
      </w:tr>
    </w:tbl>
    <w:p w14:paraId="51141513">
      <w:pPr>
        <w:spacing w:line="360" w:lineRule="auto"/>
        <w:ind w:firstLine="455" w:firstLineChars="176"/>
        <w:jc w:val="left"/>
        <w:rPr>
          <w:snapToGrid w:val="0"/>
          <w:color w:val="auto"/>
          <w:sz w:val="24"/>
          <w:szCs w:val="32"/>
        </w:rPr>
      </w:pPr>
      <w:r>
        <w:rPr>
          <w:snapToGrid w:val="0"/>
          <w:color w:val="auto"/>
          <w:sz w:val="24"/>
          <w:szCs w:val="32"/>
        </w:rPr>
        <w:t>估算模式所用参数见下表：</w:t>
      </w:r>
    </w:p>
    <w:p w14:paraId="341C7663">
      <w:pPr>
        <w:keepNext w:val="0"/>
        <w:keepLines w:val="0"/>
        <w:pageBreakBefore w:val="0"/>
        <w:widowControl w:val="0"/>
        <w:kinsoku/>
        <w:wordWrap/>
        <w:overflowPunct/>
        <w:topLinePunct w:val="0"/>
        <w:autoSpaceDE/>
        <w:autoSpaceDN/>
        <w:bidi w:val="0"/>
        <w:adjustRightInd/>
        <w:snapToGrid/>
        <w:spacing w:line="240" w:lineRule="auto"/>
        <w:ind w:firstLine="402" w:firstLineChars="176"/>
        <w:jc w:val="center"/>
        <w:textAlignment w:val="auto"/>
        <w:rPr>
          <w:b/>
          <w:bCs/>
          <w:snapToGrid w:val="0"/>
          <w:color w:val="auto"/>
        </w:rPr>
      </w:pPr>
      <w:r>
        <w:rPr>
          <w:b/>
          <w:bCs/>
          <w:snapToGrid w:val="0"/>
          <w:color w:val="auto"/>
        </w:rPr>
        <w:t>表3-</w:t>
      </w:r>
      <w:r>
        <w:rPr>
          <w:rFonts w:hint="eastAsia"/>
          <w:b/>
          <w:bCs/>
          <w:snapToGrid w:val="0"/>
          <w:color w:val="auto"/>
          <w:lang w:val="en-US" w:eastAsia="zh-CN"/>
        </w:rPr>
        <w:t>10</w:t>
      </w:r>
      <w:r>
        <w:rPr>
          <w:b/>
          <w:bCs/>
          <w:snapToGrid w:val="0"/>
          <w:color w:val="auto"/>
        </w:rPr>
        <w:t xml:space="preserve">   估算模型参数表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1"/>
        <w:gridCol w:w="3008"/>
        <w:gridCol w:w="2750"/>
      </w:tblGrid>
      <w:tr w14:paraId="308E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6009" w:type="dxa"/>
            <w:gridSpan w:val="2"/>
            <w:noWrap w:val="0"/>
            <w:vAlign w:val="center"/>
          </w:tcPr>
          <w:p w14:paraId="7C7C5F26">
            <w:pPr>
              <w:adjustRightInd w:val="0"/>
              <w:snapToGrid w:val="0"/>
              <w:spacing w:line="240" w:lineRule="auto"/>
              <w:jc w:val="center"/>
              <w:rPr>
                <w:b/>
                <w:bCs/>
                <w:snapToGrid w:val="0"/>
                <w:color w:val="auto"/>
                <w:sz w:val="21"/>
                <w:szCs w:val="18"/>
              </w:rPr>
            </w:pPr>
            <w:r>
              <w:rPr>
                <w:b/>
                <w:bCs/>
                <w:snapToGrid w:val="0"/>
                <w:color w:val="auto"/>
                <w:sz w:val="21"/>
                <w:szCs w:val="18"/>
              </w:rPr>
              <w:t>参数</w:t>
            </w:r>
          </w:p>
        </w:tc>
        <w:tc>
          <w:tcPr>
            <w:tcW w:w="2750" w:type="dxa"/>
            <w:noWrap w:val="0"/>
            <w:vAlign w:val="center"/>
          </w:tcPr>
          <w:p w14:paraId="06CC925B">
            <w:pPr>
              <w:adjustRightInd w:val="0"/>
              <w:snapToGrid w:val="0"/>
              <w:spacing w:line="240" w:lineRule="auto"/>
              <w:jc w:val="center"/>
              <w:rPr>
                <w:b/>
                <w:bCs/>
                <w:snapToGrid w:val="0"/>
                <w:color w:val="auto"/>
                <w:sz w:val="21"/>
                <w:szCs w:val="18"/>
              </w:rPr>
            </w:pPr>
            <w:r>
              <w:rPr>
                <w:b/>
                <w:bCs/>
                <w:snapToGrid w:val="0"/>
                <w:color w:val="auto"/>
                <w:sz w:val="21"/>
                <w:szCs w:val="18"/>
              </w:rPr>
              <w:t>取值</w:t>
            </w:r>
          </w:p>
        </w:tc>
      </w:tr>
      <w:tr w14:paraId="7BDE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3001" w:type="dxa"/>
            <w:vMerge w:val="restart"/>
            <w:noWrap w:val="0"/>
            <w:vAlign w:val="center"/>
          </w:tcPr>
          <w:p w14:paraId="51261B2F">
            <w:pPr>
              <w:adjustRightInd w:val="0"/>
              <w:snapToGrid w:val="0"/>
              <w:spacing w:line="240" w:lineRule="auto"/>
              <w:jc w:val="center"/>
              <w:rPr>
                <w:snapToGrid w:val="0"/>
                <w:color w:val="auto"/>
                <w:sz w:val="21"/>
                <w:szCs w:val="18"/>
              </w:rPr>
            </w:pPr>
            <w:r>
              <w:rPr>
                <w:snapToGrid w:val="0"/>
                <w:color w:val="auto"/>
                <w:sz w:val="21"/>
                <w:szCs w:val="18"/>
              </w:rPr>
              <w:t>农村/城市选项</w:t>
            </w:r>
          </w:p>
        </w:tc>
        <w:tc>
          <w:tcPr>
            <w:tcW w:w="3008" w:type="dxa"/>
            <w:noWrap w:val="0"/>
            <w:vAlign w:val="center"/>
          </w:tcPr>
          <w:p w14:paraId="07FDE889">
            <w:pPr>
              <w:adjustRightInd w:val="0"/>
              <w:snapToGrid w:val="0"/>
              <w:spacing w:line="240" w:lineRule="auto"/>
              <w:jc w:val="center"/>
              <w:rPr>
                <w:snapToGrid w:val="0"/>
                <w:color w:val="auto"/>
                <w:sz w:val="21"/>
                <w:szCs w:val="18"/>
              </w:rPr>
            </w:pPr>
            <w:r>
              <w:rPr>
                <w:snapToGrid w:val="0"/>
                <w:color w:val="auto"/>
                <w:sz w:val="21"/>
                <w:szCs w:val="18"/>
              </w:rPr>
              <w:t>农村/城市</w:t>
            </w:r>
          </w:p>
        </w:tc>
        <w:tc>
          <w:tcPr>
            <w:tcW w:w="2750" w:type="dxa"/>
            <w:noWrap w:val="0"/>
            <w:vAlign w:val="center"/>
          </w:tcPr>
          <w:p w14:paraId="6409880C">
            <w:pPr>
              <w:shd w:val="clear" w:color="auto" w:fill="auto"/>
              <w:spacing w:line="276" w:lineRule="auto"/>
              <w:jc w:val="center"/>
              <w:rPr>
                <w:rFonts w:hint="default" w:eastAsia="宋体"/>
                <w:bCs/>
                <w:snapToGrid w:val="0"/>
                <w:color w:val="auto"/>
                <w:sz w:val="21"/>
                <w:szCs w:val="18"/>
                <w:lang w:val="en-US" w:eastAsia="zh-CN"/>
              </w:rPr>
            </w:pPr>
            <w:r>
              <w:rPr>
                <w:rFonts w:hint="default" w:ascii="Times New Roman" w:hAnsi="Times New Roman" w:eastAsia="宋体" w:cs="Times New Roman"/>
                <w:caps w:val="0"/>
                <w:smallCaps w:val="0"/>
                <w:color w:val="auto"/>
                <w:spacing w:val="0"/>
                <w:w w:val="100"/>
                <w:kern w:val="2"/>
                <w:position w:val="0"/>
                <w:sz w:val="21"/>
                <w:szCs w:val="21"/>
                <w:highlight w:val="none"/>
              </w:rPr>
              <w:t>城市</w:t>
            </w:r>
          </w:p>
        </w:tc>
      </w:tr>
      <w:tr w14:paraId="368B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3001" w:type="dxa"/>
            <w:vMerge w:val="continue"/>
            <w:noWrap w:val="0"/>
            <w:vAlign w:val="center"/>
          </w:tcPr>
          <w:p w14:paraId="2811265C">
            <w:pPr>
              <w:adjustRightInd w:val="0"/>
              <w:snapToGrid w:val="0"/>
              <w:spacing w:line="240" w:lineRule="auto"/>
              <w:jc w:val="center"/>
              <w:rPr>
                <w:snapToGrid w:val="0"/>
                <w:color w:val="auto"/>
                <w:sz w:val="21"/>
                <w:szCs w:val="18"/>
              </w:rPr>
            </w:pPr>
          </w:p>
        </w:tc>
        <w:tc>
          <w:tcPr>
            <w:tcW w:w="3008" w:type="dxa"/>
            <w:noWrap w:val="0"/>
            <w:vAlign w:val="center"/>
          </w:tcPr>
          <w:p w14:paraId="745D5A4E">
            <w:pPr>
              <w:adjustRightInd w:val="0"/>
              <w:snapToGrid w:val="0"/>
              <w:spacing w:line="240" w:lineRule="auto"/>
              <w:jc w:val="center"/>
              <w:rPr>
                <w:snapToGrid w:val="0"/>
                <w:color w:val="auto"/>
                <w:sz w:val="21"/>
                <w:szCs w:val="18"/>
              </w:rPr>
            </w:pPr>
            <w:r>
              <w:rPr>
                <w:snapToGrid w:val="0"/>
                <w:color w:val="auto"/>
                <w:sz w:val="21"/>
                <w:szCs w:val="18"/>
              </w:rPr>
              <w:t>人口数（城市选项时）</w:t>
            </w:r>
          </w:p>
        </w:tc>
        <w:tc>
          <w:tcPr>
            <w:tcW w:w="2750" w:type="dxa"/>
            <w:noWrap w:val="0"/>
            <w:vAlign w:val="center"/>
          </w:tcPr>
          <w:p w14:paraId="4D62F67D">
            <w:pPr>
              <w:shd w:val="clear" w:color="auto" w:fill="auto"/>
              <w:spacing w:line="276" w:lineRule="auto"/>
              <w:jc w:val="center"/>
              <w:rPr>
                <w:bCs/>
                <w:snapToGrid w:val="0"/>
                <w:color w:val="auto"/>
                <w:sz w:val="21"/>
                <w:szCs w:val="18"/>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300</w:t>
            </w:r>
            <w:r>
              <w:rPr>
                <w:rFonts w:hint="default" w:ascii="Times New Roman" w:hAnsi="Times New Roman" w:eastAsia="宋体" w:cs="Times New Roman"/>
                <w:caps w:val="0"/>
                <w:smallCaps w:val="0"/>
                <w:color w:val="auto"/>
                <w:spacing w:val="0"/>
                <w:w w:val="100"/>
                <w:position w:val="0"/>
                <w:sz w:val="21"/>
                <w:szCs w:val="21"/>
                <w:highlight w:val="none"/>
              </w:rPr>
              <w:t>万</w:t>
            </w:r>
          </w:p>
        </w:tc>
      </w:tr>
      <w:tr w14:paraId="18A4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009" w:type="dxa"/>
            <w:gridSpan w:val="2"/>
            <w:noWrap w:val="0"/>
            <w:vAlign w:val="center"/>
          </w:tcPr>
          <w:p w14:paraId="07417A23">
            <w:pPr>
              <w:adjustRightInd w:val="0"/>
              <w:snapToGrid w:val="0"/>
              <w:spacing w:line="240" w:lineRule="auto"/>
              <w:jc w:val="center"/>
              <w:rPr>
                <w:snapToGrid w:val="0"/>
                <w:color w:val="auto"/>
                <w:sz w:val="21"/>
                <w:szCs w:val="18"/>
              </w:rPr>
            </w:pPr>
            <w:r>
              <w:rPr>
                <w:snapToGrid w:val="0"/>
                <w:color w:val="auto"/>
                <w:sz w:val="21"/>
                <w:szCs w:val="18"/>
              </w:rPr>
              <w:t>最高环境温度/℃</w:t>
            </w:r>
          </w:p>
        </w:tc>
        <w:tc>
          <w:tcPr>
            <w:tcW w:w="2750" w:type="dxa"/>
            <w:noWrap w:val="0"/>
            <w:vAlign w:val="center"/>
          </w:tcPr>
          <w:p w14:paraId="4928A06F">
            <w:pPr>
              <w:shd w:val="clear" w:color="auto" w:fill="auto"/>
              <w:spacing w:line="276" w:lineRule="auto"/>
              <w:jc w:val="center"/>
              <w:rPr>
                <w:bCs/>
                <w:snapToGrid w:val="0"/>
                <w:color w:val="auto"/>
                <w:sz w:val="21"/>
                <w:szCs w:val="18"/>
              </w:rPr>
            </w:pPr>
            <w:r>
              <w:rPr>
                <w:rFonts w:hint="default" w:ascii="Times New Roman" w:hAnsi="Times New Roman" w:eastAsia="宋体" w:cs="Times New Roman"/>
                <w:caps w:val="0"/>
                <w:smallCaps w:val="0"/>
                <w:color w:val="auto"/>
                <w:spacing w:val="0"/>
                <w:w w:val="100"/>
                <w:position w:val="0"/>
                <w:sz w:val="21"/>
                <w:szCs w:val="21"/>
                <w:highlight w:val="none"/>
              </w:rPr>
              <w:t>40.6</w:t>
            </w:r>
          </w:p>
        </w:tc>
      </w:tr>
      <w:tr w14:paraId="2554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009" w:type="dxa"/>
            <w:gridSpan w:val="2"/>
            <w:noWrap w:val="0"/>
            <w:vAlign w:val="center"/>
          </w:tcPr>
          <w:p w14:paraId="11F5A1BD">
            <w:pPr>
              <w:adjustRightInd w:val="0"/>
              <w:snapToGrid w:val="0"/>
              <w:spacing w:line="240" w:lineRule="auto"/>
              <w:jc w:val="center"/>
              <w:rPr>
                <w:snapToGrid w:val="0"/>
                <w:color w:val="auto"/>
                <w:sz w:val="21"/>
                <w:szCs w:val="18"/>
              </w:rPr>
            </w:pPr>
            <w:r>
              <w:rPr>
                <w:snapToGrid w:val="0"/>
                <w:color w:val="auto"/>
                <w:sz w:val="21"/>
                <w:szCs w:val="18"/>
              </w:rPr>
              <w:t>最低环境温度/℃</w:t>
            </w:r>
          </w:p>
        </w:tc>
        <w:tc>
          <w:tcPr>
            <w:tcW w:w="2750" w:type="dxa"/>
            <w:noWrap w:val="0"/>
            <w:vAlign w:val="center"/>
          </w:tcPr>
          <w:p w14:paraId="033D2A20">
            <w:pPr>
              <w:shd w:val="clear" w:color="auto" w:fill="auto"/>
              <w:spacing w:line="276" w:lineRule="auto"/>
              <w:jc w:val="center"/>
              <w:rPr>
                <w:bCs/>
                <w:snapToGrid w:val="0"/>
                <w:color w:val="auto"/>
                <w:sz w:val="21"/>
                <w:szCs w:val="18"/>
              </w:rPr>
            </w:pPr>
            <w:r>
              <w:rPr>
                <w:rFonts w:hint="default" w:ascii="Times New Roman" w:hAnsi="Times New Roman" w:eastAsia="宋体" w:cs="Times New Roman"/>
                <w:caps w:val="0"/>
                <w:smallCaps w:val="0"/>
                <w:color w:val="auto"/>
                <w:spacing w:val="0"/>
                <w:w w:val="100"/>
                <w:position w:val="0"/>
                <w:sz w:val="21"/>
                <w:szCs w:val="21"/>
                <w:highlight w:val="none"/>
              </w:rPr>
              <w:t>-10.4</w:t>
            </w:r>
          </w:p>
        </w:tc>
      </w:tr>
      <w:tr w14:paraId="14DE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009" w:type="dxa"/>
            <w:gridSpan w:val="2"/>
            <w:noWrap w:val="0"/>
            <w:vAlign w:val="center"/>
          </w:tcPr>
          <w:p w14:paraId="569C5532">
            <w:pPr>
              <w:adjustRightInd w:val="0"/>
              <w:snapToGrid w:val="0"/>
              <w:spacing w:line="240" w:lineRule="auto"/>
              <w:jc w:val="center"/>
              <w:rPr>
                <w:snapToGrid w:val="0"/>
                <w:color w:val="auto"/>
                <w:sz w:val="21"/>
                <w:szCs w:val="18"/>
              </w:rPr>
            </w:pPr>
            <w:r>
              <w:rPr>
                <w:snapToGrid w:val="0"/>
                <w:color w:val="auto"/>
                <w:sz w:val="21"/>
                <w:szCs w:val="18"/>
              </w:rPr>
              <w:t>土地利用类型</w:t>
            </w:r>
          </w:p>
        </w:tc>
        <w:tc>
          <w:tcPr>
            <w:tcW w:w="2750" w:type="dxa"/>
            <w:noWrap w:val="0"/>
            <w:vAlign w:val="center"/>
          </w:tcPr>
          <w:p w14:paraId="22341314">
            <w:pPr>
              <w:shd w:val="clear" w:color="auto" w:fill="auto"/>
              <w:spacing w:line="276" w:lineRule="auto"/>
              <w:jc w:val="center"/>
              <w:rPr>
                <w:bCs/>
                <w:snapToGrid w:val="0"/>
                <w:color w:val="auto"/>
                <w:sz w:val="21"/>
                <w:szCs w:val="18"/>
              </w:rPr>
            </w:pPr>
            <w:r>
              <w:rPr>
                <w:rFonts w:hint="default" w:ascii="Times New Roman" w:hAnsi="Times New Roman" w:eastAsia="宋体" w:cs="Times New Roman"/>
                <w:caps w:val="0"/>
                <w:smallCaps w:val="0"/>
                <w:color w:val="auto"/>
                <w:spacing w:val="0"/>
                <w:w w:val="100"/>
                <w:kern w:val="2"/>
                <w:position w:val="0"/>
                <w:sz w:val="21"/>
                <w:szCs w:val="21"/>
                <w:highlight w:val="none"/>
                <w:lang w:val="en-US" w:eastAsia="zh-CN"/>
              </w:rPr>
              <w:t>城市</w:t>
            </w:r>
          </w:p>
        </w:tc>
      </w:tr>
      <w:tr w14:paraId="0A47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009" w:type="dxa"/>
            <w:gridSpan w:val="2"/>
            <w:noWrap w:val="0"/>
            <w:vAlign w:val="center"/>
          </w:tcPr>
          <w:p w14:paraId="488DE623">
            <w:pPr>
              <w:adjustRightInd w:val="0"/>
              <w:snapToGrid w:val="0"/>
              <w:spacing w:line="240" w:lineRule="auto"/>
              <w:jc w:val="center"/>
              <w:rPr>
                <w:snapToGrid w:val="0"/>
                <w:color w:val="auto"/>
                <w:sz w:val="21"/>
                <w:szCs w:val="18"/>
              </w:rPr>
            </w:pPr>
            <w:r>
              <w:rPr>
                <w:snapToGrid w:val="0"/>
                <w:color w:val="auto"/>
                <w:sz w:val="21"/>
                <w:szCs w:val="18"/>
              </w:rPr>
              <w:t>区域湿度条件</w:t>
            </w:r>
          </w:p>
        </w:tc>
        <w:tc>
          <w:tcPr>
            <w:tcW w:w="2750" w:type="dxa"/>
            <w:noWrap w:val="0"/>
            <w:vAlign w:val="center"/>
          </w:tcPr>
          <w:p w14:paraId="7AF0D8CF">
            <w:pPr>
              <w:shd w:val="clear" w:color="auto" w:fill="auto"/>
              <w:spacing w:line="276" w:lineRule="auto"/>
              <w:jc w:val="center"/>
              <w:rPr>
                <w:bCs/>
                <w:snapToGrid w:val="0"/>
                <w:color w:val="auto"/>
                <w:sz w:val="21"/>
                <w:szCs w:val="18"/>
              </w:rPr>
            </w:pPr>
            <w:r>
              <w:rPr>
                <w:rFonts w:hint="default" w:ascii="Times New Roman" w:hAnsi="Times New Roman" w:eastAsia="宋体" w:cs="Times New Roman"/>
                <w:caps w:val="0"/>
                <w:smallCaps w:val="0"/>
                <w:color w:val="auto"/>
                <w:spacing w:val="0"/>
                <w:w w:val="100"/>
                <w:kern w:val="2"/>
                <w:position w:val="0"/>
                <w:sz w:val="21"/>
                <w:szCs w:val="21"/>
                <w:highlight w:val="none"/>
              </w:rPr>
              <w:t>潮湿</w:t>
            </w:r>
          </w:p>
        </w:tc>
      </w:tr>
      <w:tr w14:paraId="6C6E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3001" w:type="dxa"/>
            <w:vMerge w:val="restart"/>
            <w:noWrap w:val="0"/>
            <w:vAlign w:val="center"/>
          </w:tcPr>
          <w:p w14:paraId="6A54A17A">
            <w:pPr>
              <w:adjustRightInd w:val="0"/>
              <w:snapToGrid w:val="0"/>
              <w:spacing w:line="240" w:lineRule="auto"/>
              <w:jc w:val="center"/>
              <w:rPr>
                <w:snapToGrid w:val="0"/>
                <w:color w:val="auto"/>
                <w:sz w:val="21"/>
                <w:szCs w:val="18"/>
              </w:rPr>
            </w:pPr>
            <w:r>
              <w:rPr>
                <w:snapToGrid w:val="0"/>
                <w:color w:val="auto"/>
                <w:sz w:val="21"/>
                <w:szCs w:val="18"/>
              </w:rPr>
              <w:t>是否考虑地形</w:t>
            </w:r>
          </w:p>
        </w:tc>
        <w:tc>
          <w:tcPr>
            <w:tcW w:w="3008" w:type="dxa"/>
            <w:noWrap w:val="0"/>
            <w:vAlign w:val="center"/>
          </w:tcPr>
          <w:p w14:paraId="70A46085">
            <w:pPr>
              <w:adjustRightInd w:val="0"/>
              <w:snapToGrid w:val="0"/>
              <w:spacing w:line="240" w:lineRule="auto"/>
              <w:jc w:val="center"/>
              <w:rPr>
                <w:snapToGrid w:val="0"/>
                <w:color w:val="auto"/>
                <w:sz w:val="21"/>
                <w:szCs w:val="18"/>
              </w:rPr>
            </w:pPr>
            <w:r>
              <w:rPr>
                <w:snapToGrid w:val="0"/>
                <w:color w:val="auto"/>
                <w:sz w:val="21"/>
                <w:szCs w:val="18"/>
              </w:rPr>
              <w:t>考虑地形</w:t>
            </w:r>
          </w:p>
        </w:tc>
        <w:tc>
          <w:tcPr>
            <w:tcW w:w="2750" w:type="dxa"/>
            <w:noWrap w:val="0"/>
            <w:vAlign w:val="center"/>
          </w:tcPr>
          <w:p w14:paraId="3741F47B">
            <w:pPr>
              <w:shd w:val="clear" w:color="auto" w:fill="auto"/>
              <w:spacing w:line="276" w:lineRule="auto"/>
              <w:jc w:val="center"/>
              <w:rPr>
                <w:bCs/>
                <w:snapToGrid w:val="0"/>
                <w:color w:val="auto"/>
                <w:sz w:val="21"/>
                <w:szCs w:val="18"/>
              </w:rPr>
            </w:pPr>
            <w:r>
              <w:rPr>
                <w:rFonts w:hint="default" w:ascii="Times New Roman" w:hAnsi="Times New Roman" w:eastAsia="宋体" w:cs="Times New Roman"/>
                <w:caps w:val="0"/>
                <w:smallCaps w:val="0"/>
                <w:color w:val="auto"/>
                <w:spacing w:val="0"/>
                <w:w w:val="100"/>
                <w:position w:val="0"/>
                <w:sz w:val="21"/>
                <w:szCs w:val="21"/>
                <w:highlight w:val="none"/>
              </w:rPr>
              <w:t>■是  □否</w:t>
            </w:r>
          </w:p>
        </w:tc>
      </w:tr>
      <w:tr w14:paraId="4A80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3001" w:type="dxa"/>
            <w:vMerge w:val="continue"/>
            <w:noWrap w:val="0"/>
            <w:vAlign w:val="center"/>
          </w:tcPr>
          <w:p w14:paraId="02BEB234">
            <w:pPr>
              <w:adjustRightInd w:val="0"/>
              <w:snapToGrid w:val="0"/>
              <w:spacing w:line="240" w:lineRule="auto"/>
              <w:jc w:val="center"/>
              <w:rPr>
                <w:snapToGrid w:val="0"/>
                <w:color w:val="auto"/>
                <w:sz w:val="21"/>
                <w:szCs w:val="18"/>
              </w:rPr>
            </w:pPr>
          </w:p>
        </w:tc>
        <w:tc>
          <w:tcPr>
            <w:tcW w:w="3008" w:type="dxa"/>
            <w:noWrap w:val="0"/>
            <w:vAlign w:val="center"/>
          </w:tcPr>
          <w:p w14:paraId="1E71FF86">
            <w:pPr>
              <w:adjustRightInd w:val="0"/>
              <w:snapToGrid w:val="0"/>
              <w:spacing w:line="240" w:lineRule="auto"/>
              <w:jc w:val="center"/>
              <w:rPr>
                <w:snapToGrid w:val="0"/>
                <w:color w:val="auto"/>
                <w:sz w:val="21"/>
                <w:szCs w:val="18"/>
              </w:rPr>
            </w:pPr>
            <w:r>
              <w:rPr>
                <w:snapToGrid w:val="0"/>
                <w:color w:val="auto"/>
                <w:sz w:val="21"/>
                <w:szCs w:val="18"/>
              </w:rPr>
              <w:t>地形数据分辨率/m</w:t>
            </w:r>
          </w:p>
        </w:tc>
        <w:tc>
          <w:tcPr>
            <w:tcW w:w="2750" w:type="dxa"/>
            <w:noWrap w:val="0"/>
            <w:vAlign w:val="center"/>
          </w:tcPr>
          <w:p w14:paraId="2B319BDB">
            <w:pPr>
              <w:shd w:val="clear" w:color="auto" w:fill="auto"/>
              <w:spacing w:line="276" w:lineRule="auto"/>
              <w:jc w:val="center"/>
              <w:rPr>
                <w:bCs/>
                <w:snapToGrid w:val="0"/>
                <w:color w:val="auto"/>
                <w:sz w:val="21"/>
                <w:szCs w:val="18"/>
              </w:rPr>
            </w:pPr>
            <w:r>
              <w:rPr>
                <w:rFonts w:hint="default" w:ascii="Times New Roman" w:hAnsi="Times New Roman" w:eastAsia="宋体" w:cs="Times New Roman"/>
                <w:caps w:val="0"/>
                <w:smallCaps w:val="0"/>
                <w:color w:val="auto"/>
                <w:spacing w:val="0"/>
                <w:w w:val="100"/>
                <w:position w:val="0"/>
                <w:sz w:val="21"/>
                <w:szCs w:val="21"/>
                <w:highlight w:val="none"/>
              </w:rPr>
              <w:t>/</w:t>
            </w:r>
          </w:p>
        </w:tc>
      </w:tr>
      <w:tr w14:paraId="5FD6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3001" w:type="dxa"/>
            <w:vMerge w:val="restart"/>
            <w:noWrap w:val="0"/>
            <w:vAlign w:val="center"/>
          </w:tcPr>
          <w:p w14:paraId="4C030FF7">
            <w:pPr>
              <w:adjustRightInd w:val="0"/>
              <w:snapToGrid w:val="0"/>
              <w:spacing w:line="240" w:lineRule="auto"/>
              <w:jc w:val="center"/>
              <w:rPr>
                <w:snapToGrid w:val="0"/>
                <w:color w:val="auto"/>
                <w:sz w:val="21"/>
                <w:szCs w:val="18"/>
              </w:rPr>
            </w:pPr>
            <w:r>
              <w:rPr>
                <w:snapToGrid w:val="0"/>
                <w:color w:val="auto"/>
                <w:sz w:val="21"/>
                <w:szCs w:val="18"/>
              </w:rPr>
              <w:t>是否考虑海岸线熏烟</w:t>
            </w:r>
          </w:p>
        </w:tc>
        <w:tc>
          <w:tcPr>
            <w:tcW w:w="3008" w:type="dxa"/>
            <w:noWrap w:val="0"/>
            <w:vAlign w:val="center"/>
          </w:tcPr>
          <w:p w14:paraId="7B611FE9">
            <w:pPr>
              <w:adjustRightInd w:val="0"/>
              <w:snapToGrid w:val="0"/>
              <w:spacing w:line="240" w:lineRule="auto"/>
              <w:jc w:val="center"/>
              <w:rPr>
                <w:snapToGrid w:val="0"/>
                <w:color w:val="auto"/>
                <w:sz w:val="21"/>
                <w:szCs w:val="18"/>
              </w:rPr>
            </w:pPr>
            <w:r>
              <w:rPr>
                <w:snapToGrid w:val="0"/>
                <w:color w:val="auto"/>
                <w:sz w:val="21"/>
                <w:szCs w:val="18"/>
              </w:rPr>
              <w:t>考虑岸线熏烟</w:t>
            </w:r>
          </w:p>
        </w:tc>
        <w:tc>
          <w:tcPr>
            <w:tcW w:w="2750" w:type="dxa"/>
            <w:noWrap w:val="0"/>
            <w:vAlign w:val="center"/>
          </w:tcPr>
          <w:p w14:paraId="7959CD51">
            <w:pPr>
              <w:shd w:val="clear" w:color="auto" w:fill="auto"/>
              <w:spacing w:line="276" w:lineRule="auto"/>
              <w:jc w:val="center"/>
              <w:rPr>
                <w:bCs/>
                <w:snapToGrid w:val="0"/>
                <w:color w:val="auto"/>
                <w:sz w:val="21"/>
                <w:szCs w:val="18"/>
              </w:rPr>
            </w:pPr>
            <w:r>
              <w:rPr>
                <w:rFonts w:hint="default" w:ascii="Times New Roman" w:hAnsi="Times New Roman" w:eastAsia="宋体" w:cs="Times New Roman"/>
                <w:caps w:val="0"/>
                <w:smallCaps w:val="0"/>
                <w:color w:val="auto"/>
                <w:spacing w:val="0"/>
                <w:w w:val="100"/>
                <w:position w:val="0"/>
                <w:sz w:val="21"/>
                <w:szCs w:val="21"/>
                <w:highlight w:val="none"/>
              </w:rPr>
              <w:t>□是■否</w:t>
            </w:r>
          </w:p>
        </w:tc>
      </w:tr>
      <w:tr w14:paraId="0844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3001" w:type="dxa"/>
            <w:vMerge w:val="continue"/>
            <w:noWrap w:val="0"/>
            <w:vAlign w:val="center"/>
          </w:tcPr>
          <w:p w14:paraId="43B204B5">
            <w:pPr>
              <w:adjustRightInd w:val="0"/>
              <w:snapToGrid w:val="0"/>
              <w:spacing w:line="240" w:lineRule="auto"/>
              <w:jc w:val="center"/>
              <w:rPr>
                <w:snapToGrid w:val="0"/>
                <w:color w:val="auto"/>
                <w:sz w:val="21"/>
                <w:szCs w:val="18"/>
              </w:rPr>
            </w:pPr>
          </w:p>
        </w:tc>
        <w:tc>
          <w:tcPr>
            <w:tcW w:w="3008" w:type="dxa"/>
            <w:noWrap w:val="0"/>
            <w:vAlign w:val="center"/>
          </w:tcPr>
          <w:p w14:paraId="44CB051C">
            <w:pPr>
              <w:adjustRightInd w:val="0"/>
              <w:snapToGrid w:val="0"/>
              <w:spacing w:line="240" w:lineRule="auto"/>
              <w:jc w:val="center"/>
              <w:rPr>
                <w:snapToGrid w:val="0"/>
                <w:color w:val="auto"/>
                <w:sz w:val="21"/>
                <w:szCs w:val="18"/>
              </w:rPr>
            </w:pPr>
            <w:r>
              <w:rPr>
                <w:snapToGrid w:val="0"/>
                <w:color w:val="auto"/>
                <w:sz w:val="21"/>
                <w:szCs w:val="18"/>
              </w:rPr>
              <w:t>岸线距离/km</w:t>
            </w:r>
          </w:p>
        </w:tc>
        <w:tc>
          <w:tcPr>
            <w:tcW w:w="2750" w:type="dxa"/>
            <w:noWrap w:val="0"/>
            <w:vAlign w:val="center"/>
          </w:tcPr>
          <w:p w14:paraId="50B0DBA7">
            <w:pPr>
              <w:shd w:val="clear" w:color="auto" w:fill="auto"/>
              <w:spacing w:line="276" w:lineRule="auto"/>
              <w:jc w:val="center"/>
              <w:rPr>
                <w:bCs/>
                <w:snapToGrid w:val="0"/>
                <w:color w:val="auto"/>
                <w:sz w:val="21"/>
                <w:szCs w:val="18"/>
              </w:rPr>
            </w:pPr>
            <w:r>
              <w:rPr>
                <w:rFonts w:hint="default" w:ascii="Times New Roman" w:hAnsi="Times New Roman" w:eastAsia="宋体" w:cs="Times New Roman"/>
                <w:caps w:val="0"/>
                <w:smallCaps w:val="0"/>
                <w:color w:val="auto"/>
                <w:spacing w:val="0"/>
                <w:w w:val="100"/>
                <w:kern w:val="2"/>
                <w:position w:val="0"/>
                <w:sz w:val="21"/>
                <w:szCs w:val="21"/>
                <w:highlight w:val="none"/>
              </w:rPr>
              <w:t>/</w:t>
            </w:r>
          </w:p>
        </w:tc>
      </w:tr>
      <w:tr w14:paraId="0C13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3001" w:type="dxa"/>
            <w:vMerge w:val="continue"/>
            <w:noWrap w:val="0"/>
            <w:vAlign w:val="center"/>
          </w:tcPr>
          <w:p w14:paraId="7FAE037F">
            <w:pPr>
              <w:adjustRightInd w:val="0"/>
              <w:snapToGrid w:val="0"/>
              <w:spacing w:line="240" w:lineRule="auto"/>
              <w:jc w:val="center"/>
              <w:rPr>
                <w:snapToGrid w:val="0"/>
                <w:color w:val="auto"/>
                <w:sz w:val="21"/>
                <w:szCs w:val="18"/>
              </w:rPr>
            </w:pPr>
          </w:p>
        </w:tc>
        <w:tc>
          <w:tcPr>
            <w:tcW w:w="3008" w:type="dxa"/>
            <w:noWrap w:val="0"/>
            <w:vAlign w:val="center"/>
          </w:tcPr>
          <w:p w14:paraId="58ABC99A">
            <w:pPr>
              <w:adjustRightInd w:val="0"/>
              <w:snapToGrid w:val="0"/>
              <w:spacing w:line="240" w:lineRule="auto"/>
              <w:jc w:val="center"/>
              <w:rPr>
                <w:snapToGrid w:val="0"/>
                <w:color w:val="auto"/>
                <w:sz w:val="21"/>
                <w:szCs w:val="18"/>
              </w:rPr>
            </w:pPr>
            <w:r>
              <w:rPr>
                <w:snapToGrid w:val="0"/>
                <w:color w:val="auto"/>
                <w:sz w:val="21"/>
                <w:szCs w:val="18"/>
              </w:rPr>
              <w:t>岸线方向/。</w:t>
            </w:r>
          </w:p>
        </w:tc>
        <w:tc>
          <w:tcPr>
            <w:tcW w:w="2750" w:type="dxa"/>
            <w:noWrap w:val="0"/>
            <w:vAlign w:val="center"/>
          </w:tcPr>
          <w:p w14:paraId="48853310">
            <w:pPr>
              <w:shd w:val="clear" w:color="auto" w:fill="auto"/>
              <w:spacing w:line="276" w:lineRule="auto"/>
              <w:jc w:val="center"/>
              <w:rPr>
                <w:bCs/>
                <w:snapToGrid w:val="0"/>
                <w:color w:val="auto"/>
                <w:sz w:val="21"/>
                <w:szCs w:val="18"/>
              </w:rPr>
            </w:pPr>
            <w:r>
              <w:rPr>
                <w:rFonts w:hint="default" w:ascii="Times New Roman" w:hAnsi="Times New Roman" w:eastAsia="宋体" w:cs="Times New Roman"/>
                <w:caps w:val="0"/>
                <w:smallCaps w:val="0"/>
                <w:color w:val="auto"/>
                <w:spacing w:val="0"/>
                <w:w w:val="100"/>
                <w:kern w:val="2"/>
                <w:position w:val="0"/>
                <w:sz w:val="21"/>
                <w:szCs w:val="21"/>
                <w:highlight w:val="none"/>
              </w:rPr>
              <w:t>/</w:t>
            </w:r>
          </w:p>
        </w:tc>
      </w:tr>
    </w:tbl>
    <w:p w14:paraId="06FD69EC">
      <w:pPr>
        <w:pStyle w:val="74"/>
        <w:spacing w:line="360" w:lineRule="auto"/>
        <w:ind w:firstLine="518"/>
        <w:rPr>
          <w:snapToGrid w:val="0"/>
          <w:color w:val="auto"/>
          <w:sz w:val="24"/>
          <w:szCs w:val="32"/>
        </w:rPr>
      </w:pPr>
      <w:r>
        <w:rPr>
          <w:snapToGrid w:val="0"/>
          <w:color w:val="auto"/>
          <w:sz w:val="24"/>
          <w:szCs w:val="32"/>
        </w:rPr>
        <w:t>本项目所有污染源的正常排放的污染物的Pmax和D10%预测结果如下：</w:t>
      </w:r>
    </w:p>
    <w:p w14:paraId="59736710">
      <w:pPr>
        <w:keepNext w:val="0"/>
        <w:keepLines w:val="0"/>
        <w:pageBreakBefore w:val="0"/>
        <w:widowControl w:val="0"/>
        <w:kinsoku/>
        <w:wordWrap/>
        <w:overflowPunct/>
        <w:topLinePunct w:val="0"/>
        <w:autoSpaceDE/>
        <w:autoSpaceDN/>
        <w:bidi w:val="0"/>
        <w:adjustRightInd/>
        <w:snapToGrid/>
        <w:spacing w:line="240" w:lineRule="auto"/>
        <w:ind w:firstLine="402" w:firstLineChars="176"/>
        <w:jc w:val="center"/>
        <w:textAlignment w:val="auto"/>
        <w:rPr>
          <w:rFonts w:ascii="Times New Roman" w:hAnsi="Times New Roman" w:eastAsia="宋体" w:cs="Times New Roman"/>
          <w:b/>
          <w:bCs/>
          <w:snapToGrid w:val="0"/>
          <w:color w:val="auto"/>
        </w:rPr>
      </w:pPr>
      <w:r>
        <w:rPr>
          <w:rFonts w:ascii="Times New Roman" w:hAnsi="Times New Roman" w:eastAsia="宋体" w:cs="Times New Roman"/>
          <w:b/>
          <w:bCs/>
          <w:snapToGrid w:val="0"/>
          <w:color w:val="auto"/>
        </w:rPr>
        <w:t>表3-</w:t>
      </w:r>
      <w:r>
        <w:rPr>
          <w:rFonts w:hint="eastAsia" w:cs="Times New Roman"/>
          <w:b/>
          <w:bCs/>
          <w:snapToGrid w:val="0"/>
          <w:color w:val="auto"/>
          <w:lang w:val="en-US" w:eastAsia="zh-CN"/>
        </w:rPr>
        <w:t>11</w:t>
      </w:r>
      <w:r>
        <w:rPr>
          <w:rFonts w:ascii="Times New Roman" w:hAnsi="Times New Roman" w:eastAsia="宋体" w:cs="Times New Roman"/>
          <w:b/>
          <w:bCs/>
          <w:snapToGrid w:val="0"/>
          <w:color w:val="auto"/>
        </w:rPr>
        <w:t xml:space="preserve">  正常工况下 Pmax和D10%预测和计算结果一览表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1610"/>
        <w:gridCol w:w="1969"/>
        <w:gridCol w:w="1430"/>
        <w:gridCol w:w="1441"/>
        <w:gridCol w:w="962"/>
      </w:tblGrid>
      <w:tr w14:paraId="5F5C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07" w:type="pct"/>
            <w:noWrap w:val="0"/>
            <w:vAlign w:val="center"/>
          </w:tcPr>
          <w:p w14:paraId="06FD138B">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污染源</w:t>
            </w:r>
          </w:p>
        </w:tc>
        <w:tc>
          <w:tcPr>
            <w:tcW w:w="867" w:type="pct"/>
            <w:noWrap w:val="0"/>
            <w:vAlign w:val="center"/>
          </w:tcPr>
          <w:p w14:paraId="242F734C">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污染物</w:t>
            </w:r>
          </w:p>
        </w:tc>
        <w:tc>
          <w:tcPr>
            <w:tcW w:w="1060" w:type="pct"/>
            <w:noWrap w:val="0"/>
            <w:vAlign w:val="center"/>
          </w:tcPr>
          <w:p w14:paraId="47C63532">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最大落地浓度（</w:t>
            </w:r>
            <w:r>
              <w:rPr>
                <w:rFonts w:hint="eastAsia"/>
                <w:b/>
                <w:bCs/>
                <w:snapToGrid w:val="0"/>
                <w:color w:val="auto"/>
                <w:kern w:val="0"/>
                <w:sz w:val="21"/>
                <w:szCs w:val="21"/>
                <w:lang w:val="en-US" w:eastAsia="zh-CN"/>
              </w:rPr>
              <w:t>m</w:t>
            </w:r>
            <w:r>
              <w:rPr>
                <w:b/>
                <w:bCs/>
                <w:snapToGrid w:val="0"/>
                <w:color w:val="auto"/>
                <w:kern w:val="0"/>
                <w:sz w:val="21"/>
                <w:szCs w:val="21"/>
              </w:rPr>
              <w:t>g/m</w:t>
            </w:r>
            <w:r>
              <w:rPr>
                <w:b/>
                <w:bCs/>
                <w:snapToGrid w:val="0"/>
                <w:color w:val="auto"/>
                <w:kern w:val="0"/>
                <w:sz w:val="21"/>
                <w:szCs w:val="21"/>
                <w:vertAlign w:val="superscript"/>
              </w:rPr>
              <w:t>3</w:t>
            </w:r>
            <w:r>
              <w:rPr>
                <w:b/>
                <w:bCs/>
                <w:snapToGrid w:val="0"/>
                <w:color w:val="auto"/>
                <w:kern w:val="0"/>
                <w:sz w:val="21"/>
                <w:szCs w:val="21"/>
              </w:rPr>
              <w:t>）</w:t>
            </w:r>
          </w:p>
        </w:tc>
        <w:tc>
          <w:tcPr>
            <w:tcW w:w="770" w:type="pct"/>
            <w:noWrap w:val="0"/>
            <w:vAlign w:val="center"/>
          </w:tcPr>
          <w:p w14:paraId="6DFF8C99">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最大浓度占标率</w:t>
            </w:r>
          </w:p>
        </w:tc>
        <w:tc>
          <w:tcPr>
            <w:tcW w:w="776" w:type="pct"/>
            <w:noWrap w:val="0"/>
            <w:vAlign w:val="center"/>
          </w:tcPr>
          <w:p w14:paraId="51609DDB">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D10%最远距离/m</w:t>
            </w:r>
          </w:p>
        </w:tc>
        <w:tc>
          <w:tcPr>
            <w:tcW w:w="518" w:type="pct"/>
            <w:noWrap w:val="0"/>
            <w:vAlign w:val="center"/>
          </w:tcPr>
          <w:p w14:paraId="16D42D39">
            <w:pPr>
              <w:adjustRightInd w:val="0"/>
              <w:snapToGrid w:val="0"/>
              <w:spacing w:line="240" w:lineRule="auto"/>
              <w:jc w:val="center"/>
              <w:textAlignment w:val="center"/>
              <w:rPr>
                <w:b/>
                <w:bCs/>
                <w:snapToGrid w:val="0"/>
                <w:color w:val="auto"/>
                <w:kern w:val="0"/>
                <w:sz w:val="21"/>
                <w:szCs w:val="21"/>
              </w:rPr>
            </w:pPr>
            <w:r>
              <w:rPr>
                <w:b/>
                <w:bCs/>
                <w:snapToGrid w:val="0"/>
                <w:color w:val="auto"/>
                <w:kern w:val="0"/>
                <w:sz w:val="21"/>
                <w:szCs w:val="21"/>
              </w:rPr>
              <w:t>评价等级</w:t>
            </w:r>
          </w:p>
        </w:tc>
      </w:tr>
      <w:tr w14:paraId="6BE3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noWrap w:val="0"/>
            <w:vAlign w:val="center"/>
          </w:tcPr>
          <w:p w14:paraId="4AFBB186">
            <w:pPr>
              <w:keepNext w:val="0"/>
              <w:keepLines w:val="0"/>
              <w:pageBreakBefore w:val="0"/>
              <w:kinsoku/>
              <w:wordWrap/>
              <w:overflowPunct/>
              <w:topLinePunct w:val="0"/>
              <w:autoSpaceDE/>
              <w:autoSpaceDN/>
              <w:bidi w:val="0"/>
              <w:adjustRightInd w:val="0"/>
              <w:snapToGrid w:val="0"/>
              <w:spacing w:line="240" w:lineRule="auto"/>
              <w:jc w:val="center"/>
              <w:rPr>
                <w:rFonts w:hint="default" w:eastAsia="宋体"/>
                <w:snapToGrid w:val="0"/>
                <w:color w:val="auto"/>
                <w:sz w:val="21"/>
                <w:szCs w:val="21"/>
                <w:lang w:val="en-US" w:eastAsia="zh-CN"/>
              </w:rPr>
            </w:pPr>
            <w:r>
              <w:rPr>
                <w:rFonts w:hint="eastAsia"/>
                <w:snapToGrid w:val="0"/>
                <w:color w:val="auto"/>
                <w:sz w:val="21"/>
                <w:szCs w:val="21"/>
                <w:lang w:val="en-US" w:eastAsia="zh-CN"/>
              </w:rPr>
              <w:t>DA001</w:t>
            </w:r>
          </w:p>
        </w:tc>
        <w:tc>
          <w:tcPr>
            <w:tcW w:w="1610" w:type="dxa"/>
            <w:noWrap w:val="0"/>
            <w:vAlign w:val="center"/>
          </w:tcPr>
          <w:p w14:paraId="17736B7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PM10</w:t>
            </w:r>
          </w:p>
        </w:tc>
        <w:tc>
          <w:tcPr>
            <w:tcW w:w="1969" w:type="dxa"/>
            <w:noWrap w:val="0"/>
            <w:vAlign w:val="center"/>
          </w:tcPr>
          <w:p w14:paraId="23EE5DF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1.265</w:t>
            </w:r>
          </w:p>
        </w:tc>
        <w:tc>
          <w:tcPr>
            <w:tcW w:w="1430" w:type="dxa"/>
            <w:noWrap w:val="0"/>
            <w:vAlign w:val="center"/>
          </w:tcPr>
          <w:p w14:paraId="2C907661">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0.35%</w:t>
            </w:r>
          </w:p>
        </w:tc>
        <w:tc>
          <w:tcPr>
            <w:tcW w:w="776" w:type="pct"/>
            <w:noWrap w:val="0"/>
            <w:vAlign w:val="center"/>
          </w:tcPr>
          <w:p w14:paraId="7A6A4974">
            <w:pPr>
              <w:adjustRightInd w:val="0"/>
              <w:snapToGrid w:val="0"/>
              <w:spacing w:line="240" w:lineRule="auto"/>
              <w:jc w:val="center"/>
              <w:textAlignment w:val="center"/>
              <w:rPr>
                <w:rFonts w:hint="eastAsia"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w:t>
            </w:r>
          </w:p>
        </w:tc>
        <w:tc>
          <w:tcPr>
            <w:tcW w:w="962" w:type="dxa"/>
            <w:noWrap w:val="0"/>
            <w:vAlign w:val="center"/>
          </w:tcPr>
          <w:p w14:paraId="3F98A955">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1514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vMerge w:val="restart"/>
            <w:noWrap w:val="0"/>
            <w:vAlign w:val="center"/>
          </w:tcPr>
          <w:p w14:paraId="3069F4C4">
            <w:pPr>
              <w:keepNext w:val="0"/>
              <w:keepLines w:val="0"/>
              <w:pageBreakBefore w:val="0"/>
              <w:kinsoku/>
              <w:wordWrap/>
              <w:overflowPunct/>
              <w:topLinePunct w:val="0"/>
              <w:autoSpaceDE/>
              <w:autoSpaceDN/>
              <w:bidi w:val="0"/>
              <w:adjustRightInd w:val="0"/>
              <w:snapToGrid w:val="0"/>
              <w:spacing w:line="240" w:lineRule="auto"/>
              <w:jc w:val="center"/>
              <w:rPr>
                <w:rFonts w:hint="eastAsia" w:eastAsia="宋体"/>
                <w:snapToGrid w:val="0"/>
                <w:color w:val="auto"/>
                <w:kern w:val="0"/>
                <w:sz w:val="21"/>
                <w:szCs w:val="21"/>
                <w:lang w:eastAsia="zh-CN"/>
              </w:rPr>
            </w:pPr>
            <w:r>
              <w:rPr>
                <w:snapToGrid w:val="0"/>
                <w:color w:val="auto"/>
                <w:sz w:val="21"/>
                <w:szCs w:val="21"/>
              </w:rPr>
              <w:t>DA00</w:t>
            </w:r>
            <w:r>
              <w:rPr>
                <w:rFonts w:hint="eastAsia"/>
                <w:snapToGrid w:val="0"/>
                <w:color w:val="auto"/>
                <w:sz w:val="21"/>
                <w:szCs w:val="21"/>
                <w:lang w:val="en-US" w:eastAsia="zh-CN"/>
              </w:rPr>
              <w:t>2</w:t>
            </w:r>
          </w:p>
        </w:tc>
        <w:tc>
          <w:tcPr>
            <w:tcW w:w="1610" w:type="dxa"/>
            <w:noWrap w:val="0"/>
            <w:vAlign w:val="center"/>
          </w:tcPr>
          <w:p w14:paraId="3FC944AF">
            <w:pPr>
              <w:keepNext w:val="0"/>
              <w:keepLines w:val="0"/>
              <w:widowControl/>
              <w:suppressLineNumbers w:val="0"/>
              <w:spacing w:line="240" w:lineRule="auto"/>
              <w:jc w:val="center"/>
              <w:textAlignment w:val="center"/>
              <w:rPr>
                <w:rFonts w:ascii="Times New Roman" w:hAnsi="Times New Roman" w:eastAsia="宋体" w:cs="Times New Roman"/>
                <w:snapToGrid w:val="0"/>
                <w:color w:val="auto"/>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非甲烷总烃</w:t>
            </w:r>
          </w:p>
        </w:tc>
        <w:tc>
          <w:tcPr>
            <w:tcW w:w="1969" w:type="dxa"/>
            <w:noWrap w:val="0"/>
            <w:vAlign w:val="center"/>
          </w:tcPr>
          <w:p w14:paraId="65CCFA0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15.142</w:t>
            </w:r>
          </w:p>
        </w:tc>
        <w:tc>
          <w:tcPr>
            <w:tcW w:w="1430" w:type="dxa"/>
            <w:noWrap w:val="0"/>
            <w:vAlign w:val="center"/>
          </w:tcPr>
          <w:p w14:paraId="56280E5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0.76%</w:t>
            </w:r>
          </w:p>
        </w:tc>
        <w:tc>
          <w:tcPr>
            <w:tcW w:w="776" w:type="pct"/>
            <w:noWrap w:val="0"/>
            <w:vAlign w:val="center"/>
          </w:tcPr>
          <w:p w14:paraId="5BB3B67E">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ascii="Times New Roman" w:hAnsi="Times New Roman" w:eastAsia="宋体" w:cs="Times New Roman"/>
                <w:snapToGrid w:val="0"/>
                <w:color w:val="auto"/>
                <w:kern w:val="0"/>
                <w:sz w:val="21"/>
                <w:szCs w:val="21"/>
              </w:rPr>
              <w:t>/</w:t>
            </w:r>
          </w:p>
        </w:tc>
        <w:tc>
          <w:tcPr>
            <w:tcW w:w="962" w:type="dxa"/>
            <w:noWrap w:val="0"/>
            <w:vAlign w:val="center"/>
          </w:tcPr>
          <w:p w14:paraId="31E45966">
            <w:pPr>
              <w:adjustRightInd w:val="0"/>
              <w:snapToGrid w:val="0"/>
              <w:spacing w:line="240" w:lineRule="auto"/>
              <w:jc w:val="center"/>
              <w:textAlignment w:val="center"/>
              <w:rPr>
                <w:rFonts w:hint="default" w:eastAsia="宋体"/>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26EE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vMerge w:val="continue"/>
            <w:noWrap w:val="0"/>
            <w:vAlign w:val="center"/>
          </w:tcPr>
          <w:p w14:paraId="28CFDB2A">
            <w:pPr>
              <w:keepNext w:val="0"/>
              <w:keepLines w:val="0"/>
              <w:pageBreakBefore w:val="0"/>
              <w:kinsoku/>
              <w:wordWrap/>
              <w:overflowPunct/>
              <w:topLinePunct w:val="0"/>
              <w:autoSpaceDE/>
              <w:autoSpaceDN/>
              <w:bidi w:val="0"/>
              <w:adjustRightInd w:val="0"/>
              <w:snapToGrid w:val="0"/>
              <w:spacing w:line="240" w:lineRule="auto"/>
              <w:jc w:val="center"/>
              <w:rPr>
                <w:snapToGrid w:val="0"/>
                <w:color w:val="auto"/>
                <w:sz w:val="21"/>
                <w:szCs w:val="21"/>
              </w:rPr>
            </w:pPr>
          </w:p>
        </w:tc>
        <w:tc>
          <w:tcPr>
            <w:tcW w:w="1610" w:type="dxa"/>
            <w:noWrap w:val="0"/>
            <w:vAlign w:val="center"/>
          </w:tcPr>
          <w:p w14:paraId="780DA456">
            <w:pPr>
              <w:keepNext w:val="0"/>
              <w:keepLines w:val="0"/>
              <w:widowControl/>
              <w:suppressLineNumbers w:val="0"/>
              <w:spacing w:line="240" w:lineRule="auto"/>
              <w:jc w:val="center"/>
              <w:textAlignment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highlight w:val="none"/>
                <w:lang w:val="en-US" w:eastAsia="zh-CN"/>
              </w:rPr>
              <w:t>苯酚</w:t>
            </w:r>
          </w:p>
        </w:tc>
        <w:tc>
          <w:tcPr>
            <w:tcW w:w="1969" w:type="dxa"/>
            <w:noWrap w:val="0"/>
            <w:vAlign w:val="center"/>
          </w:tcPr>
          <w:p w14:paraId="08F68795">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0.00024</w:t>
            </w:r>
          </w:p>
        </w:tc>
        <w:tc>
          <w:tcPr>
            <w:tcW w:w="1430" w:type="dxa"/>
            <w:noWrap w:val="0"/>
            <w:vAlign w:val="center"/>
          </w:tcPr>
          <w:p w14:paraId="6F7E031A">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0.48%</w:t>
            </w:r>
          </w:p>
        </w:tc>
        <w:tc>
          <w:tcPr>
            <w:tcW w:w="776" w:type="pct"/>
            <w:noWrap w:val="0"/>
            <w:vAlign w:val="center"/>
          </w:tcPr>
          <w:p w14:paraId="7B81858E">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6E10F517">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0DDE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vMerge w:val="continue"/>
            <w:noWrap w:val="0"/>
            <w:vAlign w:val="center"/>
          </w:tcPr>
          <w:p w14:paraId="4AC537B8">
            <w:pPr>
              <w:keepNext w:val="0"/>
              <w:keepLines w:val="0"/>
              <w:pageBreakBefore w:val="0"/>
              <w:kinsoku/>
              <w:wordWrap/>
              <w:overflowPunct/>
              <w:topLinePunct w:val="0"/>
              <w:autoSpaceDE/>
              <w:autoSpaceDN/>
              <w:bidi w:val="0"/>
              <w:adjustRightInd w:val="0"/>
              <w:snapToGrid w:val="0"/>
              <w:spacing w:line="240" w:lineRule="auto"/>
              <w:jc w:val="center"/>
              <w:rPr>
                <w:snapToGrid w:val="0"/>
                <w:color w:val="auto"/>
                <w:sz w:val="21"/>
                <w:szCs w:val="21"/>
              </w:rPr>
            </w:pPr>
          </w:p>
        </w:tc>
        <w:tc>
          <w:tcPr>
            <w:tcW w:w="1610" w:type="dxa"/>
            <w:noWrap w:val="0"/>
            <w:vAlign w:val="center"/>
          </w:tcPr>
          <w:p w14:paraId="6CD2DADA">
            <w:pPr>
              <w:keepNext w:val="0"/>
              <w:keepLines w:val="0"/>
              <w:widowControl/>
              <w:suppressLineNumbers w:val="0"/>
              <w:spacing w:line="240" w:lineRule="auto"/>
              <w:jc w:val="center"/>
              <w:textAlignment w:val="center"/>
              <w:rPr>
                <w:rFonts w:ascii="Times New Roman" w:hAnsi="Times New Roman" w:eastAsia="宋体" w:cs="Times New Roman"/>
                <w:snapToGrid w:val="0"/>
                <w:color w:val="auto"/>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甲醛</w:t>
            </w:r>
          </w:p>
        </w:tc>
        <w:tc>
          <w:tcPr>
            <w:tcW w:w="1969" w:type="dxa"/>
            <w:noWrap w:val="0"/>
            <w:vAlign w:val="center"/>
          </w:tcPr>
          <w:p w14:paraId="6A812E4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0.00018</w:t>
            </w:r>
          </w:p>
        </w:tc>
        <w:tc>
          <w:tcPr>
            <w:tcW w:w="1430" w:type="dxa"/>
            <w:noWrap w:val="0"/>
            <w:vAlign w:val="center"/>
          </w:tcPr>
          <w:p w14:paraId="1A6CEBB9">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0.36%</w:t>
            </w:r>
          </w:p>
        </w:tc>
        <w:tc>
          <w:tcPr>
            <w:tcW w:w="776" w:type="pct"/>
            <w:noWrap w:val="0"/>
            <w:vAlign w:val="center"/>
          </w:tcPr>
          <w:p w14:paraId="3DF645F0">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1A3C2724">
            <w:pPr>
              <w:adjustRightInd w:val="0"/>
              <w:snapToGrid w:val="0"/>
              <w:spacing w:line="240" w:lineRule="auto"/>
              <w:jc w:val="center"/>
              <w:textAlignment w:val="center"/>
              <w:rPr>
                <w:snapToGrid w:val="0"/>
                <w:color w:val="auto"/>
                <w:kern w:val="0"/>
                <w:sz w:val="21"/>
                <w:szCs w:val="21"/>
              </w:rPr>
            </w:pPr>
            <w:r>
              <w:rPr>
                <w:rFonts w:hint="eastAsia"/>
                <w:snapToGrid w:val="0"/>
                <w:color w:val="auto"/>
                <w:kern w:val="0"/>
                <w:sz w:val="21"/>
                <w:szCs w:val="21"/>
                <w:lang w:val="en-US" w:eastAsia="zh-CN"/>
              </w:rPr>
              <w:t>三级</w:t>
            </w:r>
          </w:p>
        </w:tc>
      </w:tr>
      <w:tr w14:paraId="68BCD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3" w:hRule="atLeast"/>
          <w:jc w:val="center"/>
        </w:trPr>
        <w:tc>
          <w:tcPr>
            <w:tcW w:w="1007" w:type="pct"/>
            <w:noWrap w:val="0"/>
            <w:vAlign w:val="center"/>
          </w:tcPr>
          <w:p w14:paraId="58C84685">
            <w:pPr>
              <w:keepNext w:val="0"/>
              <w:keepLines w:val="0"/>
              <w:pageBreakBefore w:val="0"/>
              <w:kinsoku/>
              <w:wordWrap/>
              <w:overflowPunct/>
              <w:topLinePunct w:val="0"/>
              <w:autoSpaceDE/>
              <w:autoSpaceDN/>
              <w:bidi w:val="0"/>
              <w:adjustRightInd w:val="0"/>
              <w:snapToGrid w:val="0"/>
              <w:spacing w:line="240" w:lineRule="auto"/>
              <w:jc w:val="center"/>
              <w:rPr>
                <w:rFonts w:hint="default" w:eastAsia="宋体"/>
                <w:snapToGrid w:val="0"/>
                <w:color w:val="auto"/>
                <w:sz w:val="21"/>
                <w:szCs w:val="21"/>
                <w:lang w:val="en-US" w:eastAsia="zh-CN"/>
              </w:rPr>
            </w:pPr>
            <w:r>
              <w:rPr>
                <w:rFonts w:hint="eastAsia"/>
                <w:snapToGrid w:val="0"/>
                <w:color w:val="auto"/>
                <w:sz w:val="21"/>
                <w:szCs w:val="21"/>
                <w:lang w:val="en-US" w:eastAsia="zh-CN"/>
              </w:rPr>
              <w:t>DA003</w:t>
            </w:r>
          </w:p>
        </w:tc>
        <w:tc>
          <w:tcPr>
            <w:tcW w:w="1610" w:type="dxa"/>
            <w:noWrap w:val="0"/>
            <w:vAlign w:val="center"/>
          </w:tcPr>
          <w:p w14:paraId="5B156E30">
            <w:pPr>
              <w:keepNext w:val="0"/>
              <w:keepLines w:val="0"/>
              <w:widowControl/>
              <w:suppressLineNumbers w:val="0"/>
              <w:spacing w:line="240" w:lineRule="auto"/>
              <w:jc w:val="center"/>
              <w:textAlignment w:val="center"/>
              <w:rPr>
                <w:rFonts w:hint="eastAsia"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PM10</w:t>
            </w:r>
          </w:p>
        </w:tc>
        <w:tc>
          <w:tcPr>
            <w:tcW w:w="1969" w:type="dxa"/>
            <w:noWrap w:val="0"/>
            <w:vAlign w:val="center"/>
          </w:tcPr>
          <w:p w14:paraId="79E0681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0.856</w:t>
            </w:r>
          </w:p>
        </w:tc>
        <w:tc>
          <w:tcPr>
            <w:tcW w:w="1430" w:type="dxa"/>
            <w:noWrap w:val="0"/>
            <w:vAlign w:val="center"/>
          </w:tcPr>
          <w:p w14:paraId="6F7C000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0.24%</w:t>
            </w:r>
          </w:p>
        </w:tc>
        <w:tc>
          <w:tcPr>
            <w:tcW w:w="776" w:type="pct"/>
            <w:noWrap w:val="0"/>
            <w:vAlign w:val="center"/>
          </w:tcPr>
          <w:p w14:paraId="7E9AAD38">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754A5805">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070D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noWrap w:val="0"/>
            <w:vAlign w:val="center"/>
          </w:tcPr>
          <w:p w14:paraId="67432D72">
            <w:pPr>
              <w:keepNext w:val="0"/>
              <w:keepLines w:val="0"/>
              <w:pageBreakBefore w:val="0"/>
              <w:kinsoku/>
              <w:wordWrap/>
              <w:overflowPunct/>
              <w:topLinePunct w:val="0"/>
              <w:autoSpaceDE/>
              <w:autoSpaceDN/>
              <w:bidi w:val="0"/>
              <w:adjustRightInd w:val="0"/>
              <w:snapToGrid w:val="0"/>
              <w:spacing w:line="240" w:lineRule="auto"/>
              <w:jc w:val="center"/>
              <w:rPr>
                <w:rFonts w:hint="default" w:eastAsia="宋体"/>
                <w:snapToGrid w:val="0"/>
                <w:color w:val="auto"/>
                <w:sz w:val="21"/>
                <w:szCs w:val="21"/>
                <w:lang w:val="en-US" w:eastAsia="zh-CN"/>
              </w:rPr>
            </w:pPr>
            <w:r>
              <w:rPr>
                <w:rFonts w:hint="eastAsia"/>
                <w:snapToGrid w:val="0"/>
                <w:color w:val="auto"/>
                <w:sz w:val="21"/>
                <w:szCs w:val="21"/>
                <w:lang w:val="en-US" w:eastAsia="zh-CN"/>
              </w:rPr>
              <w:t>DA004</w:t>
            </w:r>
          </w:p>
        </w:tc>
        <w:tc>
          <w:tcPr>
            <w:tcW w:w="1610" w:type="dxa"/>
            <w:noWrap w:val="0"/>
            <w:vAlign w:val="center"/>
          </w:tcPr>
          <w:p w14:paraId="61595798">
            <w:pPr>
              <w:keepNext w:val="0"/>
              <w:keepLines w:val="0"/>
              <w:widowControl/>
              <w:suppressLineNumbers w:val="0"/>
              <w:spacing w:line="240" w:lineRule="auto"/>
              <w:jc w:val="center"/>
              <w:textAlignment w:val="center"/>
              <w:rPr>
                <w:rFonts w:hint="eastAsia" w:cs="Times New Roman"/>
                <w:snapToGrid w:val="0"/>
                <w:color w:val="auto"/>
                <w:kern w:val="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非甲烷总烃</w:t>
            </w:r>
          </w:p>
        </w:tc>
        <w:tc>
          <w:tcPr>
            <w:tcW w:w="1969" w:type="dxa"/>
            <w:noWrap w:val="0"/>
            <w:vAlign w:val="center"/>
          </w:tcPr>
          <w:p w14:paraId="6A1D151C">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0.785</w:t>
            </w:r>
          </w:p>
        </w:tc>
        <w:tc>
          <w:tcPr>
            <w:tcW w:w="1430" w:type="dxa"/>
            <w:noWrap w:val="0"/>
            <w:vAlign w:val="center"/>
          </w:tcPr>
          <w:p w14:paraId="09663DF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0.04%</w:t>
            </w:r>
          </w:p>
        </w:tc>
        <w:tc>
          <w:tcPr>
            <w:tcW w:w="776" w:type="pct"/>
            <w:noWrap w:val="0"/>
            <w:vAlign w:val="center"/>
          </w:tcPr>
          <w:p w14:paraId="3D945A99">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6F6B50F9">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2F0E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7" w:type="pct"/>
            <w:vMerge w:val="restart"/>
            <w:noWrap w:val="0"/>
            <w:vAlign w:val="center"/>
          </w:tcPr>
          <w:p w14:paraId="4F933619">
            <w:pPr>
              <w:adjustRightInd w:val="0"/>
              <w:snapToGrid w:val="0"/>
              <w:spacing w:line="240" w:lineRule="auto"/>
              <w:jc w:val="center"/>
              <w:rPr>
                <w:snapToGrid w:val="0"/>
                <w:color w:val="auto"/>
                <w:kern w:val="0"/>
                <w:sz w:val="21"/>
                <w:szCs w:val="21"/>
              </w:rPr>
            </w:pPr>
            <w:r>
              <w:rPr>
                <w:rFonts w:hint="eastAsia"/>
                <w:snapToGrid w:val="0"/>
                <w:color w:val="auto"/>
                <w:sz w:val="21"/>
                <w:szCs w:val="21"/>
                <w:lang w:val="en-US" w:eastAsia="zh-CN"/>
              </w:rPr>
              <w:t>生产车间（面源）</w:t>
            </w:r>
          </w:p>
        </w:tc>
        <w:tc>
          <w:tcPr>
            <w:tcW w:w="867" w:type="pct"/>
            <w:noWrap w:val="0"/>
            <w:vAlign w:val="center"/>
          </w:tcPr>
          <w:p w14:paraId="2E456108">
            <w:pPr>
              <w:adjustRightInd w:val="0"/>
              <w:snapToGrid w:val="0"/>
              <w:spacing w:line="240" w:lineRule="auto"/>
              <w:jc w:val="center"/>
              <w:textAlignment w:val="center"/>
              <w:rPr>
                <w:rFonts w:hint="default"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TSP</w:t>
            </w:r>
          </w:p>
        </w:tc>
        <w:tc>
          <w:tcPr>
            <w:tcW w:w="1969" w:type="dxa"/>
            <w:noWrap w:val="0"/>
            <w:vAlign w:val="center"/>
          </w:tcPr>
          <w:p w14:paraId="1BACDEAD">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7.259</w:t>
            </w:r>
          </w:p>
        </w:tc>
        <w:tc>
          <w:tcPr>
            <w:tcW w:w="1430" w:type="dxa"/>
            <w:noWrap w:val="0"/>
            <w:vAlign w:val="center"/>
          </w:tcPr>
          <w:p w14:paraId="5EF3F5C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0.81%</w:t>
            </w:r>
          </w:p>
        </w:tc>
        <w:tc>
          <w:tcPr>
            <w:tcW w:w="776" w:type="pct"/>
            <w:noWrap w:val="0"/>
            <w:vAlign w:val="center"/>
          </w:tcPr>
          <w:p w14:paraId="3A3C41E4">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031D60F1">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25E1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3" w:hRule="atLeast"/>
          <w:jc w:val="center"/>
        </w:trPr>
        <w:tc>
          <w:tcPr>
            <w:tcW w:w="1007" w:type="pct"/>
            <w:vMerge w:val="continue"/>
            <w:noWrap w:val="0"/>
            <w:vAlign w:val="center"/>
          </w:tcPr>
          <w:p w14:paraId="4F39A875">
            <w:pPr>
              <w:keepNext w:val="0"/>
              <w:keepLines w:val="0"/>
              <w:pageBreakBefore w:val="0"/>
              <w:kinsoku/>
              <w:wordWrap/>
              <w:overflowPunct/>
              <w:topLinePunct w:val="0"/>
              <w:autoSpaceDE/>
              <w:autoSpaceDN/>
              <w:bidi w:val="0"/>
              <w:adjustRightInd w:val="0"/>
              <w:snapToGrid w:val="0"/>
              <w:spacing w:line="240" w:lineRule="auto"/>
              <w:jc w:val="center"/>
              <w:rPr>
                <w:snapToGrid w:val="0"/>
                <w:color w:val="auto"/>
                <w:sz w:val="21"/>
                <w:szCs w:val="21"/>
              </w:rPr>
            </w:pPr>
          </w:p>
        </w:tc>
        <w:tc>
          <w:tcPr>
            <w:tcW w:w="1610" w:type="dxa"/>
            <w:noWrap w:val="0"/>
            <w:vAlign w:val="center"/>
          </w:tcPr>
          <w:p w14:paraId="5C3B9D48">
            <w:pPr>
              <w:keepNext w:val="0"/>
              <w:keepLines w:val="0"/>
              <w:widowControl/>
              <w:suppressLineNumbers w:val="0"/>
              <w:spacing w:line="240" w:lineRule="auto"/>
              <w:jc w:val="center"/>
              <w:textAlignment w:val="center"/>
              <w:rPr>
                <w:rFonts w:hint="eastAsia" w:cs="Times New Roman"/>
                <w:snapToGrid w:val="0"/>
                <w:color w:val="auto"/>
                <w:kern w:val="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非甲烷总烃</w:t>
            </w:r>
          </w:p>
        </w:tc>
        <w:tc>
          <w:tcPr>
            <w:tcW w:w="1969" w:type="dxa"/>
            <w:noWrap w:val="0"/>
            <w:vAlign w:val="center"/>
          </w:tcPr>
          <w:p w14:paraId="3D52DA8A">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12.426</w:t>
            </w:r>
          </w:p>
        </w:tc>
        <w:tc>
          <w:tcPr>
            <w:tcW w:w="1430" w:type="dxa"/>
            <w:noWrap w:val="0"/>
            <w:vAlign w:val="center"/>
          </w:tcPr>
          <w:p w14:paraId="72675449">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0.62%</w:t>
            </w:r>
          </w:p>
        </w:tc>
        <w:tc>
          <w:tcPr>
            <w:tcW w:w="776" w:type="pct"/>
            <w:noWrap w:val="0"/>
            <w:vAlign w:val="center"/>
          </w:tcPr>
          <w:p w14:paraId="0506D03C">
            <w:pPr>
              <w:adjustRightInd w:val="0"/>
              <w:snapToGrid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526AE8CA">
            <w:pPr>
              <w:adjustRightInd w:val="0"/>
              <w:snapToGrid w:val="0"/>
              <w:spacing w:line="240" w:lineRule="auto"/>
              <w:jc w:val="center"/>
              <w:textAlignment w:val="center"/>
              <w:rPr>
                <w:rFonts w:hint="eastAsia"/>
                <w:snapToGrid w:val="0"/>
                <w:color w:val="auto"/>
                <w:kern w:val="0"/>
                <w:sz w:val="21"/>
                <w:szCs w:val="21"/>
                <w:lang w:val="en-US" w:eastAsia="zh-CN"/>
              </w:rPr>
            </w:pPr>
            <w:r>
              <w:rPr>
                <w:rFonts w:hint="eastAsia"/>
                <w:snapToGrid w:val="0"/>
                <w:color w:val="auto"/>
                <w:kern w:val="0"/>
                <w:sz w:val="21"/>
                <w:szCs w:val="21"/>
                <w:lang w:val="en-US" w:eastAsia="zh-CN"/>
              </w:rPr>
              <w:t>三级</w:t>
            </w:r>
          </w:p>
        </w:tc>
      </w:tr>
      <w:tr w14:paraId="6EB2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007" w:type="pct"/>
            <w:vMerge w:val="continue"/>
            <w:noWrap w:val="0"/>
            <w:vAlign w:val="center"/>
          </w:tcPr>
          <w:p w14:paraId="3BD8A481">
            <w:pPr>
              <w:adjustRightInd w:val="0"/>
              <w:snapToGrid w:val="0"/>
              <w:spacing w:line="240" w:lineRule="auto"/>
              <w:jc w:val="center"/>
              <w:rPr>
                <w:snapToGrid w:val="0"/>
                <w:color w:val="auto"/>
                <w:kern w:val="0"/>
                <w:sz w:val="21"/>
                <w:szCs w:val="21"/>
              </w:rPr>
            </w:pPr>
          </w:p>
        </w:tc>
        <w:tc>
          <w:tcPr>
            <w:tcW w:w="1610" w:type="dxa"/>
            <w:noWrap w:val="0"/>
            <w:vAlign w:val="center"/>
          </w:tcPr>
          <w:p w14:paraId="0A30E146">
            <w:pPr>
              <w:keepNext w:val="0"/>
              <w:keepLines w:val="0"/>
              <w:widowControl/>
              <w:suppressLineNumbers w:val="0"/>
              <w:spacing w:line="240" w:lineRule="auto"/>
              <w:jc w:val="center"/>
              <w:textAlignment w:val="center"/>
              <w:rPr>
                <w:rFonts w:ascii="Times New Roman" w:hAnsi="Times New Roman" w:eastAsia="宋体" w:cs="Times New Roman"/>
                <w:snapToGrid w:val="0"/>
                <w:color w:val="auto"/>
                <w:kern w:val="0"/>
                <w:sz w:val="21"/>
                <w:szCs w:val="21"/>
              </w:rPr>
            </w:pPr>
            <w:r>
              <w:rPr>
                <w:rFonts w:hint="eastAsia" w:ascii="Times New Roman" w:hAnsi="Times New Roman" w:eastAsia="宋体" w:cs="Times New Roman"/>
                <w:color w:val="auto"/>
                <w:sz w:val="21"/>
                <w:szCs w:val="21"/>
                <w:highlight w:val="none"/>
                <w:lang w:val="en-US" w:eastAsia="zh-CN"/>
              </w:rPr>
              <w:t>苯酚</w:t>
            </w:r>
          </w:p>
        </w:tc>
        <w:tc>
          <w:tcPr>
            <w:tcW w:w="1969" w:type="dxa"/>
            <w:noWrap w:val="0"/>
            <w:vAlign w:val="center"/>
          </w:tcPr>
          <w:p w14:paraId="7295B229">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0.00012</w:t>
            </w:r>
          </w:p>
        </w:tc>
        <w:tc>
          <w:tcPr>
            <w:tcW w:w="1430" w:type="dxa"/>
            <w:noWrap w:val="0"/>
            <w:vAlign w:val="center"/>
          </w:tcPr>
          <w:p w14:paraId="2155F0B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0.24%</w:t>
            </w:r>
          </w:p>
        </w:tc>
        <w:tc>
          <w:tcPr>
            <w:tcW w:w="776" w:type="pct"/>
            <w:noWrap w:val="0"/>
            <w:vAlign w:val="center"/>
          </w:tcPr>
          <w:p w14:paraId="0142F4D9">
            <w:pPr>
              <w:adjustRightInd w:val="0"/>
              <w:snapToGrid w:val="0"/>
              <w:spacing w:line="240" w:lineRule="auto"/>
              <w:jc w:val="center"/>
              <w:textAlignment w:val="center"/>
              <w:rPr>
                <w:snapToGrid w:val="0"/>
                <w:color w:val="auto"/>
                <w:kern w:val="0"/>
                <w:sz w:val="21"/>
                <w:szCs w:val="21"/>
              </w:rPr>
            </w:pPr>
            <w:r>
              <w:rPr>
                <w:rFonts w:hint="eastAsia" w:cs="Times New Roman"/>
                <w:snapToGrid w:val="0"/>
                <w:color w:val="auto"/>
                <w:kern w:val="0"/>
                <w:sz w:val="21"/>
                <w:szCs w:val="21"/>
                <w:lang w:val="en-US" w:eastAsia="zh-CN"/>
              </w:rPr>
              <w:t>/</w:t>
            </w:r>
          </w:p>
        </w:tc>
        <w:tc>
          <w:tcPr>
            <w:tcW w:w="962" w:type="dxa"/>
            <w:noWrap w:val="0"/>
            <w:vAlign w:val="center"/>
          </w:tcPr>
          <w:p w14:paraId="22D1066C">
            <w:pPr>
              <w:adjustRightInd w:val="0"/>
              <w:snapToGrid w:val="0"/>
              <w:spacing w:line="240" w:lineRule="auto"/>
              <w:jc w:val="center"/>
              <w:textAlignment w:val="center"/>
              <w:rPr>
                <w:snapToGrid w:val="0"/>
                <w:color w:val="auto"/>
                <w:kern w:val="0"/>
                <w:sz w:val="21"/>
                <w:szCs w:val="21"/>
              </w:rPr>
            </w:pPr>
            <w:r>
              <w:rPr>
                <w:rFonts w:hint="eastAsia"/>
                <w:snapToGrid w:val="0"/>
                <w:color w:val="auto"/>
                <w:kern w:val="0"/>
                <w:sz w:val="21"/>
                <w:szCs w:val="21"/>
                <w:lang w:val="en-US" w:eastAsia="zh-CN"/>
              </w:rPr>
              <w:t>三级</w:t>
            </w:r>
          </w:p>
        </w:tc>
      </w:tr>
      <w:tr w14:paraId="59A5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007" w:type="pct"/>
            <w:vMerge w:val="continue"/>
            <w:noWrap w:val="0"/>
            <w:vAlign w:val="center"/>
          </w:tcPr>
          <w:p w14:paraId="231C3702">
            <w:pPr>
              <w:adjustRightInd w:val="0"/>
              <w:snapToGrid w:val="0"/>
              <w:spacing w:line="240" w:lineRule="auto"/>
              <w:jc w:val="center"/>
              <w:rPr>
                <w:snapToGrid w:val="0"/>
                <w:color w:val="auto"/>
                <w:sz w:val="21"/>
                <w:szCs w:val="18"/>
              </w:rPr>
            </w:pPr>
          </w:p>
        </w:tc>
        <w:tc>
          <w:tcPr>
            <w:tcW w:w="1610" w:type="dxa"/>
            <w:noWrap w:val="0"/>
            <w:vAlign w:val="center"/>
          </w:tcPr>
          <w:p w14:paraId="35E2D7F0">
            <w:pPr>
              <w:keepNext w:val="0"/>
              <w:keepLines w:val="0"/>
              <w:widowControl/>
              <w:suppressLineNumbers w:val="0"/>
              <w:spacing w:line="240" w:lineRule="auto"/>
              <w:jc w:val="center"/>
              <w:textAlignment w:val="center"/>
              <w:rPr>
                <w:rFonts w:ascii="Times New Roman" w:hAnsi="Times New Roman" w:eastAsia="宋体" w:cs="Times New Roman"/>
                <w:snapToGrid w:val="0"/>
                <w:color w:val="auto"/>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甲醛</w:t>
            </w:r>
          </w:p>
        </w:tc>
        <w:tc>
          <w:tcPr>
            <w:tcW w:w="1969" w:type="dxa"/>
            <w:noWrap w:val="0"/>
            <w:vAlign w:val="center"/>
          </w:tcPr>
          <w:p w14:paraId="6DB09C2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0.00008</w:t>
            </w:r>
          </w:p>
        </w:tc>
        <w:tc>
          <w:tcPr>
            <w:tcW w:w="1430" w:type="dxa"/>
            <w:noWrap w:val="0"/>
            <w:vAlign w:val="center"/>
          </w:tcPr>
          <w:p w14:paraId="76ED936A">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0.16%</w:t>
            </w:r>
          </w:p>
        </w:tc>
        <w:tc>
          <w:tcPr>
            <w:tcW w:w="776" w:type="pct"/>
            <w:noWrap w:val="0"/>
            <w:vAlign w:val="center"/>
          </w:tcPr>
          <w:p w14:paraId="3553494E">
            <w:pPr>
              <w:adjustRightInd w:val="0"/>
              <w:snapToGrid w:val="0"/>
              <w:spacing w:line="240" w:lineRule="auto"/>
              <w:jc w:val="center"/>
              <w:textAlignment w:val="center"/>
              <w:rPr>
                <w:snapToGrid w:val="0"/>
                <w:color w:val="auto"/>
                <w:kern w:val="0"/>
                <w:sz w:val="21"/>
                <w:szCs w:val="21"/>
              </w:rPr>
            </w:pPr>
            <w:r>
              <w:rPr>
                <w:snapToGrid w:val="0"/>
                <w:color w:val="auto"/>
                <w:kern w:val="0"/>
                <w:sz w:val="21"/>
                <w:szCs w:val="21"/>
              </w:rPr>
              <w:t>/</w:t>
            </w:r>
          </w:p>
        </w:tc>
        <w:tc>
          <w:tcPr>
            <w:tcW w:w="962" w:type="dxa"/>
            <w:noWrap w:val="0"/>
            <w:vAlign w:val="center"/>
          </w:tcPr>
          <w:p w14:paraId="6B1E94EF">
            <w:pPr>
              <w:adjustRightInd w:val="0"/>
              <w:snapToGrid w:val="0"/>
              <w:spacing w:line="240" w:lineRule="auto"/>
              <w:jc w:val="center"/>
              <w:textAlignment w:val="center"/>
              <w:rPr>
                <w:snapToGrid w:val="0"/>
                <w:color w:val="auto"/>
                <w:kern w:val="0"/>
                <w:sz w:val="21"/>
                <w:szCs w:val="21"/>
              </w:rPr>
            </w:pPr>
            <w:r>
              <w:rPr>
                <w:rFonts w:hint="eastAsia"/>
                <w:snapToGrid w:val="0"/>
                <w:color w:val="auto"/>
                <w:kern w:val="0"/>
                <w:sz w:val="21"/>
                <w:szCs w:val="21"/>
                <w:lang w:val="en-US" w:eastAsia="zh-CN"/>
              </w:rPr>
              <w:t>三级</w:t>
            </w:r>
          </w:p>
        </w:tc>
      </w:tr>
    </w:tbl>
    <w:p w14:paraId="7DD27150">
      <w:pPr>
        <w:adjustRightInd w:val="0"/>
        <w:snapToGrid w:val="0"/>
        <w:spacing w:line="360" w:lineRule="auto"/>
        <w:ind w:firstLine="629" w:firstLineChars="243"/>
        <w:rPr>
          <w:snapToGrid w:val="0"/>
          <w:color w:val="auto"/>
          <w:kern w:val="0"/>
          <w:sz w:val="24"/>
          <w:szCs w:val="24"/>
        </w:rPr>
      </w:pPr>
      <w:r>
        <w:rPr>
          <w:snapToGrid w:val="0"/>
          <w:color w:val="auto"/>
          <w:kern w:val="0"/>
          <w:sz w:val="24"/>
          <w:szCs w:val="32"/>
        </w:rPr>
        <w:t>由表3-</w:t>
      </w:r>
      <w:r>
        <w:rPr>
          <w:rFonts w:hint="eastAsia"/>
          <w:snapToGrid w:val="0"/>
          <w:color w:val="auto"/>
          <w:kern w:val="0"/>
          <w:sz w:val="24"/>
          <w:szCs w:val="32"/>
          <w:lang w:val="en-US" w:eastAsia="zh-CN"/>
        </w:rPr>
        <w:t>11</w:t>
      </w:r>
      <w:r>
        <w:rPr>
          <w:snapToGrid w:val="0"/>
          <w:color w:val="auto"/>
          <w:kern w:val="0"/>
          <w:sz w:val="24"/>
          <w:szCs w:val="32"/>
        </w:rPr>
        <w:t>可知，在各污染源正常工况下排放时，</w:t>
      </w:r>
      <w:r>
        <w:rPr>
          <w:rFonts w:hint="eastAsia"/>
          <w:snapToGrid w:val="0"/>
          <w:color w:val="auto"/>
          <w:kern w:val="0"/>
          <w:sz w:val="24"/>
          <w:szCs w:val="32"/>
        </w:rPr>
        <w:t>各污染物</w:t>
      </w:r>
      <w:r>
        <w:rPr>
          <w:snapToGrid w:val="0"/>
          <w:color w:val="auto"/>
          <w:kern w:val="0"/>
          <w:sz w:val="24"/>
          <w:szCs w:val="32"/>
        </w:rPr>
        <w:t>的占标率最大值为</w:t>
      </w:r>
      <w:r>
        <w:rPr>
          <w:rFonts w:hint="eastAsia"/>
          <w:snapToGrid w:val="0"/>
          <w:color w:val="auto"/>
          <w:kern w:val="0"/>
          <w:sz w:val="24"/>
          <w:szCs w:val="32"/>
          <w:lang w:val="en-US" w:eastAsia="zh-CN"/>
        </w:rPr>
        <w:t>堆场</w:t>
      </w:r>
      <w:r>
        <w:rPr>
          <w:rFonts w:hint="eastAsia"/>
          <w:snapToGrid w:val="0"/>
          <w:color w:val="auto"/>
          <w:kern w:val="0"/>
          <w:sz w:val="24"/>
          <w:szCs w:val="32"/>
        </w:rPr>
        <w:t>无组织</w:t>
      </w:r>
      <w:r>
        <w:rPr>
          <w:snapToGrid w:val="0"/>
          <w:color w:val="auto"/>
          <w:kern w:val="0"/>
          <w:sz w:val="24"/>
          <w:szCs w:val="32"/>
        </w:rPr>
        <w:t>排放的</w:t>
      </w:r>
      <w:r>
        <w:rPr>
          <w:rFonts w:hint="eastAsia"/>
          <w:snapToGrid w:val="0"/>
          <w:color w:val="auto"/>
          <w:kern w:val="0"/>
          <w:sz w:val="24"/>
          <w:szCs w:val="32"/>
          <w:lang w:val="en-US" w:eastAsia="zh-CN"/>
        </w:rPr>
        <w:t>非甲烷总烃</w:t>
      </w:r>
      <w:r>
        <w:rPr>
          <w:snapToGrid w:val="0"/>
          <w:color w:val="auto"/>
          <w:kern w:val="0"/>
          <w:sz w:val="24"/>
          <w:szCs w:val="32"/>
        </w:rPr>
        <w:t>，P</w:t>
      </w:r>
      <w:r>
        <w:rPr>
          <w:snapToGrid w:val="0"/>
          <w:color w:val="auto"/>
          <w:kern w:val="0"/>
          <w:sz w:val="24"/>
          <w:szCs w:val="32"/>
          <w:vertAlign w:val="subscript"/>
        </w:rPr>
        <w:t>max</w:t>
      </w:r>
      <w:r>
        <w:rPr>
          <w:snapToGrid w:val="0"/>
          <w:color w:val="auto"/>
          <w:kern w:val="0"/>
          <w:sz w:val="24"/>
          <w:szCs w:val="32"/>
        </w:rPr>
        <w:t>=</w:t>
      </w:r>
      <w:r>
        <w:rPr>
          <w:rFonts w:hint="eastAsia"/>
          <w:snapToGrid w:val="0"/>
          <w:color w:val="auto"/>
          <w:kern w:val="0"/>
          <w:sz w:val="24"/>
          <w:szCs w:val="32"/>
          <w:lang w:val="en-US" w:eastAsia="zh-CN"/>
        </w:rPr>
        <w:t>0.81</w:t>
      </w:r>
      <w:r>
        <w:rPr>
          <w:rFonts w:hint="eastAsia"/>
          <w:snapToGrid w:val="0"/>
          <w:color w:val="auto"/>
          <w:kern w:val="0"/>
          <w:sz w:val="24"/>
          <w:szCs w:val="32"/>
        </w:rPr>
        <w:t>%</w:t>
      </w:r>
      <w:r>
        <w:rPr>
          <w:snapToGrid w:val="0"/>
          <w:color w:val="auto"/>
          <w:kern w:val="0"/>
          <w:sz w:val="24"/>
          <w:szCs w:val="32"/>
        </w:rPr>
        <w:t>，小于1%。因此，项目排放的</w:t>
      </w:r>
      <w:r>
        <w:rPr>
          <w:bCs/>
          <w:snapToGrid w:val="0"/>
          <w:color w:val="auto"/>
          <w:kern w:val="0"/>
          <w:sz w:val="24"/>
          <w:szCs w:val="32"/>
        </w:rPr>
        <w:t>污染物</w:t>
      </w:r>
      <w:r>
        <w:rPr>
          <w:snapToGrid w:val="0"/>
          <w:color w:val="auto"/>
          <w:kern w:val="0"/>
          <w:sz w:val="24"/>
          <w:szCs w:val="32"/>
        </w:rPr>
        <w:t>对项目区域的环境空气质量及周边环境敏感目标影响较小。</w:t>
      </w:r>
      <w:r>
        <w:rPr>
          <w:bCs/>
          <w:snapToGrid w:val="0"/>
          <w:color w:val="auto"/>
          <w:kern w:val="0"/>
          <w:sz w:val="24"/>
          <w:szCs w:val="32"/>
        </w:rPr>
        <w:t>根据《环境影响评价技术导则-大气环境》（HJ2.2-2018</w:t>
      </w:r>
      <w:r>
        <w:rPr>
          <w:snapToGrid w:val="0"/>
          <w:color w:val="auto"/>
          <w:kern w:val="0"/>
          <w:sz w:val="24"/>
          <w:szCs w:val="32"/>
        </w:rPr>
        <w:t>），确定本项目大气环境影响评价为</w:t>
      </w:r>
      <w:r>
        <w:rPr>
          <w:rFonts w:hint="eastAsia"/>
          <w:snapToGrid w:val="0"/>
          <w:color w:val="auto"/>
          <w:kern w:val="0"/>
          <w:sz w:val="24"/>
          <w:szCs w:val="32"/>
          <w:lang w:val="en-US" w:eastAsia="zh-CN"/>
        </w:rPr>
        <w:t>三级，</w:t>
      </w:r>
      <w:r>
        <w:rPr>
          <w:rFonts w:hint="eastAsia"/>
          <w:snapToGrid w:val="0"/>
          <w:color w:val="auto"/>
          <w:kern w:val="0"/>
          <w:sz w:val="24"/>
          <w:szCs w:val="32"/>
        </w:rPr>
        <w:t>三级评价项目不进行进一步预测与评价。</w:t>
      </w:r>
    </w:p>
    <w:p w14:paraId="6D4F7362">
      <w:pPr>
        <w:pStyle w:val="4"/>
        <w:rPr>
          <w:rFonts w:ascii="Times New Roman" w:hAnsi="Times New Roman" w:eastAsia="宋体"/>
          <w:snapToGrid w:val="0"/>
          <w:color w:val="auto"/>
        </w:rPr>
      </w:pPr>
      <w:r>
        <w:rPr>
          <w:rFonts w:hint="eastAsia" w:ascii="Times New Roman" w:hAnsi="Times New Roman" w:eastAsia="宋体"/>
          <w:snapToGrid w:val="0"/>
          <w:color w:val="auto"/>
          <w:lang w:val="en-US" w:eastAsia="zh-CN"/>
        </w:rPr>
        <w:t xml:space="preserve">3.4大气环境影响评价结论 </w:t>
      </w:r>
    </w:p>
    <w:p w14:paraId="40E225CD">
      <w:pPr>
        <w:adjustRightInd w:val="0"/>
        <w:snapToGrid w:val="0"/>
        <w:spacing w:line="360" w:lineRule="auto"/>
        <w:ind w:firstLine="518" w:firstLineChars="200"/>
        <w:rPr>
          <w:rFonts w:eastAsia="宋体"/>
          <w:snapToGrid w:val="0"/>
          <w:color w:val="auto"/>
          <w:kern w:val="0"/>
          <w:sz w:val="24"/>
          <w:szCs w:val="24"/>
        </w:rPr>
      </w:pPr>
      <w:r>
        <w:rPr>
          <w:rFonts w:hint="eastAsia" w:eastAsia="宋体"/>
          <w:snapToGrid w:val="0"/>
          <w:color w:val="auto"/>
          <w:kern w:val="0"/>
          <w:sz w:val="24"/>
          <w:szCs w:val="24"/>
          <w:lang w:val="en-US" w:eastAsia="zh-CN"/>
        </w:rPr>
        <w:t>（</w:t>
      </w:r>
      <w:r>
        <w:rPr>
          <w:rFonts w:hint="default" w:eastAsia="宋体"/>
          <w:snapToGrid w:val="0"/>
          <w:color w:val="auto"/>
          <w:kern w:val="0"/>
          <w:sz w:val="24"/>
          <w:szCs w:val="24"/>
          <w:lang w:val="en-US" w:eastAsia="zh-CN"/>
        </w:rPr>
        <w:t>1</w:t>
      </w:r>
      <w:r>
        <w:rPr>
          <w:rFonts w:hint="eastAsia" w:eastAsia="宋体"/>
          <w:snapToGrid w:val="0"/>
          <w:color w:val="auto"/>
          <w:kern w:val="0"/>
          <w:sz w:val="24"/>
          <w:szCs w:val="24"/>
          <w:lang w:val="en-US" w:eastAsia="zh-CN"/>
        </w:rPr>
        <w:t xml:space="preserve">）大气环境影响预测与评价 </w:t>
      </w:r>
    </w:p>
    <w:p w14:paraId="39C0149F">
      <w:pPr>
        <w:adjustRightInd w:val="0"/>
        <w:snapToGrid w:val="0"/>
        <w:spacing w:line="360" w:lineRule="auto"/>
        <w:ind w:firstLine="518" w:firstLineChars="200"/>
        <w:rPr>
          <w:rFonts w:eastAsia="宋体"/>
          <w:snapToGrid w:val="0"/>
          <w:color w:val="auto"/>
          <w:kern w:val="0"/>
          <w:sz w:val="24"/>
          <w:szCs w:val="24"/>
        </w:rPr>
      </w:pPr>
      <w:r>
        <w:rPr>
          <w:rFonts w:hint="eastAsia" w:eastAsia="宋体"/>
          <w:snapToGrid w:val="0"/>
          <w:color w:val="auto"/>
          <w:kern w:val="0"/>
          <w:sz w:val="24"/>
          <w:szCs w:val="24"/>
          <w:lang w:val="en-US" w:eastAsia="zh-CN"/>
        </w:rPr>
        <w:t xml:space="preserve">本项目区域为城市环境空气质量达标区域。 </w:t>
      </w:r>
    </w:p>
    <w:p w14:paraId="6AD57DFD">
      <w:pPr>
        <w:adjustRightInd w:val="0"/>
        <w:snapToGrid w:val="0"/>
        <w:spacing w:line="360" w:lineRule="auto"/>
        <w:ind w:firstLine="518" w:firstLineChars="200"/>
        <w:rPr>
          <w:rFonts w:eastAsia="宋体"/>
          <w:snapToGrid w:val="0"/>
          <w:color w:val="auto"/>
          <w:kern w:val="0"/>
          <w:sz w:val="24"/>
          <w:szCs w:val="24"/>
        </w:rPr>
      </w:pPr>
      <w:r>
        <w:rPr>
          <w:rFonts w:hint="eastAsia" w:eastAsia="宋体"/>
          <w:snapToGrid w:val="0"/>
          <w:color w:val="auto"/>
          <w:kern w:val="0"/>
          <w:sz w:val="24"/>
          <w:szCs w:val="24"/>
          <w:lang w:val="en-US" w:eastAsia="zh-CN"/>
        </w:rPr>
        <w:t xml:space="preserve">根据估算模式，项目污染源正常排放下污染物短期浓度贡献值的最大浓度占标率 为 </w:t>
      </w:r>
      <w:r>
        <w:rPr>
          <w:rFonts w:hint="eastAsia"/>
          <w:snapToGrid w:val="0"/>
          <w:color w:val="auto"/>
          <w:kern w:val="0"/>
          <w:sz w:val="24"/>
          <w:szCs w:val="24"/>
          <w:lang w:val="en-US" w:eastAsia="zh-CN"/>
        </w:rPr>
        <w:t>0.26</w:t>
      </w:r>
      <w:r>
        <w:rPr>
          <w:rFonts w:hint="default" w:eastAsia="宋体"/>
          <w:snapToGrid w:val="0"/>
          <w:color w:val="auto"/>
          <w:kern w:val="0"/>
          <w:sz w:val="24"/>
          <w:szCs w:val="24"/>
          <w:lang w:val="en-US" w:eastAsia="zh-CN"/>
        </w:rPr>
        <w:t>%</w:t>
      </w:r>
      <w:r>
        <w:rPr>
          <w:rFonts w:hint="eastAsia" w:eastAsia="宋体"/>
          <w:snapToGrid w:val="0"/>
          <w:color w:val="auto"/>
          <w:kern w:val="0"/>
          <w:sz w:val="24"/>
          <w:szCs w:val="24"/>
          <w:lang w:val="en-US" w:eastAsia="zh-CN"/>
        </w:rPr>
        <w:t>，小于 1</w:t>
      </w:r>
      <w:r>
        <w:rPr>
          <w:rFonts w:hint="default" w:eastAsia="宋体"/>
          <w:snapToGrid w:val="0"/>
          <w:color w:val="auto"/>
          <w:kern w:val="0"/>
          <w:sz w:val="24"/>
          <w:szCs w:val="24"/>
          <w:lang w:val="en-US" w:eastAsia="zh-CN"/>
        </w:rPr>
        <w:t>%</w:t>
      </w:r>
      <w:r>
        <w:rPr>
          <w:rFonts w:hint="eastAsia" w:eastAsia="宋体"/>
          <w:snapToGrid w:val="0"/>
          <w:color w:val="auto"/>
          <w:kern w:val="0"/>
          <w:sz w:val="24"/>
          <w:szCs w:val="24"/>
          <w:lang w:val="en-US" w:eastAsia="zh-CN"/>
        </w:rPr>
        <w:t xml:space="preserve">，项目大气环境影响符合环境功能区划的要求。综上，本项目 污染物在切实落实废气处理措施的基础上，对大气环境的影响是可接受的。 </w:t>
      </w:r>
    </w:p>
    <w:p w14:paraId="40770145">
      <w:pPr>
        <w:adjustRightInd w:val="0"/>
        <w:snapToGrid w:val="0"/>
        <w:spacing w:line="360" w:lineRule="auto"/>
        <w:ind w:firstLine="518" w:firstLineChars="200"/>
        <w:rPr>
          <w:rFonts w:eastAsia="宋体"/>
          <w:snapToGrid w:val="0"/>
          <w:color w:val="auto"/>
          <w:kern w:val="0"/>
          <w:sz w:val="24"/>
          <w:szCs w:val="24"/>
        </w:rPr>
      </w:pPr>
      <w:r>
        <w:rPr>
          <w:rFonts w:hint="eastAsia" w:eastAsia="宋体"/>
          <w:snapToGrid w:val="0"/>
          <w:color w:val="auto"/>
          <w:kern w:val="0"/>
          <w:sz w:val="24"/>
          <w:szCs w:val="24"/>
          <w:lang w:val="en-US" w:eastAsia="zh-CN"/>
        </w:rPr>
        <w:t>（</w:t>
      </w:r>
      <w:r>
        <w:rPr>
          <w:rFonts w:hint="default" w:eastAsia="宋体"/>
          <w:snapToGrid w:val="0"/>
          <w:color w:val="auto"/>
          <w:kern w:val="0"/>
          <w:sz w:val="24"/>
          <w:szCs w:val="24"/>
          <w:lang w:val="en-US" w:eastAsia="zh-CN"/>
        </w:rPr>
        <w:t>2</w:t>
      </w:r>
      <w:r>
        <w:rPr>
          <w:rFonts w:hint="eastAsia" w:eastAsia="宋体"/>
          <w:snapToGrid w:val="0"/>
          <w:color w:val="auto"/>
          <w:kern w:val="0"/>
          <w:sz w:val="24"/>
          <w:szCs w:val="24"/>
          <w:lang w:val="en-US" w:eastAsia="zh-CN"/>
        </w:rPr>
        <w:t xml:space="preserve">）大气环境防护距离 </w:t>
      </w:r>
    </w:p>
    <w:p w14:paraId="022C0340">
      <w:pPr>
        <w:adjustRightInd w:val="0"/>
        <w:snapToGrid w:val="0"/>
        <w:spacing w:line="360" w:lineRule="auto"/>
        <w:ind w:firstLine="518" w:firstLineChars="200"/>
        <w:rPr>
          <w:rFonts w:hint="default" w:eastAsia="宋体"/>
          <w:snapToGrid w:val="0"/>
          <w:color w:val="auto"/>
          <w:kern w:val="0"/>
          <w:sz w:val="24"/>
          <w:szCs w:val="24"/>
          <w:lang w:val="en-US" w:eastAsia="zh-CN"/>
        </w:rPr>
      </w:pPr>
      <w:r>
        <w:rPr>
          <w:rFonts w:hint="eastAsia" w:eastAsia="宋体"/>
          <w:snapToGrid w:val="0"/>
          <w:color w:val="auto"/>
          <w:kern w:val="0"/>
          <w:sz w:val="24"/>
          <w:szCs w:val="24"/>
          <w:lang w:val="en-US" w:eastAsia="zh-CN"/>
        </w:rPr>
        <w:t>根据《环境影响评价技术导则 大气环境》(</w:t>
      </w:r>
      <w:r>
        <w:rPr>
          <w:rFonts w:hint="default" w:eastAsia="宋体"/>
          <w:snapToGrid w:val="0"/>
          <w:color w:val="auto"/>
          <w:kern w:val="0"/>
          <w:sz w:val="24"/>
          <w:szCs w:val="24"/>
          <w:lang w:val="en-US" w:eastAsia="zh-CN"/>
        </w:rPr>
        <w:t>HJ3.2-2018</w:t>
      </w:r>
      <w:r>
        <w:rPr>
          <w:rFonts w:hint="eastAsia" w:eastAsia="宋体"/>
          <w:snapToGrid w:val="0"/>
          <w:color w:val="auto"/>
          <w:kern w:val="0"/>
          <w:sz w:val="24"/>
          <w:szCs w:val="24"/>
          <w:lang w:val="en-US" w:eastAsia="zh-CN"/>
        </w:rPr>
        <w:t>)</w:t>
      </w:r>
      <w:r>
        <w:rPr>
          <w:rFonts w:hint="default" w:eastAsia="宋体"/>
          <w:snapToGrid w:val="0"/>
          <w:color w:val="auto"/>
          <w:kern w:val="0"/>
          <w:sz w:val="24"/>
          <w:szCs w:val="24"/>
          <w:lang w:val="en-US" w:eastAsia="zh-CN"/>
        </w:rPr>
        <w:t>8.7.5</w:t>
      </w:r>
      <w:r>
        <w:rPr>
          <w:rFonts w:hint="eastAsia" w:eastAsia="宋体"/>
          <w:snapToGrid w:val="0"/>
          <w:color w:val="auto"/>
          <w:kern w:val="0"/>
          <w:sz w:val="24"/>
          <w:szCs w:val="24"/>
          <w:lang w:val="en-US" w:eastAsia="zh-CN"/>
        </w:rPr>
        <w:t>：“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由于本项目根据估算模式估算的最 大落地浓度均达标，故本项目无需设置大气环境防护距离</w:t>
      </w:r>
      <w:r>
        <w:rPr>
          <w:rFonts w:hint="default" w:eastAsia="宋体"/>
          <w:snapToGrid w:val="0"/>
          <w:color w:val="auto"/>
          <w:kern w:val="0"/>
          <w:sz w:val="24"/>
          <w:szCs w:val="24"/>
          <w:lang w:val="en-US" w:eastAsia="zh-CN"/>
        </w:rPr>
        <w:t>。</w:t>
      </w:r>
    </w:p>
    <w:p w14:paraId="7B601942">
      <w:pPr>
        <w:pStyle w:val="4"/>
        <w:rPr>
          <w:rFonts w:ascii="Times New Roman" w:hAnsi="Times New Roman"/>
          <w:snapToGrid w:val="0"/>
          <w:color w:val="auto"/>
          <w:kern w:val="0"/>
          <w:szCs w:val="21"/>
        </w:rPr>
      </w:pPr>
      <w:bookmarkStart w:id="47" w:name="_Toc97323101"/>
      <w:r>
        <w:rPr>
          <w:rFonts w:ascii="Times New Roman" w:hAnsi="Times New Roman"/>
          <w:snapToGrid w:val="0"/>
          <w:color w:val="auto"/>
        </w:rPr>
        <w:t>3.</w:t>
      </w:r>
      <w:r>
        <w:rPr>
          <w:rFonts w:hint="eastAsia" w:ascii="Times New Roman" w:hAnsi="Times New Roman"/>
          <w:snapToGrid w:val="0"/>
          <w:color w:val="auto"/>
          <w:lang w:val="en-US" w:eastAsia="zh-CN"/>
        </w:rPr>
        <w:t>5</w:t>
      </w:r>
      <w:r>
        <w:rPr>
          <w:rFonts w:ascii="Times New Roman" w:hAnsi="Times New Roman"/>
          <w:snapToGrid w:val="0"/>
          <w:color w:val="auto"/>
          <w:kern w:val="0"/>
          <w:szCs w:val="21"/>
        </w:rPr>
        <w:t>监测计划</w:t>
      </w:r>
      <w:bookmarkEnd w:id="47"/>
    </w:p>
    <w:p w14:paraId="3577C284">
      <w:pPr>
        <w:adjustRightInd w:val="0"/>
        <w:snapToGrid w:val="0"/>
        <w:spacing w:line="360" w:lineRule="auto"/>
        <w:ind w:firstLine="518" w:firstLineChars="200"/>
        <w:rPr>
          <w:snapToGrid w:val="0"/>
          <w:color w:val="auto"/>
          <w:kern w:val="0"/>
          <w:sz w:val="24"/>
          <w:szCs w:val="24"/>
        </w:rPr>
      </w:pPr>
      <w:r>
        <w:rPr>
          <w:rFonts w:hint="eastAsia"/>
          <w:snapToGrid w:val="0"/>
          <w:color w:val="auto"/>
          <w:kern w:val="0"/>
          <w:sz w:val="24"/>
          <w:szCs w:val="24"/>
        </w:rPr>
        <w:t>根据</w:t>
      </w:r>
      <w:r>
        <w:rPr>
          <w:rFonts w:hint="default" w:ascii="Times New Roman" w:hAnsi="Times New Roman" w:cs="Times New Roman"/>
          <w:snapToGrid w:val="0"/>
          <w:color w:val="auto"/>
          <w:sz w:val="24"/>
          <w:szCs w:val="24"/>
          <w:highlight w:val="none"/>
        </w:rPr>
        <w:t>《</w:t>
      </w:r>
      <w:r>
        <w:rPr>
          <w:rFonts w:hint="default" w:ascii="Times New Roman" w:hAnsi="Times New Roman" w:cs="Times New Roman"/>
          <w:snapToGrid w:val="0"/>
          <w:color w:val="auto"/>
          <w:sz w:val="24"/>
          <w:szCs w:val="24"/>
          <w:highlight w:val="none"/>
          <w:lang w:val="en-US" w:eastAsia="zh-CN"/>
        </w:rPr>
        <w:t>排污许可证申请与核发技术规范</w:t>
      </w:r>
      <w:r>
        <w:rPr>
          <w:rFonts w:hint="default" w:ascii="Times New Roman" w:hAnsi="Times New Roman" w:cs="Times New Roman"/>
          <w:snapToGrid w:val="0"/>
          <w:color w:val="auto"/>
          <w:sz w:val="24"/>
          <w:szCs w:val="24"/>
          <w:highlight w:val="none"/>
        </w:rPr>
        <w:t xml:space="preserve"> </w:t>
      </w:r>
      <w:r>
        <w:rPr>
          <w:rFonts w:hint="default" w:ascii="Times New Roman" w:hAnsi="Times New Roman" w:cs="Times New Roman"/>
          <w:snapToGrid w:val="0"/>
          <w:color w:val="auto"/>
          <w:sz w:val="24"/>
          <w:szCs w:val="24"/>
          <w:highlight w:val="none"/>
          <w:lang w:val="en-US" w:eastAsia="zh-CN"/>
        </w:rPr>
        <w:t>汽车制造业</w:t>
      </w:r>
      <w:r>
        <w:rPr>
          <w:rFonts w:hint="default" w:ascii="Times New Roman" w:hAnsi="Times New Roman" w:cs="Times New Roman"/>
          <w:snapToGrid w:val="0"/>
          <w:color w:val="auto"/>
          <w:sz w:val="24"/>
          <w:szCs w:val="24"/>
          <w:highlight w:val="none"/>
        </w:rPr>
        <w:t>》（HJ</w:t>
      </w:r>
      <w:r>
        <w:rPr>
          <w:rFonts w:hint="default" w:ascii="Times New Roman" w:hAnsi="Times New Roman" w:cs="Times New Roman"/>
          <w:snapToGrid w:val="0"/>
          <w:color w:val="auto"/>
          <w:sz w:val="24"/>
          <w:szCs w:val="24"/>
          <w:highlight w:val="none"/>
          <w:lang w:val="en-US" w:eastAsia="zh-CN"/>
        </w:rPr>
        <w:t xml:space="preserve"> 971</w:t>
      </w:r>
      <w:r>
        <w:rPr>
          <w:rFonts w:hint="default" w:ascii="Times New Roman" w:hAnsi="Times New Roman" w:cs="Times New Roman"/>
          <w:snapToGrid w:val="0"/>
          <w:color w:val="auto"/>
          <w:sz w:val="24"/>
          <w:szCs w:val="24"/>
          <w:highlight w:val="none"/>
        </w:rPr>
        <w:t>-20</w:t>
      </w:r>
      <w:r>
        <w:rPr>
          <w:rFonts w:hint="default" w:ascii="Times New Roman" w:hAnsi="Times New Roman" w:cs="Times New Roman"/>
          <w:snapToGrid w:val="0"/>
          <w:color w:val="auto"/>
          <w:sz w:val="24"/>
          <w:szCs w:val="24"/>
          <w:highlight w:val="none"/>
          <w:lang w:val="en-US" w:eastAsia="zh-CN"/>
        </w:rPr>
        <w:t>18</w:t>
      </w:r>
      <w:r>
        <w:rPr>
          <w:rFonts w:hint="default" w:ascii="Times New Roman" w:hAnsi="Times New Roman" w:cs="Times New Roman"/>
          <w:snapToGrid w:val="0"/>
          <w:color w:val="auto"/>
          <w:sz w:val="24"/>
          <w:szCs w:val="24"/>
          <w:highlight w:val="none"/>
        </w:rPr>
        <w:t>）</w:t>
      </w:r>
      <w:r>
        <w:rPr>
          <w:rFonts w:hint="eastAsia"/>
          <w:snapToGrid w:val="0"/>
          <w:color w:val="auto"/>
          <w:kern w:val="0"/>
          <w:sz w:val="24"/>
          <w:szCs w:val="24"/>
        </w:rPr>
        <w:t>，本项目监测要求如下</w:t>
      </w:r>
      <w:r>
        <w:rPr>
          <w:snapToGrid w:val="0"/>
          <w:color w:val="auto"/>
          <w:kern w:val="0"/>
          <w:sz w:val="24"/>
          <w:szCs w:val="24"/>
        </w:rPr>
        <w:t>，大气污染源监测计划见表3-1</w:t>
      </w:r>
      <w:r>
        <w:rPr>
          <w:rFonts w:hint="eastAsia"/>
          <w:snapToGrid w:val="0"/>
          <w:color w:val="auto"/>
          <w:kern w:val="0"/>
          <w:sz w:val="24"/>
          <w:szCs w:val="24"/>
          <w:lang w:val="en-US" w:eastAsia="zh-CN"/>
        </w:rPr>
        <w:t>2</w:t>
      </w:r>
      <w:r>
        <w:rPr>
          <w:snapToGrid w:val="0"/>
          <w:color w:val="auto"/>
          <w:kern w:val="0"/>
          <w:sz w:val="24"/>
          <w:szCs w:val="24"/>
        </w:rPr>
        <w:t>。</w:t>
      </w:r>
    </w:p>
    <w:p w14:paraId="307A59BF">
      <w:pPr>
        <w:adjustRightInd w:val="0"/>
        <w:snapToGrid w:val="0"/>
        <w:spacing w:line="240" w:lineRule="auto"/>
        <w:jc w:val="center"/>
        <w:rPr>
          <w:b/>
          <w:bCs/>
          <w:snapToGrid w:val="0"/>
          <w:color w:val="auto"/>
          <w:kern w:val="0"/>
          <w:szCs w:val="21"/>
        </w:rPr>
      </w:pPr>
      <w:r>
        <w:rPr>
          <w:b/>
          <w:bCs/>
          <w:snapToGrid w:val="0"/>
          <w:color w:val="auto"/>
          <w:kern w:val="0"/>
          <w:szCs w:val="21"/>
        </w:rPr>
        <w:t>表3-1</w:t>
      </w:r>
      <w:r>
        <w:rPr>
          <w:rFonts w:hint="eastAsia"/>
          <w:b/>
          <w:bCs/>
          <w:snapToGrid w:val="0"/>
          <w:color w:val="auto"/>
          <w:kern w:val="0"/>
          <w:szCs w:val="21"/>
          <w:lang w:val="en-US" w:eastAsia="zh-CN"/>
        </w:rPr>
        <w:t>2</w:t>
      </w:r>
      <w:r>
        <w:rPr>
          <w:b/>
          <w:bCs/>
          <w:snapToGrid w:val="0"/>
          <w:color w:val="auto"/>
          <w:kern w:val="0"/>
          <w:szCs w:val="21"/>
        </w:rPr>
        <w:t xml:space="preserve">  大气污染源监测计划</w:t>
      </w:r>
    </w:p>
    <w:tbl>
      <w:tblPr>
        <w:tblStyle w:val="2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2"/>
        <w:gridCol w:w="1549"/>
        <w:gridCol w:w="1632"/>
        <w:gridCol w:w="3229"/>
        <w:gridCol w:w="1647"/>
      </w:tblGrid>
      <w:tr w14:paraId="5319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58" w:type="pct"/>
            <w:noWrap w:val="0"/>
            <w:vAlign w:val="center"/>
          </w:tcPr>
          <w:p w14:paraId="6C203675">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类别</w:t>
            </w:r>
          </w:p>
        </w:tc>
        <w:tc>
          <w:tcPr>
            <w:tcW w:w="1713" w:type="pct"/>
            <w:gridSpan w:val="2"/>
            <w:noWrap w:val="0"/>
            <w:vAlign w:val="center"/>
          </w:tcPr>
          <w:p w14:paraId="1CB4726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监测点位</w:t>
            </w:r>
          </w:p>
        </w:tc>
        <w:tc>
          <w:tcPr>
            <w:tcW w:w="1739" w:type="pct"/>
            <w:noWrap w:val="0"/>
            <w:vAlign w:val="center"/>
          </w:tcPr>
          <w:p w14:paraId="37515E6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监测项目</w:t>
            </w:r>
          </w:p>
        </w:tc>
        <w:tc>
          <w:tcPr>
            <w:tcW w:w="887" w:type="pct"/>
            <w:noWrap w:val="0"/>
            <w:vAlign w:val="center"/>
          </w:tcPr>
          <w:p w14:paraId="180A50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监测频次</w:t>
            </w:r>
          </w:p>
        </w:tc>
      </w:tr>
      <w:tr w14:paraId="1CE4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58" w:type="pct"/>
            <w:vMerge w:val="restart"/>
            <w:noWrap w:val="0"/>
            <w:vAlign w:val="center"/>
          </w:tcPr>
          <w:p w14:paraId="7FAE9DE2">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废气</w:t>
            </w:r>
          </w:p>
        </w:tc>
        <w:tc>
          <w:tcPr>
            <w:tcW w:w="834" w:type="pct"/>
            <w:vMerge w:val="restart"/>
            <w:noWrap w:val="0"/>
            <w:vAlign w:val="center"/>
          </w:tcPr>
          <w:p w14:paraId="05AA9D7B">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有组织</w:t>
            </w:r>
          </w:p>
        </w:tc>
        <w:tc>
          <w:tcPr>
            <w:tcW w:w="879" w:type="pct"/>
            <w:noWrap w:val="0"/>
            <w:vAlign w:val="center"/>
          </w:tcPr>
          <w:p w14:paraId="75006B2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DA001</w:t>
            </w:r>
          </w:p>
        </w:tc>
        <w:tc>
          <w:tcPr>
            <w:tcW w:w="1739" w:type="pct"/>
            <w:noWrap w:val="0"/>
            <w:vAlign w:val="center"/>
          </w:tcPr>
          <w:p w14:paraId="1788981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颗粒物</w:t>
            </w:r>
          </w:p>
        </w:tc>
        <w:tc>
          <w:tcPr>
            <w:tcW w:w="887" w:type="pct"/>
            <w:vMerge w:val="restart"/>
            <w:noWrap w:val="0"/>
            <w:vAlign w:val="center"/>
          </w:tcPr>
          <w:p w14:paraId="52ABD59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1次/年</w:t>
            </w:r>
          </w:p>
        </w:tc>
      </w:tr>
      <w:tr w14:paraId="329C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58" w:type="pct"/>
            <w:vMerge w:val="continue"/>
            <w:noWrap w:val="0"/>
            <w:vAlign w:val="center"/>
          </w:tcPr>
          <w:p w14:paraId="532DCDF8">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c>
          <w:tcPr>
            <w:tcW w:w="834" w:type="pct"/>
            <w:vMerge w:val="continue"/>
            <w:noWrap w:val="0"/>
            <w:vAlign w:val="center"/>
          </w:tcPr>
          <w:p w14:paraId="6803A681">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c>
          <w:tcPr>
            <w:tcW w:w="879" w:type="pct"/>
            <w:noWrap w:val="0"/>
            <w:vAlign w:val="center"/>
          </w:tcPr>
          <w:p w14:paraId="15BBE9F8">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DA002</w:t>
            </w:r>
          </w:p>
        </w:tc>
        <w:tc>
          <w:tcPr>
            <w:tcW w:w="1739" w:type="pct"/>
            <w:noWrap w:val="0"/>
            <w:vAlign w:val="center"/>
          </w:tcPr>
          <w:p w14:paraId="0052D159">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非甲烷总烃、</w:t>
            </w:r>
            <w:r>
              <w:rPr>
                <w:rFonts w:hint="eastAsia" w:cs="Times New Roman"/>
                <w:color w:val="auto"/>
                <w:kern w:val="0"/>
                <w:sz w:val="21"/>
                <w:szCs w:val="21"/>
                <w:highlight w:val="none"/>
                <w:lang w:val="en-US" w:eastAsia="zh-CN" w:bidi="ar"/>
              </w:rPr>
              <w:t>甲醛、苯酚</w:t>
            </w:r>
          </w:p>
        </w:tc>
        <w:tc>
          <w:tcPr>
            <w:tcW w:w="887" w:type="pct"/>
            <w:vMerge w:val="continue"/>
            <w:noWrap w:val="0"/>
            <w:vAlign w:val="center"/>
          </w:tcPr>
          <w:p w14:paraId="45063DE8">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r>
      <w:tr w14:paraId="6F84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58" w:type="pct"/>
            <w:vMerge w:val="continue"/>
            <w:noWrap w:val="0"/>
            <w:vAlign w:val="center"/>
          </w:tcPr>
          <w:p w14:paraId="653C67EF">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c>
          <w:tcPr>
            <w:tcW w:w="834" w:type="pct"/>
            <w:vMerge w:val="continue"/>
            <w:noWrap w:val="0"/>
            <w:vAlign w:val="center"/>
          </w:tcPr>
          <w:p w14:paraId="0463525D">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c>
          <w:tcPr>
            <w:tcW w:w="879" w:type="pct"/>
            <w:noWrap w:val="0"/>
            <w:vAlign w:val="center"/>
          </w:tcPr>
          <w:p w14:paraId="6618F967">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DA003</w:t>
            </w:r>
          </w:p>
        </w:tc>
        <w:tc>
          <w:tcPr>
            <w:tcW w:w="1739" w:type="pct"/>
            <w:noWrap w:val="0"/>
            <w:vAlign w:val="center"/>
          </w:tcPr>
          <w:p w14:paraId="4F3286AA">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颗粒物</w:t>
            </w:r>
          </w:p>
        </w:tc>
        <w:tc>
          <w:tcPr>
            <w:tcW w:w="887" w:type="pct"/>
            <w:vMerge w:val="continue"/>
            <w:noWrap w:val="0"/>
            <w:vAlign w:val="center"/>
          </w:tcPr>
          <w:p w14:paraId="4C20EC58">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r>
      <w:tr w14:paraId="1B3B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58" w:type="pct"/>
            <w:vMerge w:val="continue"/>
            <w:noWrap w:val="0"/>
            <w:vAlign w:val="center"/>
          </w:tcPr>
          <w:p w14:paraId="027132DE">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c>
          <w:tcPr>
            <w:tcW w:w="834" w:type="pct"/>
            <w:vMerge w:val="continue"/>
            <w:noWrap w:val="0"/>
            <w:vAlign w:val="center"/>
          </w:tcPr>
          <w:p w14:paraId="6109A04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c>
          <w:tcPr>
            <w:tcW w:w="879" w:type="pct"/>
            <w:noWrap w:val="0"/>
            <w:vAlign w:val="center"/>
          </w:tcPr>
          <w:p w14:paraId="3E257BFD">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DA004</w:t>
            </w:r>
          </w:p>
        </w:tc>
        <w:tc>
          <w:tcPr>
            <w:tcW w:w="1739" w:type="pct"/>
            <w:noWrap w:val="0"/>
            <w:vAlign w:val="center"/>
          </w:tcPr>
          <w:p w14:paraId="49F9854F">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非甲烷总烃</w:t>
            </w:r>
          </w:p>
        </w:tc>
        <w:tc>
          <w:tcPr>
            <w:tcW w:w="887" w:type="pct"/>
            <w:vMerge w:val="continue"/>
            <w:noWrap w:val="0"/>
            <w:vAlign w:val="center"/>
          </w:tcPr>
          <w:p w14:paraId="618000C2">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r>
      <w:tr w14:paraId="39CE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658" w:type="pct"/>
            <w:vMerge w:val="continue"/>
            <w:noWrap w:val="0"/>
            <w:vAlign w:val="center"/>
          </w:tcPr>
          <w:p w14:paraId="533B2CBC">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c>
          <w:tcPr>
            <w:tcW w:w="834" w:type="pct"/>
            <w:vMerge w:val="restart"/>
            <w:noWrap w:val="0"/>
            <w:vAlign w:val="center"/>
          </w:tcPr>
          <w:p w14:paraId="01960FDA">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无组织</w:t>
            </w:r>
          </w:p>
        </w:tc>
        <w:tc>
          <w:tcPr>
            <w:tcW w:w="879" w:type="pct"/>
            <w:noWrap w:val="0"/>
            <w:vAlign w:val="center"/>
          </w:tcPr>
          <w:p w14:paraId="09F19026">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厂界</w:t>
            </w:r>
          </w:p>
        </w:tc>
        <w:tc>
          <w:tcPr>
            <w:tcW w:w="1739" w:type="pct"/>
            <w:noWrap w:val="0"/>
            <w:vAlign w:val="center"/>
          </w:tcPr>
          <w:p w14:paraId="56051F4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颗粒物、非甲烷总烃、</w:t>
            </w:r>
            <w:r>
              <w:rPr>
                <w:rFonts w:hint="eastAsia" w:cs="Times New Roman"/>
                <w:color w:val="auto"/>
                <w:kern w:val="0"/>
                <w:sz w:val="21"/>
                <w:szCs w:val="21"/>
                <w:highlight w:val="none"/>
                <w:lang w:val="en-US" w:eastAsia="zh-CN" w:bidi="ar"/>
              </w:rPr>
              <w:t>甲醛、苯酚</w:t>
            </w:r>
          </w:p>
        </w:tc>
        <w:tc>
          <w:tcPr>
            <w:tcW w:w="887" w:type="pct"/>
            <w:vMerge w:val="continue"/>
            <w:noWrap w:val="0"/>
            <w:vAlign w:val="center"/>
          </w:tcPr>
          <w:p w14:paraId="7252A15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bidi="ar"/>
              </w:rPr>
            </w:pPr>
          </w:p>
        </w:tc>
      </w:tr>
      <w:tr w14:paraId="1276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58" w:type="pct"/>
            <w:vMerge w:val="continue"/>
            <w:noWrap w:val="0"/>
            <w:vAlign w:val="center"/>
          </w:tcPr>
          <w:p w14:paraId="306793C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c>
          <w:tcPr>
            <w:tcW w:w="834" w:type="pct"/>
            <w:vMerge w:val="continue"/>
            <w:noWrap w:val="0"/>
            <w:vAlign w:val="center"/>
          </w:tcPr>
          <w:p w14:paraId="023E972D">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p>
        </w:tc>
        <w:tc>
          <w:tcPr>
            <w:tcW w:w="879" w:type="pct"/>
            <w:noWrap w:val="0"/>
            <w:vAlign w:val="center"/>
          </w:tcPr>
          <w:p w14:paraId="646F969A">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厂区</w:t>
            </w:r>
          </w:p>
        </w:tc>
        <w:tc>
          <w:tcPr>
            <w:tcW w:w="1739" w:type="pct"/>
            <w:noWrap w:val="0"/>
            <w:vAlign w:val="center"/>
          </w:tcPr>
          <w:p w14:paraId="717630E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非甲烷总烃</w:t>
            </w:r>
          </w:p>
        </w:tc>
        <w:tc>
          <w:tcPr>
            <w:tcW w:w="887" w:type="pct"/>
            <w:vMerge w:val="continue"/>
            <w:noWrap w:val="0"/>
            <w:vAlign w:val="center"/>
          </w:tcPr>
          <w:p w14:paraId="2FF6646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bidi="ar"/>
              </w:rPr>
            </w:pPr>
          </w:p>
        </w:tc>
      </w:tr>
    </w:tbl>
    <w:p w14:paraId="569267A9">
      <w:pPr>
        <w:pStyle w:val="74"/>
        <w:spacing w:line="360" w:lineRule="auto"/>
        <w:ind w:firstLine="518"/>
        <w:rPr>
          <w:snapToGrid w:val="0"/>
          <w:color w:val="auto"/>
          <w:sz w:val="24"/>
          <w:szCs w:val="32"/>
        </w:rPr>
      </w:pPr>
      <w:r>
        <w:rPr>
          <w:snapToGrid w:val="0"/>
          <w:color w:val="auto"/>
          <w:sz w:val="24"/>
          <w:szCs w:val="32"/>
        </w:rPr>
        <w:t>本项目大气环境影响评价自查见表 3-1</w:t>
      </w:r>
      <w:r>
        <w:rPr>
          <w:rFonts w:hint="eastAsia"/>
          <w:snapToGrid w:val="0"/>
          <w:color w:val="auto"/>
          <w:sz w:val="24"/>
          <w:szCs w:val="32"/>
          <w:lang w:val="en-US" w:eastAsia="zh-CN"/>
        </w:rPr>
        <w:t>3</w:t>
      </w:r>
      <w:r>
        <w:rPr>
          <w:snapToGrid w:val="0"/>
          <w:color w:val="auto"/>
          <w:sz w:val="24"/>
          <w:szCs w:val="32"/>
        </w:rPr>
        <w:t xml:space="preserve">。 </w:t>
      </w:r>
    </w:p>
    <w:p w14:paraId="1251AFCF">
      <w:pPr>
        <w:adjustRightInd w:val="0"/>
        <w:snapToGrid w:val="0"/>
        <w:spacing w:line="240" w:lineRule="auto"/>
        <w:jc w:val="center"/>
        <w:rPr>
          <w:b/>
          <w:color w:val="auto"/>
        </w:rPr>
      </w:pPr>
      <w:r>
        <w:rPr>
          <w:b/>
          <w:color w:val="auto"/>
        </w:rPr>
        <w:t>表3-1</w:t>
      </w:r>
      <w:r>
        <w:rPr>
          <w:rFonts w:hint="eastAsia"/>
          <w:b/>
          <w:color w:val="auto"/>
          <w:lang w:val="en-US" w:eastAsia="zh-CN"/>
        </w:rPr>
        <w:t>3</w:t>
      </w:r>
      <w:r>
        <w:rPr>
          <w:b/>
          <w:color w:val="auto"/>
        </w:rPr>
        <w:t xml:space="preserve">   大气环境影响评价自查表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1"/>
        <w:gridCol w:w="1418"/>
        <w:gridCol w:w="984"/>
        <w:gridCol w:w="279"/>
        <w:gridCol w:w="191"/>
        <w:gridCol w:w="105"/>
        <w:gridCol w:w="544"/>
        <w:gridCol w:w="919"/>
        <w:gridCol w:w="86"/>
        <w:gridCol w:w="658"/>
        <w:gridCol w:w="144"/>
        <w:gridCol w:w="428"/>
        <w:gridCol w:w="62"/>
        <w:gridCol w:w="353"/>
        <w:gridCol w:w="662"/>
        <w:gridCol w:w="729"/>
        <w:gridCol w:w="730"/>
      </w:tblGrid>
      <w:tr w14:paraId="27E2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exact"/>
          <w:jc w:val="center"/>
        </w:trPr>
        <w:tc>
          <w:tcPr>
            <w:tcW w:w="2059" w:type="dxa"/>
            <w:gridSpan w:val="2"/>
            <w:noWrap w:val="0"/>
            <w:vAlign w:val="center"/>
          </w:tcPr>
          <w:p w14:paraId="2C1D7295">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工作内容</w:t>
            </w:r>
          </w:p>
        </w:tc>
        <w:tc>
          <w:tcPr>
            <w:tcW w:w="6874" w:type="dxa"/>
            <w:gridSpan w:val="15"/>
            <w:noWrap w:val="0"/>
            <w:vAlign w:val="center"/>
          </w:tcPr>
          <w:p w14:paraId="3EE15B8E">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自查项目</w:t>
            </w:r>
          </w:p>
        </w:tc>
      </w:tr>
      <w:tr w14:paraId="2E33F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exact"/>
          <w:jc w:val="center"/>
        </w:trPr>
        <w:tc>
          <w:tcPr>
            <w:tcW w:w="641" w:type="dxa"/>
            <w:vMerge w:val="restart"/>
            <w:noWrap w:val="0"/>
            <w:vAlign w:val="center"/>
          </w:tcPr>
          <w:p w14:paraId="57FEA8D0">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评价等级与范 围</w:t>
            </w:r>
          </w:p>
        </w:tc>
        <w:tc>
          <w:tcPr>
            <w:tcW w:w="1418" w:type="dxa"/>
            <w:noWrap w:val="0"/>
            <w:vAlign w:val="center"/>
          </w:tcPr>
          <w:p w14:paraId="46CB21B2">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评价等级</w:t>
            </w:r>
          </w:p>
        </w:tc>
        <w:tc>
          <w:tcPr>
            <w:tcW w:w="2103" w:type="dxa"/>
            <w:gridSpan w:val="5"/>
            <w:noWrap w:val="0"/>
            <w:vAlign w:val="center"/>
          </w:tcPr>
          <w:p w14:paraId="5BD4B295">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一级□</w:t>
            </w:r>
          </w:p>
        </w:tc>
        <w:tc>
          <w:tcPr>
            <w:tcW w:w="3312" w:type="dxa"/>
            <w:gridSpan w:val="8"/>
            <w:noWrap w:val="0"/>
            <w:vAlign w:val="center"/>
          </w:tcPr>
          <w:p w14:paraId="758FE197">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二级</w:t>
            </w:r>
            <w:r>
              <w:rPr>
                <w:rFonts w:ascii="Times New Roman" w:hAnsi="Times New Roman"/>
                <w:snapToGrid w:val="0"/>
                <w:color w:val="auto"/>
                <w:sz w:val="21"/>
                <w:szCs w:val="21"/>
              </w:rPr>
              <w:sym w:font="Wingdings 2" w:char="00A3"/>
            </w:r>
          </w:p>
        </w:tc>
        <w:tc>
          <w:tcPr>
            <w:tcW w:w="1459" w:type="dxa"/>
            <w:gridSpan w:val="2"/>
            <w:noWrap w:val="0"/>
            <w:vAlign w:val="center"/>
          </w:tcPr>
          <w:p w14:paraId="4B75D3D1">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三级</w:t>
            </w:r>
            <w:r>
              <w:rPr>
                <w:rFonts w:hint="eastAsia" w:ascii="Times New Roman" w:hAnsi="Times New Roman"/>
                <w:snapToGrid w:val="0"/>
                <w:color w:val="auto"/>
                <w:sz w:val="21"/>
                <w:szCs w:val="21"/>
                <w:lang w:eastAsia="zh-CN"/>
              </w:rPr>
              <w:t>☑</w:t>
            </w:r>
            <w:r>
              <w:rPr>
                <w:rFonts w:ascii="Times New Roman" w:hAnsi="Times New Roman"/>
                <w:snapToGrid w:val="0"/>
                <w:color w:val="auto"/>
                <w:sz w:val="21"/>
                <w:szCs w:val="21"/>
              </w:rPr>
              <w:t></w:t>
            </w:r>
          </w:p>
        </w:tc>
      </w:tr>
      <w:tr w14:paraId="5538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exact"/>
          <w:jc w:val="center"/>
        </w:trPr>
        <w:tc>
          <w:tcPr>
            <w:tcW w:w="641" w:type="dxa"/>
            <w:vMerge w:val="continue"/>
            <w:noWrap w:val="0"/>
            <w:vAlign w:val="center"/>
          </w:tcPr>
          <w:p w14:paraId="3E28F0CF">
            <w:pPr>
              <w:widowControl/>
              <w:adjustRightInd w:val="0"/>
              <w:snapToGrid w:val="0"/>
              <w:spacing w:line="240" w:lineRule="auto"/>
              <w:jc w:val="center"/>
              <w:rPr>
                <w:snapToGrid w:val="0"/>
                <w:color w:val="auto"/>
                <w:kern w:val="0"/>
                <w:szCs w:val="21"/>
                <w:lang w:eastAsia="en-US"/>
              </w:rPr>
            </w:pPr>
          </w:p>
        </w:tc>
        <w:tc>
          <w:tcPr>
            <w:tcW w:w="1418" w:type="dxa"/>
            <w:noWrap w:val="0"/>
            <w:vAlign w:val="center"/>
          </w:tcPr>
          <w:p w14:paraId="6E8BDA10">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评价范围</w:t>
            </w:r>
          </w:p>
        </w:tc>
        <w:tc>
          <w:tcPr>
            <w:tcW w:w="2103" w:type="dxa"/>
            <w:gridSpan w:val="5"/>
            <w:noWrap w:val="0"/>
            <w:vAlign w:val="center"/>
          </w:tcPr>
          <w:p w14:paraId="3E5FD464">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边长=50km□</w:t>
            </w:r>
          </w:p>
        </w:tc>
        <w:tc>
          <w:tcPr>
            <w:tcW w:w="3312" w:type="dxa"/>
            <w:gridSpan w:val="8"/>
            <w:noWrap w:val="0"/>
            <w:vAlign w:val="center"/>
          </w:tcPr>
          <w:p w14:paraId="531B71A9">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边长 5~50km□</w:t>
            </w:r>
          </w:p>
        </w:tc>
        <w:tc>
          <w:tcPr>
            <w:tcW w:w="1459" w:type="dxa"/>
            <w:gridSpan w:val="2"/>
            <w:noWrap w:val="0"/>
            <w:vAlign w:val="center"/>
          </w:tcPr>
          <w:p w14:paraId="48B772A3">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边长=5km</w:t>
            </w:r>
            <w:r>
              <w:rPr>
                <w:rFonts w:ascii="Times New Roman" w:hAnsi="Times New Roman"/>
                <w:snapToGrid w:val="0"/>
                <w:color w:val="auto"/>
                <w:sz w:val="21"/>
                <w:szCs w:val="21"/>
              </w:rPr>
              <w:sym w:font="Wingdings 2" w:char="00A3"/>
            </w:r>
            <w:r>
              <w:rPr>
                <w:rFonts w:ascii="Times New Roman" w:hAnsi="Times New Roman"/>
                <w:snapToGrid w:val="0"/>
                <w:color w:val="auto"/>
                <w:sz w:val="21"/>
                <w:szCs w:val="21"/>
              </w:rPr>
              <w:t></w:t>
            </w:r>
          </w:p>
        </w:tc>
      </w:tr>
      <w:tr w14:paraId="4E68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exact"/>
          <w:jc w:val="center"/>
        </w:trPr>
        <w:tc>
          <w:tcPr>
            <w:tcW w:w="641" w:type="dxa"/>
            <w:vMerge w:val="restart"/>
            <w:noWrap w:val="0"/>
            <w:vAlign w:val="center"/>
          </w:tcPr>
          <w:p w14:paraId="51663EED">
            <w:pPr>
              <w:adjustRightInd w:val="0"/>
              <w:snapToGrid w:val="0"/>
              <w:spacing w:line="240" w:lineRule="auto"/>
              <w:jc w:val="center"/>
              <w:rPr>
                <w:snapToGrid w:val="0"/>
                <w:color w:val="auto"/>
                <w:kern w:val="0"/>
                <w:sz w:val="21"/>
                <w:szCs w:val="21"/>
              </w:rPr>
            </w:pPr>
            <w:r>
              <w:rPr>
                <w:snapToGrid w:val="0"/>
                <w:color w:val="auto"/>
                <w:kern w:val="0"/>
                <w:sz w:val="21"/>
                <w:szCs w:val="21"/>
              </w:rPr>
              <w:t>评价</w:t>
            </w:r>
          </w:p>
          <w:p w14:paraId="05A9EF31">
            <w:pPr>
              <w:adjustRightInd w:val="0"/>
              <w:snapToGrid w:val="0"/>
              <w:spacing w:line="240" w:lineRule="auto"/>
              <w:jc w:val="center"/>
              <w:rPr>
                <w:snapToGrid w:val="0"/>
                <w:color w:val="auto"/>
                <w:kern w:val="0"/>
                <w:szCs w:val="21"/>
              </w:rPr>
            </w:pPr>
            <w:r>
              <w:rPr>
                <w:snapToGrid w:val="0"/>
                <w:color w:val="auto"/>
                <w:kern w:val="0"/>
                <w:sz w:val="21"/>
                <w:szCs w:val="21"/>
              </w:rPr>
              <w:t>因子</w:t>
            </w:r>
          </w:p>
        </w:tc>
        <w:tc>
          <w:tcPr>
            <w:tcW w:w="1418" w:type="dxa"/>
            <w:noWrap w:val="0"/>
            <w:vAlign w:val="center"/>
          </w:tcPr>
          <w:p w14:paraId="17583C8F">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SO</w:t>
            </w:r>
            <w:r>
              <w:rPr>
                <w:rFonts w:ascii="Times New Roman" w:hAnsi="Times New Roman"/>
                <w:snapToGrid w:val="0"/>
                <w:color w:val="auto"/>
                <w:sz w:val="21"/>
                <w:szCs w:val="21"/>
                <w:vertAlign w:val="subscript"/>
              </w:rPr>
              <w:t>2</w:t>
            </w:r>
            <w:r>
              <w:rPr>
                <w:rFonts w:ascii="Times New Roman" w:hAnsi="Times New Roman"/>
                <w:snapToGrid w:val="0"/>
                <w:color w:val="auto"/>
                <w:sz w:val="21"/>
                <w:szCs w:val="21"/>
              </w:rPr>
              <w:t>+NO</w:t>
            </w:r>
            <w:r>
              <w:rPr>
                <w:rFonts w:ascii="Times New Roman" w:hAnsi="Times New Roman"/>
                <w:snapToGrid w:val="0"/>
                <w:color w:val="auto"/>
                <w:sz w:val="21"/>
                <w:szCs w:val="21"/>
                <w:vertAlign w:val="subscript"/>
              </w:rPr>
              <w:t>X</w:t>
            </w:r>
            <w:r>
              <w:rPr>
                <w:rFonts w:ascii="Times New Roman" w:hAnsi="Times New Roman"/>
                <w:snapToGrid w:val="0"/>
                <w:color w:val="auto"/>
                <w:sz w:val="21"/>
                <w:szCs w:val="21"/>
              </w:rPr>
              <w:t xml:space="preserve"> 排放量</w:t>
            </w:r>
          </w:p>
        </w:tc>
        <w:tc>
          <w:tcPr>
            <w:tcW w:w="1263" w:type="dxa"/>
            <w:gridSpan w:val="2"/>
            <w:noWrap w:val="0"/>
            <w:vAlign w:val="center"/>
          </w:tcPr>
          <w:p w14:paraId="5D6AC4FE">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≥2000t/a□</w:t>
            </w:r>
          </w:p>
        </w:tc>
        <w:tc>
          <w:tcPr>
            <w:tcW w:w="4152" w:type="dxa"/>
            <w:gridSpan w:val="11"/>
            <w:noWrap w:val="0"/>
            <w:vAlign w:val="center"/>
          </w:tcPr>
          <w:p w14:paraId="3D505018">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500~2000t/a□</w:t>
            </w:r>
          </w:p>
        </w:tc>
        <w:tc>
          <w:tcPr>
            <w:tcW w:w="1459" w:type="dxa"/>
            <w:gridSpan w:val="2"/>
            <w:noWrap w:val="0"/>
            <w:vAlign w:val="center"/>
          </w:tcPr>
          <w:p w14:paraId="7878840E">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&lt;500t/a</w:t>
            </w:r>
            <w:r>
              <w:rPr>
                <w:rFonts w:ascii="Times New Roman" w:hAnsi="Times New Roman"/>
                <w:snapToGrid w:val="0"/>
                <w:color w:val="auto"/>
                <w:sz w:val="21"/>
                <w:szCs w:val="21"/>
              </w:rPr>
              <w:sym w:font="Wingdings 2" w:char="00A3"/>
            </w:r>
          </w:p>
        </w:tc>
      </w:tr>
      <w:tr w14:paraId="1609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9" w:hRule="exact"/>
          <w:jc w:val="center"/>
        </w:trPr>
        <w:tc>
          <w:tcPr>
            <w:tcW w:w="641" w:type="dxa"/>
            <w:vMerge w:val="continue"/>
            <w:noWrap w:val="0"/>
            <w:vAlign w:val="center"/>
          </w:tcPr>
          <w:p w14:paraId="7AAE3A7B">
            <w:pPr>
              <w:widowControl/>
              <w:adjustRightInd w:val="0"/>
              <w:snapToGrid w:val="0"/>
              <w:spacing w:line="240" w:lineRule="auto"/>
              <w:jc w:val="center"/>
              <w:rPr>
                <w:snapToGrid w:val="0"/>
                <w:color w:val="auto"/>
                <w:kern w:val="0"/>
                <w:szCs w:val="21"/>
                <w:lang w:eastAsia="en-US"/>
              </w:rPr>
            </w:pPr>
          </w:p>
        </w:tc>
        <w:tc>
          <w:tcPr>
            <w:tcW w:w="1418" w:type="dxa"/>
            <w:noWrap w:val="0"/>
            <w:vAlign w:val="center"/>
          </w:tcPr>
          <w:p w14:paraId="28800FD3">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评价因子</w:t>
            </w:r>
          </w:p>
        </w:tc>
        <w:tc>
          <w:tcPr>
            <w:tcW w:w="3910" w:type="dxa"/>
            <w:gridSpan w:val="9"/>
            <w:noWrap w:val="0"/>
            <w:vAlign w:val="center"/>
          </w:tcPr>
          <w:p w14:paraId="1C2AF35B">
            <w:pPr>
              <w:pStyle w:val="50"/>
              <w:adjustRightInd w:val="0"/>
              <w:snapToGrid w:val="0"/>
              <w:rPr>
                <w:rFonts w:ascii="Times New Roman" w:hAnsi="Times New Roman"/>
                <w:snapToGrid w:val="0"/>
                <w:color w:val="auto"/>
                <w:sz w:val="21"/>
                <w:szCs w:val="21"/>
                <w:lang w:eastAsia="zh-CN"/>
              </w:rPr>
            </w:pPr>
            <w:r>
              <w:rPr>
                <w:rFonts w:ascii="Times New Roman" w:hAnsi="Times New Roman"/>
                <w:snapToGrid w:val="0"/>
                <w:color w:val="auto"/>
                <w:sz w:val="21"/>
                <w:szCs w:val="21"/>
              </w:rPr>
              <w:t>基本污染物（SO</w:t>
            </w:r>
            <w:r>
              <w:rPr>
                <w:rFonts w:ascii="Times New Roman" w:hAnsi="Times New Roman"/>
                <w:snapToGrid w:val="0"/>
                <w:color w:val="auto"/>
                <w:sz w:val="21"/>
                <w:szCs w:val="21"/>
                <w:vertAlign w:val="subscript"/>
              </w:rPr>
              <w:t>2</w:t>
            </w:r>
            <w:r>
              <w:rPr>
                <w:rFonts w:ascii="Times New Roman" w:hAnsi="Times New Roman"/>
                <w:snapToGrid w:val="0"/>
                <w:color w:val="auto"/>
                <w:sz w:val="21"/>
                <w:szCs w:val="21"/>
              </w:rPr>
              <w:t>、NO</w:t>
            </w:r>
            <w:r>
              <w:rPr>
                <w:rFonts w:ascii="Times New Roman" w:hAnsi="Times New Roman"/>
                <w:snapToGrid w:val="0"/>
                <w:color w:val="auto"/>
                <w:sz w:val="21"/>
                <w:szCs w:val="21"/>
                <w:vertAlign w:val="subscript"/>
              </w:rPr>
              <w:t>2</w:t>
            </w:r>
            <w:r>
              <w:rPr>
                <w:rFonts w:ascii="Times New Roman" w:hAnsi="Times New Roman"/>
                <w:snapToGrid w:val="0"/>
                <w:color w:val="auto"/>
                <w:sz w:val="21"/>
                <w:szCs w:val="21"/>
              </w:rPr>
              <w:t>、CO、PM</w:t>
            </w:r>
            <w:r>
              <w:rPr>
                <w:rFonts w:ascii="Times New Roman" w:hAnsi="Times New Roman"/>
                <w:snapToGrid w:val="0"/>
                <w:color w:val="auto"/>
                <w:sz w:val="21"/>
                <w:szCs w:val="21"/>
                <w:vertAlign w:val="subscript"/>
              </w:rPr>
              <w:t>10</w:t>
            </w:r>
            <w:r>
              <w:rPr>
                <w:rFonts w:ascii="Times New Roman" w:hAnsi="Times New Roman"/>
                <w:snapToGrid w:val="0"/>
                <w:color w:val="auto"/>
                <w:sz w:val="21"/>
                <w:szCs w:val="21"/>
              </w:rPr>
              <w:t>、PM</w:t>
            </w:r>
            <w:r>
              <w:rPr>
                <w:rFonts w:ascii="Times New Roman" w:hAnsi="Times New Roman"/>
                <w:snapToGrid w:val="0"/>
                <w:color w:val="auto"/>
                <w:sz w:val="21"/>
                <w:szCs w:val="21"/>
                <w:vertAlign w:val="subscript"/>
              </w:rPr>
              <w:t>2.5</w:t>
            </w:r>
            <w:r>
              <w:rPr>
                <w:rFonts w:ascii="Times New Roman" w:hAnsi="Times New Roman"/>
                <w:snapToGrid w:val="0"/>
                <w:color w:val="auto"/>
                <w:sz w:val="21"/>
                <w:szCs w:val="21"/>
              </w:rPr>
              <w:t>、O</w:t>
            </w:r>
            <w:r>
              <w:rPr>
                <w:rFonts w:ascii="Times New Roman" w:hAnsi="Times New Roman"/>
                <w:snapToGrid w:val="0"/>
                <w:color w:val="auto"/>
                <w:sz w:val="21"/>
                <w:szCs w:val="21"/>
                <w:vertAlign w:val="subscript"/>
              </w:rPr>
              <w:t>3</w:t>
            </w:r>
            <w:r>
              <w:rPr>
                <w:rFonts w:ascii="Times New Roman" w:hAnsi="Times New Roman"/>
                <w:snapToGrid w:val="0"/>
                <w:color w:val="auto"/>
                <w:sz w:val="21"/>
                <w:szCs w:val="21"/>
              </w:rPr>
              <w:t>）</w:t>
            </w:r>
            <w:r>
              <w:rPr>
                <w:rFonts w:ascii="Times New Roman" w:hAnsi="Times New Roman"/>
                <w:snapToGrid w:val="0"/>
                <w:color w:val="auto"/>
                <w:sz w:val="21"/>
                <w:szCs w:val="21"/>
                <w:lang w:eastAsia="zh-CN"/>
              </w:rPr>
              <w:t>、其他污染物（</w:t>
            </w:r>
            <w:r>
              <w:rPr>
                <w:rFonts w:hint="eastAsia" w:ascii="Times New Roman" w:hAnsi="Times New Roman"/>
                <w:snapToGrid w:val="0"/>
                <w:color w:val="auto"/>
                <w:sz w:val="21"/>
                <w:szCs w:val="21"/>
                <w:lang w:eastAsia="zh-CN"/>
              </w:rPr>
              <w:t>非甲烷总烃、甲醛</w:t>
            </w:r>
            <w:r>
              <w:rPr>
                <w:rFonts w:ascii="Times New Roman" w:hAnsi="Times New Roman"/>
                <w:snapToGrid w:val="0"/>
                <w:color w:val="auto"/>
                <w:sz w:val="21"/>
                <w:szCs w:val="21"/>
                <w:lang w:eastAsia="zh-CN"/>
              </w:rPr>
              <w:t>）</w:t>
            </w:r>
          </w:p>
          <w:p w14:paraId="7FDFFB16">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其他污染物（</w:t>
            </w:r>
            <w:r>
              <w:rPr>
                <w:rFonts w:hint="eastAsia" w:ascii="Times New Roman" w:hAnsi="Times New Roman"/>
                <w:snapToGrid w:val="0"/>
                <w:color w:val="auto"/>
                <w:sz w:val="21"/>
                <w:szCs w:val="21"/>
                <w:lang w:eastAsia="zh-CN"/>
              </w:rPr>
              <w:t xml:space="preserve"> </w:t>
            </w:r>
            <w:r>
              <w:rPr>
                <w:rFonts w:ascii="Times New Roman" w:hAnsi="Times New Roman"/>
                <w:snapToGrid w:val="0"/>
                <w:color w:val="auto"/>
                <w:sz w:val="21"/>
                <w:szCs w:val="21"/>
                <w:lang w:eastAsia="zh-CN"/>
              </w:rPr>
              <w:t>）</w:t>
            </w:r>
          </w:p>
        </w:tc>
        <w:tc>
          <w:tcPr>
            <w:tcW w:w="2964" w:type="dxa"/>
            <w:gridSpan w:val="6"/>
            <w:noWrap w:val="0"/>
            <w:vAlign w:val="center"/>
          </w:tcPr>
          <w:p w14:paraId="4462DA8A">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rPr>
              <w:t>包括二次 PM</w:t>
            </w:r>
            <w:r>
              <w:rPr>
                <w:rFonts w:ascii="Times New Roman" w:hAnsi="Times New Roman"/>
                <w:snapToGrid w:val="0"/>
                <w:color w:val="auto"/>
                <w:sz w:val="21"/>
                <w:szCs w:val="21"/>
                <w:vertAlign w:val="subscript"/>
              </w:rPr>
              <w:t>2.5</w:t>
            </w:r>
            <w:r>
              <w:rPr>
                <w:rFonts w:ascii="Times New Roman" w:hAnsi="Times New Roman"/>
                <w:snapToGrid w:val="0"/>
                <w:color w:val="auto"/>
                <w:sz w:val="21"/>
                <w:szCs w:val="21"/>
              </w:rPr>
              <w:sym w:font="Wingdings 2" w:char="00A3"/>
            </w:r>
          </w:p>
          <w:p w14:paraId="15192829">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不包括二次PM</w:t>
            </w:r>
            <w:r>
              <w:rPr>
                <w:rFonts w:ascii="Times New Roman" w:hAnsi="Times New Roman"/>
                <w:snapToGrid w:val="0"/>
                <w:color w:val="auto"/>
                <w:sz w:val="21"/>
                <w:szCs w:val="21"/>
                <w:vertAlign w:val="subscript"/>
              </w:rPr>
              <w:t>2.5</w:t>
            </w:r>
            <w:r>
              <w:rPr>
                <w:rFonts w:ascii="Times New Roman" w:hAnsi="Times New Roman"/>
                <w:snapToGrid w:val="0"/>
                <w:color w:val="auto"/>
                <w:sz w:val="21"/>
                <w:szCs w:val="21"/>
              </w:rPr>
              <w:sym w:font="Wingdings 2" w:char="00A3"/>
            </w:r>
          </w:p>
        </w:tc>
      </w:tr>
      <w:tr w14:paraId="6E939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exact"/>
          <w:jc w:val="center"/>
        </w:trPr>
        <w:tc>
          <w:tcPr>
            <w:tcW w:w="641" w:type="dxa"/>
            <w:noWrap w:val="0"/>
            <w:vAlign w:val="center"/>
          </w:tcPr>
          <w:p w14:paraId="3E683E3D">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评价</w:t>
            </w:r>
          </w:p>
          <w:p w14:paraId="7B2EAA00">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标准</w:t>
            </w:r>
          </w:p>
        </w:tc>
        <w:tc>
          <w:tcPr>
            <w:tcW w:w="1418" w:type="dxa"/>
            <w:noWrap w:val="0"/>
            <w:vAlign w:val="center"/>
          </w:tcPr>
          <w:p w14:paraId="7B013D00">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评价标准</w:t>
            </w:r>
          </w:p>
        </w:tc>
        <w:tc>
          <w:tcPr>
            <w:tcW w:w="1263" w:type="dxa"/>
            <w:gridSpan w:val="2"/>
            <w:noWrap w:val="0"/>
            <w:vAlign w:val="center"/>
          </w:tcPr>
          <w:p w14:paraId="6EBCB9A2">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国家标准</w:t>
            </w:r>
            <w:r>
              <w:rPr>
                <w:rFonts w:ascii="Times New Roman" w:hAnsi="Times New Roman"/>
                <w:snapToGrid w:val="0"/>
                <w:color w:val="auto"/>
                <w:sz w:val="21"/>
                <w:szCs w:val="21"/>
              </w:rPr>
              <w:sym w:font="Wingdings 2" w:char="F052"/>
            </w:r>
          </w:p>
        </w:tc>
        <w:tc>
          <w:tcPr>
            <w:tcW w:w="2647" w:type="dxa"/>
            <w:gridSpan w:val="7"/>
            <w:noWrap w:val="0"/>
            <w:vAlign w:val="center"/>
          </w:tcPr>
          <w:p w14:paraId="58AE76E0">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地方标准</w:t>
            </w:r>
            <w:r>
              <w:rPr>
                <w:rFonts w:ascii="Times New Roman" w:hAnsi="Times New Roman"/>
                <w:snapToGrid w:val="0"/>
                <w:color w:val="auto"/>
                <w:sz w:val="21"/>
                <w:szCs w:val="21"/>
              </w:rPr>
              <w:sym w:font="Wingdings 2" w:char="F052"/>
            </w:r>
          </w:p>
        </w:tc>
        <w:tc>
          <w:tcPr>
            <w:tcW w:w="1505" w:type="dxa"/>
            <w:gridSpan w:val="4"/>
            <w:noWrap w:val="0"/>
            <w:vAlign w:val="center"/>
          </w:tcPr>
          <w:p w14:paraId="3F9833CE">
            <w:pPr>
              <w:pStyle w:val="50"/>
              <w:adjustRightInd w:val="0"/>
              <w:snapToGrid w:val="0"/>
              <w:rPr>
                <w:rFonts w:ascii="Times New Roman" w:hAnsi="Times New Roman"/>
                <w:snapToGrid w:val="0"/>
                <w:color w:val="auto"/>
                <w:sz w:val="21"/>
                <w:szCs w:val="21"/>
              </w:rPr>
            </w:pPr>
            <w:r>
              <w:rPr>
                <w:rFonts w:ascii="Times New Roman" w:hAnsi="Times New Roman"/>
                <w:snapToGrid w:val="0"/>
                <w:color w:val="auto"/>
                <w:sz w:val="21"/>
                <w:szCs w:val="21"/>
              </w:rPr>
              <w:t>附录 D</w:t>
            </w:r>
            <w:r>
              <w:rPr>
                <w:rFonts w:ascii="Times New Roman" w:hAnsi="Times New Roman"/>
                <w:snapToGrid w:val="0"/>
                <w:color w:val="auto"/>
                <w:sz w:val="21"/>
                <w:szCs w:val="21"/>
              </w:rPr>
              <w:sym w:font="Wingdings 2" w:char="0052"/>
            </w:r>
          </w:p>
        </w:tc>
        <w:tc>
          <w:tcPr>
            <w:tcW w:w="1459" w:type="dxa"/>
            <w:gridSpan w:val="2"/>
            <w:noWrap w:val="0"/>
            <w:vAlign w:val="center"/>
          </w:tcPr>
          <w:p w14:paraId="12C7D21F">
            <w:pPr>
              <w:pStyle w:val="50"/>
              <w:adjustRightInd w:val="0"/>
              <w:snapToGrid w:val="0"/>
              <w:rPr>
                <w:rFonts w:ascii="Times New Roman" w:hAnsi="Times New Roman"/>
                <w:snapToGrid w:val="0"/>
                <w:color w:val="auto"/>
                <w:sz w:val="21"/>
                <w:szCs w:val="21"/>
              </w:rPr>
            </w:pPr>
            <w:r>
              <w:rPr>
                <w:rFonts w:ascii="Times New Roman" w:hAnsi="Times New Roman"/>
                <w:snapToGrid w:val="0"/>
                <w:color w:val="auto"/>
                <w:sz w:val="21"/>
                <w:szCs w:val="21"/>
              </w:rPr>
              <w:t>其他标准</w:t>
            </w:r>
            <w:r>
              <w:rPr>
                <w:rFonts w:ascii="Times New Roman" w:hAnsi="Times New Roman"/>
                <w:snapToGrid w:val="0"/>
                <w:color w:val="auto"/>
                <w:sz w:val="21"/>
                <w:szCs w:val="21"/>
              </w:rPr>
              <w:sym w:font="Wingdings 2" w:char="0052"/>
            </w:r>
          </w:p>
        </w:tc>
      </w:tr>
      <w:tr w14:paraId="3946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exact"/>
          <w:jc w:val="center"/>
        </w:trPr>
        <w:tc>
          <w:tcPr>
            <w:tcW w:w="641" w:type="dxa"/>
            <w:vMerge w:val="restart"/>
            <w:noWrap w:val="0"/>
            <w:vAlign w:val="center"/>
          </w:tcPr>
          <w:p w14:paraId="4B720C3A">
            <w:pPr>
              <w:adjustRightInd w:val="0"/>
              <w:snapToGrid w:val="0"/>
              <w:spacing w:line="240" w:lineRule="auto"/>
              <w:rPr>
                <w:snapToGrid w:val="0"/>
                <w:color w:val="auto"/>
                <w:kern w:val="0"/>
                <w:szCs w:val="21"/>
              </w:rPr>
            </w:pPr>
            <w:r>
              <w:rPr>
                <w:snapToGrid w:val="0"/>
                <w:color w:val="auto"/>
                <w:kern w:val="0"/>
                <w:szCs w:val="21"/>
              </w:rPr>
              <w:t>现状评价</w:t>
            </w:r>
          </w:p>
        </w:tc>
        <w:tc>
          <w:tcPr>
            <w:tcW w:w="1418" w:type="dxa"/>
            <w:noWrap w:val="0"/>
            <w:vAlign w:val="center"/>
          </w:tcPr>
          <w:p w14:paraId="5B2BDAA6">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环境功能区</w:t>
            </w:r>
          </w:p>
        </w:tc>
        <w:tc>
          <w:tcPr>
            <w:tcW w:w="1263" w:type="dxa"/>
            <w:gridSpan w:val="2"/>
            <w:noWrap w:val="0"/>
            <w:vAlign w:val="center"/>
          </w:tcPr>
          <w:p w14:paraId="2556B91A">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一类区□</w:t>
            </w:r>
          </w:p>
        </w:tc>
        <w:tc>
          <w:tcPr>
            <w:tcW w:w="3137" w:type="dxa"/>
            <w:gridSpan w:val="9"/>
            <w:noWrap w:val="0"/>
            <w:vAlign w:val="center"/>
          </w:tcPr>
          <w:p w14:paraId="1865C9C6">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二类区</w:t>
            </w:r>
            <w:r>
              <w:rPr>
                <w:rFonts w:ascii="Times New Roman" w:hAnsi="Times New Roman"/>
                <w:snapToGrid w:val="0"/>
                <w:color w:val="auto"/>
                <w:sz w:val="21"/>
                <w:szCs w:val="21"/>
              </w:rPr>
              <w:sym w:font="Wingdings 2" w:char="F052"/>
            </w:r>
          </w:p>
        </w:tc>
        <w:tc>
          <w:tcPr>
            <w:tcW w:w="2474" w:type="dxa"/>
            <w:gridSpan w:val="4"/>
            <w:noWrap w:val="0"/>
            <w:vAlign w:val="center"/>
          </w:tcPr>
          <w:p w14:paraId="1D939F2D">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一类区和二类区□</w:t>
            </w:r>
          </w:p>
        </w:tc>
      </w:tr>
      <w:tr w14:paraId="593B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exact"/>
          <w:jc w:val="center"/>
        </w:trPr>
        <w:tc>
          <w:tcPr>
            <w:tcW w:w="641" w:type="dxa"/>
            <w:vMerge w:val="continue"/>
            <w:noWrap w:val="0"/>
            <w:vAlign w:val="center"/>
          </w:tcPr>
          <w:p w14:paraId="3097D531">
            <w:pPr>
              <w:widowControl/>
              <w:adjustRightInd w:val="0"/>
              <w:snapToGrid w:val="0"/>
              <w:spacing w:line="240" w:lineRule="auto"/>
              <w:jc w:val="center"/>
              <w:rPr>
                <w:snapToGrid w:val="0"/>
                <w:color w:val="auto"/>
                <w:kern w:val="0"/>
                <w:szCs w:val="21"/>
                <w:lang w:eastAsia="en-US"/>
              </w:rPr>
            </w:pPr>
          </w:p>
        </w:tc>
        <w:tc>
          <w:tcPr>
            <w:tcW w:w="1418" w:type="dxa"/>
            <w:noWrap w:val="0"/>
            <w:vAlign w:val="center"/>
          </w:tcPr>
          <w:p w14:paraId="19C04512">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评价基准年</w:t>
            </w:r>
          </w:p>
        </w:tc>
        <w:tc>
          <w:tcPr>
            <w:tcW w:w="6874" w:type="dxa"/>
            <w:gridSpan w:val="15"/>
            <w:noWrap w:val="0"/>
            <w:vAlign w:val="center"/>
          </w:tcPr>
          <w:p w14:paraId="33D1D846">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202</w:t>
            </w:r>
            <w:r>
              <w:rPr>
                <w:rFonts w:hint="eastAsia" w:ascii="Times New Roman" w:hAnsi="Times New Roman"/>
                <w:snapToGrid w:val="0"/>
                <w:color w:val="auto"/>
                <w:sz w:val="21"/>
                <w:szCs w:val="21"/>
                <w:lang w:val="en-US" w:eastAsia="zh-CN"/>
              </w:rPr>
              <w:t>5</w:t>
            </w:r>
            <w:bookmarkStart w:id="55" w:name="_GoBack"/>
            <w:bookmarkEnd w:id="55"/>
            <w:r>
              <w:rPr>
                <w:rFonts w:ascii="Times New Roman" w:hAnsi="Times New Roman"/>
                <w:snapToGrid w:val="0"/>
                <w:color w:val="auto"/>
                <w:sz w:val="21"/>
                <w:szCs w:val="21"/>
              </w:rPr>
              <w:t>年</w:t>
            </w:r>
          </w:p>
        </w:tc>
      </w:tr>
      <w:tr w14:paraId="02AB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8" w:hRule="exact"/>
          <w:jc w:val="center"/>
        </w:trPr>
        <w:tc>
          <w:tcPr>
            <w:tcW w:w="641" w:type="dxa"/>
            <w:vMerge w:val="continue"/>
            <w:noWrap w:val="0"/>
            <w:vAlign w:val="center"/>
          </w:tcPr>
          <w:p w14:paraId="6CA128F8">
            <w:pPr>
              <w:widowControl/>
              <w:adjustRightInd w:val="0"/>
              <w:snapToGrid w:val="0"/>
              <w:spacing w:line="240" w:lineRule="auto"/>
              <w:jc w:val="center"/>
              <w:rPr>
                <w:snapToGrid w:val="0"/>
                <w:color w:val="auto"/>
                <w:kern w:val="0"/>
                <w:szCs w:val="21"/>
                <w:lang w:eastAsia="en-US"/>
              </w:rPr>
            </w:pPr>
          </w:p>
        </w:tc>
        <w:tc>
          <w:tcPr>
            <w:tcW w:w="1418" w:type="dxa"/>
            <w:noWrap w:val="0"/>
            <w:vAlign w:val="center"/>
          </w:tcPr>
          <w:p w14:paraId="0A955837">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环境空气质量现状调查数据来源</w:t>
            </w:r>
          </w:p>
        </w:tc>
        <w:tc>
          <w:tcPr>
            <w:tcW w:w="1559" w:type="dxa"/>
            <w:gridSpan w:val="4"/>
            <w:noWrap w:val="0"/>
            <w:vAlign w:val="center"/>
          </w:tcPr>
          <w:p w14:paraId="0898E15F">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长期例行监测数据□</w:t>
            </w:r>
          </w:p>
        </w:tc>
        <w:tc>
          <w:tcPr>
            <w:tcW w:w="2841" w:type="dxa"/>
            <w:gridSpan w:val="7"/>
            <w:noWrap w:val="0"/>
            <w:vAlign w:val="center"/>
          </w:tcPr>
          <w:p w14:paraId="0C4A620D">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 xml:space="preserve">主管部门发布的监测数据 </w:t>
            </w:r>
            <w:r>
              <w:rPr>
                <w:rFonts w:ascii="Times New Roman" w:hAnsi="Times New Roman"/>
                <w:snapToGrid w:val="0"/>
                <w:color w:val="auto"/>
                <w:sz w:val="21"/>
                <w:szCs w:val="21"/>
              </w:rPr>
              <w:sym w:font="Wingdings 2" w:char="F052"/>
            </w:r>
          </w:p>
        </w:tc>
        <w:tc>
          <w:tcPr>
            <w:tcW w:w="2474" w:type="dxa"/>
            <w:gridSpan w:val="4"/>
            <w:noWrap w:val="0"/>
            <w:vAlign w:val="center"/>
          </w:tcPr>
          <w:p w14:paraId="61897571">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现状补充监测</w:t>
            </w:r>
            <w:r>
              <w:rPr>
                <w:rFonts w:ascii="Times New Roman" w:hAnsi="Times New Roman"/>
                <w:snapToGrid w:val="0"/>
                <w:color w:val="auto"/>
                <w:sz w:val="21"/>
                <w:szCs w:val="21"/>
              </w:rPr>
              <w:sym w:font="Wingdings 2" w:char="F052"/>
            </w:r>
          </w:p>
        </w:tc>
      </w:tr>
      <w:tr w14:paraId="6367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exact"/>
          <w:jc w:val="center"/>
        </w:trPr>
        <w:tc>
          <w:tcPr>
            <w:tcW w:w="641" w:type="dxa"/>
            <w:vMerge w:val="continue"/>
            <w:noWrap w:val="0"/>
            <w:vAlign w:val="center"/>
          </w:tcPr>
          <w:p w14:paraId="424642F8">
            <w:pPr>
              <w:widowControl/>
              <w:adjustRightInd w:val="0"/>
              <w:snapToGrid w:val="0"/>
              <w:spacing w:line="240" w:lineRule="auto"/>
              <w:jc w:val="center"/>
              <w:rPr>
                <w:snapToGrid w:val="0"/>
                <w:color w:val="auto"/>
                <w:kern w:val="0"/>
                <w:szCs w:val="21"/>
                <w:lang w:eastAsia="en-US"/>
              </w:rPr>
            </w:pPr>
          </w:p>
        </w:tc>
        <w:tc>
          <w:tcPr>
            <w:tcW w:w="1418" w:type="dxa"/>
            <w:noWrap w:val="0"/>
            <w:vAlign w:val="center"/>
          </w:tcPr>
          <w:p w14:paraId="659586F0">
            <w:pPr>
              <w:pStyle w:val="50"/>
              <w:adjustRightInd w:val="0"/>
              <w:snapToGrid w:val="0"/>
              <w:rPr>
                <w:rFonts w:ascii="Times New Roman" w:hAnsi="Times New Roman"/>
                <w:snapToGrid w:val="0"/>
                <w:color w:val="auto"/>
                <w:sz w:val="21"/>
                <w:szCs w:val="21"/>
              </w:rPr>
            </w:pPr>
            <w:r>
              <w:rPr>
                <w:rFonts w:ascii="Times New Roman" w:hAnsi="Times New Roman"/>
                <w:snapToGrid w:val="0"/>
                <w:color w:val="auto"/>
                <w:sz w:val="21"/>
                <w:szCs w:val="21"/>
              </w:rPr>
              <w:t>现状评价</w:t>
            </w:r>
          </w:p>
        </w:tc>
        <w:tc>
          <w:tcPr>
            <w:tcW w:w="3766" w:type="dxa"/>
            <w:gridSpan w:val="8"/>
            <w:noWrap w:val="0"/>
            <w:vAlign w:val="center"/>
          </w:tcPr>
          <w:p w14:paraId="5CB0D7DE">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达标区□</w:t>
            </w:r>
          </w:p>
        </w:tc>
        <w:tc>
          <w:tcPr>
            <w:tcW w:w="3108" w:type="dxa"/>
            <w:gridSpan w:val="7"/>
            <w:noWrap w:val="0"/>
            <w:vAlign w:val="center"/>
          </w:tcPr>
          <w:p w14:paraId="30528AFD">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不达标区</w:t>
            </w:r>
            <w:r>
              <w:rPr>
                <w:rFonts w:ascii="Times New Roman" w:hAnsi="Times New Roman"/>
                <w:snapToGrid w:val="0"/>
                <w:color w:val="auto"/>
                <w:sz w:val="21"/>
                <w:szCs w:val="21"/>
              </w:rPr>
              <w:sym w:font="Wingdings 2" w:char="F052"/>
            </w:r>
          </w:p>
        </w:tc>
      </w:tr>
      <w:tr w14:paraId="3937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6" w:hRule="exact"/>
          <w:jc w:val="center"/>
        </w:trPr>
        <w:tc>
          <w:tcPr>
            <w:tcW w:w="641" w:type="dxa"/>
            <w:noWrap w:val="0"/>
            <w:vAlign w:val="center"/>
          </w:tcPr>
          <w:p w14:paraId="4B31D656">
            <w:pPr>
              <w:adjustRightInd w:val="0"/>
              <w:snapToGrid w:val="0"/>
              <w:spacing w:line="240" w:lineRule="auto"/>
              <w:jc w:val="center"/>
              <w:rPr>
                <w:snapToGrid w:val="0"/>
                <w:color w:val="auto"/>
                <w:kern w:val="0"/>
                <w:szCs w:val="21"/>
              </w:rPr>
            </w:pPr>
            <w:r>
              <w:rPr>
                <w:snapToGrid w:val="0"/>
                <w:color w:val="auto"/>
                <w:kern w:val="0"/>
                <w:szCs w:val="21"/>
              </w:rPr>
              <w:t>污染源调查</w:t>
            </w:r>
          </w:p>
        </w:tc>
        <w:tc>
          <w:tcPr>
            <w:tcW w:w="1418" w:type="dxa"/>
            <w:noWrap w:val="0"/>
            <w:vAlign w:val="center"/>
          </w:tcPr>
          <w:p w14:paraId="34AEC47A">
            <w:pPr>
              <w:pStyle w:val="50"/>
              <w:adjustRightInd w:val="0"/>
              <w:snapToGrid w:val="0"/>
              <w:rPr>
                <w:rFonts w:ascii="Times New Roman" w:hAnsi="Times New Roman"/>
                <w:snapToGrid w:val="0"/>
                <w:color w:val="auto"/>
                <w:sz w:val="21"/>
                <w:szCs w:val="21"/>
              </w:rPr>
            </w:pPr>
            <w:r>
              <w:rPr>
                <w:rFonts w:ascii="Times New Roman" w:hAnsi="Times New Roman"/>
                <w:snapToGrid w:val="0"/>
                <w:color w:val="auto"/>
                <w:sz w:val="21"/>
                <w:szCs w:val="21"/>
              </w:rPr>
              <w:t>调查内容</w:t>
            </w:r>
          </w:p>
        </w:tc>
        <w:tc>
          <w:tcPr>
            <w:tcW w:w="1559" w:type="dxa"/>
            <w:gridSpan w:val="4"/>
            <w:noWrap w:val="0"/>
            <w:vAlign w:val="center"/>
          </w:tcPr>
          <w:p w14:paraId="48C68724">
            <w:pPr>
              <w:pStyle w:val="50"/>
              <w:adjustRightInd w:val="0"/>
              <w:snapToGrid w:val="0"/>
              <w:jc w:val="right"/>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 xml:space="preserve">本项目正常排放源 </w:t>
            </w:r>
            <w:r>
              <w:rPr>
                <w:rFonts w:ascii="Times New Roman" w:hAnsi="Times New Roman"/>
                <w:snapToGrid w:val="0"/>
                <w:color w:val="auto"/>
                <w:sz w:val="21"/>
                <w:szCs w:val="21"/>
              </w:rPr>
              <w:sym w:font="Wingdings 2" w:char="0052"/>
            </w:r>
            <w:r>
              <w:rPr>
                <w:rFonts w:ascii="Times New Roman" w:hAnsi="Times New Roman"/>
                <w:snapToGrid w:val="0"/>
                <w:color w:val="auto"/>
                <w:sz w:val="21"/>
                <w:szCs w:val="21"/>
                <w:lang w:eastAsia="zh-CN"/>
              </w:rPr>
              <w:t> 本项目非正常排放源</w:t>
            </w:r>
            <w:r>
              <w:rPr>
                <w:rFonts w:ascii="Times New Roman" w:hAnsi="Times New Roman"/>
                <w:snapToGrid w:val="0"/>
                <w:color w:val="auto"/>
                <w:sz w:val="21"/>
                <w:szCs w:val="21"/>
              </w:rPr>
              <w:sym w:font="Wingdings 2" w:char="F052"/>
            </w:r>
            <w:r>
              <w:rPr>
                <w:rFonts w:ascii="Times New Roman" w:hAnsi="Times New Roman"/>
                <w:snapToGrid w:val="0"/>
                <w:color w:val="auto"/>
                <w:sz w:val="21"/>
                <w:szCs w:val="21"/>
                <w:lang w:eastAsia="zh-CN"/>
              </w:rPr>
              <w:t>现有污染源□</w:t>
            </w:r>
          </w:p>
        </w:tc>
        <w:tc>
          <w:tcPr>
            <w:tcW w:w="1549" w:type="dxa"/>
            <w:gridSpan w:val="3"/>
            <w:noWrap w:val="0"/>
            <w:vAlign w:val="center"/>
          </w:tcPr>
          <w:p w14:paraId="7BACC2A0">
            <w:pPr>
              <w:pStyle w:val="50"/>
              <w:adjustRightInd w:val="0"/>
              <w:snapToGrid w:val="0"/>
              <w:rPr>
                <w:rFonts w:ascii="Times New Roman" w:hAnsi="Times New Roman"/>
                <w:snapToGrid w:val="0"/>
                <w:color w:val="auto"/>
                <w:sz w:val="21"/>
                <w:szCs w:val="21"/>
              </w:rPr>
            </w:pPr>
            <w:r>
              <w:rPr>
                <w:rFonts w:ascii="Times New Roman" w:hAnsi="Times New Roman"/>
                <w:snapToGrid w:val="0"/>
                <w:color w:val="auto"/>
                <w:sz w:val="21"/>
                <w:szCs w:val="21"/>
              </w:rPr>
              <w:t>拟代替的污染源□</w:t>
            </w:r>
          </w:p>
        </w:tc>
        <w:tc>
          <w:tcPr>
            <w:tcW w:w="1645" w:type="dxa"/>
            <w:gridSpan w:val="5"/>
            <w:noWrap w:val="0"/>
            <w:vAlign w:val="center"/>
          </w:tcPr>
          <w:p w14:paraId="015DD903">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其他在建、拟 建项目污染源□</w:t>
            </w:r>
          </w:p>
        </w:tc>
        <w:tc>
          <w:tcPr>
            <w:tcW w:w="2121" w:type="dxa"/>
            <w:gridSpan w:val="3"/>
            <w:noWrap w:val="0"/>
            <w:vAlign w:val="center"/>
          </w:tcPr>
          <w:p w14:paraId="7274FF6E">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区域污染源□</w:t>
            </w:r>
          </w:p>
        </w:tc>
      </w:tr>
      <w:tr w14:paraId="6AC8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7" w:hRule="exact"/>
          <w:jc w:val="center"/>
        </w:trPr>
        <w:tc>
          <w:tcPr>
            <w:tcW w:w="641" w:type="dxa"/>
            <w:vMerge w:val="restart"/>
            <w:noWrap w:val="0"/>
            <w:vAlign w:val="center"/>
          </w:tcPr>
          <w:p w14:paraId="464BC6AE">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大气环境影响 预测与评价</w:t>
            </w:r>
          </w:p>
        </w:tc>
        <w:tc>
          <w:tcPr>
            <w:tcW w:w="1418" w:type="dxa"/>
            <w:noWrap w:val="0"/>
            <w:vAlign w:val="center"/>
          </w:tcPr>
          <w:p w14:paraId="3C41C57B">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预测模型</w:t>
            </w:r>
          </w:p>
        </w:tc>
        <w:tc>
          <w:tcPr>
            <w:tcW w:w="984" w:type="dxa"/>
            <w:noWrap w:val="0"/>
            <w:vAlign w:val="center"/>
          </w:tcPr>
          <w:p w14:paraId="36C0C027">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AERMOD</w:t>
            </w:r>
          </w:p>
          <w:p w14:paraId="3223C0C2">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w:t>
            </w:r>
          </w:p>
        </w:tc>
        <w:tc>
          <w:tcPr>
            <w:tcW w:w="1119" w:type="dxa"/>
            <w:gridSpan w:val="4"/>
            <w:noWrap w:val="0"/>
            <w:vAlign w:val="center"/>
          </w:tcPr>
          <w:p w14:paraId="2298514B">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ADMS□</w:t>
            </w:r>
          </w:p>
        </w:tc>
        <w:tc>
          <w:tcPr>
            <w:tcW w:w="1005" w:type="dxa"/>
            <w:gridSpan w:val="2"/>
            <w:noWrap w:val="0"/>
            <w:vAlign w:val="center"/>
          </w:tcPr>
          <w:p w14:paraId="2A799C30">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AUSTAL2000</w:t>
            </w:r>
          </w:p>
          <w:p w14:paraId="3E776641">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w:t>
            </w:r>
          </w:p>
        </w:tc>
        <w:tc>
          <w:tcPr>
            <w:tcW w:w="1230" w:type="dxa"/>
            <w:gridSpan w:val="3"/>
            <w:noWrap w:val="0"/>
            <w:vAlign w:val="center"/>
          </w:tcPr>
          <w:p w14:paraId="0E4A638B">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EDMS/AEDT</w:t>
            </w:r>
          </w:p>
          <w:p w14:paraId="6F7A5C7F">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w:t>
            </w:r>
          </w:p>
        </w:tc>
        <w:tc>
          <w:tcPr>
            <w:tcW w:w="1077" w:type="dxa"/>
            <w:gridSpan w:val="3"/>
            <w:noWrap w:val="0"/>
            <w:vAlign w:val="center"/>
          </w:tcPr>
          <w:p w14:paraId="3D693215">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CALPUFF</w:t>
            </w:r>
          </w:p>
          <w:p w14:paraId="1DCA53E5">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w:t>
            </w:r>
          </w:p>
        </w:tc>
        <w:tc>
          <w:tcPr>
            <w:tcW w:w="729" w:type="dxa"/>
            <w:noWrap w:val="0"/>
            <w:vAlign w:val="center"/>
          </w:tcPr>
          <w:p w14:paraId="6F65D297">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网格模</w:t>
            </w:r>
          </w:p>
          <w:p w14:paraId="2E1BC42C">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型□</w:t>
            </w:r>
          </w:p>
        </w:tc>
        <w:tc>
          <w:tcPr>
            <w:tcW w:w="730" w:type="dxa"/>
            <w:noWrap w:val="0"/>
            <w:vAlign w:val="center"/>
          </w:tcPr>
          <w:p w14:paraId="1A2BD349">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其他</w:t>
            </w:r>
            <w:r>
              <w:rPr>
                <w:rFonts w:ascii="Times New Roman" w:hAnsi="Times New Roman"/>
                <w:snapToGrid w:val="0"/>
                <w:color w:val="auto"/>
                <w:sz w:val="21"/>
                <w:szCs w:val="21"/>
              </w:rPr>
              <w:sym w:font="Wingdings 2" w:char="00A3"/>
            </w:r>
          </w:p>
        </w:tc>
      </w:tr>
      <w:tr w14:paraId="64EA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exact"/>
          <w:jc w:val="center"/>
        </w:trPr>
        <w:tc>
          <w:tcPr>
            <w:tcW w:w="641" w:type="dxa"/>
            <w:vMerge w:val="continue"/>
            <w:noWrap w:val="0"/>
            <w:vAlign w:val="center"/>
          </w:tcPr>
          <w:p w14:paraId="07CB1225">
            <w:pPr>
              <w:widowControl/>
              <w:adjustRightInd w:val="0"/>
              <w:snapToGrid w:val="0"/>
              <w:spacing w:line="240" w:lineRule="auto"/>
              <w:jc w:val="center"/>
              <w:rPr>
                <w:snapToGrid w:val="0"/>
                <w:color w:val="auto"/>
                <w:kern w:val="0"/>
                <w:szCs w:val="21"/>
              </w:rPr>
            </w:pPr>
          </w:p>
        </w:tc>
        <w:tc>
          <w:tcPr>
            <w:tcW w:w="1418" w:type="dxa"/>
            <w:noWrap w:val="0"/>
            <w:vAlign w:val="center"/>
          </w:tcPr>
          <w:p w14:paraId="3F5A4F2F">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预测范围</w:t>
            </w:r>
          </w:p>
        </w:tc>
        <w:tc>
          <w:tcPr>
            <w:tcW w:w="1263" w:type="dxa"/>
            <w:gridSpan w:val="2"/>
            <w:noWrap w:val="0"/>
            <w:vAlign w:val="center"/>
          </w:tcPr>
          <w:p w14:paraId="19B13D65">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边长≥50km□</w:t>
            </w:r>
          </w:p>
        </w:tc>
        <w:tc>
          <w:tcPr>
            <w:tcW w:w="4152" w:type="dxa"/>
            <w:gridSpan w:val="11"/>
            <w:noWrap w:val="0"/>
            <w:vAlign w:val="center"/>
          </w:tcPr>
          <w:p w14:paraId="66672C66">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边长 5~50km□</w:t>
            </w:r>
          </w:p>
        </w:tc>
        <w:tc>
          <w:tcPr>
            <w:tcW w:w="1459" w:type="dxa"/>
            <w:gridSpan w:val="2"/>
            <w:noWrap w:val="0"/>
            <w:vAlign w:val="center"/>
          </w:tcPr>
          <w:p w14:paraId="006A8998">
            <w:pPr>
              <w:pStyle w:val="50"/>
              <w:adjustRightInd w:val="0"/>
              <w:snapToGrid w:val="0"/>
              <w:rPr>
                <w:rFonts w:ascii="Times New Roman" w:hAnsi="Times New Roman"/>
                <w:snapToGrid w:val="0"/>
                <w:color w:val="auto"/>
                <w:sz w:val="21"/>
                <w:szCs w:val="21"/>
              </w:rPr>
            </w:pPr>
            <w:r>
              <w:rPr>
                <w:rFonts w:ascii="Times New Roman" w:hAnsi="Times New Roman"/>
                <w:snapToGrid w:val="0"/>
                <w:color w:val="auto"/>
                <w:sz w:val="21"/>
                <w:szCs w:val="21"/>
              </w:rPr>
              <w:t>边长=5km</w:t>
            </w:r>
            <w:r>
              <w:rPr>
                <w:rFonts w:ascii="Times New Roman" w:hAnsi="Times New Roman"/>
                <w:snapToGrid w:val="0"/>
                <w:color w:val="auto"/>
                <w:sz w:val="21"/>
                <w:szCs w:val="21"/>
              </w:rPr>
              <w:sym w:font="Wingdings 2" w:char="00A3"/>
            </w:r>
            <w:r>
              <w:rPr>
                <w:rFonts w:ascii="Times New Roman" w:hAnsi="Times New Roman"/>
                <w:snapToGrid w:val="0"/>
                <w:color w:val="auto"/>
                <w:sz w:val="21"/>
                <w:szCs w:val="21"/>
              </w:rPr>
              <w:t></w:t>
            </w:r>
          </w:p>
        </w:tc>
      </w:tr>
      <w:tr w14:paraId="749A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exact"/>
          <w:jc w:val="center"/>
        </w:trPr>
        <w:tc>
          <w:tcPr>
            <w:tcW w:w="641" w:type="dxa"/>
            <w:vMerge w:val="continue"/>
            <w:noWrap w:val="0"/>
            <w:vAlign w:val="center"/>
          </w:tcPr>
          <w:p w14:paraId="2AD78952">
            <w:pPr>
              <w:widowControl/>
              <w:adjustRightInd w:val="0"/>
              <w:snapToGrid w:val="0"/>
              <w:spacing w:line="240" w:lineRule="auto"/>
              <w:jc w:val="center"/>
              <w:rPr>
                <w:snapToGrid w:val="0"/>
                <w:color w:val="auto"/>
                <w:kern w:val="0"/>
                <w:szCs w:val="21"/>
              </w:rPr>
            </w:pPr>
          </w:p>
        </w:tc>
        <w:tc>
          <w:tcPr>
            <w:tcW w:w="1418" w:type="dxa"/>
            <w:vMerge w:val="restart"/>
            <w:noWrap w:val="0"/>
            <w:vAlign w:val="center"/>
          </w:tcPr>
          <w:p w14:paraId="4BDBD423">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预测因子</w:t>
            </w:r>
          </w:p>
        </w:tc>
        <w:tc>
          <w:tcPr>
            <w:tcW w:w="3766" w:type="dxa"/>
            <w:gridSpan w:val="8"/>
            <w:vMerge w:val="restart"/>
            <w:noWrap w:val="0"/>
            <w:vAlign w:val="center"/>
          </w:tcPr>
          <w:p w14:paraId="4F96E886">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预测因子（</w:t>
            </w:r>
            <w:r>
              <w:rPr>
                <w:rFonts w:hint="eastAsia" w:ascii="Times New Roman" w:hAnsi="Times New Roman"/>
                <w:snapToGrid w:val="0"/>
                <w:color w:val="auto"/>
                <w:sz w:val="21"/>
                <w:szCs w:val="21"/>
                <w:lang w:val="en-US" w:eastAsia="zh-CN"/>
              </w:rPr>
              <w:t>PM10、</w:t>
            </w:r>
            <w:r>
              <w:rPr>
                <w:rFonts w:ascii="Times New Roman" w:hAnsi="Times New Roman"/>
                <w:snapToGrid w:val="0"/>
                <w:color w:val="auto"/>
                <w:sz w:val="21"/>
                <w:szCs w:val="21"/>
                <w:lang w:eastAsia="zh-CN"/>
              </w:rPr>
              <w:t xml:space="preserve"> </w:t>
            </w:r>
            <w:r>
              <w:rPr>
                <w:rFonts w:hint="eastAsia" w:ascii="Times New Roman" w:hAnsi="Times New Roman"/>
                <w:snapToGrid w:val="0"/>
                <w:color w:val="auto"/>
                <w:sz w:val="21"/>
                <w:szCs w:val="21"/>
                <w:lang w:val="en-US" w:eastAsia="zh-CN"/>
              </w:rPr>
              <w:t>非甲烷总烃、甲醛、苯酚、TSP</w:t>
            </w:r>
            <w:r>
              <w:rPr>
                <w:rFonts w:ascii="Times New Roman" w:hAnsi="Times New Roman"/>
                <w:snapToGrid w:val="0"/>
                <w:color w:val="auto"/>
                <w:sz w:val="21"/>
                <w:szCs w:val="21"/>
                <w:lang w:eastAsia="zh-CN"/>
              </w:rPr>
              <w:t>）</w:t>
            </w:r>
          </w:p>
        </w:tc>
        <w:tc>
          <w:tcPr>
            <w:tcW w:w="3108" w:type="dxa"/>
            <w:gridSpan w:val="7"/>
            <w:noWrap w:val="0"/>
            <w:vAlign w:val="center"/>
          </w:tcPr>
          <w:p w14:paraId="26E8462D">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包括二次 PM2.5□</w:t>
            </w:r>
          </w:p>
        </w:tc>
      </w:tr>
      <w:tr w14:paraId="7363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 w:hRule="atLeast"/>
          <w:jc w:val="center"/>
        </w:trPr>
        <w:tc>
          <w:tcPr>
            <w:tcW w:w="641" w:type="dxa"/>
            <w:vMerge w:val="continue"/>
            <w:noWrap w:val="0"/>
            <w:vAlign w:val="center"/>
          </w:tcPr>
          <w:p w14:paraId="154CA32C">
            <w:pPr>
              <w:widowControl/>
              <w:adjustRightInd w:val="0"/>
              <w:snapToGrid w:val="0"/>
              <w:spacing w:line="240" w:lineRule="auto"/>
              <w:jc w:val="center"/>
              <w:rPr>
                <w:snapToGrid w:val="0"/>
                <w:color w:val="auto"/>
                <w:kern w:val="0"/>
                <w:szCs w:val="21"/>
              </w:rPr>
            </w:pPr>
          </w:p>
        </w:tc>
        <w:tc>
          <w:tcPr>
            <w:tcW w:w="1418" w:type="dxa"/>
            <w:vMerge w:val="continue"/>
            <w:noWrap w:val="0"/>
            <w:vAlign w:val="center"/>
          </w:tcPr>
          <w:p w14:paraId="0712D892">
            <w:pPr>
              <w:widowControl/>
              <w:adjustRightInd w:val="0"/>
              <w:snapToGrid w:val="0"/>
              <w:spacing w:line="240" w:lineRule="auto"/>
              <w:jc w:val="center"/>
              <w:rPr>
                <w:snapToGrid w:val="0"/>
                <w:color w:val="auto"/>
                <w:kern w:val="0"/>
                <w:szCs w:val="21"/>
                <w:lang w:eastAsia="en-US"/>
              </w:rPr>
            </w:pPr>
          </w:p>
        </w:tc>
        <w:tc>
          <w:tcPr>
            <w:tcW w:w="3766" w:type="dxa"/>
            <w:gridSpan w:val="8"/>
            <w:vMerge w:val="continue"/>
            <w:noWrap w:val="0"/>
            <w:vAlign w:val="center"/>
          </w:tcPr>
          <w:p w14:paraId="08D8E620">
            <w:pPr>
              <w:widowControl/>
              <w:adjustRightInd w:val="0"/>
              <w:snapToGrid w:val="0"/>
              <w:spacing w:line="240" w:lineRule="auto"/>
              <w:jc w:val="center"/>
              <w:rPr>
                <w:snapToGrid w:val="0"/>
                <w:color w:val="auto"/>
                <w:kern w:val="0"/>
                <w:szCs w:val="21"/>
              </w:rPr>
            </w:pPr>
          </w:p>
        </w:tc>
        <w:tc>
          <w:tcPr>
            <w:tcW w:w="3108" w:type="dxa"/>
            <w:gridSpan w:val="7"/>
            <w:noWrap w:val="0"/>
            <w:vAlign w:val="center"/>
          </w:tcPr>
          <w:p w14:paraId="7A69FD91">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不包括二次 PM2.5□</w:t>
            </w:r>
          </w:p>
        </w:tc>
      </w:tr>
      <w:tr w14:paraId="5280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1" w:hRule="exact"/>
          <w:jc w:val="center"/>
        </w:trPr>
        <w:tc>
          <w:tcPr>
            <w:tcW w:w="641" w:type="dxa"/>
            <w:vMerge w:val="continue"/>
            <w:noWrap w:val="0"/>
            <w:vAlign w:val="center"/>
          </w:tcPr>
          <w:p w14:paraId="5FE3F308">
            <w:pPr>
              <w:widowControl/>
              <w:adjustRightInd w:val="0"/>
              <w:snapToGrid w:val="0"/>
              <w:spacing w:line="240" w:lineRule="auto"/>
              <w:jc w:val="center"/>
              <w:rPr>
                <w:snapToGrid w:val="0"/>
                <w:color w:val="auto"/>
                <w:kern w:val="0"/>
                <w:szCs w:val="21"/>
              </w:rPr>
            </w:pPr>
          </w:p>
        </w:tc>
        <w:tc>
          <w:tcPr>
            <w:tcW w:w="1418" w:type="dxa"/>
            <w:noWrap w:val="0"/>
            <w:vAlign w:val="center"/>
          </w:tcPr>
          <w:p w14:paraId="360DE1E8">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正常排放短期浓度贡献值</w:t>
            </w:r>
          </w:p>
        </w:tc>
        <w:tc>
          <w:tcPr>
            <w:tcW w:w="3766" w:type="dxa"/>
            <w:gridSpan w:val="8"/>
            <w:noWrap w:val="0"/>
            <w:vAlign w:val="center"/>
          </w:tcPr>
          <w:p w14:paraId="726D3730">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 xml:space="preserve">C </w:t>
            </w:r>
            <w:r>
              <w:rPr>
                <w:rFonts w:ascii="Times New Roman" w:hAnsi="Times New Roman"/>
                <w:snapToGrid w:val="0"/>
                <w:color w:val="auto"/>
                <w:sz w:val="21"/>
                <w:szCs w:val="21"/>
                <w:vertAlign w:val="subscript"/>
                <w:lang w:eastAsia="zh-CN"/>
              </w:rPr>
              <w:t>本项目</w:t>
            </w:r>
            <w:r>
              <w:rPr>
                <w:rFonts w:ascii="Times New Roman" w:hAnsi="Times New Roman"/>
                <w:snapToGrid w:val="0"/>
                <w:color w:val="auto"/>
                <w:sz w:val="21"/>
                <w:szCs w:val="21"/>
                <w:lang w:eastAsia="zh-CN"/>
              </w:rPr>
              <w:t>最大占标率≤100%</w:t>
            </w:r>
          </w:p>
        </w:tc>
        <w:tc>
          <w:tcPr>
            <w:tcW w:w="3108" w:type="dxa"/>
            <w:gridSpan w:val="7"/>
            <w:noWrap w:val="0"/>
            <w:vAlign w:val="center"/>
          </w:tcPr>
          <w:p w14:paraId="186AFFEC">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 xml:space="preserve">C </w:t>
            </w:r>
            <w:r>
              <w:rPr>
                <w:rFonts w:ascii="Times New Roman" w:hAnsi="Times New Roman"/>
                <w:snapToGrid w:val="0"/>
                <w:color w:val="auto"/>
                <w:sz w:val="21"/>
                <w:szCs w:val="21"/>
                <w:vertAlign w:val="subscript"/>
                <w:lang w:eastAsia="zh-CN"/>
              </w:rPr>
              <w:t>本项目</w:t>
            </w:r>
            <w:r>
              <w:rPr>
                <w:rFonts w:ascii="Times New Roman" w:hAnsi="Times New Roman"/>
                <w:snapToGrid w:val="0"/>
                <w:color w:val="auto"/>
                <w:sz w:val="21"/>
                <w:szCs w:val="21"/>
                <w:lang w:eastAsia="zh-CN"/>
              </w:rPr>
              <w:t>最大占标率&gt;100%□</w:t>
            </w:r>
          </w:p>
        </w:tc>
      </w:tr>
      <w:tr w14:paraId="42B5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exact"/>
          <w:jc w:val="center"/>
        </w:trPr>
        <w:tc>
          <w:tcPr>
            <w:tcW w:w="641" w:type="dxa"/>
            <w:vMerge w:val="continue"/>
            <w:noWrap w:val="0"/>
            <w:vAlign w:val="center"/>
          </w:tcPr>
          <w:p w14:paraId="6EACF5C8">
            <w:pPr>
              <w:widowControl/>
              <w:adjustRightInd w:val="0"/>
              <w:snapToGrid w:val="0"/>
              <w:spacing w:line="240" w:lineRule="auto"/>
              <w:jc w:val="center"/>
              <w:rPr>
                <w:snapToGrid w:val="0"/>
                <w:color w:val="auto"/>
                <w:kern w:val="0"/>
                <w:szCs w:val="21"/>
              </w:rPr>
            </w:pPr>
          </w:p>
        </w:tc>
        <w:tc>
          <w:tcPr>
            <w:tcW w:w="1418" w:type="dxa"/>
            <w:vMerge w:val="restart"/>
            <w:noWrap w:val="0"/>
            <w:vAlign w:val="center"/>
          </w:tcPr>
          <w:p w14:paraId="0071EBE6">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正常排放年均浓度贡献值</w:t>
            </w:r>
          </w:p>
        </w:tc>
        <w:tc>
          <w:tcPr>
            <w:tcW w:w="984" w:type="dxa"/>
            <w:noWrap w:val="0"/>
            <w:vAlign w:val="center"/>
          </w:tcPr>
          <w:p w14:paraId="0DD40672">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一类区</w:t>
            </w:r>
          </w:p>
        </w:tc>
        <w:tc>
          <w:tcPr>
            <w:tcW w:w="3354" w:type="dxa"/>
            <w:gridSpan w:val="9"/>
            <w:noWrap w:val="0"/>
            <w:vAlign w:val="center"/>
          </w:tcPr>
          <w:p w14:paraId="51E6EA9E">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 xml:space="preserve">C </w:t>
            </w:r>
            <w:r>
              <w:rPr>
                <w:rFonts w:ascii="Times New Roman" w:hAnsi="Times New Roman"/>
                <w:snapToGrid w:val="0"/>
                <w:color w:val="auto"/>
                <w:sz w:val="21"/>
                <w:szCs w:val="21"/>
                <w:vertAlign w:val="subscript"/>
                <w:lang w:eastAsia="zh-CN"/>
              </w:rPr>
              <w:t>本项目</w:t>
            </w:r>
            <w:r>
              <w:rPr>
                <w:rFonts w:ascii="Times New Roman" w:hAnsi="Times New Roman"/>
                <w:snapToGrid w:val="0"/>
                <w:color w:val="auto"/>
                <w:sz w:val="21"/>
                <w:szCs w:val="21"/>
                <w:lang w:eastAsia="zh-CN"/>
              </w:rPr>
              <w:t>最大占标率≤10%□</w:t>
            </w:r>
          </w:p>
        </w:tc>
        <w:tc>
          <w:tcPr>
            <w:tcW w:w="2536" w:type="dxa"/>
            <w:gridSpan w:val="5"/>
            <w:noWrap w:val="0"/>
            <w:vAlign w:val="center"/>
          </w:tcPr>
          <w:p w14:paraId="1B9269BE">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 xml:space="preserve">C </w:t>
            </w:r>
            <w:r>
              <w:rPr>
                <w:rFonts w:ascii="Times New Roman" w:hAnsi="Times New Roman"/>
                <w:snapToGrid w:val="0"/>
                <w:color w:val="auto"/>
                <w:sz w:val="21"/>
                <w:szCs w:val="21"/>
                <w:vertAlign w:val="subscript"/>
              </w:rPr>
              <w:t>本项目</w:t>
            </w:r>
            <w:r>
              <w:rPr>
                <w:rFonts w:ascii="Times New Roman" w:hAnsi="Times New Roman"/>
                <w:snapToGrid w:val="0"/>
                <w:color w:val="auto"/>
                <w:sz w:val="21"/>
                <w:szCs w:val="21"/>
              </w:rPr>
              <w:t>最大标率&gt;10%□</w:t>
            </w:r>
          </w:p>
        </w:tc>
      </w:tr>
      <w:tr w14:paraId="7BB3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exact"/>
          <w:jc w:val="center"/>
        </w:trPr>
        <w:tc>
          <w:tcPr>
            <w:tcW w:w="641" w:type="dxa"/>
            <w:vMerge w:val="continue"/>
            <w:noWrap w:val="0"/>
            <w:vAlign w:val="center"/>
          </w:tcPr>
          <w:p w14:paraId="45AFBCD8">
            <w:pPr>
              <w:widowControl/>
              <w:adjustRightInd w:val="0"/>
              <w:snapToGrid w:val="0"/>
              <w:spacing w:line="240" w:lineRule="auto"/>
              <w:jc w:val="center"/>
              <w:rPr>
                <w:snapToGrid w:val="0"/>
                <w:color w:val="auto"/>
                <w:kern w:val="0"/>
                <w:szCs w:val="21"/>
              </w:rPr>
            </w:pPr>
          </w:p>
        </w:tc>
        <w:tc>
          <w:tcPr>
            <w:tcW w:w="1418" w:type="dxa"/>
            <w:vMerge w:val="continue"/>
            <w:noWrap w:val="0"/>
            <w:vAlign w:val="center"/>
          </w:tcPr>
          <w:p w14:paraId="41CC9C13">
            <w:pPr>
              <w:widowControl/>
              <w:adjustRightInd w:val="0"/>
              <w:snapToGrid w:val="0"/>
              <w:spacing w:line="240" w:lineRule="auto"/>
              <w:jc w:val="center"/>
              <w:rPr>
                <w:snapToGrid w:val="0"/>
                <w:color w:val="auto"/>
                <w:kern w:val="0"/>
                <w:szCs w:val="21"/>
              </w:rPr>
            </w:pPr>
          </w:p>
        </w:tc>
        <w:tc>
          <w:tcPr>
            <w:tcW w:w="984" w:type="dxa"/>
            <w:noWrap w:val="0"/>
            <w:vAlign w:val="center"/>
          </w:tcPr>
          <w:p w14:paraId="437D58FF">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二类区</w:t>
            </w:r>
          </w:p>
        </w:tc>
        <w:tc>
          <w:tcPr>
            <w:tcW w:w="3354" w:type="dxa"/>
            <w:gridSpan w:val="9"/>
            <w:noWrap w:val="0"/>
            <w:vAlign w:val="center"/>
          </w:tcPr>
          <w:p w14:paraId="119DDF58">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 xml:space="preserve">C </w:t>
            </w:r>
            <w:r>
              <w:rPr>
                <w:rFonts w:ascii="Times New Roman" w:hAnsi="Times New Roman"/>
                <w:snapToGrid w:val="0"/>
                <w:color w:val="auto"/>
                <w:sz w:val="21"/>
                <w:szCs w:val="21"/>
                <w:vertAlign w:val="subscript"/>
                <w:lang w:eastAsia="zh-CN"/>
              </w:rPr>
              <w:t>本项目</w:t>
            </w:r>
            <w:r>
              <w:rPr>
                <w:rFonts w:ascii="Times New Roman" w:hAnsi="Times New Roman"/>
                <w:snapToGrid w:val="0"/>
                <w:color w:val="auto"/>
                <w:sz w:val="21"/>
                <w:szCs w:val="21"/>
                <w:lang w:eastAsia="zh-CN"/>
              </w:rPr>
              <w:t>最大占标率≤30%</w:t>
            </w:r>
            <w:r>
              <w:rPr>
                <w:rFonts w:ascii="Times New Roman" w:hAnsi="Times New Roman"/>
                <w:snapToGrid w:val="0"/>
                <w:color w:val="auto"/>
                <w:sz w:val="21"/>
                <w:szCs w:val="21"/>
              </w:rPr>
              <w:sym w:font="Wingdings 2" w:char="00A3"/>
            </w:r>
          </w:p>
        </w:tc>
        <w:tc>
          <w:tcPr>
            <w:tcW w:w="2536" w:type="dxa"/>
            <w:gridSpan w:val="5"/>
            <w:noWrap w:val="0"/>
            <w:vAlign w:val="center"/>
          </w:tcPr>
          <w:p w14:paraId="1A201D2A">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 xml:space="preserve">C </w:t>
            </w:r>
            <w:r>
              <w:rPr>
                <w:rFonts w:ascii="Times New Roman" w:hAnsi="Times New Roman"/>
                <w:snapToGrid w:val="0"/>
                <w:color w:val="auto"/>
                <w:sz w:val="21"/>
                <w:szCs w:val="21"/>
                <w:vertAlign w:val="subscript"/>
              </w:rPr>
              <w:t>本项目</w:t>
            </w:r>
            <w:r>
              <w:rPr>
                <w:rFonts w:ascii="Times New Roman" w:hAnsi="Times New Roman"/>
                <w:snapToGrid w:val="0"/>
                <w:color w:val="auto"/>
                <w:sz w:val="21"/>
                <w:szCs w:val="21"/>
              </w:rPr>
              <w:t>最大标率&gt;30%□</w:t>
            </w:r>
          </w:p>
        </w:tc>
      </w:tr>
      <w:tr w14:paraId="43A1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 w:hRule="exact"/>
          <w:jc w:val="center"/>
        </w:trPr>
        <w:tc>
          <w:tcPr>
            <w:tcW w:w="641" w:type="dxa"/>
            <w:vMerge w:val="continue"/>
            <w:noWrap w:val="0"/>
            <w:vAlign w:val="center"/>
          </w:tcPr>
          <w:p w14:paraId="2EB3FF21">
            <w:pPr>
              <w:widowControl/>
              <w:adjustRightInd w:val="0"/>
              <w:snapToGrid w:val="0"/>
              <w:spacing w:line="240" w:lineRule="auto"/>
              <w:jc w:val="center"/>
              <w:rPr>
                <w:snapToGrid w:val="0"/>
                <w:color w:val="auto"/>
                <w:kern w:val="0"/>
                <w:szCs w:val="21"/>
              </w:rPr>
            </w:pPr>
          </w:p>
        </w:tc>
        <w:tc>
          <w:tcPr>
            <w:tcW w:w="1418" w:type="dxa"/>
            <w:noWrap w:val="0"/>
            <w:vAlign w:val="center"/>
          </w:tcPr>
          <w:p w14:paraId="03472361">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非正常排放 1h浓度贡献值</w:t>
            </w:r>
          </w:p>
        </w:tc>
        <w:tc>
          <w:tcPr>
            <w:tcW w:w="1454" w:type="dxa"/>
            <w:gridSpan w:val="3"/>
            <w:noWrap w:val="0"/>
            <w:vAlign w:val="center"/>
          </w:tcPr>
          <w:p w14:paraId="3CFA26BF">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非正常持续时</w:t>
            </w:r>
          </w:p>
          <w:p w14:paraId="05643BC8">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长（ ）h</w:t>
            </w:r>
          </w:p>
        </w:tc>
        <w:tc>
          <w:tcPr>
            <w:tcW w:w="2884" w:type="dxa"/>
            <w:gridSpan w:val="7"/>
            <w:noWrap w:val="0"/>
            <w:vAlign w:val="center"/>
          </w:tcPr>
          <w:p w14:paraId="3151A0BA">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 xml:space="preserve">C </w:t>
            </w:r>
            <w:r>
              <w:rPr>
                <w:rFonts w:ascii="Times New Roman" w:hAnsi="Times New Roman"/>
                <w:snapToGrid w:val="0"/>
                <w:color w:val="auto"/>
                <w:sz w:val="21"/>
                <w:szCs w:val="21"/>
                <w:vertAlign w:val="subscript"/>
              </w:rPr>
              <w:t>非正常</w:t>
            </w:r>
            <w:r>
              <w:rPr>
                <w:rFonts w:ascii="Times New Roman" w:hAnsi="Times New Roman"/>
                <w:snapToGrid w:val="0"/>
                <w:color w:val="auto"/>
                <w:sz w:val="21"/>
                <w:szCs w:val="21"/>
              </w:rPr>
              <w:t>占标率≤100%□</w:t>
            </w:r>
          </w:p>
        </w:tc>
        <w:tc>
          <w:tcPr>
            <w:tcW w:w="2536" w:type="dxa"/>
            <w:gridSpan w:val="5"/>
            <w:noWrap w:val="0"/>
            <w:vAlign w:val="center"/>
          </w:tcPr>
          <w:p w14:paraId="153AFF72">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C</w:t>
            </w:r>
            <w:r>
              <w:rPr>
                <w:rFonts w:ascii="Times New Roman" w:hAnsi="Times New Roman"/>
                <w:snapToGrid w:val="0"/>
                <w:color w:val="auto"/>
                <w:sz w:val="21"/>
                <w:szCs w:val="21"/>
                <w:vertAlign w:val="subscript"/>
              </w:rPr>
              <w:t xml:space="preserve"> 非正常</w:t>
            </w:r>
            <w:r>
              <w:rPr>
                <w:rFonts w:ascii="Times New Roman" w:hAnsi="Times New Roman"/>
                <w:snapToGrid w:val="0"/>
                <w:color w:val="auto"/>
                <w:sz w:val="21"/>
                <w:szCs w:val="21"/>
              </w:rPr>
              <w:t>占标率&gt;100%□</w:t>
            </w:r>
          </w:p>
        </w:tc>
      </w:tr>
      <w:tr w14:paraId="37F5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exact"/>
          <w:jc w:val="center"/>
        </w:trPr>
        <w:tc>
          <w:tcPr>
            <w:tcW w:w="641" w:type="dxa"/>
            <w:vMerge w:val="continue"/>
            <w:noWrap w:val="0"/>
            <w:vAlign w:val="center"/>
          </w:tcPr>
          <w:p w14:paraId="592753F4">
            <w:pPr>
              <w:widowControl/>
              <w:adjustRightInd w:val="0"/>
              <w:snapToGrid w:val="0"/>
              <w:spacing w:line="240" w:lineRule="auto"/>
              <w:jc w:val="center"/>
              <w:rPr>
                <w:snapToGrid w:val="0"/>
                <w:color w:val="auto"/>
                <w:kern w:val="0"/>
                <w:szCs w:val="21"/>
              </w:rPr>
            </w:pPr>
          </w:p>
        </w:tc>
        <w:tc>
          <w:tcPr>
            <w:tcW w:w="1418" w:type="dxa"/>
            <w:noWrap w:val="0"/>
            <w:vAlign w:val="center"/>
          </w:tcPr>
          <w:p w14:paraId="0686C514">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保证率日平均浓度和年平均浓度叠加值</w:t>
            </w:r>
          </w:p>
        </w:tc>
        <w:tc>
          <w:tcPr>
            <w:tcW w:w="3766" w:type="dxa"/>
            <w:gridSpan w:val="8"/>
            <w:noWrap w:val="0"/>
            <w:vAlign w:val="center"/>
          </w:tcPr>
          <w:p w14:paraId="160B45B5">
            <w:pPr>
              <w:pStyle w:val="50"/>
              <w:adjustRightInd w:val="0"/>
              <w:snapToGrid w:val="0"/>
              <w:rPr>
                <w:rFonts w:ascii="Times New Roman" w:hAnsi="Times New Roman"/>
                <w:snapToGrid w:val="0"/>
                <w:color w:val="auto"/>
                <w:sz w:val="21"/>
                <w:szCs w:val="21"/>
              </w:rPr>
            </w:pPr>
            <w:r>
              <w:rPr>
                <w:rFonts w:ascii="Times New Roman" w:hAnsi="Times New Roman"/>
                <w:snapToGrid w:val="0"/>
                <w:color w:val="auto"/>
                <w:sz w:val="21"/>
                <w:szCs w:val="21"/>
              </w:rPr>
              <w:t>C</w:t>
            </w:r>
            <w:r>
              <w:rPr>
                <w:rFonts w:ascii="Times New Roman" w:hAnsi="Times New Roman"/>
                <w:snapToGrid w:val="0"/>
                <w:color w:val="auto"/>
                <w:sz w:val="21"/>
                <w:szCs w:val="21"/>
                <w:vertAlign w:val="subscript"/>
              </w:rPr>
              <w:t xml:space="preserve"> 叠加</w:t>
            </w:r>
            <w:r>
              <w:rPr>
                <w:rFonts w:ascii="Times New Roman" w:hAnsi="Times New Roman"/>
                <w:snapToGrid w:val="0"/>
                <w:color w:val="auto"/>
                <w:sz w:val="21"/>
                <w:szCs w:val="21"/>
              </w:rPr>
              <w:t>达标□</w:t>
            </w:r>
          </w:p>
        </w:tc>
        <w:tc>
          <w:tcPr>
            <w:tcW w:w="3108" w:type="dxa"/>
            <w:gridSpan w:val="7"/>
            <w:noWrap w:val="0"/>
            <w:vAlign w:val="center"/>
          </w:tcPr>
          <w:p w14:paraId="3D6FFDC6">
            <w:pPr>
              <w:pStyle w:val="50"/>
              <w:adjustRightInd w:val="0"/>
              <w:snapToGrid w:val="0"/>
              <w:rPr>
                <w:rFonts w:ascii="Times New Roman" w:hAnsi="Times New Roman"/>
                <w:snapToGrid w:val="0"/>
                <w:color w:val="auto"/>
                <w:sz w:val="21"/>
                <w:szCs w:val="21"/>
              </w:rPr>
            </w:pPr>
            <w:r>
              <w:rPr>
                <w:rFonts w:ascii="Times New Roman" w:hAnsi="Times New Roman"/>
                <w:snapToGrid w:val="0"/>
                <w:color w:val="auto"/>
                <w:sz w:val="21"/>
                <w:szCs w:val="21"/>
              </w:rPr>
              <w:t>C</w:t>
            </w:r>
            <w:r>
              <w:rPr>
                <w:rFonts w:ascii="Times New Roman" w:hAnsi="Times New Roman"/>
                <w:snapToGrid w:val="0"/>
                <w:color w:val="auto"/>
                <w:sz w:val="21"/>
                <w:szCs w:val="21"/>
                <w:vertAlign w:val="subscript"/>
              </w:rPr>
              <w:t xml:space="preserve"> 叠加</w:t>
            </w:r>
            <w:r>
              <w:rPr>
                <w:rFonts w:ascii="Times New Roman" w:hAnsi="Times New Roman"/>
                <w:snapToGrid w:val="0"/>
                <w:color w:val="auto"/>
                <w:sz w:val="21"/>
                <w:szCs w:val="21"/>
              </w:rPr>
              <w:t>不达标□</w:t>
            </w:r>
          </w:p>
        </w:tc>
      </w:tr>
      <w:tr w14:paraId="4433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8" w:hRule="exact"/>
          <w:jc w:val="center"/>
        </w:trPr>
        <w:tc>
          <w:tcPr>
            <w:tcW w:w="641" w:type="dxa"/>
            <w:vMerge w:val="continue"/>
            <w:noWrap w:val="0"/>
            <w:vAlign w:val="center"/>
          </w:tcPr>
          <w:p w14:paraId="65608749">
            <w:pPr>
              <w:widowControl/>
              <w:adjustRightInd w:val="0"/>
              <w:snapToGrid w:val="0"/>
              <w:spacing w:line="240" w:lineRule="auto"/>
              <w:jc w:val="center"/>
              <w:rPr>
                <w:snapToGrid w:val="0"/>
                <w:color w:val="auto"/>
                <w:kern w:val="0"/>
                <w:szCs w:val="21"/>
              </w:rPr>
            </w:pPr>
          </w:p>
        </w:tc>
        <w:tc>
          <w:tcPr>
            <w:tcW w:w="1418" w:type="dxa"/>
            <w:noWrap w:val="0"/>
            <w:vAlign w:val="center"/>
          </w:tcPr>
          <w:p w14:paraId="1F4AD4A4">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区域环境质量的整体变化情况</w:t>
            </w:r>
          </w:p>
        </w:tc>
        <w:tc>
          <w:tcPr>
            <w:tcW w:w="3766" w:type="dxa"/>
            <w:gridSpan w:val="8"/>
            <w:noWrap w:val="0"/>
            <w:vAlign w:val="center"/>
          </w:tcPr>
          <w:p w14:paraId="554717E8">
            <w:pPr>
              <w:pStyle w:val="50"/>
              <w:adjustRightInd w:val="0"/>
              <w:snapToGrid w:val="0"/>
              <w:jc w:val="both"/>
              <w:rPr>
                <w:rFonts w:ascii="Times New Roman" w:hAnsi="Times New Roman"/>
                <w:snapToGrid w:val="0"/>
                <w:color w:val="auto"/>
                <w:sz w:val="21"/>
                <w:szCs w:val="21"/>
              </w:rPr>
            </w:pPr>
            <w:r>
              <w:rPr>
                <w:rFonts w:ascii="Times New Roman" w:hAnsi="Times New Roman"/>
                <w:snapToGrid w:val="0"/>
                <w:color w:val="auto"/>
                <w:sz w:val="21"/>
                <w:szCs w:val="21"/>
              </w:rPr>
              <w:t>K≤-20%□</w:t>
            </w:r>
          </w:p>
        </w:tc>
        <w:tc>
          <w:tcPr>
            <w:tcW w:w="3108" w:type="dxa"/>
            <w:gridSpan w:val="7"/>
            <w:noWrap w:val="0"/>
            <w:vAlign w:val="center"/>
          </w:tcPr>
          <w:p w14:paraId="7E4A8600">
            <w:pPr>
              <w:pStyle w:val="50"/>
              <w:adjustRightInd w:val="0"/>
              <w:snapToGrid w:val="0"/>
              <w:jc w:val="both"/>
              <w:rPr>
                <w:rFonts w:ascii="Times New Roman" w:hAnsi="Times New Roman"/>
                <w:snapToGrid w:val="0"/>
                <w:color w:val="auto"/>
                <w:sz w:val="21"/>
                <w:szCs w:val="21"/>
              </w:rPr>
            </w:pPr>
            <w:r>
              <w:rPr>
                <w:rFonts w:ascii="Times New Roman" w:hAnsi="Times New Roman"/>
                <w:snapToGrid w:val="0"/>
                <w:color w:val="auto"/>
                <w:sz w:val="21"/>
                <w:szCs w:val="21"/>
              </w:rPr>
              <w:t>K&gt;-20%□</w:t>
            </w:r>
          </w:p>
        </w:tc>
      </w:tr>
      <w:tr w14:paraId="4888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exact"/>
          <w:jc w:val="center"/>
        </w:trPr>
        <w:tc>
          <w:tcPr>
            <w:tcW w:w="641" w:type="dxa"/>
            <w:vMerge w:val="restart"/>
            <w:noWrap w:val="0"/>
            <w:vAlign w:val="center"/>
          </w:tcPr>
          <w:p w14:paraId="2C9BFE9E">
            <w:pPr>
              <w:widowControl/>
              <w:adjustRightInd w:val="0"/>
              <w:snapToGrid w:val="0"/>
              <w:spacing w:line="240" w:lineRule="auto"/>
              <w:jc w:val="center"/>
              <w:rPr>
                <w:snapToGrid w:val="0"/>
                <w:color w:val="auto"/>
                <w:kern w:val="0"/>
                <w:szCs w:val="21"/>
              </w:rPr>
            </w:pPr>
            <w:r>
              <w:rPr>
                <w:snapToGrid w:val="0"/>
                <w:color w:val="auto"/>
                <w:kern w:val="0"/>
                <w:szCs w:val="21"/>
              </w:rPr>
              <w:t>环境监测计划</w:t>
            </w:r>
          </w:p>
        </w:tc>
        <w:tc>
          <w:tcPr>
            <w:tcW w:w="1418" w:type="dxa"/>
            <w:noWrap w:val="0"/>
            <w:vAlign w:val="center"/>
          </w:tcPr>
          <w:p w14:paraId="105D8FE5">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污染源监测</w:t>
            </w:r>
          </w:p>
        </w:tc>
        <w:tc>
          <w:tcPr>
            <w:tcW w:w="3022" w:type="dxa"/>
            <w:gridSpan w:val="6"/>
            <w:noWrap w:val="0"/>
            <w:vAlign w:val="center"/>
          </w:tcPr>
          <w:p w14:paraId="1E8631B6">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监测因子：（</w:t>
            </w:r>
            <w:r>
              <w:rPr>
                <w:rFonts w:hint="eastAsia" w:ascii="Times New Roman" w:hAnsi="Times New Roman"/>
                <w:snapToGrid w:val="0"/>
                <w:color w:val="auto"/>
                <w:sz w:val="21"/>
                <w:szCs w:val="21"/>
                <w:lang w:eastAsia="zh-CN"/>
              </w:rPr>
              <w:t xml:space="preserve"> 非甲烷总烃颗粒物</w:t>
            </w:r>
            <w:r>
              <w:rPr>
                <w:rFonts w:ascii="Times New Roman" w:hAnsi="Times New Roman"/>
                <w:snapToGrid w:val="0"/>
                <w:color w:val="auto"/>
                <w:sz w:val="21"/>
                <w:szCs w:val="21"/>
                <w:lang w:eastAsia="zh-CN"/>
              </w:rPr>
              <w:t>）</w:t>
            </w:r>
          </w:p>
        </w:tc>
        <w:tc>
          <w:tcPr>
            <w:tcW w:w="2393" w:type="dxa"/>
            <w:gridSpan w:val="7"/>
            <w:noWrap w:val="0"/>
            <w:vAlign w:val="center"/>
          </w:tcPr>
          <w:p w14:paraId="7B38151F">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有组织废气监测</w:t>
            </w:r>
            <w:r>
              <w:rPr>
                <w:rFonts w:ascii="Times New Roman" w:hAnsi="Times New Roman"/>
                <w:snapToGrid w:val="0"/>
                <w:color w:val="auto"/>
                <w:sz w:val="21"/>
                <w:szCs w:val="21"/>
              </w:rPr>
              <w:sym w:font="Wingdings 2" w:char="F052"/>
            </w:r>
          </w:p>
          <w:p w14:paraId="320D3ED1">
            <w:pPr>
              <w:pStyle w:val="50"/>
              <w:adjustRightInd w:val="0"/>
              <w:snapToGrid w:val="0"/>
              <w:jc w:val="center"/>
              <w:rPr>
                <w:rFonts w:ascii="Times New Roman" w:hAnsi="Times New Roman"/>
                <w:snapToGrid w:val="0"/>
                <w:color w:val="auto"/>
                <w:sz w:val="21"/>
                <w:szCs w:val="21"/>
                <w:lang w:eastAsia="zh-CN"/>
              </w:rPr>
            </w:pPr>
            <w:r>
              <w:rPr>
                <w:rFonts w:ascii="Times New Roman" w:hAnsi="Times New Roman"/>
                <w:snapToGrid w:val="0"/>
                <w:color w:val="auto"/>
                <w:sz w:val="21"/>
                <w:szCs w:val="21"/>
                <w:lang w:eastAsia="zh-CN"/>
              </w:rPr>
              <w:t>无组织废气监测</w:t>
            </w:r>
            <w:r>
              <w:rPr>
                <w:rFonts w:ascii="Times New Roman" w:hAnsi="Times New Roman"/>
                <w:snapToGrid w:val="0"/>
                <w:color w:val="auto"/>
                <w:sz w:val="21"/>
                <w:szCs w:val="21"/>
              </w:rPr>
              <w:sym w:font="Wingdings 2" w:char="F052"/>
            </w:r>
          </w:p>
        </w:tc>
        <w:tc>
          <w:tcPr>
            <w:tcW w:w="1459" w:type="dxa"/>
            <w:gridSpan w:val="2"/>
            <w:noWrap w:val="0"/>
            <w:vAlign w:val="center"/>
          </w:tcPr>
          <w:p w14:paraId="7FBA4229">
            <w:pPr>
              <w:pStyle w:val="50"/>
              <w:adjustRightInd w:val="0"/>
              <w:snapToGrid w:val="0"/>
              <w:rPr>
                <w:rFonts w:ascii="Times New Roman" w:hAnsi="Times New Roman"/>
                <w:snapToGrid w:val="0"/>
                <w:color w:val="auto"/>
                <w:sz w:val="21"/>
                <w:szCs w:val="21"/>
              </w:rPr>
            </w:pPr>
            <w:r>
              <w:rPr>
                <w:rFonts w:ascii="Times New Roman" w:hAnsi="Times New Roman"/>
                <w:snapToGrid w:val="0"/>
                <w:color w:val="auto"/>
                <w:sz w:val="21"/>
                <w:szCs w:val="21"/>
              </w:rPr>
              <w:t>无监测□</w:t>
            </w:r>
          </w:p>
        </w:tc>
      </w:tr>
      <w:tr w14:paraId="399A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exact"/>
          <w:jc w:val="center"/>
        </w:trPr>
        <w:tc>
          <w:tcPr>
            <w:tcW w:w="641" w:type="dxa"/>
            <w:vMerge w:val="continue"/>
            <w:noWrap w:val="0"/>
            <w:vAlign w:val="center"/>
          </w:tcPr>
          <w:p w14:paraId="455FBCA8">
            <w:pPr>
              <w:widowControl/>
              <w:adjustRightInd w:val="0"/>
              <w:snapToGrid w:val="0"/>
              <w:spacing w:line="240" w:lineRule="auto"/>
              <w:jc w:val="center"/>
              <w:rPr>
                <w:snapToGrid w:val="0"/>
                <w:color w:val="auto"/>
                <w:kern w:val="0"/>
                <w:szCs w:val="21"/>
              </w:rPr>
            </w:pPr>
          </w:p>
        </w:tc>
        <w:tc>
          <w:tcPr>
            <w:tcW w:w="1418" w:type="dxa"/>
            <w:noWrap w:val="0"/>
            <w:vAlign w:val="center"/>
          </w:tcPr>
          <w:p w14:paraId="6A4A378A">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环境质量监测</w:t>
            </w:r>
          </w:p>
        </w:tc>
        <w:tc>
          <w:tcPr>
            <w:tcW w:w="3022" w:type="dxa"/>
            <w:gridSpan w:val="6"/>
            <w:noWrap w:val="0"/>
            <w:vAlign w:val="center"/>
          </w:tcPr>
          <w:p w14:paraId="1B504143">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监测因子：（</w:t>
            </w:r>
            <w:r>
              <w:rPr>
                <w:rFonts w:hint="eastAsia" w:ascii="Times New Roman" w:hAnsi="Times New Roman"/>
                <w:snapToGrid w:val="0"/>
                <w:color w:val="auto"/>
                <w:sz w:val="21"/>
                <w:szCs w:val="21"/>
                <w:lang w:eastAsia="zh-CN"/>
              </w:rPr>
              <w:t>颗粒物、 非甲烷总烃</w:t>
            </w:r>
            <w:r>
              <w:rPr>
                <w:rFonts w:ascii="Times New Roman" w:hAnsi="Times New Roman"/>
                <w:snapToGrid w:val="0"/>
                <w:color w:val="auto"/>
                <w:sz w:val="21"/>
                <w:szCs w:val="21"/>
              </w:rPr>
              <w:t>）</w:t>
            </w:r>
          </w:p>
        </w:tc>
        <w:tc>
          <w:tcPr>
            <w:tcW w:w="2393" w:type="dxa"/>
            <w:gridSpan w:val="7"/>
            <w:noWrap w:val="0"/>
            <w:vAlign w:val="center"/>
          </w:tcPr>
          <w:p w14:paraId="0BA809FE">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监测点位数（</w:t>
            </w:r>
            <w:r>
              <w:rPr>
                <w:rFonts w:hint="eastAsia" w:ascii="Times New Roman" w:hAnsi="Times New Roman"/>
                <w:snapToGrid w:val="0"/>
                <w:color w:val="auto"/>
                <w:sz w:val="21"/>
                <w:szCs w:val="21"/>
                <w:lang w:val="en-US" w:eastAsia="zh-CN"/>
              </w:rPr>
              <w:t>1</w:t>
            </w:r>
            <w:r>
              <w:rPr>
                <w:rFonts w:ascii="Times New Roman" w:hAnsi="Times New Roman"/>
                <w:snapToGrid w:val="0"/>
                <w:color w:val="auto"/>
                <w:sz w:val="21"/>
                <w:szCs w:val="21"/>
              </w:rPr>
              <w:t>）</w:t>
            </w:r>
          </w:p>
        </w:tc>
        <w:tc>
          <w:tcPr>
            <w:tcW w:w="1459" w:type="dxa"/>
            <w:gridSpan w:val="2"/>
            <w:noWrap w:val="0"/>
            <w:vAlign w:val="center"/>
          </w:tcPr>
          <w:p w14:paraId="71749167">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无监测</w:t>
            </w:r>
            <w:r>
              <w:rPr>
                <w:rFonts w:ascii="Times New Roman" w:hAnsi="Times New Roman"/>
                <w:snapToGrid w:val="0"/>
                <w:color w:val="auto"/>
                <w:sz w:val="21"/>
                <w:szCs w:val="21"/>
              </w:rPr>
              <w:sym w:font="Wingdings 2" w:char="00A3"/>
            </w:r>
          </w:p>
        </w:tc>
      </w:tr>
      <w:tr w14:paraId="2367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exact"/>
          <w:jc w:val="center"/>
        </w:trPr>
        <w:tc>
          <w:tcPr>
            <w:tcW w:w="641" w:type="dxa"/>
            <w:vMerge w:val="restart"/>
            <w:noWrap w:val="0"/>
            <w:vAlign w:val="center"/>
          </w:tcPr>
          <w:p w14:paraId="571B1252">
            <w:pPr>
              <w:widowControl/>
              <w:adjustRightInd w:val="0"/>
              <w:snapToGrid w:val="0"/>
              <w:spacing w:line="240" w:lineRule="auto"/>
              <w:jc w:val="center"/>
              <w:rPr>
                <w:snapToGrid w:val="0"/>
                <w:color w:val="auto"/>
                <w:kern w:val="0"/>
                <w:szCs w:val="21"/>
              </w:rPr>
            </w:pPr>
            <w:r>
              <w:rPr>
                <w:snapToGrid w:val="0"/>
                <w:color w:val="auto"/>
                <w:kern w:val="0"/>
                <w:szCs w:val="21"/>
              </w:rPr>
              <w:t>评价结论</w:t>
            </w:r>
          </w:p>
        </w:tc>
        <w:tc>
          <w:tcPr>
            <w:tcW w:w="1418" w:type="dxa"/>
            <w:noWrap w:val="0"/>
            <w:vAlign w:val="center"/>
          </w:tcPr>
          <w:p w14:paraId="1B78604F">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环境影响</w:t>
            </w:r>
          </w:p>
        </w:tc>
        <w:tc>
          <w:tcPr>
            <w:tcW w:w="6874" w:type="dxa"/>
            <w:gridSpan w:val="15"/>
            <w:noWrap w:val="0"/>
            <w:vAlign w:val="center"/>
          </w:tcPr>
          <w:p w14:paraId="4A717D51">
            <w:pPr>
              <w:pStyle w:val="50"/>
              <w:adjustRightInd w:val="0"/>
              <w:snapToGrid w:val="0"/>
              <w:jc w:val="center"/>
              <w:rPr>
                <w:rFonts w:ascii="Times New Roman" w:hAnsi="Times New Roman"/>
                <w:b/>
                <w:bCs/>
                <w:snapToGrid w:val="0"/>
                <w:color w:val="auto"/>
                <w:sz w:val="21"/>
                <w:szCs w:val="21"/>
              </w:rPr>
            </w:pPr>
            <w:r>
              <w:rPr>
                <w:rFonts w:ascii="Times New Roman" w:hAnsi="Times New Roman"/>
                <w:snapToGrid w:val="0"/>
                <w:color w:val="auto"/>
                <w:sz w:val="21"/>
                <w:szCs w:val="21"/>
              </w:rPr>
              <w:t>可以接受</w:t>
            </w:r>
            <w:r>
              <w:rPr>
                <w:rFonts w:ascii="Times New Roman" w:hAnsi="Times New Roman"/>
                <w:snapToGrid w:val="0"/>
                <w:color w:val="auto"/>
                <w:sz w:val="21"/>
                <w:szCs w:val="21"/>
              </w:rPr>
              <w:sym w:font="Wingdings 2" w:char="F052"/>
            </w:r>
            <w:r>
              <w:rPr>
                <w:rFonts w:ascii="Times New Roman" w:hAnsi="Times New Roman"/>
                <w:snapToGrid w:val="0"/>
                <w:color w:val="auto"/>
                <w:sz w:val="21"/>
                <w:szCs w:val="21"/>
              </w:rPr>
              <w:tab/>
            </w:r>
            <w:r>
              <w:rPr>
                <w:rFonts w:ascii="Times New Roman" w:hAnsi="Times New Roman"/>
                <w:snapToGrid w:val="0"/>
                <w:color w:val="auto"/>
                <w:sz w:val="21"/>
                <w:szCs w:val="21"/>
              </w:rPr>
              <w:t>不可以接受□</w:t>
            </w:r>
          </w:p>
        </w:tc>
      </w:tr>
      <w:tr w14:paraId="7933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exact"/>
          <w:jc w:val="center"/>
        </w:trPr>
        <w:tc>
          <w:tcPr>
            <w:tcW w:w="641" w:type="dxa"/>
            <w:vMerge w:val="continue"/>
            <w:noWrap w:val="0"/>
            <w:vAlign w:val="center"/>
          </w:tcPr>
          <w:p w14:paraId="272B8809">
            <w:pPr>
              <w:widowControl/>
              <w:adjustRightInd w:val="0"/>
              <w:snapToGrid w:val="0"/>
              <w:spacing w:line="240" w:lineRule="auto"/>
              <w:jc w:val="center"/>
              <w:rPr>
                <w:snapToGrid w:val="0"/>
                <w:color w:val="auto"/>
                <w:kern w:val="0"/>
                <w:szCs w:val="21"/>
              </w:rPr>
            </w:pPr>
          </w:p>
        </w:tc>
        <w:tc>
          <w:tcPr>
            <w:tcW w:w="1418" w:type="dxa"/>
            <w:noWrap w:val="0"/>
            <w:vAlign w:val="center"/>
          </w:tcPr>
          <w:p w14:paraId="1CC8D56E">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大气环境防护距离</w:t>
            </w:r>
          </w:p>
        </w:tc>
        <w:tc>
          <w:tcPr>
            <w:tcW w:w="6874" w:type="dxa"/>
            <w:gridSpan w:val="15"/>
            <w:noWrap w:val="0"/>
            <w:vAlign w:val="center"/>
          </w:tcPr>
          <w:p w14:paraId="19FC393D">
            <w:pPr>
              <w:pStyle w:val="50"/>
              <w:adjustRightInd w:val="0"/>
              <w:snapToGrid w:val="0"/>
              <w:jc w:val="center"/>
              <w:rPr>
                <w:rFonts w:ascii="Times New Roman" w:hAnsi="Times New Roman"/>
                <w:b/>
                <w:bCs/>
                <w:snapToGrid w:val="0"/>
                <w:color w:val="auto"/>
                <w:sz w:val="21"/>
                <w:szCs w:val="21"/>
              </w:rPr>
            </w:pPr>
            <w:r>
              <w:rPr>
                <w:rFonts w:ascii="Times New Roman" w:hAnsi="Times New Roman"/>
                <w:snapToGrid w:val="0"/>
                <w:color w:val="auto"/>
                <w:sz w:val="21"/>
                <w:szCs w:val="21"/>
              </w:rPr>
              <w:t>无</w:t>
            </w:r>
          </w:p>
        </w:tc>
      </w:tr>
      <w:tr w14:paraId="16D1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jc w:val="center"/>
        </w:trPr>
        <w:tc>
          <w:tcPr>
            <w:tcW w:w="641" w:type="dxa"/>
            <w:vMerge w:val="continue"/>
            <w:noWrap w:val="0"/>
            <w:vAlign w:val="center"/>
          </w:tcPr>
          <w:p w14:paraId="6460E418">
            <w:pPr>
              <w:widowControl/>
              <w:adjustRightInd w:val="0"/>
              <w:snapToGrid w:val="0"/>
              <w:spacing w:line="240" w:lineRule="auto"/>
              <w:jc w:val="center"/>
              <w:rPr>
                <w:snapToGrid w:val="0"/>
                <w:color w:val="auto"/>
                <w:kern w:val="0"/>
                <w:szCs w:val="21"/>
              </w:rPr>
            </w:pPr>
          </w:p>
        </w:tc>
        <w:tc>
          <w:tcPr>
            <w:tcW w:w="1418" w:type="dxa"/>
            <w:noWrap w:val="0"/>
            <w:vAlign w:val="center"/>
          </w:tcPr>
          <w:p w14:paraId="73EB8637">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rPr>
              <w:t>污染源年排放量</w:t>
            </w:r>
          </w:p>
        </w:tc>
        <w:tc>
          <w:tcPr>
            <w:tcW w:w="3022" w:type="dxa"/>
            <w:gridSpan w:val="6"/>
            <w:noWrap w:val="0"/>
            <w:vAlign w:val="center"/>
          </w:tcPr>
          <w:p w14:paraId="43165AB9">
            <w:pPr>
              <w:pStyle w:val="50"/>
              <w:adjustRightInd w:val="0"/>
              <w:snapToGrid w:val="0"/>
              <w:jc w:val="center"/>
              <w:rPr>
                <w:rFonts w:hint="eastAsia" w:ascii="Times New Roman" w:hAnsi="Times New Roman" w:eastAsia="宋体"/>
                <w:snapToGrid w:val="0"/>
                <w:color w:val="auto"/>
                <w:sz w:val="21"/>
                <w:szCs w:val="21"/>
                <w:lang w:eastAsia="zh-CN"/>
              </w:rPr>
            </w:pPr>
            <w:r>
              <w:rPr>
                <w:rFonts w:hint="eastAsia" w:ascii="Times New Roman" w:hAnsi="Times New Roman"/>
                <w:snapToGrid w:val="0"/>
                <w:color w:val="auto"/>
                <w:sz w:val="21"/>
                <w:szCs w:val="21"/>
                <w:lang w:val="en-US" w:eastAsia="zh-CN"/>
              </w:rPr>
              <w:t>颗粒物</w:t>
            </w:r>
            <w:r>
              <w:rPr>
                <w:rFonts w:ascii="Times New Roman" w:hAnsi="Times New Roman"/>
                <w:snapToGrid w:val="0"/>
                <w:color w:val="auto"/>
                <w:sz w:val="21"/>
                <w:szCs w:val="21"/>
              </w:rPr>
              <w:t>:（</w:t>
            </w:r>
            <w:r>
              <w:rPr>
                <w:rFonts w:hint="eastAsia" w:ascii="Times New Roman" w:hAnsi="Times New Roman"/>
                <w:snapToGrid w:val="0"/>
                <w:color w:val="auto"/>
                <w:sz w:val="21"/>
                <w:szCs w:val="21"/>
                <w:lang w:val="en-US" w:eastAsia="zh-CN"/>
              </w:rPr>
              <w:t>0.0442</w:t>
            </w:r>
            <w:r>
              <w:rPr>
                <w:rFonts w:ascii="Times New Roman" w:hAnsi="Times New Roman"/>
                <w:snapToGrid w:val="0"/>
                <w:color w:val="auto"/>
                <w:sz w:val="21"/>
                <w:szCs w:val="21"/>
              </w:rPr>
              <w:t>）t/a</w:t>
            </w:r>
          </w:p>
        </w:tc>
        <w:tc>
          <w:tcPr>
            <w:tcW w:w="3852" w:type="dxa"/>
            <w:gridSpan w:val="9"/>
            <w:noWrap w:val="0"/>
            <w:vAlign w:val="center"/>
          </w:tcPr>
          <w:p w14:paraId="70110B3A">
            <w:pPr>
              <w:pStyle w:val="50"/>
              <w:adjustRightInd w:val="0"/>
              <w:snapToGrid w:val="0"/>
              <w:jc w:val="center"/>
              <w:rPr>
                <w:rFonts w:ascii="Times New Roman" w:hAnsi="Times New Roman"/>
                <w:snapToGrid w:val="0"/>
                <w:color w:val="auto"/>
                <w:sz w:val="21"/>
                <w:szCs w:val="21"/>
              </w:rPr>
            </w:pPr>
            <w:r>
              <w:rPr>
                <w:rFonts w:ascii="Times New Roman" w:hAnsi="Times New Roman"/>
                <w:snapToGrid w:val="0"/>
                <w:color w:val="auto"/>
                <w:sz w:val="21"/>
                <w:szCs w:val="21"/>
                <w:lang w:eastAsia="zh-CN"/>
              </w:rPr>
              <w:t>VOCs</w:t>
            </w:r>
            <w:r>
              <w:rPr>
                <w:rFonts w:ascii="Times New Roman" w:hAnsi="Times New Roman"/>
                <w:snapToGrid w:val="0"/>
                <w:color w:val="auto"/>
                <w:sz w:val="21"/>
                <w:szCs w:val="21"/>
              </w:rPr>
              <w:t>:（</w:t>
            </w:r>
            <w:r>
              <w:rPr>
                <w:rFonts w:hint="eastAsia" w:ascii="Times New Roman" w:hAnsi="Times New Roman" w:cs="Times New Roman"/>
                <w:color w:val="auto"/>
                <w:kern w:val="0"/>
                <w:sz w:val="21"/>
                <w:szCs w:val="21"/>
                <w:highlight w:val="none"/>
                <w:lang w:val="en-US" w:eastAsia="zh-CN"/>
              </w:rPr>
              <w:t>0.5023</w:t>
            </w:r>
            <w:r>
              <w:rPr>
                <w:rFonts w:ascii="Times New Roman" w:hAnsi="Times New Roman"/>
                <w:snapToGrid w:val="0"/>
                <w:color w:val="auto"/>
                <w:sz w:val="21"/>
                <w:szCs w:val="21"/>
              </w:rPr>
              <w:t>）t/a</w:t>
            </w:r>
          </w:p>
        </w:tc>
      </w:tr>
      <w:tr w14:paraId="3710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exact"/>
          <w:jc w:val="center"/>
        </w:trPr>
        <w:tc>
          <w:tcPr>
            <w:tcW w:w="8933" w:type="dxa"/>
            <w:gridSpan w:val="17"/>
            <w:noWrap w:val="0"/>
            <w:vAlign w:val="center"/>
          </w:tcPr>
          <w:p w14:paraId="61E13A2C">
            <w:pPr>
              <w:adjustRightInd w:val="0"/>
              <w:snapToGrid w:val="0"/>
              <w:spacing w:line="240" w:lineRule="auto"/>
              <w:jc w:val="center"/>
              <w:rPr>
                <w:snapToGrid w:val="0"/>
                <w:color w:val="auto"/>
                <w:kern w:val="0"/>
                <w:szCs w:val="21"/>
              </w:rPr>
            </w:pPr>
            <w:r>
              <w:rPr>
                <w:snapToGrid w:val="0"/>
                <w:color w:val="auto"/>
                <w:kern w:val="0"/>
                <w:sz w:val="21"/>
                <w:szCs w:val="21"/>
              </w:rPr>
              <w:t>注：“□”为勾选项，填“√”；“（</w:t>
            </w:r>
            <w:r>
              <w:rPr>
                <w:snapToGrid w:val="0"/>
                <w:color w:val="auto"/>
                <w:kern w:val="0"/>
                <w:sz w:val="21"/>
                <w:szCs w:val="21"/>
              </w:rPr>
              <w:tab/>
            </w:r>
            <w:r>
              <w:rPr>
                <w:snapToGrid w:val="0"/>
                <w:color w:val="auto"/>
                <w:kern w:val="0"/>
                <w:sz w:val="21"/>
                <w:szCs w:val="21"/>
              </w:rPr>
              <w:t>）”为内容填写项</w:t>
            </w:r>
          </w:p>
        </w:tc>
      </w:tr>
    </w:tbl>
    <w:p w14:paraId="2E00D826">
      <w:pPr>
        <w:pStyle w:val="74"/>
        <w:ind w:firstLine="518"/>
        <w:rPr>
          <w:color w:val="auto"/>
        </w:rPr>
        <w:sectPr>
          <w:type w:val="continuous"/>
          <w:pgSz w:w="11906" w:h="16838"/>
          <w:pgMar w:top="1440" w:right="1418" w:bottom="1440" w:left="1418" w:header="851" w:footer="992" w:gutter="0"/>
          <w:pgNumType w:fmt="numberInDash"/>
          <w:cols w:space="720" w:num="1"/>
          <w:docGrid w:type="linesAndChars" w:linePitch="326" w:charSpace="3920"/>
        </w:sectPr>
      </w:pPr>
    </w:p>
    <w:p w14:paraId="79D22341">
      <w:pPr>
        <w:pStyle w:val="3"/>
        <w:rPr>
          <w:snapToGrid w:val="0"/>
          <w:color w:val="auto"/>
        </w:rPr>
      </w:pPr>
      <w:bookmarkStart w:id="48" w:name="_Toc97323103"/>
      <w:r>
        <w:rPr>
          <w:snapToGrid w:val="0"/>
          <w:color w:val="auto"/>
        </w:rPr>
        <w:t>4污染防治措施</w:t>
      </w:r>
      <w:bookmarkEnd w:id="48"/>
    </w:p>
    <w:p w14:paraId="144F9197">
      <w:pPr>
        <w:pStyle w:val="4"/>
        <w:rPr>
          <w:rFonts w:ascii="Times New Roman" w:hAnsi="Times New Roman"/>
          <w:snapToGrid w:val="0"/>
          <w:color w:val="auto"/>
        </w:rPr>
      </w:pPr>
      <w:bookmarkStart w:id="49" w:name="_Toc97323104"/>
      <w:r>
        <w:rPr>
          <w:rFonts w:ascii="Times New Roman" w:hAnsi="Times New Roman"/>
          <w:snapToGrid w:val="0"/>
          <w:color w:val="auto"/>
        </w:rPr>
        <w:t>4.1废气收集和处理措施概述</w:t>
      </w:r>
      <w:bookmarkEnd w:id="49"/>
    </w:p>
    <w:p w14:paraId="32706DBC">
      <w:pPr>
        <w:pStyle w:val="43"/>
        <w:keepNext w:val="0"/>
        <w:keepLines w:val="0"/>
        <w:pageBreakBefore w:val="0"/>
        <w:widowControl w:val="0"/>
        <w:tabs>
          <w:tab w:val="left" w:pos="6300"/>
        </w:tabs>
        <w:kinsoku/>
        <w:wordWrap/>
        <w:overflowPunct/>
        <w:topLinePunct w:val="0"/>
        <w:autoSpaceDE/>
        <w:autoSpaceDN/>
        <w:bidi w:val="0"/>
        <w:adjustRightInd w:val="0"/>
        <w:snapToGrid w:val="0"/>
        <w:spacing w:after="0" w:line="360" w:lineRule="auto"/>
        <w:ind w:left="0" w:leftChars="0" w:firstLine="518" w:firstLineChars="200"/>
        <w:jc w:val="both"/>
        <w:textAlignment w:val="auto"/>
        <w:rPr>
          <w:rFonts w:hint="eastAsia" w:ascii="Times New Roman" w:hAnsi="Times New Roman" w:eastAsia="宋体" w:cs="Times New Roman"/>
          <w:bCs w:val="0"/>
          <w:snapToGrid/>
          <w:color w:val="auto"/>
          <w:kern w:val="2"/>
          <w:sz w:val="24"/>
          <w:szCs w:val="22"/>
          <w:highlight w:val="none"/>
          <w:lang w:val="en-US" w:eastAsia="zh-CN" w:bidi="ar-SA"/>
        </w:rPr>
      </w:pPr>
      <w:r>
        <w:rPr>
          <w:rFonts w:hint="eastAsia" w:ascii="Times New Roman" w:hAnsi="Times New Roman" w:eastAsia="宋体" w:cs="Times New Roman"/>
          <w:bCs w:val="0"/>
          <w:snapToGrid/>
          <w:color w:val="auto"/>
          <w:kern w:val="2"/>
          <w:sz w:val="24"/>
          <w:szCs w:val="22"/>
          <w:highlight w:val="none"/>
          <w:lang w:val="en-US" w:eastAsia="zh-CN" w:bidi="ar-SA"/>
        </w:rPr>
        <w:t>（1）抛光、混料、打磨粉尘废气（G1、G3、G6）</w:t>
      </w:r>
    </w:p>
    <w:p w14:paraId="4A05A79F">
      <w:pPr>
        <w:pStyle w:val="43"/>
        <w:keepNext w:val="0"/>
        <w:keepLines w:val="0"/>
        <w:pageBreakBefore w:val="0"/>
        <w:widowControl w:val="0"/>
        <w:tabs>
          <w:tab w:val="left" w:pos="6300"/>
        </w:tabs>
        <w:kinsoku/>
        <w:wordWrap/>
        <w:overflowPunct/>
        <w:topLinePunct w:val="0"/>
        <w:autoSpaceDE/>
        <w:autoSpaceDN/>
        <w:bidi w:val="0"/>
        <w:adjustRightInd w:val="0"/>
        <w:snapToGrid w:val="0"/>
        <w:spacing w:after="0" w:line="360" w:lineRule="auto"/>
        <w:ind w:left="0" w:leftChars="0" w:firstLine="518" w:firstLineChars="200"/>
        <w:jc w:val="both"/>
        <w:textAlignment w:val="auto"/>
        <w:rPr>
          <w:rFonts w:hint="eastAsia" w:ascii="Times New Roman" w:hAnsi="Times New Roman" w:eastAsia="宋体" w:cs="Times New Roman"/>
          <w:bCs w:val="0"/>
          <w:snapToGrid/>
          <w:color w:val="auto"/>
          <w:kern w:val="2"/>
          <w:sz w:val="24"/>
          <w:szCs w:val="22"/>
          <w:highlight w:val="none"/>
          <w:lang w:val="en-US" w:eastAsia="zh-CN" w:bidi="ar-SA"/>
        </w:rPr>
      </w:pPr>
      <w:r>
        <w:rPr>
          <w:rFonts w:hint="eastAsia" w:ascii="Times New Roman" w:hAnsi="Times New Roman" w:eastAsia="宋体" w:cs="Times New Roman"/>
          <w:bCs w:val="0"/>
          <w:snapToGrid/>
          <w:color w:val="auto"/>
          <w:kern w:val="2"/>
          <w:sz w:val="24"/>
          <w:szCs w:val="22"/>
          <w:highlight w:val="none"/>
          <w:lang w:val="en-US" w:eastAsia="zh-CN" w:bidi="ar-SA"/>
        </w:rPr>
        <w:t>抛光、混料、打磨工序产生颗粒物废气，在抛砂机、混料机、磁盘磨床、开槽机上方分别设置集气罩，废气收集效率 90%；收集后的废气汇入布袋除尘器处理，除尘效率 99%，处理后废气经 DA001（20m 排气筒）排放，设计风机风量 12000m</w:t>
      </w:r>
      <w:r>
        <w:rPr>
          <w:rFonts w:hint="eastAsia" w:ascii="Times New Roman" w:hAnsi="Times New Roman" w:eastAsia="宋体" w:cs="Times New Roman"/>
          <w:bCs w:val="0"/>
          <w:snapToGrid/>
          <w:color w:val="auto"/>
          <w:kern w:val="2"/>
          <w:sz w:val="24"/>
          <w:szCs w:val="22"/>
          <w:highlight w:val="none"/>
          <w:vertAlign w:val="superscript"/>
          <w:lang w:val="en-US" w:eastAsia="zh-CN" w:bidi="ar-SA"/>
        </w:rPr>
        <w:t>3</w:t>
      </w:r>
      <w:r>
        <w:rPr>
          <w:rFonts w:hint="eastAsia" w:ascii="Times New Roman" w:hAnsi="Times New Roman" w:eastAsia="宋体" w:cs="Times New Roman"/>
          <w:bCs w:val="0"/>
          <w:snapToGrid/>
          <w:color w:val="auto"/>
          <w:kern w:val="2"/>
          <w:sz w:val="24"/>
          <w:szCs w:val="22"/>
          <w:highlight w:val="none"/>
          <w:lang w:val="en-US" w:eastAsia="zh-CN" w:bidi="ar-SA"/>
        </w:rPr>
        <w:t>/h。未收集的颗粒物以无组织形式在车间内排放。</w:t>
      </w:r>
    </w:p>
    <w:p w14:paraId="5FEA3042">
      <w:pPr>
        <w:pStyle w:val="43"/>
        <w:keepNext w:val="0"/>
        <w:keepLines w:val="0"/>
        <w:pageBreakBefore w:val="0"/>
        <w:widowControl w:val="0"/>
        <w:tabs>
          <w:tab w:val="left" w:pos="6300"/>
        </w:tabs>
        <w:kinsoku/>
        <w:wordWrap/>
        <w:overflowPunct/>
        <w:topLinePunct w:val="0"/>
        <w:autoSpaceDE/>
        <w:autoSpaceDN/>
        <w:bidi w:val="0"/>
        <w:adjustRightInd w:val="0"/>
        <w:snapToGrid w:val="0"/>
        <w:spacing w:after="0" w:line="360" w:lineRule="auto"/>
        <w:ind w:left="0" w:leftChars="0" w:firstLine="518" w:firstLineChars="200"/>
        <w:jc w:val="both"/>
        <w:textAlignment w:val="auto"/>
        <w:rPr>
          <w:rFonts w:hint="eastAsia" w:ascii="Times New Roman" w:hAnsi="Times New Roman" w:eastAsia="宋体" w:cs="Times New Roman"/>
          <w:bCs w:val="0"/>
          <w:snapToGrid/>
          <w:color w:val="auto"/>
          <w:kern w:val="2"/>
          <w:sz w:val="24"/>
          <w:szCs w:val="22"/>
          <w:highlight w:val="none"/>
          <w:lang w:val="en-US" w:eastAsia="zh-CN" w:bidi="ar-SA"/>
        </w:rPr>
      </w:pPr>
      <w:r>
        <w:rPr>
          <w:rFonts w:hint="eastAsia" w:ascii="Times New Roman" w:hAnsi="Times New Roman" w:eastAsia="宋体" w:cs="Times New Roman"/>
          <w:bCs w:val="0"/>
          <w:snapToGrid/>
          <w:color w:val="auto"/>
          <w:kern w:val="2"/>
          <w:sz w:val="24"/>
          <w:szCs w:val="22"/>
          <w:highlight w:val="none"/>
          <w:lang w:val="en-US" w:eastAsia="zh-CN" w:bidi="ar-SA"/>
        </w:rPr>
        <w:t>（2）涂胶、热压、烘干有机废气（G2、G4、G5）</w:t>
      </w:r>
    </w:p>
    <w:p w14:paraId="2EECABF8">
      <w:pPr>
        <w:pStyle w:val="43"/>
        <w:keepNext w:val="0"/>
        <w:keepLines w:val="0"/>
        <w:pageBreakBefore w:val="0"/>
        <w:widowControl w:val="0"/>
        <w:tabs>
          <w:tab w:val="left" w:pos="6300"/>
        </w:tabs>
        <w:kinsoku/>
        <w:wordWrap/>
        <w:overflowPunct/>
        <w:topLinePunct w:val="0"/>
        <w:autoSpaceDE/>
        <w:autoSpaceDN/>
        <w:bidi w:val="0"/>
        <w:adjustRightInd w:val="0"/>
        <w:snapToGrid w:val="0"/>
        <w:spacing w:after="0" w:line="360" w:lineRule="auto"/>
        <w:ind w:left="0" w:leftChars="0" w:firstLine="518" w:firstLineChars="200"/>
        <w:jc w:val="both"/>
        <w:textAlignment w:val="auto"/>
        <w:rPr>
          <w:rFonts w:hint="eastAsia" w:ascii="Times New Roman" w:hAnsi="Times New Roman" w:eastAsia="宋体" w:cs="Times New Roman"/>
          <w:bCs w:val="0"/>
          <w:snapToGrid/>
          <w:color w:val="auto"/>
          <w:kern w:val="2"/>
          <w:sz w:val="24"/>
          <w:szCs w:val="22"/>
          <w:highlight w:val="none"/>
          <w:lang w:val="en-US" w:eastAsia="zh-CN" w:bidi="ar-SA"/>
        </w:rPr>
      </w:pPr>
      <w:r>
        <w:rPr>
          <w:rFonts w:hint="eastAsia" w:ascii="Times New Roman" w:hAnsi="Times New Roman" w:eastAsia="宋体" w:cs="Times New Roman"/>
          <w:bCs w:val="0"/>
          <w:snapToGrid/>
          <w:color w:val="auto"/>
          <w:kern w:val="2"/>
          <w:sz w:val="24"/>
          <w:szCs w:val="22"/>
          <w:highlight w:val="none"/>
          <w:lang w:val="en-US" w:eastAsia="zh-CN" w:bidi="ar-SA"/>
        </w:rPr>
        <w:t>涂胶、热压、烘干工序产生含非甲烷总烃、苯酚、甲醛有机废气，在涂胶机、热压成型机、烘箱上方设置集气罩，废气收集效率 90%；收集废气采用风冷 + 二级活性炭吸附装置净化，VOCs 处理效率 90%，净化后废气经 DA002（20m 排气筒）排放，设计风机风量 18000m</w:t>
      </w:r>
      <w:r>
        <w:rPr>
          <w:rFonts w:hint="eastAsia" w:ascii="Times New Roman" w:hAnsi="Times New Roman" w:eastAsia="宋体" w:cs="Times New Roman"/>
          <w:bCs w:val="0"/>
          <w:snapToGrid/>
          <w:color w:val="auto"/>
          <w:kern w:val="2"/>
          <w:sz w:val="24"/>
          <w:szCs w:val="22"/>
          <w:highlight w:val="none"/>
          <w:vertAlign w:val="superscript"/>
          <w:lang w:val="en-US" w:eastAsia="zh-CN" w:bidi="ar-SA"/>
        </w:rPr>
        <w:t>3</w:t>
      </w:r>
      <w:r>
        <w:rPr>
          <w:rFonts w:hint="eastAsia" w:ascii="Times New Roman" w:hAnsi="Times New Roman" w:eastAsia="宋体" w:cs="Times New Roman"/>
          <w:bCs w:val="0"/>
          <w:snapToGrid/>
          <w:color w:val="auto"/>
          <w:kern w:val="2"/>
          <w:sz w:val="24"/>
          <w:szCs w:val="22"/>
          <w:highlight w:val="none"/>
          <w:lang w:val="en-US" w:eastAsia="zh-CN" w:bidi="ar-SA"/>
        </w:rPr>
        <w:t>/h；未收集的有机废气（NMHC、苯酚、甲醛）以无组织形式在车间排放。</w:t>
      </w:r>
    </w:p>
    <w:p w14:paraId="58A56E1E">
      <w:pPr>
        <w:pStyle w:val="43"/>
        <w:keepNext w:val="0"/>
        <w:keepLines w:val="0"/>
        <w:pageBreakBefore w:val="0"/>
        <w:widowControl w:val="0"/>
        <w:tabs>
          <w:tab w:val="left" w:pos="6300"/>
        </w:tabs>
        <w:kinsoku/>
        <w:wordWrap/>
        <w:overflowPunct/>
        <w:topLinePunct w:val="0"/>
        <w:autoSpaceDE/>
        <w:autoSpaceDN/>
        <w:bidi w:val="0"/>
        <w:adjustRightInd w:val="0"/>
        <w:snapToGrid w:val="0"/>
        <w:spacing w:after="0" w:line="360" w:lineRule="auto"/>
        <w:ind w:left="0" w:leftChars="0" w:firstLine="518" w:firstLineChars="200"/>
        <w:jc w:val="both"/>
        <w:textAlignment w:val="auto"/>
        <w:rPr>
          <w:rFonts w:hint="eastAsia" w:ascii="Times New Roman" w:hAnsi="Times New Roman" w:eastAsia="宋体" w:cs="Times New Roman"/>
          <w:bCs w:val="0"/>
          <w:snapToGrid/>
          <w:color w:val="auto"/>
          <w:kern w:val="2"/>
          <w:sz w:val="24"/>
          <w:szCs w:val="22"/>
          <w:highlight w:val="none"/>
          <w:lang w:val="en-US" w:eastAsia="zh-CN" w:bidi="ar-SA"/>
        </w:rPr>
      </w:pPr>
      <w:r>
        <w:rPr>
          <w:rFonts w:hint="eastAsia" w:ascii="Times New Roman" w:hAnsi="Times New Roman" w:eastAsia="宋体" w:cs="Times New Roman"/>
          <w:bCs w:val="0"/>
          <w:snapToGrid/>
          <w:color w:val="auto"/>
          <w:kern w:val="2"/>
          <w:sz w:val="24"/>
          <w:szCs w:val="22"/>
          <w:highlight w:val="none"/>
          <w:lang w:val="en-US" w:eastAsia="zh-CN" w:bidi="ar-SA"/>
        </w:rPr>
        <w:t>（3）喷塑粉尘废气（G7）</w:t>
      </w:r>
    </w:p>
    <w:p w14:paraId="05DAACD9">
      <w:pPr>
        <w:pStyle w:val="43"/>
        <w:keepNext w:val="0"/>
        <w:keepLines w:val="0"/>
        <w:pageBreakBefore w:val="0"/>
        <w:widowControl w:val="0"/>
        <w:tabs>
          <w:tab w:val="left" w:pos="6300"/>
        </w:tabs>
        <w:kinsoku/>
        <w:wordWrap/>
        <w:overflowPunct/>
        <w:topLinePunct w:val="0"/>
        <w:autoSpaceDE/>
        <w:autoSpaceDN/>
        <w:bidi w:val="0"/>
        <w:adjustRightInd w:val="0"/>
        <w:snapToGrid w:val="0"/>
        <w:spacing w:after="0" w:line="360" w:lineRule="auto"/>
        <w:ind w:left="0" w:leftChars="0" w:firstLine="518" w:firstLineChars="200"/>
        <w:jc w:val="both"/>
        <w:textAlignment w:val="auto"/>
        <w:rPr>
          <w:rFonts w:hint="eastAsia" w:ascii="Times New Roman" w:hAnsi="Times New Roman" w:eastAsia="宋体" w:cs="Times New Roman"/>
          <w:bCs w:val="0"/>
          <w:snapToGrid/>
          <w:color w:val="auto"/>
          <w:kern w:val="2"/>
          <w:sz w:val="24"/>
          <w:szCs w:val="22"/>
          <w:highlight w:val="none"/>
          <w:lang w:val="en-US" w:eastAsia="zh-CN" w:bidi="ar-SA"/>
        </w:rPr>
      </w:pPr>
      <w:r>
        <w:rPr>
          <w:rFonts w:hint="eastAsia" w:ascii="Times New Roman" w:hAnsi="Times New Roman" w:eastAsia="宋体" w:cs="Times New Roman"/>
          <w:bCs w:val="0"/>
          <w:snapToGrid/>
          <w:color w:val="auto"/>
          <w:kern w:val="2"/>
          <w:sz w:val="24"/>
          <w:szCs w:val="22"/>
          <w:highlight w:val="none"/>
          <w:lang w:val="en-US" w:eastAsia="zh-CN" w:bidi="ar-SA"/>
        </w:rPr>
        <w:t>喷塑工序产生环氧树脂塑粉粉尘，依托喷塑房整体负压密闭收集，收集效率 95%；废气送入布袋除尘器净化，除尘效率 99%，布袋捕集的塑粉粉尘可回用于生产；处理后废气经 DA003（20m 排气筒）排放，设计风量 6000m</w:t>
      </w:r>
      <w:r>
        <w:rPr>
          <w:rFonts w:hint="eastAsia" w:ascii="Times New Roman" w:hAnsi="Times New Roman" w:eastAsia="宋体" w:cs="Times New Roman"/>
          <w:bCs w:val="0"/>
          <w:snapToGrid/>
          <w:color w:val="auto"/>
          <w:kern w:val="2"/>
          <w:sz w:val="24"/>
          <w:szCs w:val="22"/>
          <w:highlight w:val="none"/>
          <w:vertAlign w:val="superscript"/>
          <w:lang w:val="en-US" w:eastAsia="zh-CN" w:bidi="ar-SA"/>
        </w:rPr>
        <w:t>3</w:t>
      </w:r>
      <w:r>
        <w:rPr>
          <w:rFonts w:hint="eastAsia" w:ascii="Times New Roman" w:hAnsi="Times New Roman" w:eastAsia="宋体" w:cs="Times New Roman"/>
          <w:bCs w:val="0"/>
          <w:snapToGrid/>
          <w:color w:val="auto"/>
          <w:kern w:val="2"/>
          <w:sz w:val="24"/>
          <w:szCs w:val="22"/>
          <w:highlight w:val="none"/>
          <w:lang w:val="en-US" w:eastAsia="zh-CN" w:bidi="ar-SA"/>
        </w:rPr>
        <w:t>/h；未收集的塑粉粉尘以无组织形式排放。</w:t>
      </w:r>
    </w:p>
    <w:p w14:paraId="31765418">
      <w:pPr>
        <w:pStyle w:val="43"/>
        <w:keepNext w:val="0"/>
        <w:keepLines w:val="0"/>
        <w:pageBreakBefore w:val="0"/>
        <w:widowControl w:val="0"/>
        <w:tabs>
          <w:tab w:val="left" w:pos="6300"/>
        </w:tabs>
        <w:kinsoku/>
        <w:wordWrap/>
        <w:overflowPunct/>
        <w:topLinePunct w:val="0"/>
        <w:autoSpaceDE/>
        <w:autoSpaceDN/>
        <w:bidi w:val="0"/>
        <w:adjustRightInd w:val="0"/>
        <w:snapToGrid w:val="0"/>
        <w:spacing w:after="0" w:line="360" w:lineRule="auto"/>
        <w:ind w:left="0" w:leftChars="0" w:firstLine="518" w:firstLineChars="200"/>
        <w:jc w:val="both"/>
        <w:textAlignment w:val="auto"/>
        <w:rPr>
          <w:rFonts w:hint="eastAsia" w:ascii="Times New Roman" w:hAnsi="Times New Roman" w:eastAsia="宋体" w:cs="Times New Roman"/>
          <w:bCs w:val="0"/>
          <w:snapToGrid/>
          <w:color w:val="auto"/>
          <w:kern w:val="2"/>
          <w:sz w:val="24"/>
          <w:szCs w:val="22"/>
          <w:highlight w:val="none"/>
          <w:lang w:val="en-US" w:eastAsia="zh-CN" w:bidi="ar-SA"/>
        </w:rPr>
      </w:pPr>
      <w:r>
        <w:rPr>
          <w:rFonts w:hint="eastAsia" w:ascii="Times New Roman" w:hAnsi="Times New Roman" w:eastAsia="宋体" w:cs="Times New Roman"/>
          <w:bCs w:val="0"/>
          <w:snapToGrid/>
          <w:color w:val="auto"/>
          <w:kern w:val="2"/>
          <w:sz w:val="24"/>
          <w:szCs w:val="22"/>
          <w:highlight w:val="none"/>
          <w:lang w:val="en-US" w:eastAsia="zh-CN" w:bidi="ar-SA"/>
        </w:rPr>
        <w:t>（4）喷塑固化有机废气（G8）</w:t>
      </w:r>
    </w:p>
    <w:p w14:paraId="549D8152">
      <w:pPr>
        <w:pStyle w:val="43"/>
        <w:keepNext w:val="0"/>
        <w:keepLines w:val="0"/>
        <w:pageBreakBefore w:val="0"/>
        <w:widowControl w:val="0"/>
        <w:tabs>
          <w:tab w:val="left" w:pos="6300"/>
        </w:tabs>
        <w:kinsoku/>
        <w:wordWrap/>
        <w:overflowPunct/>
        <w:topLinePunct w:val="0"/>
        <w:autoSpaceDE/>
        <w:autoSpaceDN/>
        <w:bidi w:val="0"/>
        <w:adjustRightInd w:val="0"/>
        <w:snapToGrid w:val="0"/>
        <w:spacing w:after="0" w:line="360" w:lineRule="auto"/>
        <w:ind w:left="0" w:leftChars="0" w:firstLine="518" w:firstLineChars="200"/>
        <w:jc w:val="both"/>
        <w:textAlignment w:val="auto"/>
        <w:rPr>
          <w:rFonts w:hint="default" w:ascii="Times New Roman" w:hAnsi="Times New Roman" w:eastAsia="宋体" w:cs="Times New Roman"/>
          <w:bCs w:val="0"/>
          <w:snapToGrid/>
          <w:color w:val="auto"/>
          <w:kern w:val="2"/>
          <w:sz w:val="24"/>
          <w:szCs w:val="22"/>
          <w:highlight w:val="none"/>
          <w:lang w:val="en-US" w:eastAsia="zh-CN" w:bidi="ar-SA"/>
        </w:rPr>
      </w:pPr>
      <w:r>
        <w:rPr>
          <w:rFonts w:hint="eastAsia" w:ascii="Times New Roman" w:hAnsi="Times New Roman" w:eastAsia="宋体" w:cs="Times New Roman"/>
          <w:bCs w:val="0"/>
          <w:snapToGrid/>
          <w:color w:val="auto"/>
          <w:kern w:val="2"/>
          <w:sz w:val="24"/>
          <w:szCs w:val="22"/>
          <w:highlight w:val="none"/>
          <w:lang w:val="en-US" w:eastAsia="zh-CN" w:bidi="ar-SA"/>
        </w:rPr>
        <w:t>喷塑后固化烘道产生少量 VOCs（以非甲烷总烃计），在烘道进出口设置集气罩收集废气，收集效率 90%；废气采用二级活性炭吸附装置处理，处理效率 90%，净化后废气经 DA004（20m 排气筒）排放，设计风量 2000m</w:t>
      </w:r>
      <w:r>
        <w:rPr>
          <w:rFonts w:hint="eastAsia" w:ascii="Times New Roman" w:hAnsi="Times New Roman" w:eastAsia="宋体" w:cs="Times New Roman"/>
          <w:bCs w:val="0"/>
          <w:snapToGrid/>
          <w:color w:val="auto"/>
          <w:kern w:val="2"/>
          <w:sz w:val="24"/>
          <w:szCs w:val="22"/>
          <w:highlight w:val="none"/>
          <w:vertAlign w:val="superscript"/>
          <w:lang w:val="en-US" w:eastAsia="zh-CN" w:bidi="ar-SA"/>
        </w:rPr>
        <w:t>3</w:t>
      </w:r>
      <w:r>
        <w:rPr>
          <w:rFonts w:hint="eastAsia" w:ascii="Times New Roman" w:hAnsi="Times New Roman" w:eastAsia="宋体" w:cs="Times New Roman"/>
          <w:bCs w:val="0"/>
          <w:snapToGrid/>
          <w:color w:val="auto"/>
          <w:kern w:val="2"/>
          <w:sz w:val="24"/>
          <w:szCs w:val="22"/>
          <w:highlight w:val="none"/>
          <w:lang w:val="en-US" w:eastAsia="zh-CN" w:bidi="ar-SA"/>
        </w:rPr>
        <w:t>/h；烘道未捕集少量非甲烷总烃以无组织形式排放。</w:t>
      </w:r>
    </w:p>
    <w:p w14:paraId="35544139">
      <w:pPr>
        <w:pStyle w:val="4"/>
        <w:rPr>
          <w:rFonts w:ascii="Times New Roman" w:hAnsi="Times New Roman"/>
          <w:snapToGrid w:val="0"/>
          <w:color w:val="auto"/>
        </w:rPr>
      </w:pPr>
      <w:bookmarkStart w:id="50" w:name="_Toc97323105"/>
      <w:r>
        <w:rPr>
          <w:rFonts w:ascii="Times New Roman" w:hAnsi="Times New Roman"/>
          <w:snapToGrid w:val="0"/>
          <w:color w:val="auto"/>
        </w:rPr>
        <w:t>4.2有组织废气防治措施概述</w:t>
      </w:r>
      <w:bookmarkEnd w:id="50"/>
    </w:p>
    <w:p w14:paraId="2C44997A">
      <w:pPr>
        <w:keepNext w:val="0"/>
        <w:keepLines w:val="0"/>
        <w:pageBreakBefore w:val="0"/>
        <w:kinsoku/>
        <w:overflowPunct/>
        <w:bidi w:val="0"/>
        <w:adjustRightInd w:val="0"/>
        <w:snapToGrid w:val="0"/>
        <w:spacing w:line="360" w:lineRule="auto"/>
        <w:ind w:leftChars="0" w:firstLine="512" w:firstLineChars="198"/>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根据《排放源统计调查产排污核算方法和系数手册》和 《排污许可证申请与核发技术规范 汽车制造业》（HJ971-2018）等规范中相关内容，袋式除尘器为成熟的处理工艺，属于技术规范和技术指南中规定的可行技术。</w:t>
      </w:r>
    </w:p>
    <w:p w14:paraId="743E2029">
      <w:pPr>
        <w:keepNext w:val="0"/>
        <w:keepLines w:val="0"/>
        <w:pageBreakBefore w:val="0"/>
        <w:kinsoku/>
        <w:overflowPunct/>
        <w:bidi w:val="0"/>
        <w:adjustRightInd w:val="0"/>
        <w:snapToGrid w:val="0"/>
        <w:spacing w:line="360" w:lineRule="auto"/>
        <w:ind w:leftChars="0" w:firstLine="512" w:firstLineChars="198"/>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本项目</w:t>
      </w:r>
      <w:r>
        <w:rPr>
          <w:rFonts w:hint="eastAsia" w:ascii="Times New Roman" w:hAnsi="Times New Roman" w:cs="Times New Roman"/>
          <w:color w:val="auto"/>
          <w:sz w:val="24"/>
          <w:highlight w:val="none"/>
          <w:lang w:val="en-US" w:eastAsia="zh-CN"/>
        </w:rPr>
        <w:t>抛光、混料、打磨、喷塑</w:t>
      </w:r>
      <w:r>
        <w:rPr>
          <w:rFonts w:hint="default" w:ascii="Times New Roman" w:hAnsi="Times New Roman" w:cs="Times New Roman"/>
          <w:color w:val="auto"/>
          <w:sz w:val="24"/>
          <w:highlight w:val="none"/>
          <w:lang w:val="en-US" w:eastAsia="zh-CN"/>
        </w:rPr>
        <w:t>颗粒物废气采用袋式除尘器，故本项目采取的属于可行技术</w:t>
      </w:r>
      <w:r>
        <w:rPr>
          <w:rFonts w:hint="eastAsia" w:ascii="Times New Roman" w:hAnsi="Times New Roman" w:cs="Times New Roman"/>
          <w:color w:val="auto"/>
          <w:sz w:val="24"/>
          <w:highlight w:val="none"/>
          <w:lang w:val="en-US" w:eastAsia="zh-CN"/>
        </w:rPr>
        <w:t>。</w:t>
      </w:r>
    </w:p>
    <w:p w14:paraId="4BFC954F">
      <w:pPr>
        <w:keepNext w:val="0"/>
        <w:keepLines w:val="0"/>
        <w:pageBreakBefore w:val="0"/>
        <w:kinsoku/>
        <w:overflowPunct/>
        <w:bidi w:val="0"/>
        <w:adjustRightInd w:val="0"/>
        <w:snapToGrid w:val="0"/>
        <w:spacing w:line="360" w:lineRule="auto"/>
        <w:ind w:leftChars="0" w:firstLine="512" w:firstLineChars="198"/>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参照《排污许可证申请与核发技术规范 汽车制造业》（HJ971-2018），二级活性炭吸附属于合规的处理方式，本次环评有机废气经集气罩收集后通过二级活性炭吸附设施处理是可行性的。</w:t>
      </w:r>
    </w:p>
    <w:p w14:paraId="49B2580D">
      <w:pPr>
        <w:pStyle w:val="4"/>
        <w:rPr>
          <w:rFonts w:ascii="Times New Roman" w:hAnsi="Times New Roman"/>
          <w:snapToGrid w:val="0"/>
          <w:color w:val="auto"/>
        </w:rPr>
      </w:pPr>
      <w:bookmarkStart w:id="51" w:name="_Toc97323106"/>
      <w:r>
        <w:rPr>
          <w:rFonts w:ascii="Times New Roman" w:hAnsi="Times New Roman"/>
          <w:snapToGrid w:val="0"/>
          <w:color w:val="auto"/>
        </w:rPr>
        <w:t>4.3无组织废气防治措施概述</w:t>
      </w:r>
      <w:bookmarkEnd w:id="51"/>
    </w:p>
    <w:p w14:paraId="1243EF77">
      <w:pPr>
        <w:spacing w:line="360" w:lineRule="auto"/>
        <w:ind w:firstLine="480"/>
        <w:rPr>
          <w:snapToGrid w:val="0"/>
          <w:color w:val="auto"/>
          <w:sz w:val="24"/>
          <w:szCs w:val="32"/>
        </w:rPr>
      </w:pPr>
      <w:r>
        <w:rPr>
          <w:snapToGrid w:val="0"/>
          <w:color w:val="auto"/>
          <w:sz w:val="24"/>
          <w:szCs w:val="32"/>
        </w:rPr>
        <w:t>本项目针对大部分产污环节采取了相应的治理措施，合理设计废气收集系统、废气处理设施，最大程度地减少无组织排放。但因工艺限制部分废气无法收集或</w:t>
      </w:r>
      <w:r>
        <w:rPr>
          <w:rFonts w:hint="eastAsia"/>
          <w:snapToGrid w:val="0"/>
          <w:color w:val="auto"/>
          <w:sz w:val="24"/>
          <w:szCs w:val="32"/>
        </w:rPr>
        <w:t>无法集中排放</w:t>
      </w:r>
      <w:r>
        <w:rPr>
          <w:snapToGrid w:val="0"/>
          <w:color w:val="auto"/>
          <w:sz w:val="24"/>
          <w:szCs w:val="32"/>
        </w:rPr>
        <w:t>，因此不可避免会有无组织废气产生。为避免因过度无组织排放影响周边企业正常的生产、生活，</w:t>
      </w:r>
      <w:r>
        <w:rPr>
          <w:rFonts w:hint="eastAsia"/>
          <w:snapToGrid w:val="0"/>
          <w:color w:val="auto"/>
          <w:sz w:val="24"/>
          <w:szCs w:val="32"/>
        </w:rPr>
        <w:t>结合</w:t>
      </w:r>
      <w:r>
        <w:rPr>
          <w:rFonts w:hint="eastAsia"/>
          <w:snapToGrid w:val="0"/>
          <w:color w:val="auto"/>
          <w:sz w:val="24"/>
          <w:szCs w:val="32"/>
          <w:lang w:val="en-US" w:eastAsia="zh-CN"/>
        </w:rPr>
        <w:t>安徽省相关</w:t>
      </w:r>
      <w:r>
        <w:rPr>
          <w:rFonts w:hint="eastAsia"/>
          <w:snapToGrid w:val="0"/>
          <w:color w:val="auto"/>
          <w:sz w:val="24"/>
          <w:szCs w:val="32"/>
        </w:rPr>
        <w:t>要求，</w:t>
      </w:r>
      <w:r>
        <w:rPr>
          <w:snapToGrid w:val="0"/>
          <w:color w:val="auto"/>
          <w:sz w:val="24"/>
          <w:szCs w:val="32"/>
        </w:rPr>
        <w:t>建设项目将采取以下措施：</w:t>
      </w:r>
    </w:p>
    <w:p w14:paraId="7402AD47">
      <w:pPr>
        <w:spacing w:line="360" w:lineRule="auto"/>
        <w:ind w:firstLine="480"/>
        <w:rPr>
          <w:snapToGrid w:val="0"/>
          <w:color w:val="auto"/>
          <w:kern w:val="0"/>
          <w:sz w:val="24"/>
          <w:szCs w:val="32"/>
        </w:rPr>
      </w:pPr>
      <w:r>
        <w:rPr>
          <w:rFonts w:hint="eastAsia"/>
          <w:snapToGrid w:val="0"/>
          <w:color w:val="auto"/>
          <w:kern w:val="0"/>
          <w:sz w:val="24"/>
          <w:szCs w:val="32"/>
          <w:lang w:val="en-US" w:eastAsia="zh-CN"/>
        </w:rPr>
        <w:t>1</w:t>
      </w:r>
      <w:r>
        <w:rPr>
          <w:snapToGrid w:val="0"/>
          <w:color w:val="auto"/>
          <w:kern w:val="0"/>
          <w:sz w:val="24"/>
          <w:szCs w:val="32"/>
        </w:rPr>
        <w:t>、</w:t>
      </w:r>
      <w:r>
        <w:rPr>
          <w:rFonts w:hint="eastAsia"/>
          <w:snapToGrid w:val="0"/>
          <w:color w:val="auto"/>
          <w:kern w:val="0"/>
          <w:sz w:val="24"/>
          <w:szCs w:val="32"/>
          <w:lang w:val="en-US" w:eastAsia="zh-CN"/>
        </w:rPr>
        <w:t>加强厂房密闭功能；</w:t>
      </w:r>
    </w:p>
    <w:p w14:paraId="24809280">
      <w:pPr>
        <w:spacing w:line="360" w:lineRule="auto"/>
        <w:ind w:firstLine="480"/>
        <w:rPr>
          <w:snapToGrid w:val="0"/>
          <w:color w:val="auto"/>
          <w:kern w:val="0"/>
          <w:sz w:val="24"/>
          <w:szCs w:val="32"/>
        </w:rPr>
      </w:pPr>
      <w:r>
        <w:rPr>
          <w:rFonts w:hint="eastAsia"/>
          <w:snapToGrid w:val="0"/>
          <w:color w:val="auto"/>
          <w:kern w:val="0"/>
          <w:sz w:val="24"/>
          <w:szCs w:val="32"/>
          <w:lang w:val="en-US" w:eastAsia="zh-CN"/>
        </w:rPr>
        <w:t>2、提高集气罩和软帘的收集功能；</w:t>
      </w:r>
    </w:p>
    <w:p w14:paraId="33122658">
      <w:pPr>
        <w:spacing w:line="360" w:lineRule="auto"/>
        <w:ind w:firstLine="480"/>
        <w:rPr>
          <w:snapToGrid w:val="0"/>
          <w:color w:val="auto"/>
          <w:kern w:val="0"/>
          <w:sz w:val="24"/>
          <w:szCs w:val="32"/>
        </w:rPr>
      </w:pPr>
      <w:r>
        <w:rPr>
          <w:rFonts w:hint="eastAsia"/>
          <w:snapToGrid w:val="0"/>
          <w:color w:val="auto"/>
          <w:kern w:val="0"/>
          <w:sz w:val="24"/>
          <w:szCs w:val="32"/>
          <w:lang w:val="en-US" w:eastAsia="zh-CN"/>
        </w:rPr>
        <w:t>3</w:t>
      </w:r>
      <w:r>
        <w:rPr>
          <w:snapToGrid w:val="0"/>
          <w:color w:val="auto"/>
          <w:kern w:val="0"/>
          <w:sz w:val="24"/>
          <w:szCs w:val="32"/>
        </w:rPr>
        <w:t>、</w:t>
      </w:r>
      <w:r>
        <w:rPr>
          <w:rFonts w:hint="eastAsia"/>
          <w:snapToGrid w:val="0"/>
          <w:color w:val="auto"/>
          <w:kern w:val="0"/>
          <w:sz w:val="24"/>
          <w:szCs w:val="32"/>
          <w:lang w:val="en-US" w:eastAsia="zh-CN"/>
        </w:rPr>
        <w:t>定期对废气处理设施进行检修；</w:t>
      </w:r>
    </w:p>
    <w:p w14:paraId="226D73A4">
      <w:pPr>
        <w:spacing w:line="360" w:lineRule="auto"/>
        <w:ind w:firstLine="480"/>
        <w:rPr>
          <w:snapToGrid w:val="0"/>
          <w:color w:val="auto"/>
          <w:sz w:val="24"/>
          <w:szCs w:val="32"/>
        </w:rPr>
      </w:pPr>
      <w:r>
        <w:rPr>
          <w:snapToGrid w:val="0"/>
          <w:color w:val="auto"/>
          <w:sz w:val="24"/>
          <w:szCs w:val="32"/>
        </w:rPr>
        <w:t>通过采取以上无组织排放控制措施，可减少本项目的无组织气体的排放，使污染物无组织排放量降低到较低的水平。</w:t>
      </w:r>
    </w:p>
    <w:p w14:paraId="722945C3">
      <w:pPr>
        <w:rPr>
          <w:snapToGrid w:val="0"/>
          <w:color w:val="auto"/>
        </w:rPr>
      </w:pPr>
      <w:bookmarkStart w:id="52" w:name="_Toc97323109"/>
      <w:r>
        <w:rPr>
          <w:snapToGrid w:val="0"/>
          <w:color w:val="auto"/>
        </w:rPr>
        <w:br w:type="page"/>
      </w:r>
    </w:p>
    <w:p w14:paraId="7CD1B297">
      <w:pPr>
        <w:pStyle w:val="3"/>
        <w:rPr>
          <w:snapToGrid w:val="0"/>
          <w:color w:val="auto"/>
        </w:rPr>
      </w:pPr>
      <w:r>
        <w:rPr>
          <w:snapToGrid w:val="0"/>
          <w:color w:val="auto"/>
        </w:rPr>
        <w:t>5结论与建议</w:t>
      </w:r>
      <w:bookmarkEnd w:id="52"/>
    </w:p>
    <w:p w14:paraId="327B3F9D">
      <w:pPr>
        <w:pStyle w:val="4"/>
        <w:rPr>
          <w:rFonts w:ascii="Times New Roman" w:hAnsi="Times New Roman"/>
          <w:snapToGrid w:val="0"/>
          <w:color w:val="auto"/>
        </w:rPr>
      </w:pPr>
      <w:bookmarkStart w:id="53" w:name="_Toc97323110"/>
      <w:r>
        <w:rPr>
          <w:rFonts w:ascii="Times New Roman" w:hAnsi="Times New Roman"/>
          <w:snapToGrid w:val="0"/>
          <w:color w:val="auto"/>
        </w:rPr>
        <w:t>5.1结论</w:t>
      </w:r>
      <w:bookmarkEnd w:id="53"/>
    </w:p>
    <w:p w14:paraId="7DD0EEC7">
      <w:pPr>
        <w:spacing w:line="360" w:lineRule="auto"/>
        <w:ind w:firstLine="480"/>
        <w:rPr>
          <w:rFonts w:hint="eastAsia" w:ascii="Times New Roman" w:hAnsi="Times New Roman" w:eastAsia="宋体" w:cs="Times New Roman"/>
          <w:snapToGrid w:val="0"/>
          <w:color w:val="auto"/>
          <w:kern w:val="0"/>
          <w:sz w:val="24"/>
          <w:szCs w:val="32"/>
          <w:lang w:val="en-US" w:eastAsia="zh-CN"/>
        </w:rPr>
      </w:pPr>
      <w:r>
        <w:rPr>
          <w:rFonts w:hint="eastAsia" w:ascii="Times New Roman" w:hAnsi="Times New Roman" w:eastAsia="宋体" w:cs="Times New Roman"/>
          <w:snapToGrid w:val="0"/>
          <w:color w:val="auto"/>
          <w:kern w:val="0"/>
          <w:sz w:val="24"/>
          <w:szCs w:val="32"/>
          <w:lang w:val="en-US" w:eastAsia="zh-CN"/>
        </w:rPr>
        <w:t>建设项目在大气污染防治方面采用的各项环保设施合理、可靠、有效，各项大气污染物经治理后可以达标排放，总体上对区域大气环境影响较小，本评价认为，从环保角度来讲，建设项目在拟建地建设是可行的。</w:t>
      </w:r>
    </w:p>
    <w:p w14:paraId="0368DDD6">
      <w:pPr>
        <w:spacing w:line="360" w:lineRule="auto"/>
        <w:ind w:firstLine="480"/>
        <w:rPr>
          <w:rFonts w:hint="eastAsia" w:ascii="Times New Roman" w:hAnsi="Times New Roman" w:eastAsia="宋体" w:cs="Times New Roman"/>
          <w:snapToGrid w:val="0"/>
          <w:color w:val="auto"/>
          <w:kern w:val="0"/>
          <w:sz w:val="24"/>
          <w:szCs w:val="32"/>
          <w:lang w:val="en-US" w:eastAsia="zh-CN"/>
        </w:rPr>
      </w:pPr>
      <w:r>
        <w:rPr>
          <w:rFonts w:hint="eastAsia" w:ascii="Times New Roman" w:hAnsi="Times New Roman" w:eastAsia="宋体" w:cs="Times New Roman"/>
          <w:snapToGrid w:val="0"/>
          <w:color w:val="auto"/>
          <w:kern w:val="0"/>
          <w:sz w:val="24"/>
          <w:szCs w:val="32"/>
          <w:lang w:val="en-US" w:eastAsia="zh-CN"/>
        </w:rPr>
        <w:t>从大气环境影响的角度来说，项目建设可行。</w:t>
      </w:r>
    </w:p>
    <w:p w14:paraId="51946566">
      <w:pPr>
        <w:pStyle w:val="4"/>
        <w:rPr>
          <w:rFonts w:ascii="Times New Roman" w:hAnsi="Times New Roman"/>
          <w:snapToGrid w:val="0"/>
          <w:color w:val="auto"/>
        </w:rPr>
      </w:pPr>
      <w:bookmarkStart w:id="54" w:name="_Toc97323111"/>
      <w:r>
        <w:rPr>
          <w:rFonts w:ascii="Times New Roman" w:hAnsi="Times New Roman"/>
          <w:snapToGrid w:val="0"/>
          <w:color w:val="auto"/>
        </w:rPr>
        <w:t>5.2建议</w:t>
      </w:r>
      <w:bookmarkEnd w:id="54"/>
    </w:p>
    <w:p w14:paraId="63AC127C">
      <w:pPr>
        <w:keepNext w:val="0"/>
        <w:keepLines w:val="0"/>
        <w:pageBreakBefore w:val="0"/>
        <w:widowControl w:val="0"/>
        <w:kinsoku/>
        <w:wordWrap/>
        <w:overflowPunct/>
        <w:topLinePunct w:val="0"/>
        <w:autoSpaceDE/>
        <w:autoSpaceDN/>
        <w:bidi w:val="0"/>
        <w:adjustRightInd/>
        <w:snapToGrid/>
        <w:spacing w:line="360" w:lineRule="auto"/>
        <w:ind w:firstLine="518" w:firstLineChars="200"/>
        <w:textAlignment w:val="auto"/>
        <w:rPr>
          <w:rFonts w:hint="eastAsia" w:ascii="Times New Roman" w:hAnsi="Times New Roman" w:eastAsia="宋体" w:cs="Times New Roman"/>
          <w:snapToGrid w:val="0"/>
          <w:color w:val="auto"/>
          <w:kern w:val="0"/>
          <w:sz w:val="24"/>
          <w:szCs w:val="32"/>
          <w:lang w:val="en-US" w:eastAsia="zh-CN"/>
        </w:rPr>
      </w:pPr>
      <w:r>
        <w:rPr>
          <w:rFonts w:hint="eastAsia" w:ascii="Times New Roman" w:hAnsi="Times New Roman" w:eastAsia="宋体" w:cs="Times New Roman"/>
          <w:snapToGrid w:val="0"/>
          <w:color w:val="auto"/>
          <w:kern w:val="0"/>
          <w:sz w:val="24"/>
          <w:szCs w:val="32"/>
          <w:lang w:val="en-US" w:eastAsia="zh-CN"/>
        </w:rPr>
        <w:t>1、建设单位应贯彻执行建设项目环境保护的有关规定，注意设备的日常维护保养，防止污染事故的发生。</w:t>
      </w:r>
    </w:p>
    <w:p w14:paraId="0A72FEC8">
      <w:pPr>
        <w:keepNext w:val="0"/>
        <w:keepLines w:val="0"/>
        <w:pageBreakBefore w:val="0"/>
        <w:widowControl w:val="0"/>
        <w:kinsoku/>
        <w:wordWrap/>
        <w:overflowPunct/>
        <w:topLinePunct w:val="0"/>
        <w:autoSpaceDE/>
        <w:autoSpaceDN/>
        <w:bidi w:val="0"/>
        <w:adjustRightInd/>
        <w:snapToGrid/>
        <w:spacing w:line="360" w:lineRule="auto"/>
        <w:ind w:firstLine="518" w:firstLineChars="200"/>
        <w:textAlignment w:val="auto"/>
        <w:rPr>
          <w:rFonts w:hint="eastAsia" w:ascii="Times New Roman" w:hAnsi="Times New Roman" w:eastAsia="宋体" w:cs="Times New Roman"/>
          <w:snapToGrid w:val="0"/>
          <w:color w:val="auto"/>
          <w:kern w:val="0"/>
          <w:sz w:val="24"/>
          <w:szCs w:val="32"/>
          <w:lang w:val="en-US" w:eastAsia="zh-CN"/>
        </w:rPr>
      </w:pPr>
      <w:r>
        <w:rPr>
          <w:rFonts w:hint="eastAsia" w:ascii="Times New Roman" w:hAnsi="Times New Roman" w:eastAsia="宋体" w:cs="Times New Roman"/>
          <w:snapToGrid w:val="0"/>
          <w:color w:val="auto"/>
          <w:kern w:val="0"/>
          <w:sz w:val="24"/>
          <w:szCs w:val="32"/>
          <w:lang w:val="en-US" w:eastAsia="zh-CN"/>
        </w:rPr>
        <w:t>2、设专人管理环保工作，做好环保设施的维护和例行监测工作，保证废气处理装置达到设计要求。</w:t>
      </w:r>
    </w:p>
    <w:p w14:paraId="0B45AF68">
      <w:pPr>
        <w:keepNext w:val="0"/>
        <w:keepLines w:val="0"/>
        <w:pageBreakBefore w:val="0"/>
        <w:widowControl w:val="0"/>
        <w:kinsoku/>
        <w:wordWrap/>
        <w:overflowPunct/>
        <w:topLinePunct w:val="0"/>
        <w:autoSpaceDE/>
        <w:autoSpaceDN/>
        <w:bidi w:val="0"/>
        <w:adjustRightInd/>
        <w:snapToGrid/>
        <w:spacing w:line="360" w:lineRule="auto"/>
        <w:ind w:firstLine="518" w:firstLineChars="200"/>
        <w:textAlignment w:val="auto"/>
        <w:rPr>
          <w:rFonts w:hint="eastAsia" w:ascii="Times New Roman" w:hAnsi="Times New Roman" w:eastAsia="宋体" w:cs="Times New Roman"/>
          <w:snapToGrid w:val="0"/>
          <w:color w:val="auto"/>
          <w:kern w:val="0"/>
          <w:sz w:val="24"/>
          <w:szCs w:val="32"/>
          <w:lang w:val="en-US" w:eastAsia="zh-CN"/>
        </w:rPr>
      </w:pPr>
      <w:r>
        <w:rPr>
          <w:rFonts w:hint="eastAsia" w:ascii="Times New Roman" w:hAnsi="Times New Roman" w:eastAsia="宋体" w:cs="Times New Roman"/>
          <w:snapToGrid w:val="0"/>
          <w:color w:val="auto"/>
          <w:kern w:val="0"/>
          <w:sz w:val="24"/>
          <w:szCs w:val="32"/>
          <w:lang w:val="en-US" w:eastAsia="zh-CN"/>
        </w:rPr>
        <w:t>3、建设单位须加强对废气处理设施的管理，保障其正常、稳定的运行，杜绝超标排放。</w:t>
      </w:r>
    </w:p>
    <w:p w14:paraId="73716477">
      <w:pPr>
        <w:rPr>
          <w:rFonts w:hint="default" w:ascii="Times New Roman" w:hAnsi="Times New Roman" w:cs="Times New Roman"/>
          <w:color w:val="auto"/>
          <w:highlight w:val="none"/>
        </w:rPr>
      </w:pPr>
    </w:p>
    <w:sectPr>
      <w:footerReference r:id="rId13" w:type="default"/>
      <w:pgSz w:w="11906" w:h="16838"/>
      <w:pgMar w:top="1440" w:right="1418" w:bottom="1440" w:left="1418" w:header="851" w:footer="992" w:gutter="0"/>
      <w:pgNumType w:fmt="numberInDash"/>
      <w:cols w:space="720" w:num="1"/>
      <w:docGrid w:type="linesAndChars" w:linePitch="326" w:charSpace="39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18030">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auto"/>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80D00">
    <w:pPr>
      <w:tabs>
        <w:tab w:val="center" w:pos="4153"/>
        <w:tab w:val="right" w:pos="8306"/>
      </w:tabs>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E6E73">
    <w:pPr>
      <w:framePr w:wrap="around" w:vAnchor="text" w:hAnchor="margin" w:xAlign="center" w:y="1"/>
      <w:tabs>
        <w:tab w:val="center" w:pos="4153"/>
        <w:tab w:val="right" w:pos="8306"/>
      </w:tabs>
    </w:pPr>
    <w:r>
      <w:fldChar w:fldCharType="begin"/>
    </w:r>
    <w:r>
      <w:instrText xml:space="preserve">PAGE  </w:instrText>
    </w:r>
    <w:r>
      <w:fldChar w:fldCharType="end"/>
    </w:r>
  </w:p>
  <w:p w14:paraId="15BA7203">
    <w:pPr>
      <w:tabs>
        <w:tab w:val="center" w:pos="4153"/>
        <w:tab w:val="right" w:pos="8306"/>
      </w:tabs>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69495">
    <w:pPr>
      <w:tabs>
        <w:tab w:val="right" w:pos="8306"/>
      </w:tabs>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E3954">
    <w:pPr>
      <w:tabs>
        <w:tab w:val="right" w:pos="8306"/>
      </w:tabs>
      <w:ind w:right="360" w:firstLine="36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3B96D6">
                          <w:pPr>
                            <w:pStyle w:val="17"/>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Zk0nKN8BAAC/AwAADgAAAAAA&#10;AAABACAAAAAeAQAAZHJzL2Uyb0RvYy54bWxQSwUGAAAAAAYABgBZAQAAbwUAAAAA&#10;">
              <v:fill on="f" focussize="0,0"/>
              <v:stroke on="f"/>
              <v:imagedata o:title=""/>
              <o:lock v:ext="edit" aspectratio="f"/>
              <v:textbox inset="0mm,0mm,0mm,0mm" style="mso-fit-shape-to-text:t;">
                <w:txbxContent>
                  <w:p w14:paraId="3A3B96D6">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770D4">
    <w:pPr>
      <w:tabs>
        <w:tab w:val="center" w:pos="4153"/>
        <w:tab w:val="right" w:pos="8306"/>
      </w:tabs>
      <w:ind w:right="360" w:firstLine="360"/>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00025" cy="179070"/>
              <wp:effectExtent l="0" t="0" r="0" b="0"/>
              <wp:wrapNone/>
              <wp:docPr id="24" name="文本框 4"/>
              <wp:cNvGraphicFramePr/>
              <a:graphic xmlns:a="http://schemas.openxmlformats.org/drawingml/2006/main">
                <a:graphicData uri="http://schemas.microsoft.com/office/word/2010/wordprocessingShape">
                  <wps:wsp>
                    <wps:cNvSpPr txBox="1"/>
                    <wps:spPr>
                      <a:xfrm>
                        <a:off x="0" y="0"/>
                        <a:ext cx="200025" cy="179070"/>
                      </a:xfrm>
                      <a:prstGeom prst="rect">
                        <a:avLst/>
                      </a:prstGeom>
                      <a:noFill/>
                      <a:ln>
                        <a:noFill/>
                      </a:ln>
                    </wps:spPr>
                    <wps:txbx>
                      <w:txbxContent>
                        <w:p w14:paraId="5A22A442">
                          <w:pPr>
                            <w:pStyle w:val="17"/>
                          </w:pPr>
                          <w:r>
                            <w:fldChar w:fldCharType="begin"/>
                          </w:r>
                          <w:r>
                            <w:instrText xml:space="preserve"> PAGE  \* MERGEFORMAT </w:instrText>
                          </w:r>
                          <w:r>
                            <w:fldChar w:fldCharType="separate"/>
                          </w:r>
                          <w:r>
                            <w:t>18</w:t>
                          </w:r>
                          <w:r>
                            <w:fldChar w:fldCharType="end"/>
                          </w:r>
                        </w:p>
                      </w:txbxContent>
                    </wps:txbx>
                    <wps:bodyPr vert="horz" wrap="square" lIns="0" tIns="0" rIns="0" bIns="0" anchor="t" anchorCtr="0" upright="0"/>
                  </wps:wsp>
                </a:graphicData>
              </a:graphic>
            </wp:anchor>
          </w:drawing>
        </mc:Choice>
        <mc:Fallback>
          <w:pict>
            <v:shape id="文本框 4" o:spid="_x0000_s1026" o:spt="202" type="#_x0000_t202" style="position:absolute;left:0pt;margin-top:0pt;height:14.1pt;width:15.75pt;mso-position-horizontal:center;mso-position-horizontal-relative:margin;z-index:251660288;mso-width-relative:page;mso-height-relative:page;" filled="f" stroked="f" coordsize="21600,21600" o:gfxdata="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ZGMmQ1AAAAAMBAAAPAAAAAAAAAAEA&#10;IAAAACIAAABkcnMvZG93bnJldi54bWxQSwECFAAUAAAACACHTuJAOwF9P9oBAAClAwAADgAAAAAA&#10;AAABACAAAAAjAQAAZHJzL2Uyb0RvYy54bWxQSwUGAAAAAAYABgBZAQAAbwUAAAAA&#10;">
              <v:fill on="f" focussize="0,0"/>
              <v:stroke on="f"/>
              <v:imagedata o:title=""/>
              <o:lock v:ext="edit" aspectratio="f"/>
              <v:textbox inset="0mm,0mm,0mm,0mm">
                <w:txbxContent>
                  <w:p w14:paraId="5A22A442">
                    <w:pPr>
                      <w:pStyle w:val="17"/>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85129">
    <w:pPr>
      <w:tabs>
        <w:tab w:val="center" w:pos="4153"/>
        <w:tab w:val="right" w:pos="8306"/>
      </w:tabs>
      <w:ind w:right="360" w:firstLine="360"/>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7BE263">
                          <w:pPr>
                            <w:pStyle w:val="17"/>
                          </w:pPr>
                          <w:r>
                            <w:fldChar w:fldCharType="begin"/>
                          </w:r>
                          <w:r>
                            <w:instrText xml:space="preserve"> PAGE  \* MERGEFORMAT </w:instrText>
                          </w:r>
                          <w:r>
                            <w:fldChar w:fldCharType="separate"/>
                          </w:r>
                          <w:r>
                            <w:t>86</w:t>
                          </w:r>
                          <w: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srMyQ98BAAC/AwAADgAAAAAA&#10;AAABACAAAAAeAQAAZHJzL2Uyb0RvYy54bWxQSwUGAAAAAAYABgBZAQAAbwUAAAAA&#10;">
              <v:fill on="f" focussize="0,0"/>
              <v:stroke on="f"/>
              <v:imagedata o:title=""/>
              <o:lock v:ext="edit" aspectratio="f"/>
              <v:textbox inset="0mm,0mm,0mm,0mm" style="mso-fit-shape-to-text:t;">
                <w:txbxContent>
                  <w:p w14:paraId="297BE263">
                    <w:pPr>
                      <w:pStyle w:val="17"/>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49482">
    <w:pPr>
      <w:pStyle w:val="17"/>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EC6CB">
    <w:pPr>
      <w:pStyle w:val="1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805F0">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8127BB6">
                          <w:pPr>
                            <w:pStyle w:val="17"/>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C+u3GuIBAADOAwAADgAA&#10;AAAAAAABACAAAAAeAQAAZHJzL2Uyb0RvYy54bWxQSwUGAAAAAAYABgBZAQAAcgUAAAAA&#10;">
              <v:fill on="f" focussize="0,0"/>
              <v:stroke on="f"/>
              <v:imagedata o:title=""/>
              <o:lock v:ext="edit" aspectratio="f"/>
              <v:textbox inset="0mm,0mm,0mm,0mm" style="mso-fit-shape-to-text:t;">
                <w:txbxContent>
                  <w:p w14:paraId="38127BB6">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B77AD">
    <w:pPr>
      <w:pStyle w:val="1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F9D8737">
                          <w:pPr>
                            <w:pStyle w:val="17"/>
                          </w:pPr>
                          <w:r>
                            <w:fldChar w:fldCharType="begin"/>
                          </w:r>
                          <w:r>
                            <w:instrText xml:space="preserve"> PAGE  \* MERGEFORMAT </w:instrText>
                          </w:r>
                          <w:r>
                            <w:fldChar w:fldCharType="separate"/>
                          </w:r>
                          <w:r>
                            <w:t>11</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l5uc8AAAAFAQAADwAAAAAA&#10;AAABACAAAAAiAAAAZHJzL2Rvd25yZXYueG1sUEsBAhQAFAAAAAgAh07iQAD68MrjAQAAzgMAAA4A&#10;AAAAAAAAAQAgAAAAHgEAAGRycy9lMm9Eb2MueG1sUEsFBgAAAAAGAAYAWQEAAHMFAAAAAA==&#10;">
              <v:fill on="f" focussize="0,0"/>
              <v:stroke on="f"/>
              <v:imagedata o:title=""/>
              <o:lock v:ext="edit" aspectratio="f"/>
              <v:textbox inset="0mm,0mm,0mm,0mm" style="mso-fit-shape-to-text:t;">
                <w:txbxContent>
                  <w:p w14:paraId="7F9D8737">
                    <w:pPr>
                      <w:pStyle w:val="17"/>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D6413">
    <w:pPr>
      <w:pStyle w:val="1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EA52C5F">
                          <w:pPr>
                            <w:pStyle w:val="17"/>
                          </w:pPr>
                          <w:r>
                            <w:fldChar w:fldCharType="begin"/>
                          </w:r>
                          <w:r>
                            <w:instrText xml:space="preserve"> PAGE  \* MERGEFORMAT </w:instrText>
                          </w:r>
                          <w:r>
                            <w:fldChar w:fldCharType="separate"/>
                          </w:r>
                          <w:r>
                            <w:t>11</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l5uc8AAAAFAQAADwAAAAAA&#10;AAABACAAAAAiAAAAZHJzL2Rvd25yZXYueG1sUEsBAhQAFAAAAAgAh07iQPlfnpnjAQAAzQMAAA4A&#10;AAAAAAAAAQAgAAAAHgEAAGRycy9lMm9Eb2MueG1sUEsFBgAAAAAGAAYAWQEAAHMFAAAAAA==&#10;">
              <v:fill on="f" focussize="0,0"/>
              <v:stroke on="f"/>
              <v:imagedata o:title=""/>
              <o:lock v:ext="edit" aspectratio="f"/>
              <v:textbox inset="0mm,0mm,0mm,0mm" style="mso-fit-shape-to-text:t;">
                <w:txbxContent>
                  <w:p w14:paraId="6EA52C5F">
                    <w:pPr>
                      <w:pStyle w:val="17"/>
                    </w:pPr>
                    <w:r>
                      <w:fldChar w:fldCharType="begin"/>
                    </w:r>
                    <w:r>
                      <w:instrText xml:space="preserve"> PAGE  \* MERGEFORMAT </w:instrText>
                    </w:r>
                    <w:r>
                      <w:fldChar w:fldCharType="separate"/>
                    </w:r>
                    <w:r>
                      <w:t>11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692722"/>
    <w:multiLevelType w:val="singleLevel"/>
    <w:tmpl w:val="94692722"/>
    <w:lvl w:ilvl="0" w:tentative="0">
      <w:start w:val="1"/>
      <w:numFmt w:val="decimal"/>
      <w:suff w:val="nothing"/>
      <w:lvlText w:val="%1、"/>
      <w:lvlJc w:val="left"/>
    </w:lvl>
  </w:abstractNum>
  <w:abstractNum w:abstractNumId="1">
    <w:nsid w:val="D88F0F4D"/>
    <w:multiLevelType w:val="singleLevel"/>
    <w:tmpl w:val="D88F0F4D"/>
    <w:lvl w:ilvl="0" w:tentative="0">
      <w:start w:val="1"/>
      <w:numFmt w:val="decimal"/>
      <w:suff w:val="nothing"/>
      <w:lvlText w:val="%1、"/>
      <w:lvlJc w:val="left"/>
    </w:lvl>
  </w:abstractNum>
  <w:abstractNum w:abstractNumId="2">
    <w:nsid w:val="05D6A218"/>
    <w:multiLevelType w:val="singleLevel"/>
    <w:tmpl w:val="05D6A218"/>
    <w:lvl w:ilvl="0" w:tentative="0">
      <w:start w:val="5"/>
      <w:numFmt w:val="chineseCounting"/>
      <w:suff w:val="nothing"/>
      <w:lvlText w:val="（%1）"/>
      <w:lvlJc w:val="left"/>
      <w:rPr>
        <w:rFonts w:hint="eastAsia"/>
      </w:rPr>
    </w:lvl>
  </w:abstractNum>
  <w:abstractNum w:abstractNumId="3">
    <w:nsid w:val="11F2D948"/>
    <w:multiLevelType w:val="singleLevel"/>
    <w:tmpl w:val="11F2D948"/>
    <w:lvl w:ilvl="0" w:tentative="0">
      <w:start w:val="5"/>
      <w:numFmt w:val="decimal"/>
      <w:suff w:val="nothing"/>
      <w:lvlText w:val="（%1）"/>
      <w:lvlJc w:val="left"/>
    </w:lvl>
  </w:abstractNum>
  <w:abstractNum w:abstractNumId="4">
    <w:nsid w:val="1CE4459B"/>
    <w:multiLevelType w:val="singleLevel"/>
    <w:tmpl w:val="1CE4459B"/>
    <w:lvl w:ilvl="0" w:tentative="0">
      <w:start w:val="4"/>
      <w:numFmt w:val="decimal"/>
      <w:suff w:val="nothing"/>
      <w:lvlText w:val="%1、"/>
      <w:lvlJc w:val="left"/>
    </w:lvl>
  </w:abstractNum>
  <w:abstractNum w:abstractNumId="5">
    <w:nsid w:val="23659E7A"/>
    <w:multiLevelType w:val="singleLevel"/>
    <w:tmpl w:val="23659E7A"/>
    <w:lvl w:ilvl="0" w:tentative="0">
      <w:start w:val="1"/>
      <w:numFmt w:val="chineseCounting"/>
      <w:suff w:val="nothing"/>
      <w:lvlText w:val="（%1）"/>
      <w:lvlJc w:val="left"/>
      <w:rPr>
        <w:rFonts w:hint="eastAsia"/>
      </w:rPr>
    </w:lvl>
  </w:abstractNum>
  <w:abstractNum w:abstractNumId="6">
    <w:nsid w:val="41862CA9"/>
    <w:multiLevelType w:val="multilevel"/>
    <w:tmpl w:val="41862CA9"/>
    <w:lvl w:ilvl="0" w:tentative="0">
      <w:start w:val="1"/>
      <w:numFmt w:val="decimal"/>
      <w:suff w:val="space"/>
      <w:lvlText w:val="%1"/>
      <w:lvlJc w:val="left"/>
      <w:pPr>
        <w:ind w:left="0" w:firstLine="0"/>
      </w:pPr>
      <w:rPr>
        <w:rFonts w:hint="eastAsia"/>
        <w:sz w:val="30"/>
        <w:szCs w:val="30"/>
      </w:rPr>
    </w:lvl>
    <w:lvl w:ilvl="1" w:tentative="0">
      <w:start w:val="1"/>
      <w:numFmt w:val="decimal"/>
      <w:pStyle w:val="33"/>
      <w:suff w:val="space"/>
      <w:lvlText w:val="%1.%2"/>
      <w:lvlJc w:val="left"/>
      <w:pPr>
        <w:ind w:left="1560" w:firstLine="0"/>
      </w:pPr>
      <w:rPr>
        <w:rFonts w:hint="default" w:ascii="Arial" w:hAnsi="Arial"/>
      </w:rPr>
    </w:lvl>
    <w:lvl w:ilvl="2" w:tentative="0">
      <w:start w:val="1"/>
      <w:numFmt w:val="decimal"/>
      <w:suff w:val="space"/>
      <w:lvlText w:val="%1.%2.%3"/>
      <w:lvlJc w:val="left"/>
      <w:pPr>
        <w:ind w:left="994" w:hanging="426"/>
      </w:pPr>
      <w:rPr>
        <w:rFonts w:hint="default" w:ascii="Arial" w:hAnsi="Arial"/>
      </w:rPr>
    </w:lvl>
    <w:lvl w:ilvl="3" w:tentative="0">
      <w:start w:val="1"/>
      <w:numFmt w:val="decimal"/>
      <w:suff w:val="nothing"/>
      <w:lvlText w:val="%1.%2.%3.%4"/>
      <w:lvlJc w:val="left"/>
      <w:pPr>
        <w:ind w:left="851" w:hanging="851"/>
      </w:pPr>
      <w:rPr>
        <w:rFonts w:hint="eastAsia" w:ascii="Arial" w:hAnsi="Arial"/>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5EC30300"/>
    <w:multiLevelType w:val="singleLevel"/>
    <w:tmpl w:val="5EC30300"/>
    <w:lvl w:ilvl="0" w:tentative="0">
      <w:start w:val="4"/>
      <w:numFmt w:val="chineseCounting"/>
      <w:suff w:val="nothing"/>
      <w:lvlText w:val="%1、"/>
      <w:lvlJc w:val="left"/>
      <w:rPr>
        <w:rFonts w:hint="eastAsia"/>
      </w:rPr>
    </w:lvl>
  </w:abstractNum>
  <w:num w:numId="1">
    <w:abstractNumId w:val="6"/>
  </w:num>
  <w:num w:numId="2">
    <w:abstractNumId w:val="5"/>
  </w:num>
  <w:num w:numId="3">
    <w:abstractNumId w:val="2"/>
  </w:num>
  <w:num w:numId="4">
    <w:abstractNumId w:val="3"/>
  </w:num>
  <w:num w:numId="5">
    <w:abstractNumId w:val="4"/>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hYThiZGIwODBiNjE2ZWViYzEzMjc0MTNkMDYyZmYifQ=="/>
    <w:docVar w:name="KSO_WPS_MARK_KEY" w:val="135cdc70-8ed6-4473-9c48-1974ec6b08a6"/>
  </w:docVars>
  <w:rsids>
    <w:rsidRoot w:val="00172A27"/>
    <w:rsid w:val="0000037E"/>
    <w:rsid w:val="0000480E"/>
    <w:rsid w:val="000060B3"/>
    <w:rsid w:val="000121BD"/>
    <w:rsid w:val="0001355B"/>
    <w:rsid w:val="00014931"/>
    <w:rsid w:val="00014E13"/>
    <w:rsid w:val="0001502F"/>
    <w:rsid w:val="000178EA"/>
    <w:rsid w:val="0002075B"/>
    <w:rsid w:val="00021838"/>
    <w:rsid w:val="00023571"/>
    <w:rsid w:val="00030933"/>
    <w:rsid w:val="000414E5"/>
    <w:rsid w:val="0004364B"/>
    <w:rsid w:val="00045077"/>
    <w:rsid w:val="000527E2"/>
    <w:rsid w:val="00052D9E"/>
    <w:rsid w:val="00061B1F"/>
    <w:rsid w:val="0007115C"/>
    <w:rsid w:val="000733C4"/>
    <w:rsid w:val="00074783"/>
    <w:rsid w:val="00077123"/>
    <w:rsid w:val="00077EB1"/>
    <w:rsid w:val="0008070B"/>
    <w:rsid w:val="000810AC"/>
    <w:rsid w:val="00081A02"/>
    <w:rsid w:val="00082231"/>
    <w:rsid w:val="0008233B"/>
    <w:rsid w:val="00092236"/>
    <w:rsid w:val="00092D38"/>
    <w:rsid w:val="0009377B"/>
    <w:rsid w:val="00095F17"/>
    <w:rsid w:val="00096984"/>
    <w:rsid w:val="000A1B95"/>
    <w:rsid w:val="000A20C9"/>
    <w:rsid w:val="000A230B"/>
    <w:rsid w:val="000A5ADB"/>
    <w:rsid w:val="000B058F"/>
    <w:rsid w:val="000B3348"/>
    <w:rsid w:val="000B4467"/>
    <w:rsid w:val="000B4DB9"/>
    <w:rsid w:val="000B552F"/>
    <w:rsid w:val="000C04AD"/>
    <w:rsid w:val="000C09AC"/>
    <w:rsid w:val="000C6C71"/>
    <w:rsid w:val="000C767F"/>
    <w:rsid w:val="000D5A44"/>
    <w:rsid w:val="000E3ED2"/>
    <w:rsid w:val="000F015F"/>
    <w:rsid w:val="000F16C8"/>
    <w:rsid w:val="000F4A5E"/>
    <w:rsid w:val="001008EA"/>
    <w:rsid w:val="00101C86"/>
    <w:rsid w:val="00106FE1"/>
    <w:rsid w:val="00112EBB"/>
    <w:rsid w:val="00115E5C"/>
    <w:rsid w:val="00116E3B"/>
    <w:rsid w:val="00121404"/>
    <w:rsid w:val="00130587"/>
    <w:rsid w:val="00131F42"/>
    <w:rsid w:val="00134857"/>
    <w:rsid w:val="00134867"/>
    <w:rsid w:val="001357F1"/>
    <w:rsid w:val="00140FA8"/>
    <w:rsid w:val="00142FEB"/>
    <w:rsid w:val="00143A2D"/>
    <w:rsid w:val="001459C9"/>
    <w:rsid w:val="00145A41"/>
    <w:rsid w:val="00151675"/>
    <w:rsid w:val="00152D62"/>
    <w:rsid w:val="00157435"/>
    <w:rsid w:val="001614A6"/>
    <w:rsid w:val="00161937"/>
    <w:rsid w:val="00161AE5"/>
    <w:rsid w:val="0016365C"/>
    <w:rsid w:val="001652E2"/>
    <w:rsid w:val="00167136"/>
    <w:rsid w:val="0017504D"/>
    <w:rsid w:val="00175BEA"/>
    <w:rsid w:val="0017671A"/>
    <w:rsid w:val="00177422"/>
    <w:rsid w:val="00177C43"/>
    <w:rsid w:val="001832D8"/>
    <w:rsid w:val="00184590"/>
    <w:rsid w:val="00186F7B"/>
    <w:rsid w:val="001870D1"/>
    <w:rsid w:val="0018781E"/>
    <w:rsid w:val="0019262D"/>
    <w:rsid w:val="00192885"/>
    <w:rsid w:val="00194881"/>
    <w:rsid w:val="00194A4A"/>
    <w:rsid w:val="00195555"/>
    <w:rsid w:val="001A1B35"/>
    <w:rsid w:val="001A48A2"/>
    <w:rsid w:val="001A6F61"/>
    <w:rsid w:val="001A7502"/>
    <w:rsid w:val="001A7CC0"/>
    <w:rsid w:val="001A7FD9"/>
    <w:rsid w:val="001B131C"/>
    <w:rsid w:val="001B3EDF"/>
    <w:rsid w:val="001B72B8"/>
    <w:rsid w:val="001C0268"/>
    <w:rsid w:val="001C082F"/>
    <w:rsid w:val="001C69B3"/>
    <w:rsid w:val="001D0B21"/>
    <w:rsid w:val="001D3117"/>
    <w:rsid w:val="001D5595"/>
    <w:rsid w:val="001D7874"/>
    <w:rsid w:val="001D7F22"/>
    <w:rsid w:val="001E3484"/>
    <w:rsid w:val="001E3600"/>
    <w:rsid w:val="001E3C6C"/>
    <w:rsid w:val="001E3D95"/>
    <w:rsid w:val="001E41EB"/>
    <w:rsid w:val="001F0F17"/>
    <w:rsid w:val="001F3347"/>
    <w:rsid w:val="001F4CF1"/>
    <w:rsid w:val="001F69E4"/>
    <w:rsid w:val="002105FD"/>
    <w:rsid w:val="002125B4"/>
    <w:rsid w:val="00212E62"/>
    <w:rsid w:val="002155B8"/>
    <w:rsid w:val="002233FC"/>
    <w:rsid w:val="00223571"/>
    <w:rsid w:val="00223D78"/>
    <w:rsid w:val="00224839"/>
    <w:rsid w:val="002249B2"/>
    <w:rsid w:val="00226574"/>
    <w:rsid w:val="002278EC"/>
    <w:rsid w:val="0023280E"/>
    <w:rsid w:val="00233BF9"/>
    <w:rsid w:val="00233F26"/>
    <w:rsid w:val="00237673"/>
    <w:rsid w:val="002377D1"/>
    <w:rsid w:val="00243164"/>
    <w:rsid w:val="00244518"/>
    <w:rsid w:val="002453EA"/>
    <w:rsid w:val="002473F8"/>
    <w:rsid w:val="002506BC"/>
    <w:rsid w:val="00252B89"/>
    <w:rsid w:val="00254345"/>
    <w:rsid w:val="00254536"/>
    <w:rsid w:val="00257987"/>
    <w:rsid w:val="002617F8"/>
    <w:rsid w:val="00264557"/>
    <w:rsid w:val="0027787C"/>
    <w:rsid w:val="00277DB5"/>
    <w:rsid w:val="002805AB"/>
    <w:rsid w:val="00280F8C"/>
    <w:rsid w:val="002815BC"/>
    <w:rsid w:val="00283571"/>
    <w:rsid w:val="00284204"/>
    <w:rsid w:val="00287F15"/>
    <w:rsid w:val="00291422"/>
    <w:rsid w:val="00291773"/>
    <w:rsid w:val="00293C12"/>
    <w:rsid w:val="002957E2"/>
    <w:rsid w:val="00295915"/>
    <w:rsid w:val="002A168C"/>
    <w:rsid w:val="002A24CF"/>
    <w:rsid w:val="002A3DC7"/>
    <w:rsid w:val="002B1935"/>
    <w:rsid w:val="002B49E2"/>
    <w:rsid w:val="002B7B00"/>
    <w:rsid w:val="002B7C44"/>
    <w:rsid w:val="002C1EEF"/>
    <w:rsid w:val="002C2B17"/>
    <w:rsid w:val="002D3DD0"/>
    <w:rsid w:val="002D5959"/>
    <w:rsid w:val="002E0BB3"/>
    <w:rsid w:val="002E10B9"/>
    <w:rsid w:val="002E1F3A"/>
    <w:rsid w:val="002E298A"/>
    <w:rsid w:val="002E29F0"/>
    <w:rsid w:val="002E52C5"/>
    <w:rsid w:val="002F630F"/>
    <w:rsid w:val="00301978"/>
    <w:rsid w:val="003028F1"/>
    <w:rsid w:val="00302BA0"/>
    <w:rsid w:val="0030332C"/>
    <w:rsid w:val="00304272"/>
    <w:rsid w:val="003051C2"/>
    <w:rsid w:val="00306EE0"/>
    <w:rsid w:val="003075BD"/>
    <w:rsid w:val="00310580"/>
    <w:rsid w:val="00310F9B"/>
    <w:rsid w:val="00312296"/>
    <w:rsid w:val="003138CB"/>
    <w:rsid w:val="00314F0E"/>
    <w:rsid w:val="00316515"/>
    <w:rsid w:val="003219A3"/>
    <w:rsid w:val="00321D8E"/>
    <w:rsid w:val="00325928"/>
    <w:rsid w:val="00332863"/>
    <w:rsid w:val="00332E1A"/>
    <w:rsid w:val="00334F3F"/>
    <w:rsid w:val="00334FB3"/>
    <w:rsid w:val="0033684D"/>
    <w:rsid w:val="00336CAB"/>
    <w:rsid w:val="00337B42"/>
    <w:rsid w:val="00341B42"/>
    <w:rsid w:val="0034348F"/>
    <w:rsid w:val="00351944"/>
    <w:rsid w:val="00356653"/>
    <w:rsid w:val="0035743F"/>
    <w:rsid w:val="00357BE2"/>
    <w:rsid w:val="0036170C"/>
    <w:rsid w:val="00361B17"/>
    <w:rsid w:val="003658E3"/>
    <w:rsid w:val="00366E0F"/>
    <w:rsid w:val="00367FB5"/>
    <w:rsid w:val="003757B5"/>
    <w:rsid w:val="003774DF"/>
    <w:rsid w:val="00381A72"/>
    <w:rsid w:val="00384676"/>
    <w:rsid w:val="00386EFE"/>
    <w:rsid w:val="003906D4"/>
    <w:rsid w:val="00390857"/>
    <w:rsid w:val="00391B5B"/>
    <w:rsid w:val="003A4BF3"/>
    <w:rsid w:val="003A618F"/>
    <w:rsid w:val="003A7F68"/>
    <w:rsid w:val="003B420D"/>
    <w:rsid w:val="003B5FED"/>
    <w:rsid w:val="003B6550"/>
    <w:rsid w:val="003C3001"/>
    <w:rsid w:val="003C6C16"/>
    <w:rsid w:val="003D7881"/>
    <w:rsid w:val="003D794D"/>
    <w:rsid w:val="003E3058"/>
    <w:rsid w:val="003E76A9"/>
    <w:rsid w:val="003F020D"/>
    <w:rsid w:val="003F0809"/>
    <w:rsid w:val="003F5ABC"/>
    <w:rsid w:val="003F6A8C"/>
    <w:rsid w:val="003F755C"/>
    <w:rsid w:val="003F76B7"/>
    <w:rsid w:val="004017D6"/>
    <w:rsid w:val="00406F01"/>
    <w:rsid w:val="00411EA3"/>
    <w:rsid w:val="00416D50"/>
    <w:rsid w:val="00416FD5"/>
    <w:rsid w:val="00417772"/>
    <w:rsid w:val="00420E6A"/>
    <w:rsid w:val="00422EAF"/>
    <w:rsid w:val="00423FB4"/>
    <w:rsid w:val="004255A2"/>
    <w:rsid w:val="00425A9E"/>
    <w:rsid w:val="00426D6B"/>
    <w:rsid w:val="00426FE2"/>
    <w:rsid w:val="00431E6C"/>
    <w:rsid w:val="0043305B"/>
    <w:rsid w:val="00433CE7"/>
    <w:rsid w:val="00436070"/>
    <w:rsid w:val="00436FA8"/>
    <w:rsid w:val="0044057D"/>
    <w:rsid w:val="00442ABA"/>
    <w:rsid w:val="004442BB"/>
    <w:rsid w:val="00452738"/>
    <w:rsid w:val="00456091"/>
    <w:rsid w:val="004609C3"/>
    <w:rsid w:val="00466321"/>
    <w:rsid w:val="004674CB"/>
    <w:rsid w:val="00471A4F"/>
    <w:rsid w:val="00476737"/>
    <w:rsid w:val="004800A4"/>
    <w:rsid w:val="00480874"/>
    <w:rsid w:val="004822C3"/>
    <w:rsid w:val="004827EE"/>
    <w:rsid w:val="00483A77"/>
    <w:rsid w:val="00484B9B"/>
    <w:rsid w:val="004855F6"/>
    <w:rsid w:val="0048661E"/>
    <w:rsid w:val="0049257C"/>
    <w:rsid w:val="00494670"/>
    <w:rsid w:val="0049585D"/>
    <w:rsid w:val="00497605"/>
    <w:rsid w:val="004A3823"/>
    <w:rsid w:val="004B3E12"/>
    <w:rsid w:val="004C0647"/>
    <w:rsid w:val="004D2F0B"/>
    <w:rsid w:val="004D6DE6"/>
    <w:rsid w:val="004D7575"/>
    <w:rsid w:val="004E355D"/>
    <w:rsid w:val="004E3EFC"/>
    <w:rsid w:val="004E53A8"/>
    <w:rsid w:val="004E616D"/>
    <w:rsid w:val="004E6946"/>
    <w:rsid w:val="004F1AD8"/>
    <w:rsid w:val="004F3CE1"/>
    <w:rsid w:val="004F51F1"/>
    <w:rsid w:val="00500878"/>
    <w:rsid w:val="005039CB"/>
    <w:rsid w:val="0050558F"/>
    <w:rsid w:val="005060D9"/>
    <w:rsid w:val="00506286"/>
    <w:rsid w:val="0050646D"/>
    <w:rsid w:val="00510813"/>
    <w:rsid w:val="00511990"/>
    <w:rsid w:val="00511AA9"/>
    <w:rsid w:val="00511DE0"/>
    <w:rsid w:val="00514407"/>
    <w:rsid w:val="00514870"/>
    <w:rsid w:val="00514B9B"/>
    <w:rsid w:val="00514E66"/>
    <w:rsid w:val="00516ED0"/>
    <w:rsid w:val="00517F02"/>
    <w:rsid w:val="00522EC6"/>
    <w:rsid w:val="00523417"/>
    <w:rsid w:val="00524303"/>
    <w:rsid w:val="005258A2"/>
    <w:rsid w:val="005324F8"/>
    <w:rsid w:val="0053412A"/>
    <w:rsid w:val="00535EAA"/>
    <w:rsid w:val="00537E8E"/>
    <w:rsid w:val="005401AE"/>
    <w:rsid w:val="00542E07"/>
    <w:rsid w:val="00545424"/>
    <w:rsid w:val="00545B4D"/>
    <w:rsid w:val="00554A7B"/>
    <w:rsid w:val="0055572C"/>
    <w:rsid w:val="00555804"/>
    <w:rsid w:val="0056106A"/>
    <w:rsid w:val="005623BE"/>
    <w:rsid w:val="005720AE"/>
    <w:rsid w:val="00575E24"/>
    <w:rsid w:val="005765DD"/>
    <w:rsid w:val="005778DE"/>
    <w:rsid w:val="005815B0"/>
    <w:rsid w:val="005826D6"/>
    <w:rsid w:val="00594D77"/>
    <w:rsid w:val="00595F3F"/>
    <w:rsid w:val="005969E4"/>
    <w:rsid w:val="005A06B7"/>
    <w:rsid w:val="005A11D0"/>
    <w:rsid w:val="005A1759"/>
    <w:rsid w:val="005A65E6"/>
    <w:rsid w:val="005A68A7"/>
    <w:rsid w:val="005B36AF"/>
    <w:rsid w:val="005B6E22"/>
    <w:rsid w:val="005C7F5B"/>
    <w:rsid w:val="005D2B53"/>
    <w:rsid w:val="005D36AB"/>
    <w:rsid w:val="005E3139"/>
    <w:rsid w:val="005E4198"/>
    <w:rsid w:val="005E6619"/>
    <w:rsid w:val="005F36ED"/>
    <w:rsid w:val="005F4214"/>
    <w:rsid w:val="005F68D5"/>
    <w:rsid w:val="00603786"/>
    <w:rsid w:val="00604882"/>
    <w:rsid w:val="006050C9"/>
    <w:rsid w:val="0060784D"/>
    <w:rsid w:val="00612345"/>
    <w:rsid w:val="00612E95"/>
    <w:rsid w:val="00617CC3"/>
    <w:rsid w:val="0062102A"/>
    <w:rsid w:val="00621707"/>
    <w:rsid w:val="00635B53"/>
    <w:rsid w:val="006377A6"/>
    <w:rsid w:val="00637A3D"/>
    <w:rsid w:val="00640BAB"/>
    <w:rsid w:val="006411EF"/>
    <w:rsid w:val="00643E0D"/>
    <w:rsid w:val="006442F1"/>
    <w:rsid w:val="00645F4E"/>
    <w:rsid w:val="00647D79"/>
    <w:rsid w:val="00651C9C"/>
    <w:rsid w:val="00651F08"/>
    <w:rsid w:val="006573F8"/>
    <w:rsid w:val="006579C8"/>
    <w:rsid w:val="00667071"/>
    <w:rsid w:val="00667424"/>
    <w:rsid w:val="0067021A"/>
    <w:rsid w:val="006748B8"/>
    <w:rsid w:val="006775C3"/>
    <w:rsid w:val="00681286"/>
    <w:rsid w:val="00681613"/>
    <w:rsid w:val="0068417B"/>
    <w:rsid w:val="0069290A"/>
    <w:rsid w:val="00694575"/>
    <w:rsid w:val="0069775A"/>
    <w:rsid w:val="00697813"/>
    <w:rsid w:val="006A3A52"/>
    <w:rsid w:val="006A3EE8"/>
    <w:rsid w:val="006A72BF"/>
    <w:rsid w:val="006B03F2"/>
    <w:rsid w:val="006B05FF"/>
    <w:rsid w:val="006B0643"/>
    <w:rsid w:val="006B1710"/>
    <w:rsid w:val="006B37DC"/>
    <w:rsid w:val="006B4F68"/>
    <w:rsid w:val="006B6E02"/>
    <w:rsid w:val="006C0037"/>
    <w:rsid w:val="006C0592"/>
    <w:rsid w:val="006C24BD"/>
    <w:rsid w:val="006C272E"/>
    <w:rsid w:val="006C5479"/>
    <w:rsid w:val="006D13B5"/>
    <w:rsid w:val="006D64FB"/>
    <w:rsid w:val="006D7B2B"/>
    <w:rsid w:val="006E12FF"/>
    <w:rsid w:val="006E1F65"/>
    <w:rsid w:val="006E5452"/>
    <w:rsid w:val="006E607E"/>
    <w:rsid w:val="006F5BBB"/>
    <w:rsid w:val="006F6160"/>
    <w:rsid w:val="006F7B71"/>
    <w:rsid w:val="00700571"/>
    <w:rsid w:val="00706C5D"/>
    <w:rsid w:val="007215FB"/>
    <w:rsid w:val="00721E45"/>
    <w:rsid w:val="007239F9"/>
    <w:rsid w:val="007249D9"/>
    <w:rsid w:val="00732922"/>
    <w:rsid w:val="00740A24"/>
    <w:rsid w:val="0074309E"/>
    <w:rsid w:val="007515D3"/>
    <w:rsid w:val="0075162E"/>
    <w:rsid w:val="00754034"/>
    <w:rsid w:val="007541FF"/>
    <w:rsid w:val="0075490A"/>
    <w:rsid w:val="00756556"/>
    <w:rsid w:val="007574FF"/>
    <w:rsid w:val="0076068B"/>
    <w:rsid w:val="007618C4"/>
    <w:rsid w:val="00764525"/>
    <w:rsid w:val="0076502E"/>
    <w:rsid w:val="00767980"/>
    <w:rsid w:val="00770B19"/>
    <w:rsid w:val="0077212D"/>
    <w:rsid w:val="007737BC"/>
    <w:rsid w:val="00774402"/>
    <w:rsid w:val="0077463F"/>
    <w:rsid w:val="007800E2"/>
    <w:rsid w:val="007836EA"/>
    <w:rsid w:val="00784B66"/>
    <w:rsid w:val="00784CDA"/>
    <w:rsid w:val="007852E6"/>
    <w:rsid w:val="007906C4"/>
    <w:rsid w:val="00793ACA"/>
    <w:rsid w:val="007940EA"/>
    <w:rsid w:val="0079440E"/>
    <w:rsid w:val="00794BFB"/>
    <w:rsid w:val="007967E8"/>
    <w:rsid w:val="007A0B39"/>
    <w:rsid w:val="007A1DD7"/>
    <w:rsid w:val="007A2170"/>
    <w:rsid w:val="007A22BF"/>
    <w:rsid w:val="007A3323"/>
    <w:rsid w:val="007B6DEB"/>
    <w:rsid w:val="007B72B8"/>
    <w:rsid w:val="007B7A58"/>
    <w:rsid w:val="007C0A1A"/>
    <w:rsid w:val="007C21B5"/>
    <w:rsid w:val="007D40A0"/>
    <w:rsid w:val="007D44AD"/>
    <w:rsid w:val="007D7A86"/>
    <w:rsid w:val="007E4BD2"/>
    <w:rsid w:val="007F0590"/>
    <w:rsid w:val="007F1C8F"/>
    <w:rsid w:val="007F2EC3"/>
    <w:rsid w:val="007F4E76"/>
    <w:rsid w:val="007F557F"/>
    <w:rsid w:val="00801393"/>
    <w:rsid w:val="00802F88"/>
    <w:rsid w:val="00803A37"/>
    <w:rsid w:val="00806BF9"/>
    <w:rsid w:val="00811942"/>
    <w:rsid w:val="0081248F"/>
    <w:rsid w:val="0081293E"/>
    <w:rsid w:val="00814809"/>
    <w:rsid w:val="008152EA"/>
    <w:rsid w:val="00815465"/>
    <w:rsid w:val="00817527"/>
    <w:rsid w:val="008175E5"/>
    <w:rsid w:val="00817E9A"/>
    <w:rsid w:val="0082277F"/>
    <w:rsid w:val="00825100"/>
    <w:rsid w:val="008306BD"/>
    <w:rsid w:val="00831A80"/>
    <w:rsid w:val="00833743"/>
    <w:rsid w:val="008340A4"/>
    <w:rsid w:val="0084037A"/>
    <w:rsid w:val="0084473C"/>
    <w:rsid w:val="00846339"/>
    <w:rsid w:val="00846509"/>
    <w:rsid w:val="00852BA0"/>
    <w:rsid w:val="0085583E"/>
    <w:rsid w:val="00856948"/>
    <w:rsid w:val="00857C3F"/>
    <w:rsid w:val="00864B77"/>
    <w:rsid w:val="008653C5"/>
    <w:rsid w:val="0086644A"/>
    <w:rsid w:val="00866B52"/>
    <w:rsid w:val="0087135F"/>
    <w:rsid w:val="0087187A"/>
    <w:rsid w:val="00871F66"/>
    <w:rsid w:val="00872B6C"/>
    <w:rsid w:val="00872D94"/>
    <w:rsid w:val="0087692B"/>
    <w:rsid w:val="00880364"/>
    <w:rsid w:val="00885F4D"/>
    <w:rsid w:val="00891592"/>
    <w:rsid w:val="00891E9E"/>
    <w:rsid w:val="008925C9"/>
    <w:rsid w:val="00897242"/>
    <w:rsid w:val="008A2F68"/>
    <w:rsid w:val="008A3DD8"/>
    <w:rsid w:val="008A45E9"/>
    <w:rsid w:val="008A5270"/>
    <w:rsid w:val="008A74C5"/>
    <w:rsid w:val="008B2F5B"/>
    <w:rsid w:val="008B30EF"/>
    <w:rsid w:val="008B4FA6"/>
    <w:rsid w:val="008B5282"/>
    <w:rsid w:val="008B6114"/>
    <w:rsid w:val="008B7C17"/>
    <w:rsid w:val="008C1D9A"/>
    <w:rsid w:val="008C2B95"/>
    <w:rsid w:val="008C2D01"/>
    <w:rsid w:val="008C2D27"/>
    <w:rsid w:val="008C40E6"/>
    <w:rsid w:val="008C489D"/>
    <w:rsid w:val="008C6362"/>
    <w:rsid w:val="008C6C96"/>
    <w:rsid w:val="008C769A"/>
    <w:rsid w:val="008D0F7A"/>
    <w:rsid w:val="008D68E4"/>
    <w:rsid w:val="008D75CB"/>
    <w:rsid w:val="008E0281"/>
    <w:rsid w:val="008E0506"/>
    <w:rsid w:val="008E0CFF"/>
    <w:rsid w:val="008E5D6B"/>
    <w:rsid w:val="008E76F0"/>
    <w:rsid w:val="008F15FE"/>
    <w:rsid w:val="008F2D29"/>
    <w:rsid w:val="008F5187"/>
    <w:rsid w:val="008F5AE8"/>
    <w:rsid w:val="008F60D8"/>
    <w:rsid w:val="008F6125"/>
    <w:rsid w:val="008F6D03"/>
    <w:rsid w:val="008F797D"/>
    <w:rsid w:val="009013B0"/>
    <w:rsid w:val="00902727"/>
    <w:rsid w:val="0090312B"/>
    <w:rsid w:val="00912EAD"/>
    <w:rsid w:val="00914624"/>
    <w:rsid w:val="0091736D"/>
    <w:rsid w:val="00921DFE"/>
    <w:rsid w:val="009224D7"/>
    <w:rsid w:val="009254E7"/>
    <w:rsid w:val="00927986"/>
    <w:rsid w:val="0093037A"/>
    <w:rsid w:val="0094154D"/>
    <w:rsid w:val="00947F87"/>
    <w:rsid w:val="0095155F"/>
    <w:rsid w:val="009516B7"/>
    <w:rsid w:val="00954429"/>
    <w:rsid w:val="00954B42"/>
    <w:rsid w:val="009563CE"/>
    <w:rsid w:val="00960236"/>
    <w:rsid w:val="00960547"/>
    <w:rsid w:val="00966F89"/>
    <w:rsid w:val="009677F4"/>
    <w:rsid w:val="00973FB8"/>
    <w:rsid w:val="00975C59"/>
    <w:rsid w:val="00976328"/>
    <w:rsid w:val="0097680D"/>
    <w:rsid w:val="0098099A"/>
    <w:rsid w:val="00982438"/>
    <w:rsid w:val="0098404C"/>
    <w:rsid w:val="00985283"/>
    <w:rsid w:val="00986FD0"/>
    <w:rsid w:val="009908F3"/>
    <w:rsid w:val="009908FD"/>
    <w:rsid w:val="009923AE"/>
    <w:rsid w:val="00992F27"/>
    <w:rsid w:val="00995992"/>
    <w:rsid w:val="009A03E5"/>
    <w:rsid w:val="009A0F3B"/>
    <w:rsid w:val="009A1BB4"/>
    <w:rsid w:val="009A22DC"/>
    <w:rsid w:val="009A2628"/>
    <w:rsid w:val="009A266D"/>
    <w:rsid w:val="009A3200"/>
    <w:rsid w:val="009A5BBB"/>
    <w:rsid w:val="009B03DC"/>
    <w:rsid w:val="009B0897"/>
    <w:rsid w:val="009B6870"/>
    <w:rsid w:val="009B6899"/>
    <w:rsid w:val="009B7BD9"/>
    <w:rsid w:val="009C025E"/>
    <w:rsid w:val="009C7DD5"/>
    <w:rsid w:val="009D291E"/>
    <w:rsid w:val="009D73FB"/>
    <w:rsid w:val="009D7A27"/>
    <w:rsid w:val="009E1F6D"/>
    <w:rsid w:val="009E227D"/>
    <w:rsid w:val="009E5019"/>
    <w:rsid w:val="009F2969"/>
    <w:rsid w:val="00A00C23"/>
    <w:rsid w:val="00A017DD"/>
    <w:rsid w:val="00A04F1B"/>
    <w:rsid w:val="00A0501B"/>
    <w:rsid w:val="00A10B07"/>
    <w:rsid w:val="00A11344"/>
    <w:rsid w:val="00A13795"/>
    <w:rsid w:val="00A14947"/>
    <w:rsid w:val="00A1499D"/>
    <w:rsid w:val="00A23072"/>
    <w:rsid w:val="00A24C67"/>
    <w:rsid w:val="00A24C6B"/>
    <w:rsid w:val="00A2502F"/>
    <w:rsid w:val="00A26192"/>
    <w:rsid w:val="00A32A83"/>
    <w:rsid w:val="00A34885"/>
    <w:rsid w:val="00A351D2"/>
    <w:rsid w:val="00A368DB"/>
    <w:rsid w:val="00A4003E"/>
    <w:rsid w:val="00A40CE4"/>
    <w:rsid w:val="00A41FF5"/>
    <w:rsid w:val="00A423AA"/>
    <w:rsid w:val="00A4250E"/>
    <w:rsid w:val="00A42BD7"/>
    <w:rsid w:val="00A467D9"/>
    <w:rsid w:val="00A5031D"/>
    <w:rsid w:val="00A522F8"/>
    <w:rsid w:val="00A533F7"/>
    <w:rsid w:val="00A53EC6"/>
    <w:rsid w:val="00A54F02"/>
    <w:rsid w:val="00A55C0F"/>
    <w:rsid w:val="00A62B6D"/>
    <w:rsid w:val="00A62D9D"/>
    <w:rsid w:val="00A65DB0"/>
    <w:rsid w:val="00A6697B"/>
    <w:rsid w:val="00A71CFD"/>
    <w:rsid w:val="00A7434E"/>
    <w:rsid w:val="00A77F13"/>
    <w:rsid w:val="00A84A59"/>
    <w:rsid w:val="00A8713F"/>
    <w:rsid w:val="00A87265"/>
    <w:rsid w:val="00A90BA1"/>
    <w:rsid w:val="00A93A4D"/>
    <w:rsid w:val="00A97A9A"/>
    <w:rsid w:val="00AA0671"/>
    <w:rsid w:val="00AA2531"/>
    <w:rsid w:val="00AA6C57"/>
    <w:rsid w:val="00AA6F42"/>
    <w:rsid w:val="00AB1E09"/>
    <w:rsid w:val="00AB275C"/>
    <w:rsid w:val="00AB5330"/>
    <w:rsid w:val="00AB5EDD"/>
    <w:rsid w:val="00AB7643"/>
    <w:rsid w:val="00AB7747"/>
    <w:rsid w:val="00AC14CE"/>
    <w:rsid w:val="00AC1DFD"/>
    <w:rsid w:val="00AC2A56"/>
    <w:rsid w:val="00AD055E"/>
    <w:rsid w:val="00AD377C"/>
    <w:rsid w:val="00AD3A0F"/>
    <w:rsid w:val="00AD47A7"/>
    <w:rsid w:val="00AD4847"/>
    <w:rsid w:val="00AD496B"/>
    <w:rsid w:val="00AD666C"/>
    <w:rsid w:val="00AE15C6"/>
    <w:rsid w:val="00AE2028"/>
    <w:rsid w:val="00AE4FCF"/>
    <w:rsid w:val="00AE74B9"/>
    <w:rsid w:val="00AF0CBF"/>
    <w:rsid w:val="00AF257F"/>
    <w:rsid w:val="00AF33CF"/>
    <w:rsid w:val="00AF4D50"/>
    <w:rsid w:val="00AF6179"/>
    <w:rsid w:val="00B053FD"/>
    <w:rsid w:val="00B0629E"/>
    <w:rsid w:val="00B10A6C"/>
    <w:rsid w:val="00B12472"/>
    <w:rsid w:val="00B1295A"/>
    <w:rsid w:val="00B12E11"/>
    <w:rsid w:val="00B177D1"/>
    <w:rsid w:val="00B203C8"/>
    <w:rsid w:val="00B20A45"/>
    <w:rsid w:val="00B221FC"/>
    <w:rsid w:val="00B22C5C"/>
    <w:rsid w:val="00B24F30"/>
    <w:rsid w:val="00B27511"/>
    <w:rsid w:val="00B276D5"/>
    <w:rsid w:val="00B27E90"/>
    <w:rsid w:val="00B3140C"/>
    <w:rsid w:val="00B31ABF"/>
    <w:rsid w:val="00B32BDB"/>
    <w:rsid w:val="00B33BE3"/>
    <w:rsid w:val="00B36C36"/>
    <w:rsid w:val="00B37D35"/>
    <w:rsid w:val="00B474D9"/>
    <w:rsid w:val="00B53B5D"/>
    <w:rsid w:val="00B57DA2"/>
    <w:rsid w:val="00B6055E"/>
    <w:rsid w:val="00B62D12"/>
    <w:rsid w:val="00B6317D"/>
    <w:rsid w:val="00B63F88"/>
    <w:rsid w:val="00B65140"/>
    <w:rsid w:val="00B6538A"/>
    <w:rsid w:val="00B66952"/>
    <w:rsid w:val="00B76CAD"/>
    <w:rsid w:val="00B7723F"/>
    <w:rsid w:val="00B80534"/>
    <w:rsid w:val="00B83365"/>
    <w:rsid w:val="00B8433C"/>
    <w:rsid w:val="00B87491"/>
    <w:rsid w:val="00B90284"/>
    <w:rsid w:val="00B90FBB"/>
    <w:rsid w:val="00B93D7F"/>
    <w:rsid w:val="00B94637"/>
    <w:rsid w:val="00B94A93"/>
    <w:rsid w:val="00B9518D"/>
    <w:rsid w:val="00BA29E9"/>
    <w:rsid w:val="00BA7142"/>
    <w:rsid w:val="00BB00EB"/>
    <w:rsid w:val="00BB237C"/>
    <w:rsid w:val="00BB373E"/>
    <w:rsid w:val="00BB41A3"/>
    <w:rsid w:val="00BB7575"/>
    <w:rsid w:val="00BC18AB"/>
    <w:rsid w:val="00BC1CD9"/>
    <w:rsid w:val="00BC32DC"/>
    <w:rsid w:val="00BC35B6"/>
    <w:rsid w:val="00BD1B51"/>
    <w:rsid w:val="00BD4596"/>
    <w:rsid w:val="00BE1405"/>
    <w:rsid w:val="00BE1B0B"/>
    <w:rsid w:val="00BE2351"/>
    <w:rsid w:val="00BE312D"/>
    <w:rsid w:val="00BE3B88"/>
    <w:rsid w:val="00BE3D71"/>
    <w:rsid w:val="00BF052D"/>
    <w:rsid w:val="00BF1BA7"/>
    <w:rsid w:val="00BF1C20"/>
    <w:rsid w:val="00C02886"/>
    <w:rsid w:val="00C10578"/>
    <w:rsid w:val="00C135BC"/>
    <w:rsid w:val="00C15888"/>
    <w:rsid w:val="00C158F9"/>
    <w:rsid w:val="00C15C95"/>
    <w:rsid w:val="00C2069B"/>
    <w:rsid w:val="00C20A01"/>
    <w:rsid w:val="00C247AF"/>
    <w:rsid w:val="00C250F6"/>
    <w:rsid w:val="00C2596A"/>
    <w:rsid w:val="00C27537"/>
    <w:rsid w:val="00C279D0"/>
    <w:rsid w:val="00C30A6F"/>
    <w:rsid w:val="00C3271E"/>
    <w:rsid w:val="00C328FE"/>
    <w:rsid w:val="00C33267"/>
    <w:rsid w:val="00C33507"/>
    <w:rsid w:val="00C344E1"/>
    <w:rsid w:val="00C41FBB"/>
    <w:rsid w:val="00C4409D"/>
    <w:rsid w:val="00C44E72"/>
    <w:rsid w:val="00C45A06"/>
    <w:rsid w:val="00C471AD"/>
    <w:rsid w:val="00C47E5B"/>
    <w:rsid w:val="00C5415D"/>
    <w:rsid w:val="00C55A2F"/>
    <w:rsid w:val="00C5661C"/>
    <w:rsid w:val="00C608C0"/>
    <w:rsid w:val="00C61E4B"/>
    <w:rsid w:val="00C63243"/>
    <w:rsid w:val="00C643B8"/>
    <w:rsid w:val="00C64BFF"/>
    <w:rsid w:val="00C67ECB"/>
    <w:rsid w:val="00C701F4"/>
    <w:rsid w:val="00C704E9"/>
    <w:rsid w:val="00C70CDA"/>
    <w:rsid w:val="00C73015"/>
    <w:rsid w:val="00C74EB7"/>
    <w:rsid w:val="00C763C9"/>
    <w:rsid w:val="00C80057"/>
    <w:rsid w:val="00C82232"/>
    <w:rsid w:val="00C82913"/>
    <w:rsid w:val="00C82C49"/>
    <w:rsid w:val="00C875F3"/>
    <w:rsid w:val="00C913A6"/>
    <w:rsid w:val="00C95336"/>
    <w:rsid w:val="00C972B1"/>
    <w:rsid w:val="00C97FB2"/>
    <w:rsid w:val="00CA2CCE"/>
    <w:rsid w:val="00CA43FD"/>
    <w:rsid w:val="00CA6D30"/>
    <w:rsid w:val="00CA7EF8"/>
    <w:rsid w:val="00CB4120"/>
    <w:rsid w:val="00CC489B"/>
    <w:rsid w:val="00CC79C3"/>
    <w:rsid w:val="00CD2BCD"/>
    <w:rsid w:val="00CD34B5"/>
    <w:rsid w:val="00CD3A4C"/>
    <w:rsid w:val="00CD4F57"/>
    <w:rsid w:val="00CE10E9"/>
    <w:rsid w:val="00CE2910"/>
    <w:rsid w:val="00CE5393"/>
    <w:rsid w:val="00CE5DE9"/>
    <w:rsid w:val="00CE76B0"/>
    <w:rsid w:val="00CF36BE"/>
    <w:rsid w:val="00CF5A3A"/>
    <w:rsid w:val="00CF6000"/>
    <w:rsid w:val="00D003F3"/>
    <w:rsid w:val="00D00E25"/>
    <w:rsid w:val="00D012FD"/>
    <w:rsid w:val="00D01EAF"/>
    <w:rsid w:val="00D0364F"/>
    <w:rsid w:val="00D06834"/>
    <w:rsid w:val="00D1015B"/>
    <w:rsid w:val="00D10673"/>
    <w:rsid w:val="00D1164C"/>
    <w:rsid w:val="00D258AC"/>
    <w:rsid w:val="00D308ED"/>
    <w:rsid w:val="00D30AF7"/>
    <w:rsid w:val="00D36D86"/>
    <w:rsid w:val="00D3732F"/>
    <w:rsid w:val="00D428AA"/>
    <w:rsid w:val="00D4481A"/>
    <w:rsid w:val="00D50A34"/>
    <w:rsid w:val="00D51A08"/>
    <w:rsid w:val="00D53EFA"/>
    <w:rsid w:val="00D57355"/>
    <w:rsid w:val="00D64678"/>
    <w:rsid w:val="00D6626E"/>
    <w:rsid w:val="00D81371"/>
    <w:rsid w:val="00D874AD"/>
    <w:rsid w:val="00D902C9"/>
    <w:rsid w:val="00D93FF4"/>
    <w:rsid w:val="00D94A7C"/>
    <w:rsid w:val="00D94D04"/>
    <w:rsid w:val="00D95896"/>
    <w:rsid w:val="00D968D0"/>
    <w:rsid w:val="00DA10AF"/>
    <w:rsid w:val="00DA594D"/>
    <w:rsid w:val="00DB240E"/>
    <w:rsid w:val="00DB2983"/>
    <w:rsid w:val="00DB368F"/>
    <w:rsid w:val="00DB5069"/>
    <w:rsid w:val="00DB76C6"/>
    <w:rsid w:val="00DB7B89"/>
    <w:rsid w:val="00DC1257"/>
    <w:rsid w:val="00DC3DC0"/>
    <w:rsid w:val="00DC47B7"/>
    <w:rsid w:val="00DC5B2B"/>
    <w:rsid w:val="00DD015C"/>
    <w:rsid w:val="00DD318D"/>
    <w:rsid w:val="00DD5ADB"/>
    <w:rsid w:val="00DE2D36"/>
    <w:rsid w:val="00DE5384"/>
    <w:rsid w:val="00DF06EE"/>
    <w:rsid w:val="00DF2E12"/>
    <w:rsid w:val="00DF365D"/>
    <w:rsid w:val="00DF514A"/>
    <w:rsid w:val="00DF6690"/>
    <w:rsid w:val="00DF6804"/>
    <w:rsid w:val="00E0125F"/>
    <w:rsid w:val="00E02372"/>
    <w:rsid w:val="00E024E9"/>
    <w:rsid w:val="00E0358D"/>
    <w:rsid w:val="00E03DE2"/>
    <w:rsid w:val="00E04323"/>
    <w:rsid w:val="00E04BE0"/>
    <w:rsid w:val="00E070A2"/>
    <w:rsid w:val="00E07F8A"/>
    <w:rsid w:val="00E12DA5"/>
    <w:rsid w:val="00E1484B"/>
    <w:rsid w:val="00E17C80"/>
    <w:rsid w:val="00E23E7A"/>
    <w:rsid w:val="00E2656A"/>
    <w:rsid w:val="00E412D0"/>
    <w:rsid w:val="00E41EB0"/>
    <w:rsid w:val="00E47A22"/>
    <w:rsid w:val="00E534AD"/>
    <w:rsid w:val="00E56322"/>
    <w:rsid w:val="00E60906"/>
    <w:rsid w:val="00E60982"/>
    <w:rsid w:val="00E62C62"/>
    <w:rsid w:val="00E654C1"/>
    <w:rsid w:val="00E65AAE"/>
    <w:rsid w:val="00E65D97"/>
    <w:rsid w:val="00E71168"/>
    <w:rsid w:val="00E71784"/>
    <w:rsid w:val="00E72A5A"/>
    <w:rsid w:val="00E73188"/>
    <w:rsid w:val="00E73354"/>
    <w:rsid w:val="00E8274A"/>
    <w:rsid w:val="00E82B7F"/>
    <w:rsid w:val="00E85757"/>
    <w:rsid w:val="00E8598A"/>
    <w:rsid w:val="00E9143A"/>
    <w:rsid w:val="00E91B1B"/>
    <w:rsid w:val="00E92031"/>
    <w:rsid w:val="00E9242D"/>
    <w:rsid w:val="00E975FF"/>
    <w:rsid w:val="00EA1B61"/>
    <w:rsid w:val="00EB1AFB"/>
    <w:rsid w:val="00EB5255"/>
    <w:rsid w:val="00EB5C47"/>
    <w:rsid w:val="00EC5CE1"/>
    <w:rsid w:val="00ED0639"/>
    <w:rsid w:val="00ED2EB5"/>
    <w:rsid w:val="00ED637A"/>
    <w:rsid w:val="00ED7B3C"/>
    <w:rsid w:val="00EE0101"/>
    <w:rsid w:val="00EE2211"/>
    <w:rsid w:val="00EF4755"/>
    <w:rsid w:val="00EF577C"/>
    <w:rsid w:val="00EF5902"/>
    <w:rsid w:val="00EF7135"/>
    <w:rsid w:val="00F01D70"/>
    <w:rsid w:val="00F027DB"/>
    <w:rsid w:val="00F030E7"/>
    <w:rsid w:val="00F06B97"/>
    <w:rsid w:val="00F06F02"/>
    <w:rsid w:val="00F105C2"/>
    <w:rsid w:val="00F1191B"/>
    <w:rsid w:val="00F123F3"/>
    <w:rsid w:val="00F14A7A"/>
    <w:rsid w:val="00F16334"/>
    <w:rsid w:val="00F174C1"/>
    <w:rsid w:val="00F22985"/>
    <w:rsid w:val="00F33582"/>
    <w:rsid w:val="00F3383E"/>
    <w:rsid w:val="00F37150"/>
    <w:rsid w:val="00F41FFF"/>
    <w:rsid w:val="00F43358"/>
    <w:rsid w:val="00F465A7"/>
    <w:rsid w:val="00F467A5"/>
    <w:rsid w:val="00F50B7C"/>
    <w:rsid w:val="00F52E5F"/>
    <w:rsid w:val="00F532CD"/>
    <w:rsid w:val="00F550E6"/>
    <w:rsid w:val="00F61498"/>
    <w:rsid w:val="00F64587"/>
    <w:rsid w:val="00F71AE7"/>
    <w:rsid w:val="00F74345"/>
    <w:rsid w:val="00F74C44"/>
    <w:rsid w:val="00F80A0A"/>
    <w:rsid w:val="00F8205E"/>
    <w:rsid w:val="00F82B19"/>
    <w:rsid w:val="00F9212D"/>
    <w:rsid w:val="00F92F76"/>
    <w:rsid w:val="00F95639"/>
    <w:rsid w:val="00F965DA"/>
    <w:rsid w:val="00FA27FC"/>
    <w:rsid w:val="00FA406A"/>
    <w:rsid w:val="00FA5955"/>
    <w:rsid w:val="00FA6BDE"/>
    <w:rsid w:val="00FB124D"/>
    <w:rsid w:val="00FB4495"/>
    <w:rsid w:val="00FB503A"/>
    <w:rsid w:val="00FB516C"/>
    <w:rsid w:val="00FB6415"/>
    <w:rsid w:val="00FB7446"/>
    <w:rsid w:val="00FC3102"/>
    <w:rsid w:val="00FC3152"/>
    <w:rsid w:val="00FC572B"/>
    <w:rsid w:val="00FC6C47"/>
    <w:rsid w:val="00FC7B2B"/>
    <w:rsid w:val="00FD0167"/>
    <w:rsid w:val="00FD0236"/>
    <w:rsid w:val="00FD18F4"/>
    <w:rsid w:val="00FD1F4B"/>
    <w:rsid w:val="00FD4A4C"/>
    <w:rsid w:val="00FD54DB"/>
    <w:rsid w:val="00FD619F"/>
    <w:rsid w:val="00FD79ED"/>
    <w:rsid w:val="00FE0B58"/>
    <w:rsid w:val="00FE5379"/>
    <w:rsid w:val="00FF22FB"/>
    <w:rsid w:val="01043EBD"/>
    <w:rsid w:val="010A4945"/>
    <w:rsid w:val="011A619B"/>
    <w:rsid w:val="011B7E80"/>
    <w:rsid w:val="01225368"/>
    <w:rsid w:val="01260E98"/>
    <w:rsid w:val="01290F7E"/>
    <w:rsid w:val="012C00DD"/>
    <w:rsid w:val="01360A57"/>
    <w:rsid w:val="013A033D"/>
    <w:rsid w:val="013E6E1F"/>
    <w:rsid w:val="01403520"/>
    <w:rsid w:val="01411A9F"/>
    <w:rsid w:val="015D1E09"/>
    <w:rsid w:val="015E1A3B"/>
    <w:rsid w:val="015E6884"/>
    <w:rsid w:val="01640038"/>
    <w:rsid w:val="01655E65"/>
    <w:rsid w:val="0169185F"/>
    <w:rsid w:val="016C0FA1"/>
    <w:rsid w:val="017A4B32"/>
    <w:rsid w:val="01926A80"/>
    <w:rsid w:val="019D5E42"/>
    <w:rsid w:val="01A21D6C"/>
    <w:rsid w:val="01A404D2"/>
    <w:rsid w:val="01A71039"/>
    <w:rsid w:val="01AC4F14"/>
    <w:rsid w:val="01B15800"/>
    <w:rsid w:val="01B34785"/>
    <w:rsid w:val="01E55632"/>
    <w:rsid w:val="01E76285"/>
    <w:rsid w:val="01E7687A"/>
    <w:rsid w:val="01EB180C"/>
    <w:rsid w:val="01EC7221"/>
    <w:rsid w:val="01F13A5E"/>
    <w:rsid w:val="01FF1C38"/>
    <w:rsid w:val="020974AF"/>
    <w:rsid w:val="020F08D3"/>
    <w:rsid w:val="020F254F"/>
    <w:rsid w:val="021318C2"/>
    <w:rsid w:val="021358C1"/>
    <w:rsid w:val="021B6523"/>
    <w:rsid w:val="021F6013"/>
    <w:rsid w:val="02243160"/>
    <w:rsid w:val="0224362A"/>
    <w:rsid w:val="022E44A8"/>
    <w:rsid w:val="02337C4F"/>
    <w:rsid w:val="02385327"/>
    <w:rsid w:val="023D4302"/>
    <w:rsid w:val="02413D2E"/>
    <w:rsid w:val="0242314F"/>
    <w:rsid w:val="02427F54"/>
    <w:rsid w:val="024B6E08"/>
    <w:rsid w:val="02510E02"/>
    <w:rsid w:val="02532161"/>
    <w:rsid w:val="025D08EA"/>
    <w:rsid w:val="02663EAD"/>
    <w:rsid w:val="02697903"/>
    <w:rsid w:val="026C7F64"/>
    <w:rsid w:val="026D3223"/>
    <w:rsid w:val="027754FB"/>
    <w:rsid w:val="028642E4"/>
    <w:rsid w:val="02924A37"/>
    <w:rsid w:val="029459E8"/>
    <w:rsid w:val="0295277A"/>
    <w:rsid w:val="029635F9"/>
    <w:rsid w:val="029B032D"/>
    <w:rsid w:val="02A12ECC"/>
    <w:rsid w:val="02A5282B"/>
    <w:rsid w:val="02C1531D"/>
    <w:rsid w:val="02CF0917"/>
    <w:rsid w:val="02CF11DD"/>
    <w:rsid w:val="02D414C5"/>
    <w:rsid w:val="02D67E1C"/>
    <w:rsid w:val="02E62FD5"/>
    <w:rsid w:val="02F05C02"/>
    <w:rsid w:val="02F96569"/>
    <w:rsid w:val="02F97781"/>
    <w:rsid w:val="02FC55FF"/>
    <w:rsid w:val="0301742A"/>
    <w:rsid w:val="030B7E1D"/>
    <w:rsid w:val="03125B78"/>
    <w:rsid w:val="03173746"/>
    <w:rsid w:val="0318723B"/>
    <w:rsid w:val="031A07BC"/>
    <w:rsid w:val="032C4E8C"/>
    <w:rsid w:val="033E696D"/>
    <w:rsid w:val="034321D6"/>
    <w:rsid w:val="034D6BB0"/>
    <w:rsid w:val="034F2928"/>
    <w:rsid w:val="035E2049"/>
    <w:rsid w:val="037B54CB"/>
    <w:rsid w:val="0386734C"/>
    <w:rsid w:val="038D3451"/>
    <w:rsid w:val="038E49A0"/>
    <w:rsid w:val="0399352E"/>
    <w:rsid w:val="039A5A97"/>
    <w:rsid w:val="039B791C"/>
    <w:rsid w:val="03A21632"/>
    <w:rsid w:val="03A41EAD"/>
    <w:rsid w:val="03A4523E"/>
    <w:rsid w:val="03A6331A"/>
    <w:rsid w:val="03A762C0"/>
    <w:rsid w:val="03A94C99"/>
    <w:rsid w:val="03AC1B29"/>
    <w:rsid w:val="03B50F2A"/>
    <w:rsid w:val="03B9683F"/>
    <w:rsid w:val="03BA2ABC"/>
    <w:rsid w:val="03BA5976"/>
    <w:rsid w:val="03C03826"/>
    <w:rsid w:val="03C15189"/>
    <w:rsid w:val="03C442C2"/>
    <w:rsid w:val="03C875CB"/>
    <w:rsid w:val="03CD1A9F"/>
    <w:rsid w:val="03D41080"/>
    <w:rsid w:val="03D472D2"/>
    <w:rsid w:val="03E85489"/>
    <w:rsid w:val="03EA7B21"/>
    <w:rsid w:val="03EC0177"/>
    <w:rsid w:val="03EE5FE0"/>
    <w:rsid w:val="03F45C54"/>
    <w:rsid w:val="03F86B1C"/>
    <w:rsid w:val="040338E8"/>
    <w:rsid w:val="04034CBD"/>
    <w:rsid w:val="04096F7B"/>
    <w:rsid w:val="040D00EE"/>
    <w:rsid w:val="04106806"/>
    <w:rsid w:val="041C14B2"/>
    <w:rsid w:val="041D6583"/>
    <w:rsid w:val="041D7E34"/>
    <w:rsid w:val="04275680"/>
    <w:rsid w:val="042A4E05"/>
    <w:rsid w:val="042D106A"/>
    <w:rsid w:val="042E567E"/>
    <w:rsid w:val="04333FF8"/>
    <w:rsid w:val="04432761"/>
    <w:rsid w:val="044C7652"/>
    <w:rsid w:val="04575F38"/>
    <w:rsid w:val="045766FA"/>
    <w:rsid w:val="0461425C"/>
    <w:rsid w:val="04626927"/>
    <w:rsid w:val="04686F9C"/>
    <w:rsid w:val="046F143E"/>
    <w:rsid w:val="047D563F"/>
    <w:rsid w:val="04826D2E"/>
    <w:rsid w:val="048528D6"/>
    <w:rsid w:val="048900BC"/>
    <w:rsid w:val="048A1EDB"/>
    <w:rsid w:val="04934A97"/>
    <w:rsid w:val="04A23355"/>
    <w:rsid w:val="04A44EF6"/>
    <w:rsid w:val="04A71D89"/>
    <w:rsid w:val="04B13EEB"/>
    <w:rsid w:val="04B62533"/>
    <w:rsid w:val="04B92742"/>
    <w:rsid w:val="04BE2AF8"/>
    <w:rsid w:val="04C333F6"/>
    <w:rsid w:val="04C42EA2"/>
    <w:rsid w:val="04CD61FB"/>
    <w:rsid w:val="04D13668"/>
    <w:rsid w:val="04D74983"/>
    <w:rsid w:val="04D93496"/>
    <w:rsid w:val="04DE3877"/>
    <w:rsid w:val="04E32BDF"/>
    <w:rsid w:val="04F23704"/>
    <w:rsid w:val="04F24866"/>
    <w:rsid w:val="04F700D2"/>
    <w:rsid w:val="04FB015C"/>
    <w:rsid w:val="050F6A1B"/>
    <w:rsid w:val="05103585"/>
    <w:rsid w:val="05115069"/>
    <w:rsid w:val="051A6F66"/>
    <w:rsid w:val="051F5316"/>
    <w:rsid w:val="052971A9"/>
    <w:rsid w:val="05321478"/>
    <w:rsid w:val="05353DA0"/>
    <w:rsid w:val="0539563E"/>
    <w:rsid w:val="053C512E"/>
    <w:rsid w:val="053F1535"/>
    <w:rsid w:val="05412745"/>
    <w:rsid w:val="05416FBA"/>
    <w:rsid w:val="05451EE9"/>
    <w:rsid w:val="05452235"/>
    <w:rsid w:val="05477318"/>
    <w:rsid w:val="05526700"/>
    <w:rsid w:val="055C638B"/>
    <w:rsid w:val="055F69F5"/>
    <w:rsid w:val="05643B27"/>
    <w:rsid w:val="057C20BE"/>
    <w:rsid w:val="05955D99"/>
    <w:rsid w:val="059E36F3"/>
    <w:rsid w:val="05A8794D"/>
    <w:rsid w:val="05B413AA"/>
    <w:rsid w:val="05B64BFC"/>
    <w:rsid w:val="05C350ED"/>
    <w:rsid w:val="05DA3601"/>
    <w:rsid w:val="05E27A84"/>
    <w:rsid w:val="05ED406E"/>
    <w:rsid w:val="05EF1BAE"/>
    <w:rsid w:val="05F83EAE"/>
    <w:rsid w:val="060B1124"/>
    <w:rsid w:val="060C0620"/>
    <w:rsid w:val="061271AD"/>
    <w:rsid w:val="061348EF"/>
    <w:rsid w:val="061F2A86"/>
    <w:rsid w:val="0622270A"/>
    <w:rsid w:val="06255BC2"/>
    <w:rsid w:val="063E0A32"/>
    <w:rsid w:val="063E7D85"/>
    <w:rsid w:val="065874B6"/>
    <w:rsid w:val="065F344B"/>
    <w:rsid w:val="06640499"/>
    <w:rsid w:val="066A5D5E"/>
    <w:rsid w:val="06726E79"/>
    <w:rsid w:val="06732DD2"/>
    <w:rsid w:val="06747D87"/>
    <w:rsid w:val="06777EFD"/>
    <w:rsid w:val="0680104B"/>
    <w:rsid w:val="068333EA"/>
    <w:rsid w:val="06836E0E"/>
    <w:rsid w:val="06897EFF"/>
    <w:rsid w:val="06905732"/>
    <w:rsid w:val="06927CF0"/>
    <w:rsid w:val="06A67EFC"/>
    <w:rsid w:val="06B036DE"/>
    <w:rsid w:val="06B55764"/>
    <w:rsid w:val="06B56F46"/>
    <w:rsid w:val="06B807E5"/>
    <w:rsid w:val="06B85AB2"/>
    <w:rsid w:val="06B93670"/>
    <w:rsid w:val="06B963F7"/>
    <w:rsid w:val="06BD2BEF"/>
    <w:rsid w:val="06C46926"/>
    <w:rsid w:val="06D373CC"/>
    <w:rsid w:val="06D45B01"/>
    <w:rsid w:val="06D6564A"/>
    <w:rsid w:val="06DF2215"/>
    <w:rsid w:val="06E25862"/>
    <w:rsid w:val="06E33230"/>
    <w:rsid w:val="06EA4932"/>
    <w:rsid w:val="07041FCA"/>
    <w:rsid w:val="070954E4"/>
    <w:rsid w:val="070E664D"/>
    <w:rsid w:val="07153D14"/>
    <w:rsid w:val="07293586"/>
    <w:rsid w:val="07295285"/>
    <w:rsid w:val="072956AE"/>
    <w:rsid w:val="072B1C32"/>
    <w:rsid w:val="073F7B6E"/>
    <w:rsid w:val="07434552"/>
    <w:rsid w:val="07510C8F"/>
    <w:rsid w:val="07636392"/>
    <w:rsid w:val="07677766"/>
    <w:rsid w:val="076F17EB"/>
    <w:rsid w:val="07770C56"/>
    <w:rsid w:val="078270CA"/>
    <w:rsid w:val="07856705"/>
    <w:rsid w:val="07870555"/>
    <w:rsid w:val="07870641"/>
    <w:rsid w:val="078F7797"/>
    <w:rsid w:val="0792353D"/>
    <w:rsid w:val="07937C68"/>
    <w:rsid w:val="07986F42"/>
    <w:rsid w:val="07AB4432"/>
    <w:rsid w:val="07B216D8"/>
    <w:rsid w:val="07C440E8"/>
    <w:rsid w:val="07D23B28"/>
    <w:rsid w:val="07D653C6"/>
    <w:rsid w:val="07E203FC"/>
    <w:rsid w:val="07E51B9A"/>
    <w:rsid w:val="08033CE1"/>
    <w:rsid w:val="08114650"/>
    <w:rsid w:val="081A500E"/>
    <w:rsid w:val="08200168"/>
    <w:rsid w:val="08236132"/>
    <w:rsid w:val="08244FB6"/>
    <w:rsid w:val="082B32A2"/>
    <w:rsid w:val="083808BE"/>
    <w:rsid w:val="08387E2F"/>
    <w:rsid w:val="086230FE"/>
    <w:rsid w:val="08634780"/>
    <w:rsid w:val="08662B49"/>
    <w:rsid w:val="08694068"/>
    <w:rsid w:val="086A5ABE"/>
    <w:rsid w:val="087A4032"/>
    <w:rsid w:val="087B43C8"/>
    <w:rsid w:val="088213F2"/>
    <w:rsid w:val="08854027"/>
    <w:rsid w:val="08870786"/>
    <w:rsid w:val="088E7A4F"/>
    <w:rsid w:val="08901A19"/>
    <w:rsid w:val="089552EA"/>
    <w:rsid w:val="08A94AB2"/>
    <w:rsid w:val="08AA1280"/>
    <w:rsid w:val="08C07787"/>
    <w:rsid w:val="08C6775B"/>
    <w:rsid w:val="08C82819"/>
    <w:rsid w:val="08DC3284"/>
    <w:rsid w:val="08E052CD"/>
    <w:rsid w:val="08E41D65"/>
    <w:rsid w:val="08FE6F9D"/>
    <w:rsid w:val="091342E6"/>
    <w:rsid w:val="092108C3"/>
    <w:rsid w:val="092217DD"/>
    <w:rsid w:val="09223E4F"/>
    <w:rsid w:val="09297778"/>
    <w:rsid w:val="092B1742"/>
    <w:rsid w:val="093A7294"/>
    <w:rsid w:val="093C050D"/>
    <w:rsid w:val="0941166F"/>
    <w:rsid w:val="09450C91"/>
    <w:rsid w:val="09461564"/>
    <w:rsid w:val="094E7C8D"/>
    <w:rsid w:val="09541E05"/>
    <w:rsid w:val="095D47DC"/>
    <w:rsid w:val="096802A0"/>
    <w:rsid w:val="097338C4"/>
    <w:rsid w:val="097D0913"/>
    <w:rsid w:val="098872CA"/>
    <w:rsid w:val="09894ADF"/>
    <w:rsid w:val="09896468"/>
    <w:rsid w:val="099A58D2"/>
    <w:rsid w:val="099E668A"/>
    <w:rsid w:val="099E6E29"/>
    <w:rsid w:val="09A514F4"/>
    <w:rsid w:val="09A7390D"/>
    <w:rsid w:val="09AC2C7C"/>
    <w:rsid w:val="09B40AB1"/>
    <w:rsid w:val="09B72C33"/>
    <w:rsid w:val="09C12801"/>
    <w:rsid w:val="09C33769"/>
    <w:rsid w:val="09C735AB"/>
    <w:rsid w:val="09CE5B15"/>
    <w:rsid w:val="09CF6571"/>
    <w:rsid w:val="09D21BBD"/>
    <w:rsid w:val="09DB1E33"/>
    <w:rsid w:val="09E3396F"/>
    <w:rsid w:val="09E75CD3"/>
    <w:rsid w:val="09E80142"/>
    <w:rsid w:val="09E84270"/>
    <w:rsid w:val="09F14039"/>
    <w:rsid w:val="09FD66D9"/>
    <w:rsid w:val="0A032908"/>
    <w:rsid w:val="0A065192"/>
    <w:rsid w:val="0A07677D"/>
    <w:rsid w:val="0A0A57FB"/>
    <w:rsid w:val="0A200B7B"/>
    <w:rsid w:val="0A263993"/>
    <w:rsid w:val="0A275D6D"/>
    <w:rsid w:val="0A2C5771"/>
    <w:rsid w:val="0A2C6B41"/>
    <w:rsid w:val="0A2D3AC2"/>
    <w:rsid w:val="0A2E1903"/>
    <w:rsid w:val="0A3302DA"/>
    <w:rsid w:val="0A350FF9"/>
    <w:rsid w:val="0A3665F0"/>
    <w:rsid w:val="0A466107"/>
    <w:rsid w:val="0A481E7F"/>
    <w:rsid w:val="0A4A4F76"/>
    <w:rsid w:val="0A4E681C"/>
    <w:rsid w:val="0A595E3B"/>
    <w:rsid w:val="0A5E78F5"/>
    <w:rsid w:val="0A607626"/>
    <w:rsid w:val="0A6476EE"/>
    <w:rsid w:val="0A71571C"/>
    <w:rsid w:val="0A862FA3"/>
    <w:rsid w:val="0A867BEA"/>
    <w:rsid w:val="0AA117FC"/>
    <w:rsid w:val="0AA7304A"/>
    <w:rsid w:val="0AA755DF"/>
    <w:rsid w:val="0AB940B9"/>
    <w:rsid w:val="0ABC4801"/>
    <w:rsid w:val="0ABF6031"/>
    <w:rsid w:val="0AC11CDD"/>
    <w:rsid w:val="0ADC3A6D"/>
    <w:rsid w:val="0AE04A46"/>
    <w:rsid w:val="0AE147AE"/>
    <w:rsid w:val="0AEB3626"/>
    <w:rsid w:val="0AF51E46"/>
    <w:rsid w:val="0AFC46D0"/>
    <w:rsid w:val="0B003FCC"/>
    <w:rsid w:val="0B0271DA"/>
    <w:rsid w:val="0B037215"/>
    <w:rsid w:val="0B114967"/>
    <w:rsid w:val="0B120D44"/>
    <w:rsid w:val="0B185619"/>
    <w:rsid w:val="0B1F7084"/>
    <w:rsid w:val="0B21614E"/>
    <w:rsid w:val="0B234909"/>
    <w:rsid w:val="0B250F4F"/>
    <w:rsid w:val="0B2B5A29"/>
    <w:rsid w:val="0B30321F"/>
    <w:rsid w:val="0B3976BD"/>
    <w:rsid w:val="0B413D1E"/>
    <w:rsid w:val="0B54561A"/>
    <w:rsid w:val="0B584344"/>
    <w:rsid w:val="0B584E2F"/>
    <w:rsid w:val="0B5A4560"/>
    <w:rsid w:val="0B702548"/>
    <w:rsid w:val="0B776EC0"/>
    <w:rsid w:val="0B7D673C"/>
    <w:rsid w:val="0B891B67"/>
    <w:rsid w:val="0B910AE6"/>
    <w:rsid w:val="0B940E9E"/>
    <w:rsid w:val="0B980BE5"/>
    <w:rsid w:val="0B9C7B56"/>
    <w:rsid w:val="0B9D61FB"/>
    <w:rsid w:val="0BA24760"/>
    <w:rsid w:val="0BA6652C"/>
    <w:rsid w:val="0BAA137C"/>
    <w:rsid w:val="0BAE0915"/>
    <w:rsid w:val="0BB556E5"/>
    <w:rsid w:val="0BBF6493"/>
    <w:rsid w:val="0BC53C6A"/>
    <w:rsid w:val="0BCE4606"/>
    <w:rsid w:val="0BD065D0"/>
    <w:rsid w:val="0BD27BF6"/>
    <w:rsid w:val="0BD54104"/>
    <w:rsid w:val="0BE206E2"/>
    <w:rsid w:val="0BF42BC2"/>
    <w:rsid w:val="0BF77060"/>
    <w:rsid w:val="0C062086"/>
    <w:rsid w:val="0C157DAF"/>
    <w:rsid w:val="0C187AD2"/>
    <w:rsid w:val="0C197F77"/>
    <w:rsid w:val="0C1C35C4"/>
    <w:rsid w:val="0C1F0548"/>
    <w:rsid w:val="0C2D05F5"/>
    <w:rsid w:val="0C3B3C7D"/>
    <w:rsid w:val="0C41417F"/>
    <w:rsid w:val="0C480A6F"/>
    <w:rsid w:val="0C4A1D74"/>
    <w:rsid w:val="0C4B6E24"/>
    <w:rsid w:val="0C4D19CF"/>
    <w:rsid w:val="0C504ED0"/>
    <w:rsid w:val="0C525237"/>
    <w:rsid w:val="0C57284E"/>
    <w:rsid w:val="0C656BFB"/>
    <w:rsid w:val="0C676F35"/>
    <w:rsid w:val="0C6775DB"/>
    <w:rsid w:val="0C7043B9"/>
    <w:rsid w:val="0C790348"/>
    <w:rsid w:val="0C817D87"/>
    <w:rsid w:val="0C826545"/>
    <w:rsid w:val="0C840F3B"/>
    <w:rsid w:val="0CAB2EAE"/>
    <w:rsid w:val="0CB01312"/>
    <w:rsid w:val="0CB6315B"/>
    <w:rsid w:val="0CC7791B"/>
    <w:rsid w:val="0CC95B88"/>
    <w:rsid w:val="0CD260D3"/>
    <w:rsid w:val="0CDC7CF3"/>
    <w:rsid w:val="0CDF5BF7"/>
    <w:rsid w:val="0CE2480D"/>
    <w:rsid w:val="0CE51DD1"/>
    <w:rsid w:val="0CF12B59"/>
    <w:rsid w:val="0CF84031"/>
    <w:rsid w:val="0CF92A3E"/>
    <w:rsid w:val="0CFE2CC9"/>
    <w:rsid w:val="0D181903"/>
    <w:rsid w:val="0D183D8B"/>
    <w:rsid w:val="0D1A5EA5"/>
    <w:rsid w:val="0D1C6BE7"/>
    <w:rsid w:val="0D1D01C8"/>
    <w:rsid w:val="0D330BC5"/>
    <w:rsid w:val="0D41049F"/>
    <w:rsid w:val="0D454257"/>
    <w:rsid w:val="0D476CCB"/>
    <w:rsid w:val="0D4C1C87"/>
    <w:rsid w:val="0D4D670B"/>
    <w:rsid w:val="0D5A59E1"/>
    <w:rsid w:val="0D5D20E6"/>
    <w:rsid w:val="0D621C7D"/>
    <w:rsid w:val="0D6635DC"/>
    <w:rsid w:val="0D6E066F"/>
    <w:rsid w:val="0D70298D"/>
    <w:rsid w:val="0D895BF5"/>
    <w:rsid w:val="0D8F6C48"/>
    <w:rsid w:val="0D904269"/>
    <w:rsid w:val="0D906017"/>
    <w:rsid w:val="0D9A05F6"/>
    <w:rsid w:val="0D9C2488"/>
    <w:rsid w:val="0D9C2C0E"/>
    <w:rsid w:val="0D9C49BC"/>
    <w:rsid w:val="0D9F26FE"/>
    <w:rsid w:val="0DB26618"/>
    <w:rsid w:val="0DB41372"/>
    <w:rsid w:val="0DD467D3"/>
    <w:rsid w:val="0DD71E98"/>
    <w:rsid w:val="0DD83293"/>
    <w:rsid w:val="0DD95C10"/>
    <w:rsid w:val="0DEE0493"/>
    <w:rsid w:val="0DF9018B"/>
    <w:rsid w:val="0DFB54DC"/>
    <w:rsid w:val="0E206320"/>
    <w:rsid w:val="0E214D05"/>
    <w:rsid w:val="0E270CC8"/>
    <w:rsid w:val="0E340B77"/>
    <w:rsid w:val="0E345BC0"/>
    <w:rsid w:val="0E3E5A73"/>
    <w:rsid w:val="0E4447F7"/>
    <w:rsid w:val="0E480FA0"/>
    <w:rsid w:val="0E537B7D"/>
    <w:rsid w:val="0E6179B4"/>
    <w:rsid w:val="0E6378FF"/>
    <w:rsid w:val="0E687F69"/>
    <w:rsid w:val="0E6A37C0"/>
    <w:rsid w:val="0E6B310C"/>
    <w:rsid w:val="0E6D26E7"/>
    <w:rsid w:val="0E710CDF"/>
    <w:rsid w:val="0E72571D"/>
    <w:rsid w:val="0E73034D"/>
    <w:rsid w:val="0E840403"/>
    <w:rsid w:val="0E8E5325"/>
    <w:rsid w:val="0E8F2773"/>
    <w:rsid w:val="0E924011"/>
    <w:rsid w:val="0E9C4E0F"/>
    <w:rsid w:val="0EA0672E"/>
    <w:rsid w:val="0EA33B28"/>
    <w:rsid w:val="0EBA5CD6"/>
    <w:rsid w:val="0EBE6BB4"/>
    <w:rsid w:val="0EC93452"/>
    <w:rsid w:val="0ECE329B"/>
    <w:rsid w:val="0ED55194"/>
    <w:rsid w:val="0EEF001A"/>
    <w:rsid w:val="0EF80B5D"/>
    <w:rsid w:val="0EFE1553"/>
    <w:rsid w:val="0F003DFA"/>
    <w:rsid w:val="0F035700"/>
    <w:rsid w:val="0F0A0446"/>
    <w:rsid w:val="0F0A1F87"/>
    <w:rsid w:val="0F0B126A"/>
    <w:rsid w:val="0F0F5662"/>
    <w:rsid w:val="0F13775A"/>
    <w:rsid w:val="0F1B575C"/>
    <w:rsid w:val="0F1C73A1"/>
    <w:rsid w:val="0F1F4D44"/>
    <w:rsid w:val="0F3240C0"/>
    <w:rsid w:val="0F334EAC"/>
    <w:rsid w:val="0F3D78E0"/>
    <w:rsid w:val="0F3F5F47"/>
    <w:rsid w:val="0F470958"/>
    <w:rsid w:val="0F4832DB"/>
    <w:rsid w:val="0F490292"/>
    <w:rsid w:val="0F4C5F6E"/>
    <w:rsid w:val="0F4E0642"/>
    <w:rsid w:val="0F4F5A5E"/>
    <w:rsid w:val="0F522D1B"/>
    <w:rsid w:val="0F5A1DBA"/>
    <w:rsid w:val="0F5F45FE"/>
    <w:rsid w:val="0F655282"/>
    <w:rsid w:val="0F683D30"/>
    <w:rsid w:val="0F6F597B"/>
    <w:rsid w:val="0F76123D"/>
    <w:rsid w:val="0F7C52D0"/>
    <w:rsid w:val="0F7F07E5"/>
    <w:rsid w:val="0F8120BC"/>
    <w:rsid w:val="0F8B4CE8"/>
    <w:rsid w:val="0F9067A2"/>
    <w:rsid w:val="0F933B9D"/>
    <w:rsid w:val="0F985657"/>
    <w:rsid w:val="0F9A112B"/>
    <w:rsid w:val="0FAF6255"/>
    <w:rsid w:val="0FB029A1"/>
    <w:rsid w:val="0FB73A1F"/>
    <w:rsid w:val="0FB86A08"/>
    <w:rsid w:val="0FC643C3"/>
    <w:rsid w:val="0FC95251"/>
    <w:rsid w:val="0FD03C88"/>
    <w:rsid w:val="0FD146C5"/>
    <w:rsid w:val="0FE60171"/>
    <w:rsid w:val="0FE60900"/>
    <w:rsid w:val="0FFC564D"/>
    <w:rsid w:val="1003503E"/>
    <w:rsid w:val="100401B7"/>
    <w:rsid w:val="10087661"/>
    <w:rsid w:val="102221CD"/>
    <w:rsid w:val="1029757A"/>
    <w:rsid w:val="104650B3"/>
    <w:rsid w:val="104948C1"/>
    <w:rsid w:val="105570A4"/>
    <w:rsid w:val="10564B17"/>
    <w:rsid w:val="105A290D"/>
    <w:rsid w:val="10616E5C"/>
    <w:rsid w:val="10634500"/>
    <w:rsid w:val="10643740"/>
    <w:rsid w:val="106D2F64"/>
    <w:rsid w:val="106F460A"/>
    <w:rsid w:val="107064BA"/>
    <w:rsid w:val="107517B6"/>
    <w:rsid w:val="107B1FAA"/>
    <w:rsid w:val="107D6793"/>
    <w:rsid w:val="107E4744"/>
    <w:rsid w:val="10985C3E"/>
    <w:rsid w:val="10A222AB"/>
    <w:rsid w:val="10AA6259"/>
    <w:rsid w:val="10AC760C"/>
    <w:rsid w:val="10AE05FC"/>
    <w:rsid w:val="10B14C22"/>
    <w:rsid w:val="10B63710"/>
    <w:rsid w:val="10B77D5F"/>
    <w:rsid w:val="10B95685"/>
    <w:rsid w:val="10C07CFA"/>
    <w:rsid w:val="10D23B2C"/>
    <w:rsid w:val="10D9550F"/>
    <w:rsid w:val="10DF2529"/>
    <w:rsid w:val="10E17CCC"/>
    <w:rsid w:val="10E21197"/>
    <w:rsid w:val="10E84D58"/>
    <w:rsid w:val="10EF3511"/>
    <w:rsid w:val="10F07E52"/>
    <w:rsid w:val="10F10820"/>
    <w:rsid w:val="10F13271"/>
    <w:rsid w:val="10F26842"/>
    <w:rsid w:val="10F42BF2"/>
    <w:rsid w:val="10F814CC"/>
    <w:rsid w:val="10F92125"/>
    <w:rsid w:val="1105116F"/>
    <w:rsid w:val="11112043"/>
    <w:rsid w:val="11166A6E"/>
    <w:rsid w:val="11192C9B"/>
    <w:rsid w:val="111C2F7A"/>
    <w:rsid w:val="111E3700"/>
    <w:rsid w:val="112135B7"/>
    <w:rsid w:val="112B680D"/>
    <w:rsid w:val="11423ACC"/>
    <w:rsid w:val="11475AC9"/>
    <w:rsid w:val="114809B7"/>
    <w:rsid w:val="114A2981"/>
    <w:rsid w:val="114B71EF"/>
    <w:rsid w:val="114E2471"/>
    <w:rsid w:val="114E722B"/>
    <w:rsid w:val="115455AE"/>
    <w:rsid w:val="115D2585"/>
    <w:rsid w:val="11603F53"/>
    <w:rsid w:val="11661B18"/>
    <w:rsid w:val="11664C18"/>
    <w:rsid w:val="11665CA1"/>
    <w:rsid w:val="1170039D"/>
    <w:rsid w:val="11727962"/>
    <w:rsid w:val="11740DF6"/>
    <w:rsid w:val="117874EE"/>
    <w:rsid w:val="11826AA4"/>
    <w:rsid w:val="11830360"/>
    <w:rsid w:val="1193257A"/>
    <w:rsid w:val="119A73D4"/>
    <w:rsid w:val="119E4FCC"/>
    <w:rsid w:val="11A028C6"/>
    <w:rsid w:val="11A37BF8"/>
    <w:rsid w:val="11A55ACB"/>
    <w:rsid w:val="11A7392F"/>
    <w:rsid w:val="11AF0EA8"/>
    <w:rsid w:val="11B06C88"/>
    <w:rsid w:val="11B37505"/>
    <w:rsid w:val="11B61DC5"/>
    <w:rsid w:val="11C864D4"/>
    <w:rsid w:val="11C97DBF"/>
    <w:rsid w:val="11CA2C37"/>
    <w:rsid w:val="11DE5930"/>
    <w:rsid w:val="11F51430"/>
    <w:rsid w:val="11F5352C"/>
    <w:rsid w:val="11F96166"/>
    <w:rsid w:val="120B60B9"/>
    <w:rsid w:val="120C5A09"/>
    <w:rsid w:val="120D5E88"/>
    <w:rsid w:val="121052DB"/>
    <w:rsid w:val="1212349F"/>
    <w:rsid w:val="122A359E"/>
    <w:rsid w:val="123A29F6"/>
    <w:rsid w:val="1246139A"/>
    <w:rsid w:val="125876D2"/>
    <w:rsid w:val="12620F04"/>
    <w:rsid w:val="1264592D"/>
    <w:rsid w:val="126B26FB"/>
    <w:rsid w:val="126D5291"/>
    <w:rsid w:val="127263D5"/>
    <w:rsid w:val="127F665A"/>
    <w:rsid w:val="12813435"/>
    <w:rsid w:val="1282733D"/>
    <w:rsid w:val="128344D4"/>
    <w:rsid w:val="12911790"/>
    <w:rsid w:val="129343D9"/>
    <w:rsid w:val="12A0435E"/>
    <w:rsid w:val="12A83E03"/>
    <w:rsid w:val="12A92969"/>
    <w:rsid w:val="12B37438"/>
    <w:rsid w:val="12BB5DB5"/>
    <w:rsid w:val="12BC2200"/>
    <w:rsid w:val="12BC4C96"/>
    <w:rsid w:val="12BF5F34"/>
    <w:rsid w:val="12C65CC2"/>
    <w:rsid w:val="12D66283"/>
    <w:rsid w:val="12DE03CA"/>
    <w:rsid w:val="12FA4A5D"/>
    <w:rsid w:val="130334FD"/>
    <w:rsid w:val="13063BE6"/>
    <w:rsid w:val="130A5483"/>
    <w:rsid w:val="13143247"/>
    <w:rsid w:val="131467A1"/>
    <w:rsid w:val="131A4BEF"/>
    <w:rsid w:val="131C1683"/>
    <w:rsid w:val="131D034D"/>
    <w:rsid w:val="132322E2"/>
    <w:rsid w:val="13290CC0"/>
    <w:rsid w:val="132B6CC1"/>
    <w:rsid w:val="132D3A2C"/>
    <w:rsid w:val="132E1112"/>
    <w:rsid w:val="13345697"/>
    <w:rsid w:val="13347445"/>
    <w:rsid w:val="1337574E"/>
    <w:rsid w:val="133C107C"/>
    <w:rsid w:val="133D454B"/>
    <w:rsid w:val="134D0507"/>
    <w:rsid w:val="136159CA"/>
    <w:rsid w:val="13693592"/>
    <w:rsid w:val="137127FF"/>
    <w:rsid w:val="13713E78"/>
    <w:rsid w:val="137912FC"/>
    <w:rsid w:val="137D0DEC"/>
    <w:rsid w:val="137F0813"/>
    <w:rsid w:val="13877EBC"/>
    <w:rsid w:val="13951726"/>
    <w:rsid w:val="139B1B3C"/>
    <w:rsid w:val="13A05022"/>
    <w:rsid w:val="13A66595"/>
    <w:rsid w:val="13CD4596"/>
    <w:rsid w:val="13D027B8"/>
    <w:rsid w:val="13D11138"/>
    <w:rsid w:val="13D3012E"/>
    <w:rsid w:val="13F13588"/>
    <w:rsid w:val="13FC5047"/>
    <w:rsid w:val="14051E19"/>
    <w:rsid w:val="14081A40"/>
    <w:rsid w:val="14290CD3"/>
    <w:rsid w:val="14357A61"/>
    <w:rsid w:val="1437543F"/>
    <w:rsid w:val="143907BC"/>
    <w:rsid w:val="14396509"/>
    <w:rsid w:val="14420698"/>
    <w:rsid w:val="14504752"/>
    <w:rsid w:val="14522278"/>
    <w:rsid w:val="145F1212"/>
    <w:rsid w:val="1469677B"/>
    <w:rsid w:val="146B4E80"/>
    <w:rsid w:val="146D4080"/>
    <w:rsid w:val="14761B3D"/>
    <w:rsid w:val="14792154"/>
    <w:rsid w:val="147C43AF"/>
    <w:rsid w:val="148024FD"/>
    <w:rsid w:val="148A130B"/>
    <w:rsid w:val="14B17934"/>
    <w:rsid w:val="14B940A6"/>
    <w:rsid w:val="14BB6147"/>
    <w:rsid w:val="14C17451"/>
    <w:rsid w:val="14C671BF"/>
    <w:rsid w:val="14CC6F5F"/>
    <w:rsid w:val="14CE4E65"/>
    <w:rsid w:val="14DC0731"/>
    <w:rsid w:val="14DD2C3C"/>
    <w:rsid w:val="14E6637B"/>
    <w:rsid w:val="14EA24B1"/>
    <w:rsid w:val="14F43330"/>
    <w:rsid w:val="14F6001F"/>
    <w:rsid w:val="14FA16B7"/>
    <w:rsid w:val="14FA4979"/>
    <w:rsid w:val="15176FF3"/>
    <w:rsid w:val="151C2CF4"/>
    <w:rsid w:val="15257731"/>
    <w:rsid w:val="152754B3"/>
    <w:rsid w:val="152D18F8"/>
    <w:rsid w:val="1536598F"/>
    <w:rsid w:val="154A2F50"/>
    <w:rsid w:val="154C2369"/>
    <w:rsid w:val="15511DB3"/>
    <w:rsid w:val="15563FB6"/>
    <w:rsid w:val="156B5EFA"/>
    <w:rsid w:val="15700939"/>
    <w:rsid w:val="15763D45"/>
    <w:rsid w:val="157F2CC8"/>
    <w:rsid w:val="15991506"/>
    <w:rsid w:val="159C090A"/>
    <w:rsid w:val="15A274F3"/>
    <w:rsid w:val="15A861C9"/>
    <w:rsid w:val="15AA4E4F"/>
    <w:rsid w:val="15BE1213"/>
    <w:rsid w:val="15C73BEF"/>
    <w:rsid w:val="15CB28D0"/>
    <w:rsid w:val="15D867AD"/>
    <w:rsid w:val="15E10FC5"/>
    <w:rsid w:val="15E17AE6"/>
    <w:rsid w:val="15E46F00"/>
    <w:rsid w:val="15EF6F17"/>
    <w:rsid w:val="15F1366A"/>
    <w:rsid w:val="15F943A0"/>
    <w:rsid w:val="16087E1D"/>
    <w:rsid w:val="160E21CF"/>
    <w:rsid w:val="16117F11"/>
    <w:rsid w:val="161D2412"/>
    <w:rsid w:val="162639BD"/>
    <w:rsid w:val="162C0E00"/>
    <w:rsid w:val="162D4D4B"/>
    <w:rsid w:val="163559AE"/>
    <w:rsid w:val="16410377"/>
    <w:rsid w:val="164473BA"/>
    <w:rsid w:val="1648023C"/>
    <w:rsid w:val="16581C59"/>
    <w:rsid w:val="16592D81"/>
    <w:rsid w:val="165B3F85"/>
    <w:rsid w:val="165F4770"/>
    <w:rsid w:val="166D339A"/>
    <w:rsid w:val="1677475B"/>
    <w:rsid w:val="168012F5"/>
    <w:rsid w:val="16804A0E"/>
    <w:rsid w:val="16810BF3"/>
    <w:rsid w:val="16824B5F"/>
    <w:rsid w:val="169045D8"/>
    <w:rsid w:val="1692185F"/>
    <w:rsid w:val="16922E00"/>
    <w:rsid w:val="169251A7"/>
    <w:rsid w:val="1694694C"/>
    <w:rsid w:val="169557F3"/>
    <w:rsid w:val="169B5F83"/>
    <w:rsid w:val="169E0CBC"/>
    <w:rsid w:val="16AB5C70"/>
    <w:rsid w:val="16B66726"/>
    <w:rsid w:val="16C21F84"/>
    <w:rsid w:val="16C431DD"/>
    <w:rsid w:val="16C63D5C"/>
    <w:rsid w:val="16CB6312"/>
    <w:rsid w:val="16E6314C"/>
    <w:rsid w:val="16F07D1E"/>
    <w:rsid w:val="17011F4B"/>
    <w:rsid w:val="17104917"/>
    <w:rsid w:val="17132BF5"/>
    <w:rsid w:val="171B1048"/>
    <w:rsid w:val="171C091C"/>
    <w:rsid w:val="171E3C04"/>
    <w:rsid w:val="171F4D6E"/>
    <w:rsid w:val="172F50BC"/>
    <w:rsid w:val="172F6D3D"/>
    <w:rsid w:val="173056E5"/>
    <w:rsid w:val="173834E0"/>
    <w:rsid w:val="17394BEA"/>
    <w:rsid w:val="173C709E"/>
    <w:rsid w:val="17515952"/>
    <w:rsid w:val="17571954"/>
    <w:rsid w:val="17575DF8"/>
    <w:rsid w:val="17625420"/>
    <w:rsid w:val="17625DE8"/>
    <w:rsid w:val="1763479D"/>
    <w:rsid w:val="176D317B"/>
    <w:rsid w:val="17701D14"/>
    <w:rsid w:val="17735226"/>
    <w:rsid w:val="17891715"/>
    <w:rsid w:val="178E7A6B"/>
    <w:rsid w:val="17AE47F2"/>
    <w:rsid w:val="17AE7DA8"/>
    <w:rsid w:val="17B1375A"/>
    <w:rsid w:val="17BD5C5B"/>
    <w:rsid w:val="17C24832"/>
    <w:rsid w:val="17CB16E8"/>
    <w:rsid w:val="17CD1C16"/>
    <w:rsid w:val="17D777D6"/>
    <w:rsid w:val="17D90F65"/>
    <w:rsid w:val="17D9455F"/>
    <w:rsid w:val="17D95339"/>
    <w:rsid w:val="17EB1484"/>
    <w:rsid w:val="17F212A1"/>
    <w:rsid w:val="17FD24FB"/>
    <w:rsid w:val="17FF3474"/>
    <w:rsid w:val="180C273E"/>
    <w:rsid w:val="181B0D39"/>
    <w:rsid w:val="18253800"/>
    <w:rsid w:val="18277E53"/>
    <w:rsid w:val="183229BD"/>
    <w:rsid w:val="18457377"/>
    <w:rsid w:val="18504824"/>
    <w:rsid w:val="185649B3"/>
    <w:rsid w:val="18566322"/>
    <w:rsid w:val="18583B29"/>
    <w:rsid w:val="18611350"/>
    <w:rsid w:val="186603C9"/>
    <w:rsid w:val="186D219A"/>
    <w:rsid w:val="187903B3"/>
    <w:rsid w:val="18922110"/>
    <w:rsid w:val="18934C0E"/>
    <w:rsid w:val="18952734"/>
    <w:rsid w:val="18961155"/>
    <w:rsid w:val="189A1065"/>
    <w:rsid w:val="189C08D6"/>
    <w:rsid w:val="189E3CDE"/>
    <w:rsid w:val="189F42CA"/>
    <w:rsid w:val="189F624C"/>
    <w:rsid w:val="18A60DE5"/>
    <w:rsid w:val="18AB2DF4"/>
    <w:rsid w:val="18B4207E"/>
    <w:rsid w:val="18B66686"/>
    <w:rsid w:val="18BD1C8B"/>
    <w:rsid w:val="18BE612E"/>
    <w:rsid w:val="18CD16D3"/>
    <w:rsid w:val="18D10D88"/>
    <w:rsid w:val="18D759D2"/>
    <w:rsid w:val="18D86A52"/>
    <w:rsid w:val="18DE4070"/>
    <w:rsid w:val="18E15979"/>
    <w:rsid w:val="18EB46AB"/>
    <w:rsid w:val="18FA7ECA"/>
    <w:rsid w:val="18FC39C6"/>
    <w:rsid w:val="19007237"/>
    <w:rsid w:val="19027FF4"/>
    <w:rsid w:val="19036CBB"/>
    <w:rsid w:val="19130A68"/>
    <w:rsid w:val="191316D9"/>
    <w:rsid w:val="19151076"/>
    <w:rsid w:val="191700E7"/>
    <w:rsid w:val="191D27E4"/>
    <w:rsid w:val="192B2A61"/>
    <w:rsid w:val="193006AE"/>
    <w:rsid w:val="19353F17"/>
    <w:rsid w:val="194303E2"/>
    <w:rsid w:val="19475524"/>
    <w:rsid w:val="19540841"/>
    <w:rsid w:val="195951EC"/>
    <w:rsid w:val="195C14A3"/>
    <w:rsid w:val="1968494A"/>
    <w:rsid w:val="196B50DB"/>
    <w:rsid w:val="196E5354"/>
    <w:rsid w:val="197438BC"/>
    <w:rsid w:val="19811C18"/>
    <w:rsid w:val="19833C15"/>
    <w:rsid w:val="19924EC5"/>
    <w:rsid w:val="1996129D"/>
    <w:rsid w:val="19A61B2C"/>
    <w:rsid w:val="19AB5CC4"/>
    <w:rsid w:val="19B02D14"/>
    <w:rsid w:val="19C5529B"/>
    <w:rsid w:val="19D23DA2"/>
    <w:rsid w:val="19E1664C"/>
    <w:rsid w:val="19E27EA0"/>
    <w:rsid w:val="19F33BB6"/>
    <w:rsid w:val="19FB5C71"/>
    <w:rsid w:val="19FD5251"/>
    <w:rsid w:val="1A01733B"/>
    <w:rsid w:val="1A143B2C"/>
    <w:rsid w:val="1A1C66C0"/>
    <w:rsid w:val="1A1D7746"/>
    <w:rsid w:val="1A245885"/>
    <w:rsid w:val="1A2C312C"/>
    <w:rsid w:val="1A381758"/>
    <w:rsid w:val="1A3C4B50"/>
    <w:rsid w:val="1A42393B"/>
    <w:rsid w:val="1A424DED"/>
    <w:rsid w:val="1A535E66"/>
    <w:rsid w:val="1A564145"/>
    <w:rsid w:val="1A5E0FFC"/>
    <w:rsid w:val="1A5F749D"/>
    <w:rsid w:val="1A6A7BF0"/>
    <w:rsid w:val="1A6D66FB"/>
    <w:rsid w:val="1A7171D0"/>
    <w:rsid w:val="1A7920D6"/>
    <w:rsid w:val="1A7A49AA"/>
    <w:rsid w:val="1A8254EB"/>
    <w:rsid w:val="1A860D55"/>
    <w:rsid w:val="1A865B15"/>
    <w:rsid w:val="1A8A58CB"/>
    <w:rsid w:val="1A974137"/>
    <w:rsid w:val="1AAD45DE"/>
    <w:rsid w:val="1AAE21D3"/>
    <w:rsid w:val="1AB25BC6"/>
    <w:rsid w:val="1ABA10B9"/>
    <w:rsid w:val="1ABA2925"/>
    <w:rsid w:val="1ABA7563"/>
    <w:rsid w:val="1AC13CB4"/>
    <w:rsid w:val="1AC94917"/>
    <w:rsid w:val="1AEE0B26"/>
    <w:rsid w:val="1AF26696"/>
    <w:rsid w:val="1AF82AF9"/>
    <w:rsid w:val="1B012302"/>
    <w:rsid w:val="1B046F80"/>
    <w:rsid w:val="1B160257"/>
    <w:rsid w:val="1B1F6DCC"/>
    <w:rsid w:val="1B251516"/>
    <w:rsid w:val="1B264CB4"/>
    <w:rsid w:val="1B311A29"/>
    <w:rsid w:val="1B3267B5"/>
    <w:rsid w:val="1B3501FE"/>
    <w:rsid w:val="1B362B24"/>
    <w:rsid w:val="1B383CD9"/>
    <w:rsid w:val="1B3C333B"/>
    <w:rsid w:val="1B3F107D"/>
    <w:rsid w:val="1B3F400A"/>
    <w:rsid w:val="1B40161D"/>
    <w:rsid w:val="1B41199A"/>
    <w:rsid w:val="1B441859"/>
    <w:rsid w:val="1B4666C2"/>
    <w:rsid w:val="1B4A6DDD"/>
    <w:rsid w:val="1B522B5E"/>
    <w:rsid w:val="1B56156C"/>
    <w:rsid w:val="1B5C38C0"/>
    <w:rsid w:val="1B656D35"/>
    <w:rsid w:val="1B6606B1"/>
    <w:rsid w:val="1B6805D3"/>
    <w:rsid w:val="1B6E5FB3"/>
    <w:rsid w:val="1B7F1479"/>
    <w:rsid w:val="1B801CC8"/>
    <w:rsid w:val="1B8401D9"/>
    <w:rsid w:val="1B864544"/>
    <w:rsid w:val="1B9B4505"/>
    <w:rsid w:val="1B9B6858"/>
    <w:rsid w:val="1B9C202B"/>
    <w:rsid w:val="1BA404B3"/>
    <w:rsid w:val="1BA91302"/>
    <w:rsid w:val="1BAA138C"/>
    <w:rsid w:val="1BB75FEE"/>
    <w:rsid w:val="1BBB3D4D"/>
    <w:rsid w:val="1BCB44F2"/>
    <w:rsid w:val="1BCB4C24"/>
    <w:rsid w:val="1BD05EF9"/>
    <w:rsid w:val="1BDF31C5"/>
    <w:rsid w:val="1BE8756E"/>
    <w:rsid w:val="1BEC25C7"/>
    <w:rsid w:val="1BF12377"/>
    <w:rsid w:val="1BF72E44"/>
    <w:rsid w:val="1C010224"/>
    <w:rsid w:val="1C092BEB"/>
    <w:rsid w:val="1C0A5A11"/>
    <w:rsid w:val="1C12755A"/>
    <w:rsid w:val="1C15491A"/>
    <w:rsid w:val="1C1D617E"/>
    <w:rsid w:val="1C2F10F1"/>
    <w:rsid w:val="1C381D54"/>
    <w:rsid w:val="1C427F28"/>
    <w:rsid w:val="1C44053B"/>
    <w:rsid w:val="1C477D8D"/>
    <w:rsid w:val="1C4D7003"/>
    <w:rsid w:val="1C50195A"/>
    <w:rsid w:val="1C56042C"/>
    <w:rsid w:val="1C583A34"/>
    <w:rsid w:val="1C5E7925"/>
    <w:rsid w:val="1C6302E7"/>
    <w:rsid w:val="1C6A5624"/>
    <w:rsid w:val="1C6E5D9D"/>
    <w:rsid w:val="1C7043DA"/>
    <w:rsid w:val="1C71268D"/>
    <w:rsid w:val="1C7134B8"/>
    <w:rsid w:val="1C72472E"/>
    <w:rsid w:val="1C763338"/>
    <w:rsid w:val="1C7654F2"/>
    <w:rsid w:val="1C845843"/>
    <w:rsid w:val="1C8651B5"/>
    <w:rsid w:val="1C8C565D"/>
    <w:rsid w:val="1C8E0291"/>
    <w:rsid w:val="1C8E5E18"/>
    <w:rsid w:val="1C981A4A"/>
    <w:rsid w:val="1C9B2BDD"/>
    <w:rsid w:val="1CA43557"/>
    <w:rsid w:val="1CA51364"/>
    <w:rsid w:val="1CB25FAA"/>
    <w:rsid w:val="1CC50941"/>
    <w:rsid w:val="1CD345C5"/>
    <w:rsid w:val="1CD8542D"/>
    <w:rsid w:val="1CDA105D"/>
    <w:rsid w:val="1CDC2986"/>
    <w:rsid w:val="1CEB5439"/>
    <w:rsid w:val="1CEF01CF"/>
    <w:rsid w:val="1CFC5477"/>
    <w:rsid w:val="1CFD070F"/>
    <w:rsid w:val="1CFD2DEB"/>
    <w:rsid w:val="1CFE11EF"/>
    <w:rsid w:val="1D057ED5"/>
    <w:rsid w:val="1D0D7252"/>
    <w:rsid w:val="1D1B0FBF"/>
    <w:rsid w:val="1D1E02B3"/>
    <w:rsid w:val="1D214EDE"/>
    <w:rsid w:val="1D261CA5"/>
    <w:rsid w:val="1D2F3135"/>
    <w:rsid w:val="1D32554B"/>
    <w:rsid w:val="1D391B0B"/>
    <w:rsid w:val="1D395A93"/>
    <w:rsid w:val="1D436C02"/>
    <w:rsid w:val="1D44297A"/>
    <w:rsid w:val="1D4A186C"/>
    <w:rsid w:val="1D5232E9"/>
    <w:rsid w:val="1D5D5765"/>
    <w:rsid w:val="1D5F6196"/>
    <w:rsid w:val="1D61177E"/>
    <w:rsid w:val="1D6132A5"/>
    <w:rsid w:val="1D677990"/>
    <w:rsid w:val="1D695F78"/>
    <w:rsid w:val="1D8E56D5"/>
    <w:rsid w:val="1D94745E"/>
    <w:rsid w:val="1DA33B45"/>
    <w:rsid w:val="1DAA2A3A"/>
    <w:rsid w:val="1DAD68F5"/>
    <w:rsid w:val="1DB654D1"/>
    <w:rsid w:val="1DBB7BBC"/>
    <w:rsid w:val="1DBD3F38"/>
    <w:rsid w:val="1DC02C6D"/>
    <w:rsid w:val="1DC84D43"/>
    <w:rsid w:val="1DEE08A3"/>
    <w:rsid w:val="1DEF6D8A"/>
    <w:rsid w:val="1DF24184"/>
    <w:rsid w:val="1DF3687A"/>
    <w:rsid w:val="1DF93B1D"/>
    <w:rsid w:val="1E055354"/>
    <w:rsid w:val="1E0740D4"/>
    <w:rsid w:val="1E0A7720"/>
    <w:rsid w:val="1E0C16EA"/>
    <w:rsid w:val="1E104084"/>
    <w:rsid w:val="1E1C18CC"/>
    <w:rsid w:val="1E206F43"/>
    <w:rsid w:val="1E2E0BD3"/>
    <w:rsid w:val="1E340C41"/>
    <w:rsid w:val="1E3C6B0D"/>
    <w:rsid w:val="1E3D7AF5"/>
    <w:rsid w:val="1E53764F"/>
    <w:rsid w:val="1E5840C2"/>
    <w:rsid w:val="1E594203"/>
    <w:rsid w:val="1E5A7193"/>
    <w:rsid w:val="1E5B01EB"/>
    <w:rsid w:val="1E5B43F2"/>
    <w:rsid w:val="1E6A2222"/>
    <w:rsid w:val="1E7352C5"/>
    <w:rsid w:val="1E7A43DA"/>
    <w:rsid w:val="1E82303F"/>
    <w:rsid w:val="1E8420CD"/>
    <w:rsid w:val="1E8E0351"/>
    <w:rsid w:val="1E967206"/>
    <w:rsid w:val="1EAC6A29"/>
    <w:rsid w:val="1EB1403F"/>
    <w:rsid w:val="1EC94526"/>
    <w:rsid w:val="1EEC2CF4"/>
    <w:rsid w:val="1EED3265"/>
    <w:rsid w:val="1EEE0DF0"/>
    <w:rsid w:val="1EEE7553"/>
    <w:rsid w:val="1EFC175F"/>
    <w:rsid w:val="1F1C3BAF"/>
    <w:rsid w:val="1F1F544D"/>
    <w:rsid w:val="1F264A2D"/>
    <w:rsid w:val="1F2944A1"/>
    <w:rsid w:val="1F2962CC"/>
    <w:rsid w:val="1F3902A8"/>
    <w:rsid w:val="1F3C5FFF"/>
    <w:rsid w:val="1F413615"/>
    <w:rsid w:val="1F4A7F51"/>
    <w:rsid w:val="1F4D47FB"/>
    <w:rsid w:val="1F5D00C7"/>
    <w:rsid w:val="1F6410B2"/>
    <w:rsid w:val="1F642E60"/>
    <w:rsid w:val="1F71122E"/>
    <w:rsid w:val="1F715246"/>
    <w:rsid w:val="1FA47700"/>
    <w:rsid w:val="1FA71EE2"/>
    <w:rsid w:val="1FAA7762"/>
    <w:rsid w:val="1FAE34F0"/>
    <w:rsid w:val="1FB563DA"/>
    <w:rsid w:val="1FC245AB"/>
    <w:rsid w:val="1FD2426D"/>
    <w:rsid w:val="1FD8790D"/>
    <w:rsid w:val="1FDC6E9A"/>
    <w:rsid w:val="1FDD3471"/>
    <w:rsid w:val="1FDE2C12"/>
    <w:rsid w:val="1FE7539E"/>
    <w:rsid w:val="1FEA0D76"/>
    <w:rsid w:val="1FF02946"/>
    <w:rsid w:val="200138EA"/>
    <w:rsid w:val="20033C1C"/>
    <w:rsid w:val="200615BC"/>
    <w:rsid w:val="20087C8F"/>
    <w:rsid w:val="200F742A"/>
    <w:rsid w:val="20103D6B"/>
    <w:rsid w:val="201605FE"/>
    <w:rsid w:val="201631A6"/>
    <w:rsid w:val="201B3E66"/>
    <w:rsid w:val="201E54AC"/>
    <w:rsid w:val="20286583"/>
    <w:rsid w:val="202C34FB"/>
    <w:rsid w:val="202D1DEC"/>
    <w:rsid w:val="203224CE"/>
    <w:rsid w:val="203B3EC7"/>
    <w:rsid w:val="203F0E04"/>
    <w:rsid w:val="204478C9"/>
    <w:rsid w:val="20466443"/>
    <w:rsid w:val="2054459F"/>
    <w:rsid w:val="20555B90"/>
    <w:rsid w:val="205C6834"/>
    <w:rsid w:val="20657B97"/>
    <w:rsid w:val="206648F1"/>
    <w:rsid w:val="20671BE0"/>
    <w:rsid w:val="208429DC"/>
    <w:rsid w:val="20847C5E"/>
    <w:rsid w:val="20862705"/>
    <w:rsid w:val="208A4B48"/>
    <w:rsid w:val="208E1CA6"/>
    <w:rsid w:val="208F2492"/>
    <w:rsid w:val="20920548"/>
    <w:rsid w:val="2095786B"/>
    <w:rsid w:val="20963CB8"/>
    <w:rsid w:val="20994D8B"/>
    <w:rsid w:val="209A7D9D"/>
    <w:rsid w:val="20A6052E"/>
    <w:rsid w:val="20A81A1B"/>
    <w:rsid w:val="20B07FB6"/>
    <w:rsid w:val="20B20436"/>
    <w:rsid w:val="20B646FB"/>
    <w:rsid w:val="20C31AA4"/>
    <w:rsid w:val="20C930B8"/>
    <w:rsid w:val="20CB71D8"/>
    <w:rsid w:val="20CE110F"/>
    <w:rsid w:val="20D61B3B"/>
    <w:rsid w:val="20DB1848"/>
    <w:rsid w:val="20DD111C"/>
    <w:rsid w:val="20E73D48"/>
    <w:rsid w:val="20EF0D5B"/>
    <w:rsid w:val="20F16975"/>
    <w:rsid w:val="20F52909"/>
    <w:rsid w:val="20FD16F7"/>
    <w:rsid w:val="20FF2B94"/>
    <w:rsid w:val="21084116"/>
    <w:rsid w:val="210E39CB"/>
    <w:rsid w:val="21106921"/>
    <w:rsid w:val="21134C26"/>
    <w:rsid w:val="21141DD0"/>
    <w:rsid w:val="211B39F2"/>
    <w:rsid w:val="211D3C0E"/>
    <w:rsid w:val="212E3725"/>
    <w:rsid w:val="213827F6"/>
    <w:rsid w:val="213B74B1"/>
    <w:rsid w:val="213C3C77"/>
    <w:rsid w:val="213C5BD7"/>
    <w:rsid w:val="21406624"/>
    <w:rsid w:val="21512577"/>
    <w:rsid w:val="21535882"/>
    <w:rsid w:val="21562C7C"/>
    <w:rsid w:val="21582244"/>
    <w:rsid w:val="215A2310"/>
    <w:rsid w:val="215E325E"/>
    <w:rsid w:val="216E6218"/>
    <w:rsid w:val="21787096"/>
    <w:rsid w:val="217C3A9C"/>
    <w:rsid w:val="217F0425"/>
    <w:rsid w:val="218344A7"/>
    <w:rsid w:val="21871088"/>
    <w:rsid w:val="218912A4"/>
    <w:rsid w:val="218B3DFB"/>
    <w:rsid w:val="2198713E"/>
    <w:rsid w:val="219D0888"/>
    <w:rsid w:val="21A27D9E"/>
    <w:rsid w:val="21A52FE2"/>
    <w:rsid w:val="21B74258"/>
    <w:rsid w:val="21C30F98"/>
    <w:rsid w:val="21C443C4"/>
    <w:rsid w:val="21C834F2"/>
    <w:rsid w:val="21DD6EFA"/>
    <w:rsid w:val="21DE318A"/>
    <w:rsid w:val="21E464DA"/>
    <w:rsid w:val="21EF5B80"/>
    <w:rsid w:val="21F04E7F"/>
    <w:rsid w:val="21F152FD"/>
    <w:rsid w:val="21F853B2"/>
    <w:rsid w:val="21FC1A76"/>
    <w:rsid w:val="22007DA8"/>
    <w:rsid w:val="221926EF"/>
    <w:rsid w:val="222948BD"/>
    <w:rsid w:val="22380FAA"/>
    <w:rsid w:val="223C6316"/>
    <w:rsid w:val="22460F9E"/>
    <w:rsid w:val="224A0A33"/>
    <w:rsid w:val="224C3CB3"/>
    <w:rsid w:val="22561186"/>
    <w:rsid w:val="22576990"/>
    <w:rsid w:val="225B76DF"/>
    <w:rsid w:val="22605491"/>
    <w:rsid w:val="22662E82"/>
    <w:rsid w:val="226D64CF"/>
    <w:rsid w:val="227166BD"/>
    <w:rsid w:val="2274751F"/>
    <w:rsid w:val="227635D6"/>
    <w:rsid w:val="22795B7A"/>
    <w:rsid w:val="227E216D"/>
    <w:rsid w:val="228D26CE"/>
    <w:rsid w:val="22967DE0"/>
    <w:rsid w:val="229C3222"/>
    <w:rsid w:val="229F128A"/>
    <w:rsid w:val="22A05321"/>
    <w:rsid w:val="22A31EF1"/>
    <w:rsid w:val="22AC349C"/>
    <w:rsid w:val="22AE4BBE"/>
    <w:rsid w:val="22B07D59"/>
    <w:rsid w:val="22B71B75"/>
    <w:rsid w:val="22D37B7C"/>
    <w:rsid w:val="22D92BD8"/>
    <w:rsid w:val="22F47480"/>
    <w:rsid w:val="22F95FB5"/>
    <w:rsid w:val="231134BB"/>
    <w:rsid w:val="232B0864"/>
    <w:rsid w:val="232B71A7"/>
    <w:rsid w:val="232E7D9F"/>
    <w:rsid w:val="232F4E13"/>
    <w:rsid w:val="233A5637"/>
    <w:rsid w:val="233D2CBA"/>
    <w:rsid w:val="2343331D"/>
    <w:rsid w:val="234611FA"/>
    <w:rsid w:val="234A4A85"/>
    <w:rsid w:val="23566F63"/>
    <w:rsid w:val="23694EE9"/>
    <w:rsid w:val="23701C36"/>
    <w:rsid w:val="237738F9"/>
    <w:rsid w:val="237F3B61"/>
    <w:rsid w:val="238743C7"/>
    <w:rsid w:val="2392443F"/>
    <w:rsid w:val="23A75A11"/>
    <w:rsid w:val="23AB2CF3"/>
    <w:rsid w:val="23AE0B4E"/>
    <w:rsid w:val="23B75736"/>
    <w:rsid w:val="23B9436C"/>
    <w:rsid w:val="23CF556A"/>
    <w:rsid w:val="23D179D2"/>
    <w:rsid w:val="23D3544D"/>
    <w:rsid w:val="23D507D0"/>
    <w:rsid w:val="23DD4CDE"/>
    <w:rsid w:val="23DE1C48"/>
    <w:rsid w:val="23E241C0"/>
    <w:rsid w:val="23F70746"/>
    <w:rsid w:val="23FB6FE3"/>
    <w:rsid w:val="23FF13A9"/>
    <w:rsid w:val="24014120"/>
    <w:rsid w:val="240210CD"/>
    <w:rsid w:val="2403080F"/>
    <w:rsid w:val="24082954"/>
    <w:rsid w:val="24170DE9"/>
    <w:rsid w:val="241C1F5B"/>
    <w:rsid w:val="241E57EC"/>
    <w:rsid w:val="2426102C"/>
    <w:rsid w:val="2429472D"/>
    <w:rsid w:val="24344B7D"/>
    <w:rsid w:val="243472A5"/>
    <w:rsid w:val="24386FCE"/>
    <w:rsid w:val="24423870"/>
    <w:rsid w:val="24572A92"/>
    <w:rsid w:val="245A04CE"/>
    <w:rsid w:val="245F12E5"/>
    <w:rsid w:val="24635DDC"/>
    <w:rsid w:val="246476B0"/>
    <w:rsid w:val="246A22FA"/>
    <w:rsid w:val="24765B0F"/>
    <w:rsid w:val="247D32C6"/>
    <w:rsid w:val="24844E69"/>
    <w:rsid w:val="248A7C47"/>
    <w:rsid w:val="24B77ED6"/>
    <w:rsid w:val="24B959FC"/>
    <w:rsid w:val="24BF09F7"/>
    <w:rsid w:val="24C117EF"/>
    <w:rsid w:val="24C20D54"/>
    <w:rsid w:val="24C22B02"/>
    <w:rsid w:val="24CC75A2"/>
    <w:rsid w:val="24CF45F5"/>
    <w:rsid w:val="24DB0CEF"/>
    <w:rsid w:val="24E41ABF"/>
    <w:rsid w:val="24EA3E07"/>
    <w:rsid w:val="24F0189A"/>
    <w:rsid w:val="25017133"/>
    <w:rsid w:val="25022FF4"/>
    <w:rsid w:val="251946ED"/>
    <w:rsid w:val="251B66B7"/>
    <w:rsid w:val="25272795"/>
    <w:rsid w:val="252D53FE"/>
    <w:rsid w:val="25332D25"/>
    <w:rsid w:val="253754F1"/>
    <w:rsid w:val="253C3E23"/>
    <w:rsid w:val="256736AA"/>
    <w:rsid w:val="256B3DDE"/>
    <w:rsid w:val="257A6A46"/>
    <w:rsid w:val="257D2ECD"/>
    <w:rsid w:val="2580476C"/>
    <w:rsid w:val="2582218D"/>
    <w:rsid w:val="258768CA"/>
    <w:rsid w:val="258D5FAA"/>
    <w:rsid w:val="25950217"/>
    <w:rsid w:val="25A5195D"/>
    <w:rsid w:val="25AA3268"/>
    <w:rsid w:val="25AB007D"/>
    <w:rsid w:val="25AB53CF"/>
    <w:rsid w:val="25B06EDA"/>
    <w:rsid w:val="25B33753"/>
    <w:rsid w:val="25C1216F"/>
    <w:rsid w:val="25C213AF"/>
    <w:rsid w:val="25CA3020"/>
    <w:rsid w:val="25D6438C"/>
    <w:rsid w:val="25D94A8C"/>
    <w:rsid w:val="25DC1535"/>
    <w:rsid w:val="25DC71E1"/>
    <w:rsid w:val="25DF1492"/>
    <w:rsid w:val="25DF5936"/>
    <w:rsid w:val="25EC2D81"/>
    <w:rsid w:val="25F02C0F"/>
    <w:rsid w:val="26007681"/>
    <w:rsid w:val="26025181"/>
    <w:rsid w:val="260408DF"/>
    <w:rsid w:val="26054612"/>
    <w:rsid w:val="26193C6A"/>
    <w:rsid w:val="261D1FBA"/>
    <w:rsid w:val="262518D4"/>
    <w:rsid w:val="26294D97"/>
    <w:rsid w:val="263F35D9"/>
    <w:rsid w:val="26410AE1"/>
    <w:rsid w:val="2648359C"/>
    <w:rsid w:val="26485289"/>
    <w:rsid w:val="26487037"/>
    <w:rsid w:val="264C5790"/>
    <w:rsid w:val="264E03C6"/>
    <w:rsid w:val="264F554E"/>
    <w:rsid w:val="26522E69"/>
    <w:rsid w:val="265579A6"/>
    <w:rsid w:val="265956E8"/>
    <w:rsid w:val="26597496"/>
    <w:rsid w:val="265A1E86"/>
    <w:rsid w:val="265E2CFF"/>
    <w:rsid w:val="26641134"/>
    <w:rsid w:val="26705BD1"/>
    <w:rsid w:val="267B6F5F"/>
    <w:rsid w:val="269B7551"/>
    <w:rsid w:val="269C0F21"/>
    <w:rsid w:val="26A646AE"/>
    <w:rsid w:val="26BB1EFF"/>
    <w:rsid w:val="26BD6A9C"/>
    <w:rsid w:val="26C16DEA"/>
    <w:rsid w:val="26C16DF3"/>
    <w:rsid w:val="26C96345"/>
    <w:rsid w:val="26D7660D"/>
    <w:rsid w:val="26E468F9"/>
    <w:rsid w:val="26E56F7C"/>
    <w:rsid w:val="26E76739"/>
    <w:rsid w:val="26E86632"/>
    <w:rsid w:val="26FF1042"/>
    <w:rsid w:val="2702368A"/>
    <w:rsid w:val="2708214A"/>
    <w:rsid w:val="270D4584"/>
    <w:rsid w:val="27174656"/>
    <w:rsid w:val="2718157E"/>
    <w:rsid w:val="272328BC"/>
    <w:rsid w:val="272F6449"/>
    <w:rsid w:val="2738270D"/>
    <w:rsid w:val="273B1A49"/>
    <w:rsid w:val="273F2765"/>
    <w:rsid w:val="274F4FEF"/>
    <w:rsid w:val="274F678B"/>
    <w:rsid w:val="27627FC1"/>
    <w:rsid w:val="27651E6B"/>
    <w:rsid w:val="277057A2"/>
    <w:rsid w:val="278247CB"/>
    <w:rsid w:val="2794791E"/>
    <w:rsid w:val="27960276"/>
    <w:rsid w:val="27996025"/>
    <w:rsid w:val="27A056B0"/>
    <w:rsid w:val="27B16E5E"/>
    <w:rsid w:val="27CC2E58"/>
    <w:rsid w:val="27D07EE8"/>
    <w:rsid w:val="27D1613F"/>
    <w:rsid w:val="27D165A2"/>
    <w:rsid w:val="27D35027"/>
    <w:rsid w:val="27E3277E"/>
    <w:rsid w:val="27F356C9"/>
    <w:rsid w:val="28002AA5"/>
    <w:rsid w:val="280432A5"/>
    <w:rsid w:val="2819417E"/>
    <w:rsid w:val="28195908"/>
    <w:rsid w:val="281E51E0"/>
    <w:rsid w:val="281F226C"/>
    <w:rsid w:val="28244FDB"/>
    <w:rsid w:val="28252611"/>
    <w:rsid w:val="283755B5"/>
    <w:rsid w:val="283E181F"/>
    <w:rsid w:val="28412E56"/>
    <w:rsid w:val="284E0B51"/>
    <w:rsid w:val="2852399F"/>
    <w:rsid w:val="285735F9"/>
    <w:rsid w:val="2857741C"/>
    <w:rsid w:val="285C14C0"/>
    <w:rsid w:val="28624148"/>
    <w:rsid w:val="28645438"/>
    <w:rsid w:val="286C07A5"/>
    <w:rsid w:val="28717AA3"/>
    <w:rsid w:val="28763C0F"/>
    <w:rsid w:val="287A64C8"/>
    <w:rsid w:val="287D4346"/>
    <w:rsid w:val="2894174F"/>
    <w:rsid w:val="289F49F4"/>
    <w:rsid w:val="28A04688"/>
    <w:rsid w:val="28A41BFF"/>
    <w:rsid w:val="28AC2239"/>
    <w:rsid w:val="28B93051"/>
    <w:rsid w:val="28CA642A"/>
    <w:rsid w:val="28CC03F4"/>
    <w:rsid w:val="28D55DF3"/>
    <w:rsid w:val="28E11534"/>
    <w:rsid w:val="28E36C21"/>
    <w:rsid w:val="28EA38FA"/>
    <w:rsid w:val="28F50017"/>
    <w:rsid w:val="29063091"/>
    <w:rsid w:val="290851A4"/>
    <w:rsid w:val="29175788"/>
    <w:rsid w:val="291E22D1"/>
    <w:rsid w:val="29206EB8"/>
    <w:rsid w:val="29247407"/>
    <w:rsid w:val="29283150"/>
    <w:rsid w:val="292B2724"/>
    <w:rsid w:val="292C229E"/>
    <w:rsid w:val="29307C57"/>
    <w:rsid w:val="293E0BC6"/>
    <w:rsid w:val="29446C81"/>
    <w:rsid w:val="29453D02"/>
    <w:rsid w:val="2946642F"/>
    <w:rsid w:val="294B0857"/>
    <w:rsid w:val="294C32E2"/>
    <w:rsid w:val="2952376B"/>
    <w:rsid w:val="29595666"/>
    <w:rsid w:val="2960007B"/>
    <w:rsid w:val="2973086F"/>
    <w:rsid w:val="297F5167"/>
    <w:rsid w:val="29824F56"/>
    <w:rsid w:val="29874881"/>
    <w:rsid w:val="2988071B"/>
    <w:rsid w:val="298C497C"/>
    <w:rsid w:val="298E6BF5"/>
    <w:rsid w:val="29997131"/>
    <w:rsid w:val="299B2660"/>
    <w:rsid w:val="29AE481A"/>
    <w:rsid w:val="29BC2AC3"/>
    <w:rsid w:val="29D01353"/>
    <w:rsid w:val="29D73C8C"/>
    <w:rsid w:val="29E05285"/>
    <w:rsid w:val="29E325E0"/>
    <w:rsid w:val="29EE79BF"/>
    <w:rsid w:val="29F0336E"/>
    <w:rsid w:val="29F53684"/>
    <w:rsid w:val="29FB0865"/>
    <w:rsid w:val="29FD2E9C"/>
    <w:rsid w:val="2A004776"/>
    <w:rsid w:val="2A0B250F"/>
    <w:rsid w:val="2A267B5E"/>
    <w:rsid w:val="2A2953D2"/>
    <w:rsid w:val="2A2A3585"/>
    <w:rsid w:val="2A3C2DEF"/>
    <w:rsid w:val="2A452503"/>
    <w:rsid w:val="2A473331"/>
    <w:rsid w:val="2A590497"/>
    <w:rsid w:val="2A622692"/>
    <w:rsid w:val="2A68414C"/>
    <w:rsid w:val="2A6B1546"/>
    <w:rsid w:val="2A6B59EA"/>
    <w:rsid w:val="2A7735F2"/>
    <w:rsid w:val="2A7A31BF"/>
    <w:rsid w:val="2A855F67"/>
    <w:rsid w:val="2A885DBF"/>
    <w:rsid w:val="2A8D250F"/>
    <w:rsid w:val="2A905C99"/>
    <w:rsid w:val="2A9312BC"/>
    <w:rsid w:val="2A9E653F"/>
    <w:rsid w:val="2AAA6EB6"/>
    <w:rsid w:val="2AB97030"/>
    <w:rsid w:val="2ABE1FBE"/>
    <w:rsid w:val="2AC25A62"/>
    <w:rsid w:val="2AC82E3D"/>
    <w:rsid w:val="2ADA1568"/>
    <w:rsid w:val="2ADE7F6A"/>
    <w:rsid w:val="2AEF2177"/>
    <w:rsid w:val="2AFC231F"/>
    <w:rsid w:val="2AFE060C"/>
    <w:rsid w:val="2B06787C"/>
    <w:rsid w:val="2B0A72F8"/>
    <w:rsid w:val="2B172C77"/>
    <w:rsid w:val="2B1D4E5E"/>
    <w:rsid w:val="2B223422"/>
    <w:rsid w:val="2B34315E"/>
    <w:rsid w:val="2B363374"/>
    <w:rsid w:val="2B3E4EAD"/>
    <w:rsid w:val="2B4A3852"/>
    <w:rsid w:val="2B51489C"/>
    <w:rsid w:val="2B5532A4"/>
    <w:rsid w:val="2B6A2680"/>
    <w:rsid w:val="2B6B0FBB"/>
    <w:rsid w:val="2B8E6505"/>
    <w:rsid w:val="2B9C2061"/>
    <w:rsid w:val="2BA75520"/>
    <w:rsid w:val="2BA936A8"/>
    <w:rsid w:val="2BAD2103"/>
    <w:rsid w:val="2BB67E4F"/>
    <w:rsid w:val="2BBB011A"/>
    <w:rsid w:val="2BCA77C0"/>
    <w:rsid w:val="2BCE651B"/>
    <w:rsid w:val="2BE00889"/>
    <w:rsid w:val="2BEB7AE8"/>
    <w:rsid w:val="2BFB78DC"/>
    <w:rsid w:val="2BFD6B16"/>
    <w:rsid w:val="2C077995"/>
    <w:rsid w:val="2C0A2564"/>
    <w:rsid w:val="2C0A30AE"/>
    <w:rsid w:val="2C0C0F54"/>
    <w:rsid w:val="2C1A3C52"/>
    <w:rsid w:val="2C1B6F9C"/>
    <w:rsid w:val="2C266948"/>
    <w:rsid w:val="2C29112E"/>
    <w:rsid w:val="2C294307"/>
    <w:rsid w:val="2C3016CB"/>
    <w:rsid w:val="2C315A5A"/>
    <w:rsid w:val="2C3437C3"/>
    <w:rsid w:val="2C352D2A"/>
    <w:rsid w:val="2C365B84"/>
    <w:rsid w:val="2C3E456A"/>
    <w:rsid w:val="2C477D91"/>
    <w:rsid w:val="2C4B1C25"/>
    <w:rsid w:val="2C4D184B"/>
    <w:rsid w:val="2C532BDA"/>
    <w:rsid w:val="2C535E72"/>
    <w:rsid w:val="2C605B3C"/>
    <w:rsid w:val="2C6E3570"/>
    <w:rsid w:val="2C80779B"/>
    <w:rsid w:val="2C8903AA"/>
    <w:rsid w:val="2CA46F92"/>
    <w:rsid w:val="2CA81B64"/>
    <w:rsid w:val="2CA927FA"/>
    <w:rsid w:val="2CAC71DF"/>
    <w:rsid w:val="2CAE56E3"/>
    <w:rsid w:val="2CC12D55"/>
    <w:rsid w:val="2CC468F0"/>
    <w:rsid w:val="2CC645A5"/>
    <w:rsid w:val="2CD61E00"/>
    <w:rsid w:val="2CD71A46"/>
    <w:rsid w:val="2CDC2BCF"/>
    <w:rsid w:val="2CDE6947"/>
    <w:rsid w:val="2CE82B9B"/>
    <w:rsid w:val="2CE850D0"/>
    <w:rsid w:val="2CF74A88"/>
    <w:rsid w:val="2CFA5AB0"/>
    <w:rsid w:val="2CFD044E"/>
    <w:rsid w:val="2CFE2B46"/>
    <w:rsid w:val="2D0619FA"/>
    <w:rsid w:val="2D081307"/>
    <w:rsid w:val="2D0E0C21"/>
    <w:rsid w:val="2D12481A"/>
    <w:rsid w:val="2D141257"/>
    <w:rsid w:val="2D1D6575"/>
    <w:rsid w:val="2D202EF2"/>
    <w:rsid w:val="2D20558B"/>
    <w:rsid w:val="2D265EC5"/>
    <w:rsid w:val="2D285E15"/>
    <w:rsid w:val="2D2B1E8D"/>
    <w:rsid w:val="2D2D70B6"/>
    <w:rsid w:val="2D434BC4"/>
    <w:rsid w:val="2D510BE8"/>
    <w:rsid w:val="2D5B3AF4"/>
    <w:rsid w:val="2D5C5764"/>
    <w:rsid w:val="2D621327"/>
    <w:rsid w:val="2D654973"/>
    <w:rsid w:val="2D6807FD"/>
    <w:rsid w:val="2D686211"/>
    <w:rsid w:val="2D7735BC"/>
    <w:rsid w:val="2D7F5AC7"/>
    <w:rsid w:val="2D872B3B"/>
    <w:rsid w:val="2D9E19EB"/>
    <w:rsid w:val="2D9E56F5"/>
    <w:rsid w:val="2DAD14DA"/>
    <w:rsid w:val="2DBE5AC1"/>
    <w:rsid w:val="2DCC2C44"/>
    <w:rsid w:val="2DCD3A9E"/>
    <w:rsid w:val="2DD31495"/>
    <w:rsid w:val="2DE02A5F"/>
    <w:rsid w:val="2DFF52A1"/>
    <w:rsid w:val="2E026A1B"/>
    <w:rsid w:val="2E116CA5"/>
    <w:rsid w:val="2E175BCA"/>
    <w:rsid w:val="2E200210"/>
    <w:rsid w:val="2E260469"/>
    <w:rsid w:val="2E312017"/>
    <w:rsid w:val="2E3B15C5"/>
    <w:rsid w:val="2E3D5EC6"/>
    <w:rsid w:val="2E405D27"/>
    <w:rsid w:val="2E47051C"/>
    <w:rsid w:val="2E494294"/>
    <w:rsid w:val="2E4E18AB"/>
    <w:rsid w:val="2E5701AC"/>
    <w:rsid w:val="2E5E32C2"/>
    <w:rsid w:val="2E631A43"/>
    <w:rsid w:val="2E667F96"/>
    <w:rsid w:val="2E682FCF"/>
    <w:rsid w:val="2E701821"/>
    <w:rsid w:val="2E76670C"/>
    <w:rsid w:val="2E7A61FC"/>
    <w:rsid w:val="2E7B0EC8"/>
    <w:rsid w:val="2E7F1560"/>
    <w:rsid w:val="2E8226AB"/>
    <w:rsid w:val="2E852ACB"/>
    <w:rsid w:val="2E8D23D3"/>
    <w:rsid w:val="2E99389A"/>
    <w:rsid w:val="2E9E2A89"/>
    <w:rsid w:val="2E9F61BD"/>
    <w:rsid w:val="2EA339A5"/>
    <w:rsid w:val="2EA367EC"/>
    <w:rsid w:val="2EA9088F"/>
    <w:rsid w:val="2EAE6C73"/>
    <w:rsid w:val="2EB0659D"/>
    <w:rsid w:val="2EB828A2"/>
    <w:rsid w:val="2EC701BE"/>
    <w:rsid w:val="2ED578D6"/>
    <w:rsid w:val="2EE713B8"/>
    <w:rsid w:val="2EF321DB"/>
    <w:rsid w:val="2EF35FAE"/>
    <w:rsid w:val="2EF429F2"/>
    <w:rsid w:val="2EF83DF2"/>
    <w:rsid w:val="2EFA3890"/>
    <w:rsid w:val="2EFC4E63"/>
    <w:rsid w:val="2EFF6701"/>
    <w:rsid w:val="2F020F8A"/>
    <w:rsid w:val="2F0C331C"/>
    <w:rsid w:val="2F115773"/>
    <w:rsid w:val="2F124686"/>
    <w:rsid w:val="2F136624"/>
    <w:rsid w:val="2F173EA8"/>
    <w:rsid w:val="2F1D7057"/>
    <w:rsid w:val="2F27725C"/>
    <w:rsid w:val="2F3674C2"/>
    <w:rsid w:val="2F5249F4"/>
    <w:rsid w:val="2F557421"/>
    <w:rsid w:val="2F611596"/>
    <w:rsid w:val="2F6467CA"/>
    <w:rsid w:val="2F6B1E11"/>
    <w:rsid w:val="2F710B52"/>
    <w:rsid w:val="2F851D62"/>
    <w:rsid w:val="2F85468E"/>
    <w:rsid w:val="2F860BD0"/>
    <w:rsid w:val="2F86747C"/>
    <w:rsid w:val="2F883F5C"/>
    <w:rsid w:val="2F8D1BF2"/>
    <w:rsid w:val="2F8E0094"/>
    <w:rsid w:val="2F8E0DC6"/>
    <w:rsid w:val="2F9376F9"/>
    <w:rsid w:val="2F983BA0"/>
    <w:rsid w:val="2FA30076"/>
    <w:rsid w:val="2FA65711"/>
    <w:rsid w:val="2FA7495B"/>
    <w:rsid w:val="2FAA0D63"/>
    <w:rsid w:val="2FAA688C"/>
    <w:rsid w:val="2FB219C5"/>
    <w:rsid w:val="2FB96948"/>
    <w:rsid w:val="2FBB6ACC"/>
    <w:rsid w:val="2FBF6E64"/>
    <w:rsid w:val="2FC33BD3"/>
    <w:rsid w:val="2FCA4508"/>
    <w:rsid w:val="2FD065E6"/>
    <w:rsid w:val="2FD220C9"/>
    <w:rsid w:val="2FD302BA"/>
    <w:rsid w:val="2FD50619"/>
    <w:rsid w:val="2FD96870"/>
    <w:rsid w:val="2FDE6C5E"/>
    <w:rsid w:val="2FDF00D8"/>
    <w:rsid w:val="2FE222AB"/>
    <w:rsid w:val="2FFE67B3"/>
    <w:rsid w:val="300631C6"/>
    <w:rsid w:val="300F456E"/>
    <w:rsid w:val="3022231A"/>
    <w:rsid w:val="302A3C52"/>
    <w:rsid w:val="302E1745"/>
    <w:rsid w:val="302E54F0"/>
    <w:rsid w:val="30330D58"/>
    <w:rsid w:val="303409B4"/>
    <w:rsid w:val="30580BC9"/>
    <w:rsid w:val="3058256D"/>
    <w:rsid w:val="305A7906"/>
    <w:rsid w:val="30660FFD"/>
    <w:rsid w:val="306B7A6A"/>
    <w:rsid w:val="306C44A0"/>
    <w:rsid w:val="307021FA"/>
    <w:rsid w:val="307153DD"/>
    <w:rsid w:val="30734FD0"/>
    <w:rsid w:val="30751371"/>
    <w:rsid w:val="3079314B"/>
    <w:rsid w:val="308A4FCE"/>
    <w:rsid w:val="308C66BA"/>
    <w:rsid w:val="309934A3"/>
    <w:rsid w:val="309A66A0"/>
    <w:rsid w:val="309E6081"/>
    <w:rsid w:val="309F1F4A"/>
    <w:rsid w:val="30A532D8"/>
    <w:rsid w:val="30B350C8"/>
    <w:rsid w:val="30C35DBF"/>
    <w:rsid w:val="30C967BE"/>
    <w:rsid w:val="30CE0B45"/>
    <w:rsid w:val="30DE0FE4"/>
    <w:rsid w:val="30F24BAA"/>
    <w:rsid w:val="31022F4A"/>
    <w:rsid w:val="31091E99"/>
    <w:rsid w:val="311C54F8"/>
    <w:rsid w:val="311E2ED7"/>
    <w:rsid w:val="31257430"/>
    <w:rsid w:val="3126266B"/>
    <w:rsid w:val="31376626"/>
    <w:rsid w:val="313A7EC4"/>
    <w:rsid w:val="314804F6"/>
    <w:rsid w:val="314D19A6"/>
    <w:rsid w:val="31523460"/>
    <w:rsid w:val="315619EE"/>
    <w:rsid w:val="31570A76"/>
    <w:rsid w:val="315A40C3"/>
    <w:rsid w:val="315C449C"/>
    <w:rsid w:val="316F06A4"/>
    <w:rsid w:val="317653A0"/>
    <w:rsid w:val="317D539A"/>
    <w:rsid w:val="317F0922"/>
    <w:rsid w:val="31815AF3"/>
    <w:rsid w:val="3186168E"/>
    <w:rsid w:val="31886E82"/>
    <w:rsid w:val="318C7D0D"/>
    <w:rsid w:val="31921AAF"/>
    <w:rsid w:val="31927D00"/>
    <w:rsid w:val="31980793"/>
    <w:rsid w:val="31994BEB"/>
    <w:rsid w:val="31A66F3C"/>
    <w:rsid w:val="31A95F17"/>
    <w:rsid w:val="31B82709"/>
    <w:rsid w:val="31C71F61"/>
    <w:rsid w:val="31D05482"/>
    <w:rsid w:val="31D16CB5"/>
    <w:rsid w:val="31D62318"/>
    <w:rsid w:val="31E0115C"/>
    <w:rsid w:val="31E806EF"/>
    <w:rsid w:val="31EB20A7"/>
    <w:rsid w:val="31F90C3F"/>
    <w:rsid w:val="31FB3AF8"/>
    <w:rsid w:val="31FF5DCC"/>
    <w:rsid w:val="320350AC"/>
    <w:rsid w:val="32036508"/>
    <w:rsid w:val="320633B1"/>
    <w:rsid w:val="320C7AB3"/>
    <w:rsid w:val="321E0A50"/>
    <w:rsid w:val="321F2544"/>
    <w:rsid w:val="322B4383"/>
    <w:rsid w:val="323668DE"/>
    <w:rsid w:val="323D7C6C"/>
    <w:rsid w:val="32400B34"/>
    <w:rsid w:val="32430CC6"/>
    <w:rsid w:val="32624857"/>
    <w:rsid w:val="32780CA4"/>
    <w:rsid w:val="327F64D7"/>
    <w:rsid w:val="328238D1"/>
    <w:rsid w:val="32843928"/>
    <w:rsid w:val="32853407"/>
    <w:rsid w:val="32891103"/>
    <w:rsid w:val="32931F82"/>
    <w:rsid w:val="32944916"/>
    <w:rsid w:val="32944A6A"/>
    <w:rsid w:val="329762CC"/>
    <w:rsid w:val="329830F5"/>
    <w:rsid w:val="32987847"/>
    <w:rsid w:val="329A19B6"/>
    <w:rsid w:val="329E6876"/>
    <w:rsid w:val="32A67A2B"/>
    <w:rsid w:val="32B227A8"/>
    <w:rsid w:val="32CB3495"/>
    <w:rsid w:val="32CD4500"/>
    <w:rsid w:val="32D0288E"/>
    <w:rsid w:val="32D07F60"/>
    <w:rsid w:val="32E0767A"/>
    <w:rsid w:val="32EA73D6"/>
    <w:rsid w:val="32ED1692"/>
    <w:rsid w:val="32F56796"/>
    <w:rsid w:val="32FD2C57"/>
    <w:rsid w:val="330501EB"/>
    <w:rsid w:val="33093FF2"/>
    <w:rsid w:val="330B1702"/>
    <w:rsid w:val="33137810"/>
    <w:rsid w:val="33137AD9"/>
    <w:rsid w:val="331A39A4"/>
    <w:rsid w:val="33257DD2"/>
    <w:rsid w:val="3326299B"/>
    <w:rsid w:val="332B4E5A"/>
    <w:rsid w:val="333015F2"/>
    <w:rsid w:val="333746BC"/>
    <w:rsid w:val="334119DE"/>
    <w:rsid w:val="33420A34"/>
    <w:rsid w:val="334B174B"/>
    <w:rsid w:val="334B6320"/>
    <w:rsid w:val="33527B1A"/>
    <w:rsid w:val="33534EB4"/>
    <w:rsid w:val="33550FE6"/>
    <w:rsid w:val="33566037"/>
    <w:rsid w:val="33614549"/>
    <w:rsid w:val="336C2DA6"/>
    <w:rsid w:val="336D075B"/>
    <w:rsid w:val="33790079"/>
    <w:rsid w:val="337A32F6"/>
    <w:rsid w:val="337B4EF0"/>
    <w:rsid w:val="33912459"/>
    <w:rsid w:val="33937379"/>
    <w:rsid w:val="339C39E3"/>
    <w:rsid w:val="33A069E3"/>
    <w:rsid w:val="33A4038C"/>
    <w:rsid w:val="33A44E48"/>
    <w:rsid w:val="33A8380B"/>
    <w:rsid w:val="33BE394D"/>
    <w:rsid w:val="33CD5020"/>
    <w:rsid w:val="33CF0E73"/>
    <w:rsid w:val="33CF519B"/>
    <w:rsid w:val="33D934D4"/>
    <w:rsid w:val="33DF6B01"/>
    <w:rsid w:val="33E32A95"/>
    <w:rsid w:val="33EF414B"/>
    <w:rsid w:val="33FE2F6A"/>
    <w:rsid w:val="33FF010C"/>
    <w:rsid w:val="340078EA"/>
    <w:rsid w:val="34036BF0"/>
    <w:rsid w:val="340A58A9"/>
    <w:rsid w:val="340A7BE9"/>
    <w:rsid w:val="340E07E5"/>
    <w:rsid w:val="341037F9"/>
    <w:rsid w:val="3414636B"/>
    <w:rsid w:val="34167CAC"/>
    <w:rsid w:val="34221C51"/>
    <w:rsid w:val="34235BF7"/>
    <w:rsid w:val="34296EAD"/>
    <w:rsid w:val="343230D5"/>
    <w:rsid w:val="3437693D"/>
    <w:rsid w:val="34404EC0"/>
    <w:rsid w:val="344338B7"/>
    <w:rsid w:val="34443F98"/>
    <w:rsid w:val="34480B4A"/>
    <w:rsid w:val="344A041F"/>
    <w:rsid w:val="344C23E9"/>
    <w:rsid w:val="345222A7"/>
    <w:rsid w:val="345D61AB"/>
    <w:rsid w:val="346B7DD3"/>
    <w:rsid w:val="34733611"/>
    <w:rsid w:val="34744F01"/>
    <w:rsid w:val="347B7980"/>
    <w:rsid w:val="348D1B89"/>
    <w:rsid w:val="349B6ECC"/>
    <w:rsid w:val="34A0681D"/>
    <w:rsid w:val="34A97C1F"/>
    <w:rsid w:val="34AC2A00"/>
    <w:rsid w:val="34B00BC9"/>
    <w:rsid w:val="34B63D06"/>
    <w:rsid w:val="34B903C2"/>
    <w:rsid w:val="34C401D1"/>
    <w:rsid w:val="34C522F6"/>
    <w:rsid w:val="34C80DED"/>
    <w:rsid w:val="34D03280"/>
    <w:rsid w:val="34D42762"/>
    <w:rsid w:val="34DE56BA"/>
    <w:rsid w:val="34DF3626"/>
    <w:rsid w:val="34E56D6B"/>
    <w:rsid w:val="34E72111"/>
    <w:rsid w:val="34E84BC6"/>
    <w:rsid w:val="34F82570"/>
    <w:rsid w:val="35081A66"/>
    <w:rsid w:val="350C5A51"/>
    <w:rsid w:val="351624CD"/>
    <w:rsid w:val="35183DAA"/>
    <w:rsid w:val="352275ED"/>
    <w:rsid w:val="352A7E2B"/>
    <w:rsid w:val="352C4BF1"/>
    <w:rsid w:val="353024AA"/>
    <w:rsid w:val="353115DE"/>
    <w:rsid w:val="353225A7"/>
    <w:rsid w:val="35351C58"/>
    <w:rsid w:val="35380BBF"/>
    <w:rsid w:val="35383095"/>
    <w:rsid w:val="35386E11"/>
    <w:rsid w:val="353A4937"/>
    <w:rsid w:val="354141C2"/>
    <w:rsid w:val="354C01C6"/>
    <w:rsid w:val="354D36E8"/>
    <w:rsid w:val="35596680"/>
    <w:rsid w:val="356B4AF0"/>
    <w:rsid w:val="357414A1"/>
    <w:rsid w:val="35744025"/>
    <w:rsid w:val="358C0518"/>
    <w:rsid w:val="358C5FA8"/>
    <w:rsid w:val="35995B65"/>
    <w:rsid w:val="35A72862"/>
    <w:rsid w:val="35A73B33"/>
    <w:rsid w:val="35AD48C9"/>
    <w:rsid w:val="35B33C82"/>
    <w:rsid w:val="35B874C9"/>
    <w:rsid w:val="35C15DF1"/>
    <w:rsid w:val="35C41ED1"/>
    <w:rsid w:val="35D04671"/>
    <w:rsid w:val="35D8395F"/>
    <w:rsid w:val="35E6061B"/>
    <w:rsid w:val="35EF127D"/>
    <w:rsid w:val="35FF7683"/>
    <w:rsid w:val="36050AA1"/>
    <w:rsid w:val="360743BE"/>
    <w:rsid w:val="36074A7F"/>
    <w:rsid w:val="360D7A34"/>
    <w:rsid w:val="361A2073"/>
    <w:rsid w:val="362F59AC"/>
    <w:rsid w:val="36366866"/>
    <w:rsid w:val="363E740F"/>
    <w:rsid w:val="36433DF6"/>
    <w:rsid w:val="364842CB"/>
    <w:rsid w:val="364911FB"/>
    <w:rsid w:val="3651018A"/>
    <w:rsid w:val="366D4898"/>
    <w:rsid w:val="366F2905"/>
    <w:rsid w:val="36743179"/>
    <w:rsid w:val="367F572D"/>
    <w:rsid w:val="36807682"/>
    <w:rsid w:val="36831A63"/>
    <w:rsid w:val="368545F9"/>
    <w:rsid w:val="368E1F85"/>
    <w:rsid w:val="36923549"/>
    <w:rsid w:val="3694710E"/>
    <w:rsid w:val="369F74EB"/>
    <w:rsid w:val="36A4650C"/>
    <w:rsid w:val="36B43282"/>
    <w:rsid w:val="36B52FFA"/>
    <w:rsid w:val="36B75FBF"/>
    <w:rsid w:val="36BD0C45"/>
    <w:rsid w:val="36C7044C"/>
    <w:rsid w:val="36D01329"/>
    <w:rsid w:val="36DF4B00"/>
    <w:rsid w:val="36E26E3F"/>
    <w:rsid w:val="36E40B27"/>
    <w:rsid w:val="36E96A89"/>
    <w:rsid w:val="36EC3A0F"/>
    <w:rsid w:val="36F124CE"/>
    <w:rsid w:val="36F1357C"/>
    <w:rsid w:val="36F60A67"/>
    <w:rsid w:val="36F6663C"/>
    <w:rsid w:val="36F668C1"/>
    <w:rsid w:val="36F81E2B"/>
    <w:rsid w:val="370B18C5"/>
    <w:rsid w:val="371758A5"/>
    <w:rsid w:val="371F3DE4"/>
    <w:rsid w:val="372968ED"/>
    <w:rsid w:val="373977E6"/>
    <w:rsid w:val="373B7A62"/>
    <w:rsid w:val="3747282E"/>
    <w:rsid w:val="3749643F"/>
    <w:rsid w:val="37553CF1"/>
    <w:rsid w:val="376872BA"/>
    <w:rsid w:val="376C5EA5"/>
    <w:rsid w:val="377B1675"/>
    <w:rsid w:val="378B147A"/>
    <w:rsid w:val="378C325B"/>
    <w:rsid w:val="378D5C8F"/>
    <w:rsid w:val="37936580"/>
    <w:rsid w:val="379647B9"/>
    <w:rsid w:val="37993178"/>
    <w:rsid w:val="37A405E9"/>
    <w:rsid w:val="37B40066"/>
    <w:rsid w:val="37C30876"/>
    <w:rsid w:val="37C408EB"/>
    <w:rsid w:val="37CE542D"/>
    <w:rsid w:val="37D31AFF"/>
    <w:rsid w:val="37DA3E45"/>
    <w:rsid w:val="37DE77FC"/>
    <w:rsid w:val="37E00298"/>
    <w:rsid w:val="37E21982"/>
    <w:rsid w:val="37E53BB2"/>
    <w:rsid w:val="37EF18F6"/>
    <w:rsid w:val="37F51C38"/>
    <w:rsid w:val="37F576F3"/>
    <w:rsid w:val="37FB0458"/>
    <w:rsid w:val="37FC6201"/>
    <w:rsid w:val="38130F90"/>
    <w:rsid w:val="38134A0C"/>
    <w:rsid w:val="38146272"/>
    <w:rsid w:val="38164407"/>
    <w:rsid w:val="38207E14"/>
    <w:rsid w:val="38376F0C"/>
    <w:rsid w:val="3839770B"/>
    <w:rsid w:val="383C4774"/>
    <w:rsid w:val="3846002D"/>
    <w:rsid w:val="38563836"/>
    <w:rsid w:val="386C4C0F"/>
    <w:rsid w:val="3870241E"/>
    <w:rsid w:val="38735CD5"/>
    <w:rsid w:val="38793253"/>
    <w:rsid w:val="387C3632"/>
    <w:rsid w:val="38877E93"/>
    <w:rsid w:val="38AA3B82"/>
    <w:rsid w:val="38AE3C49"/>
    <w:rsid w:val="38B302F9"/>
    <w:rsid w:val="38BE762D"/>
    <w:rsid w:val="38BF5BB4"/>
    <w:rsid w:val="38C22C79"/>
    <w:rsid w:val="38C83EBE"/>
    <w:rsid w:val="38C92FF7"/>
    <w:rsid w:val="38CE71C8"/>
    <w:rsid w:val="38D011D5"/>
    <w:rsid w:val="38D93D94"/>
    <w:rsid w:val="38DF5DC6"/>
    <w:rsid w:val="38EA2119"/>
    <w:rsid w:val="38F12CD3"/>
    <w:rsid w:val="38F94775"/>
    <w:rsid w:val="38FD0155"/>
    <w:rsid w:val="390A63CE"/>
    <w:rsid w:val="390C7F5C"/>
    <w:rsid w:val="391316F5"/>
    <w:rsid w:val="391756E1"/>
    <w:rsid w:val="39182F97"/>
    <w:rsid w:val="391B6FBC"/>
    <w:rsid w:val="3920253D"/>
    <w:rsid w:val="39277A44"/>
    <w:rsid w:val="392971ED"/>
    <w:rsid w:val="392A5BA3"/>
    <w:rsid w:val="39316051"/>
    <w:rsid w:val="39325651"/>
    <w:rsid w:val="39373D7C"/>
    <w:rsid w:val="393A4BBC"/>
    <w:rsid w:val="39430C4D"/>
    <w:rsid w:val="39431C27"/>
    <w:rsid w:val="394A0273"/>
    <w:rsid w:val="394A4C3B"/>
    <w:rsid w:val="3950297B"/>
    <w:rsid w:val="39557F91"/>
    <w:rsid w:val="395A5721"/>
    <w:rsid w:val="395C53A1"/>
    <w:rsid w:val="396A50BF"/>
    <w:rsid w:val="396B7974"/>
    <w:rsid w:val="396C52DB"/>
    <w:rsid w:val="39760439"/>
    <w:rsid w:val="397A6077"/>
    <w:rsid w:val="39911DE0"/>
    <w:rsid w:val="399D0C7B"/>
    <w:rsid w:val="39A87E11"/>
    <w:rsid w:val="39AB54E4"/>
    <w:rsid w:val="39AE1450"/>
    <w:rsid w:val="39B46758"/>
    <w:rsid w:val="39BE0047"/>
    <w:rsid w:val="39CD67BA"/>
    <w:rsid w:val="39CD6EFE"/>
    <w:rsid w:val="39CE1AF2"/>
    <w:rsid w:val="39E15381"/>
    <w:rsid w:val="39E25DBA"/>
    <w:rsid w:val="39E9692C"/>
    <w:rsid w:val="39EB2068"/>
    <w:rsid w:val="39EB26A4"/>
    <w:rsid w:val="39EE6BF8"/>
    <w:rsid w:val="39FB2916"/>
    <w:rsid w:val="3A006844"/>
    <w:rsid w:val="3A145757"/>
    <w:rsid w:val="3A146692"/>
    <w:rsid w:val="3A14701E"/>
    <w:rsid w:val="3A1A2FA8"/>
    <w:rsid w:val="3A294369"/>
    <w:rsid w:val="3A2C628E"/>
    <w:rsid w:val="3A343DC2"/>
    <w:rsid w:val="3A3C2633"/>
    <w:rsid w:val="3A433F47"/>
    <w:rsid w:val="3A486714"/>
    <w:rsid w:val="3A4A73CA"/>
    <w:rsid w:val="3A526DA7"/>
    <w:rsid w:val="3A5703D0"/>
    <w:rsid w:val="3A644A9D"/>
    <w:rsid w:val="3A647D60"/>
    <w:rsid w:val="3A754905"/>
    <w:rsid w:val="3A775CE5"/>
    <w:rsid w:val="3A787E4E"/>
    <w:rsid w:val="3A824DB6"/>
    <w:rsid w:val="3A833317"/>
    <w:rsid w:val="3A872856"/>
    <w:rsid w:val="3A8A3C6B"/>
    <w:rsid w:val="3A996C09"/>
    <w:rsid w:val="3A9C1CB4"/>
    <w:rsid w:val="3AA14EC7"/>
    <w:rsid w:val="3AA52853"/>
    <w:rsid w:val="3AA60379"/>
    <w:rsid w:val="3AAC2BCC"/>
    <w:rsid w:val="3AB1708F"/>
    <w:rsid w:val="3AB63C38"/>
    <w:rsid w:val="3AC045B3"/>
    <w:rsid w:val="3AC3717D"/>
    <w:rsid w:val="3AC65C42"/>
    <w:rsid w:val="3AC952CB"/>
    <w:rsid w:val="3ADB2718"/>
    <w:rsid w:val="3ADF2DBC"/>
    <w:rsid w:val="3AF37A62"/>
    <w:rsid w:val="3AF47336"/>
    <w:rsid w:val="3AF84DE5"/>
    <w:rsid w:val="3AFB455A"/>
    <w:rsid w:val="3AFB6916"/>
    <w:rsid w:val="3B000857"/>
    <w:rsid w:val="3B020DF9"/>
    <w:rsid w:val="3B075A05"/>
    <w:rsid w:val="3B09606F"/>
    <w:rsid w:val="3B0C0B24"/>
    <w:rsid w:val="3B194A06"/>
    <w:rsid w:val="3B223EA3"/>
    <w:rsid w:val="3B2C2F74"/>
    <w:rsid w:val="3B3763D1"/>
    <w:rsid w:val="3B3B0AF6"/>
    <w:rsid w:val="3B3D102B"/>
    <w:rsid w:val="3B4076D5"/>
    <w:rsid w:val="3B4F0A10"/>
    <w:rsid w:val="3B4F3E90"/>
    <w:rsid w:val="3B8013C1"/>
    <w:rsid w:val="3B903503"/>
    <w:rsid w:val="3B911029"/>
    <w:rsid w:val="3B950B19"/>
    <w:rsid w:val="3B9823B7"/>
    <w:rsid w:val="3B996E67"/>
    <w:rsid w:val="3B9B6C01"/>
    <w:rsid w:val="3BB0360B"/>
    <w:rsid w:val="3BB14054"/>
    <w:rsid w:val="3BB43CAB"/>
    <w:rsid w:val="3BC74898"/>
    <w:rsid w:val="3BCB62E9"/>
    <w:rsid w:val="3BCC6E16"/>
    <w:rsid w:val="3BCD4B37"/>
    <w:rsid w:val="3BD974BB"/>
    <w:rsid w:val="3BEF756B"/>
    <w:rsid w:val="3BFD50F1"/>
    <w:rsid w:val="3C096E11"/>
    <w:rsid w:val="3C0E0E80"/>
    <w:rsid w:val="3C0E4317"/>
    <w:rsid w:val="3C17063C"/>
    <w:rsid w:val="3C2B6D87"/>
    <w:rsid w:val="3C2E0626"/>
    <w:rsid w:val="3C2F6E1E"/>
    <w:rsid w:val="3C304545"/>
    <w:rsid w:val="3C3A5E97"/>
    <w:rsid w:val="3C447867"/>
    <w:rsid w:val="3C4F64BA"/>
    <w:rsid w:val="3C523B12"/>
    <w:rsid w:val="3C555FA1"/>
    <w:rsid w:val="3C5A696E"/>
    <w:rsid w:val="3C5C30D4"/>
    <w:rsid w:val="3C5F5703"/>
    <w:rsid w:val="3C5F7A6E"/>
    <w:rsid w:val="3C683721"/>
    <w:rsid w:val="3C764003"/>
    <w:rsid w:val="3C77094C"/>
    <w:rsid w:val="3C7C3A87"/>
    <w:rsid w:val="3C813B4A"/>
    <w:rsid w:val="3C85293C"/>
    <w:rsid w:val="3C890376"/>
    <w:rsid w:val="3C8F4B18"/>
    <w:rsid w:val="3C9C1A33"/>
    <w:rsid w:val="3CA40D04"/>
    <w:rsid w:val="3CA83F1F"/>
    <w:rsid w:val="3CAC611A"/>
    <w:rsid w:val="3CB13CF2"/>
    <w:rsid w:val="3CB23005"/>
    <w:rsid w:val="3CB3037C"/>
    <w:rsid w:val="3CBF282D"/>
    <w:rsid w:val="3CCB2319"/>
    <w:rsid w:val="3CCC056A"/>
    <w:rsid w:val="3CCF578C"/>
    <w:rsid w:val="3CD35FEC"/>
    <w:rsid w:val="3CD4741F"/>
    <w:rsid w:val="3CD50FDD"/>
    <w:rsid w:val="3CDA245A"/>
    <w:rsid w:val="3CDE6559"/>
    <w:rsid w:val="3CE753A4"/>
    <w:rsid w:val="3CEF6007"/>
    <w:rsid w:val="3CF96461"/>
    <w:rsid w:val="3CFD42CE"/>
    <w:rsid w:val="3D05582A"/>
    <w:rsid w:val="3D0D1B9A"/>
    <w:rsid w:val="3D143CBF"/>
    <w:rsid w:val="3D157D3C"/>
    <w:rsid w:val="3D194D28"/>
    <w:rsid w:val="3D1D62BE"/>
    <w:rsid w:val="3D1E069A"/>
    <w:rsid w:val="3D1E06B7"/>
    <w:rsid w:val="3D25438B"/>
    <w:rsid w:val="3D254E4B"/>
    <w:rsid w:val="3D40725F"/>
    <w:rsid w:val="3D4520CB"/>
    <w:rsid w:val="3D556834"/>
    <w:rsid w:val="3D5D5666"/>
    <w:rsid w:val="3D5E45EF"/>
    <w:rsid w:val="3D5F03AC"/>
    <w:rsid w:val="3D6066C5"/>
    <w:rsid w:val="3D6E7EA5"/>
    <w:rsid w:val="3D7749C1"/>
    <w:rsid w:val="3D7B789B"/>
    <w:rsid w:val="3D86457E"/>
    <w:rsid w:val="3D8750E1"/>
    <w:rsid w:val="3D8C5F4C"/>
    <w:rsid w:val="3D944C62"/>
    <w:rsid w:val="3D9917FC"/>
    <w:rsid w:val="3D9D1F07"/>
    <w:rsid w:val="3DB36A70"/>
    <w:rsid w:val="3DB57746"/>
    <w:rsid w:val="3DBE142A"/>
    <w:rsid w:val="3DD11BB1"/>
    <w:rsid w:val="3DEE0CBE"/>
    <w:rsid w:val="3DF37D79"/>
    <w:rsid w:val="3E000EA2"/>
    <w:rsid w:val="3E014244"/>
    <w:rsid w:val="3E043D34"/>
    <w:rsid w:val="3E046B50"/>
    <w:rsid w:val="3E0472BD"/>
    <w:rsid w:val="3E06185A"/>
    <w:rsid w:val="3E0F4BB5"/>
    <w:rsid w:val="3E22407A"/>
    <w:rsid w:val="3E24581A"/>
    <w:rsid w:val="3E2B1CC9"/>
    <w:rsid w:val="3E3A7756"/>
    <w:rsid w:val="3E3D40DE"/>
    <w:rsid w:val="3E4761D0"/>
    <w:rsid w:val="3E5527E2"/>
    <w:rsid w:val="3E586076"/>
    <w:rsid w:val="3E5B0DE5"/>
    <w:rsid w:val="3E6B5D7B"/>
    <w:rsid w:val="3E74207E"/>
    <w:rsid w:val="3E7908C6"/>
    <w:rsid w:val="3E7B0C9A"/>
    <w:rsid w:val="3E7E3AE6"/>
    <w:rsid w:val="3E88226F"/>
    <w:rsid w:val="3EA00DD4"/>
    <w:rsid w:val="3EA87CAE"/>
    <w:rsid w:val="3EAF50C1"/>
    <w:rsid w:val="3EB028D5"/>
    <w:rsid w:val="3EB63EB8"/>
    <w:rsid w:val="3EB94B1E"/>
    <w:rsid w:val="3EBE2F10"/>
    <w:rsid w:val="3EBF15BC"/>
    <w:rsid w:val="3EC22231"/>
    <w:rsid w:val="3EC456A8"/>
    <w:rsid w:val="3EC86B10"/>
    <w:rsid w:val="3ECF0697"/>
    <w:rsid w:val="3EDA0523"/>
    <w:rsid w:val="3EDE27D7"/>
    <w:rsid w:val="3EE14075"/>
    <w:rsid w:val="3EE31B9B"/>
    <w:rsid w:val="3EF75647"/>
    <w:rsid w:val="3EFA547A"/>
    <w:rsid w:val="3F0503C1"/>
    <w:rsid w:val="3F0E1974"/>
    <w:rsid w:val="3F1100F4"/>
    <w:rsid w:val="3F1A7DFC"/>
    <w:rsid w:val="3F1D39BD"/>
    <w:rsid w:val="3F1F701B"/>
    <w:rsid w:val="3F3603B6"/>
    <w:rsid w:val="3F3E3276"/>
    <w:rsid w:val="3F3F1FAD"/>
    <w:rsid w:val="3F4440B6"/>
    <w:rsid w:val="3F473ED8"/>
    <w:rsid w:val="3F4A5C66"/>
    <w:rsid w:val="3F644DDA"/>
    <w:rsid w:val="3F783DDA"/>
    <w:rsid w:val="3F7B1B55"/>
    <w:rsid w:val="3F827A25"/>
    <w:rsid w:val="3F8C23A0"/>
    <w:rsid w:val="3F9A6251"/>
    <w:rsid w:val="3F9B06C8"/>
    <w:rsid w:val="3F9B5B59"/>
    <w:rsid w:val="3FA3179F"/>
    <w:rsid w:val="3FA35269"/>
    <w:rsid w:val="3FA55765"/>
    <w:rsid w:val="3FAB7117"/>
    <w:rsid w:val="3FB425B6"/>
    <w:rsid w:val="3FD14F4B"/>
    <w:rsid w:val="3FE1257F"/>
    <w:rsid w:val="3FE96D7A"/>
    <w:rsid w:val="3FF06AA9"/>
    <w:rsid w:val="3FF676AC"/>
    <w:rsid w:val="3FF81676"/>
    <w:rsid w:val="4001677D"/>
    <w:rsid w:val="4004001B"/>
    <w:rsid w:val="40061FE5"/>
    <w:rsid w:val="40073F99"/>
    <w:rsid w:val="401A22F5"/>
    <w:rsid w:val="401C11C7"/>
    <w:rsid w:val="40224945"/>
    <w:rsid w:val="40295CD4"/>
    <w:rsid w:val="40322DDA"/>
    <w:rsid w:val="4038621E"/>
    <w:rsid w:val="403E724A"/>
    <w:rsid w:val="40542FD2"/>
    <w:rsid w:val="405515B2"/>
    <w:rsid w:val="40586FB6"/>
    <w:rsid w:val="405C01C7"/>
    <w:rsid w:val="405C6E5E"/>
    <w:rsid w:val="4060053A"/>
    <w:rsid w:val="40615CD2"/>
    <w:rsid w:val="40644F5E"/>
    <w:rsid w:val="406F1FB4"/>
    <w:rsid w:val="40705447"/>
    <w:rsid w:val="40730CFD"/>
    <w:rsid w:val="407A6407"/>
    <w:rsid w:val="407F02FD"/>
    <w:rsid w:val="408C19F2"/>
    <w:rsid w:val="408C5FAA"/>
    <w:rsid w:val="408D4731"/>
    <w:rsid w:val="409518E1"/>
    <w:rsid w:val="409F2538"/>
    <w:rsid w:val="40A773F9"/>
    <w:rsid w:val="40BE403E"/>
    <w:rsid w:val="40BE6018"/>
    <w:rsid w:val="40C1415E"/>
    <w:rsid w:val="40C420AF"/>
    <w:rsid w:val="40C559FD"/>
    <w:rsid w:val="40CC2318"/>
    <w:rsid w:val="40CC49D5"/>
    <w:rsid w:val="40CF7C42"/>
    <w:rsid w:val="40D27CCF"/>
    <w:rsid w:val="40E33B94"/>
    <w:rsid w:val="40FE0F0E"/>
    <w:rsid w:val="41073CEE"/>
    <w:rsid w:val="410F2445"/>
    <w:rsid w:val="411B7774"/>
    <w:rsid w:val="412344D1"/>
    <w:rsid w:val="41250249"/>
    <w:rsid w:val="413A5F5B"/>
    <w:rsid w:val="414A04D2"/>
    <w:rsid w:val="414A7CB0"/>
    <w:rsid w:val="414B08D8"/>
    <w:rsid w:val="415A7094"/>
    <w:rsid w:val="41630D72"/>
    <w:rsid w:val="416408F0"/>
    <w:rsid w:val="41667FD4"/>
    <w:rsid w:val="4168282C"/>
    <w:rsid w:val="41791ECF"/>
    <w:rsid w:val="41821DBA"/>
    <w:rsid w:val="41831414"/>
    <w:rsid w:val="418F25D1"/>
    <w:rsid w:val="419358C0"/>
    <w:rsid w:val="41A86313"/>
    <w:rsid w:val="41AF2209"/>
    <w:rsid w:val="41BA41D8"/>
    <w:rsid w:val="41BA63E3"/>
    <w:rsid w:val="41BE41FA"/>
    <w:rsid w:val="41C2673D"/>
    <w:rsid w:val="41CC6DF9"/>
    <w:rsid w:val="41CE44A4"/>
    <w:rsid w:val="41D103D1"/>
    <w:rsid w:val="41D16A34"/>
    <w:rsid w:val="41D2089E"/>
    <w:rsid w:val="41D67795"/>
    <w:rsid w:val="41DA54D8"/>
    <w:rsid w:val="41DC6773"/>
    <w:rsid w:val="41DD0B24"/>
    <w:rsid w:val="41DF7CA5"/>
    <w:rsid w:val="41E57B4F"/>
    <w:rsid w:val="41E719A3"/>
    <w:rsid w:val="41EF0857"/>
    <w:rsid w:val="41F31A5A"/>
    <w:rsid w:val="41F560D9"/>
    <w:rsid w:val="4200449D"/>
    <w:rsid w:val="420E21CB"/>
    <w:rsid w:val="421554ED"/>
    <w:rsid w:val="421A4FA8"/>
    <w:rsid w:val="42254279"/>
    <w:rsid w:val="42295B17"/>
    <w:rsid w:val="42383A3D"/>
    <w:rsid w:val="423A3BCC"/>
    <w:rsid w:val="424E57D2"/>
    <w:rsid w:val="42562684"/>
    <w:rsid w:val="42566253"/>
    <w:rsid w:val="42613503"/>
    <w:rsid w:val="42641245"/>
    <w:rsid w:val="42655249"/>
    <w:rsid w:val="426C26DC"/>
    <w:rsid w:val="426D00FA"/>
    <w:rsid w:val="42756FAE"/>
    <w:rsid w:val="427E3404"/>
    <w:rsid w:val="42843695"/>
    <w:rsid w:val="42870A90"/>
    <w:rsid w:val="42934292"/>
    <w:rsid w:val="42984A4B"/>
    <w:rsid w:val="429B6141"/>
    <w:rsid w:val="42A13084"/>
    <w:rsid w:val="42A17DA3"/>
    <w:rsid w:val="42A80EA5"/>
    <w:rsid w:val="42B06238"/>
    <w:rsid w:val="42B26C49"/>
    <w:rsid w:val="42BD41BD"/>
    <w:rsid w:val="42C4780B"/>
    <w:rsid w:val="42C74649"/>
    <w:rsid w:val="42D15E3F"/>
    <w:rsid w:val="42EE0B0F"/>
    <w:rsid w:val="42F11EE3"/>
    <w:rsid w:val="43066595"/>
    <w:rsid w:val="43081BD1"/>
    <w:rsid w:val="430A7932"/>
    <w:rsid w:val="43160791"/>
    <w:rsid w:val="431D24B5"/>
    <w:rsid w:val="43211C94"/>
    <w:rsid w:val="432509D4"/>
    <w:rsid w:val="43262FC3"/>
    <w:rsid w:val="432B3B11"/>
    <w:rsid w:val="432F3BE9"/>
    <w:rsid w:val="43335634"/>
    <w:rsid w:val="43370D9F"/>
    <w:rsid w:val="433A6FE6"/>
    <w:rsid w:val="43452E0E"/>
    <w:rsid w:val="4345547B"/>
    <w:rsid w:val="43462B7D"/>
    <w:rsid w:val="434750C5"/>
    <w:rsid w:val="43480868"/>
    <w:rsid w:val="4350713C"/>
    <w:rsid w:val="4359242C"/>
    <w:rsid w:val="435F277F"/>
    <w:rsid w:val="43655275"/>
    <w:rsid w:val="436653E0"/>
    <w:rsid w:val="43673FCD"/>
    <w:rsid w:val="43686B13"/>
    <w:rsid w:val="436E55D2"/>
    <w:rsid w:val="43747266"/>
    <w:rsid w:val="438A21A6"/>
    <w:rsid w:val="438F117D"/>
    <w:rsid w:val="438F68EE"/>
    <w:rsid w:val="439100B9"/>
    <w:rsid w:val="43963F02"/>
    <w:rsid w:val="439809ED"/>
    <w:rsid w:val="43A0005B"/>
    <w:rsid w:val="43A86F10"/>
    <w:rsid w:val="43B24FFD"/>
    <w:rsid w:val="43B53CF8"/>
    <w:rsid w:val="43B72F41"/>
    <w:rsid w:val="43C4431A"/>
    <w:rsid w:val="43C46DCD"/>
    <w:rsid w:val="43E527D8"/>
    <w:rsid w:val="43E82B64"/>
    <w:rsid w:val="43EA7528"/>
    <w:rsid w:val="43FB21A7"/>
    <w:rsid w:val="43FD36FF"/>
    <w:rsid w:val="44060890"/>
    <w:rsid w:val="4407632C"/>
    <w:rsid w:val="4408686A"/>
    <w:rsid w:val="440A1AA8"/>
    <w:rsid w:val="440C6FD6"/>
    <w:rsid w:val="440D67C3"/>
    <w:rsid w:val="440E421E"/>
    <w:rsid w:val="441D403E"/>
    <w:rsid w:val="44250560"/>
    <w:rsid w:val="44286E9F"/>
    <w:rsid w:val="4430777D"/>
    <w:rsid w:val="4436353A"/>
    <w:rsid w:val="44363EA2"/>
    <w:rsid w:val="443749C3"/>
    <w:rsid w:val="443F5AC6"/>
    <w:rsid w:val="44441520"/>
    <w:rsid w:val="444634B9"/>
    <w:rsid w:val="444C5A43"/>
    <w:rsid w:val="44501A81"/>
    <w:rsid w:val="44625C5D"/>
    <w:rsid w:val="44654650"/>
    <w:rsid w:val="446A11D0"/>
    <w:rsid w:val="447C21D5"/>
    <w:rsid w:val="447D5BC2"/>
    <w:rsid w:val="448E4357"/>
    <w:rsid w:val="44971E42"/>
    <w:rsid w:val="4498417F"/>
    <w:rsid w:val="449C4CC6"/>
    <w:rsid w:val="449F422A"/>
    <w:rsid w:val="44A92F3F"/>
    <w:rsid w:val="44AC2A30"/>
    <w:rsid w:val="44B00772"/>
    <w:rsid w:val="44B951CC"/>
    <w:rsid w:val="44BA7815"/>
    <w:rsid w:val="44CD14E0"/>
    <w:rsid w:val="44D30E02"/>
    <w:rsid w:val="44DD0E3B"/>
    <w:rsid w:val="44DE1704"/>
    <w:rsid w:val="44E37CAB"/>
    <w:rsid w:val="44E54D19"/>
    <w:rsid w:val="44EB088C"/>
    <w:rsid w:val="44ED1D47"/>
    <w:rsid w:val="44EE129A"/>
    <w:rsid w:val="44F20B0B"/>
    <w:rsid w:val="45082830"/>
    <w:rsid w:val="450C43FF"/>
    <w:rsid w:val="451341CF"/>
    <w:rsid w:val="451C7BB5"/>
    <w:rsid w:val="45240818"/>
    <w:rsid w:val="452E5F4C"/>
    <w:rsid w:val="45341131"/>
    <w:rsid w:val="453C2005"/>
    <w:rsid w:val="4543393B"/>
    <w:rsid w:val="4545625B"/>
    <w:rsid w:val="45462E84"/>
    <w:rsid w:val="454A058C"/>
    <w:rsid w:val="454A4722"/>
    <w:rsid w:val="45522B57"/>
    <w:rsid w:val="455C682F"/>
    <w:rsid w:val="45612018"/>
    <w:rsid w:val="458946E9"/>
    <w:rsid w:val="459C4852"/>
    <w:rsid w:val="459F34B0"/>
    <w:rsid w:val="45A47C0E"/>
    <w:rsid w:val="45AD4CB1"/>
    <w:rsid w:val="45B71BDA"/>
    <w:rsid w:val="45B72FFE"/>
    <w:rsid w:val="45C06792"/>
    <w:rsid w:val="45E32481"/>
    <w:rsid w:val="45E67EBA"/>
    <w:rsid w:val="45F3102E"/>
    <w:rsid w:val="45F36008"/>
    <w:rsid w:val="45F4643C"/>
    <w:rsid w:val="45FC3543"/>
    <w:rsid w:val="45FE6141"/>
    <w:rsid w:val="46074F96"/>
    <w:rsid w:val="462654A7"/>
    <w:rsid w:val="46293E77"/>
    <w:rsid w:val="463158E2"/>
    <w:rsid w:val="46315F44"/>
    <w:rsid w:val="4634599A"/>
    <w:rsid w:val="4636719A"/>
    <w:rsid w:val="46380A1F"/>
    <w:rsid w:val="46484604"/>
    <w:rsid w:val="464C44CA"/>
    <w:rsid w:val="46544830"/>
    <w:rsid w:val="46577FD6"/>
    <w:rsid w:val="466A5B37"/>
    <w:rsid w:val="46753DDE"/>
    <w:rsid w:val="467F664E"/>
    <w:rsid w:val="46872DF6"/>
    <w:rsid w:val="468E61A0"/>
    <w:rsid w:val="4691012F"/>
    <w:rsid w:val="46916381"/>
    <w:rsid w:val="469704DB"/>
    <w:rsid w:val="46A41C10"/>
    <w:rsid w:val="46AF5843"/>
    <w:rsid w:val="46B502C1"/>
    <w:rsid w:val="46C2478C"/>
    <w:rsid w:val="46D02817"/>
    <w:rsid w:val="46D955A7"/>
    <w:rsid w:val="46DD3374"/>
    <w:rsid w:val="46DE2731"/>
    <w:rsid w:val="46E110B6"/>
    <w:rsid w:val="46E841F3"/>
    <w:rsid w:val="46F70E38"/>
    <w:rsid w:val="46F87D23"/>
    <w:rsid w:val="4706278D"/>
    <w:rsid w:val="47133957"/>
    <w:rsid w:val="471E5E67"/>
    <w:rsid w:val="47282C46"/>
    <w:rsid w:val="472925CC"/>
    <w:rsid w:val="47332F94"/>
    <w:rsid w:val="47333428"/>
    <w:rsid w:val="4734568A"/>
    <w:rsid w:val="47366A29"/>
    <w:rsid w:val="473E283E"/>
    <w:rsid w:val="47424128"/>
    <w:rsid w:val="47426FEB"/>
    <w:rsid w:val="47441E6B"/>
    <w:rsid w:val="47482EE3"/>
    <w:rsid w:val="475A3DA0"/>
    <w:rsid w:val="476700F6"/>
    <w:rsid w:val="47694C08"/>
    <w:rsid w:val="476D7B74"/>
    <w:rsid w:val="47721FA5"/>
    <w:rsid w:val="4774384B"/>
    <w:rsid w:val="47830560"/>
    <w:rsid w:val="478B4B7E"/>
    <w:rsid w:val="478F5D11"/>
    <w:rsid w:val="47906638"/>
    <w:rsid w:val="479F774D"/>
    <w:rsid w:val="47A07E0C"/>
    <w:rsid w:val="47A74EBD"/>
    <w:rsid w:val="47B10A89"/>
    <w:rsid w:val="47B769D0"/>
    <w:rsid w:val="47B9312A"/>
    <w:rsid w:val="47BD2CA7"/>
    <w:rsid w:val="47DB2FA2"/>
    <w:rsid w:val="47E519F2"/>
    <w:rsid w:val="47E744AA"/>
    <w:rsid w:val="480321E6"/>
    <w:rsid w:val="48043275"/>
    <w:rsid w:val="4805375F"/>
    <w:rsid w:val="480D0F5F"/>
    <w:rsid w:val="48253618"/>
    <w:rsid w:val="48332A7F"/>
    <w:rsid w:val="483B2143"/>
    <w:rsid w:val="48451034"/>
    <w:rsid w:val="484B7F45"/>
    <w:rsid w:val="485216E0"/>
    <w:rsid w:val="48591E73"/>
    <w:rsid w:val="48636034"/>
    <w:rsid w:val="48677ACC"/>
    <w:rsid w:val="48687DB9"/>
    <w:rsid w:val="4870272E"/>
    <w:rsid w:val="48711FC6"/>
    <w:rsid w:val="4886763A"/>
    <w:rsid w:val="488F2CC7"/>
    <w:rsid w:val="4892419C"/>
    <w:rsid w:val="489539FF"/>
    <w:rsid w:val="48AA3451"/>
    <w:rsid w:val="48B32183"/>
    <w:rsid w:val="48B56357"/>
    <w:rsid w:val="48B96F78"/>
    <w:rsid w:val="48C80D4B"/>
    <w:rsid w:val="48D767BD"/>
    <w:rsid w:val="48D81E4C"/>
    <w:rsid w:val="48DA061E"/>
    <w:rsid w:val="48E11085"/>
    <w:rsid w:val="48E531DE"/>
    <w:rsid w:val="48EB09B6"/>
    <w:rsid w:val="48FD4088"/>
    <w:rsid w:val="48FF517D"/>
    <w:rsid w:val="48FF5AE7"/>
    <w:rsid w:val="49000DF0"/>
    <w:rsid w:val="49003436"/>
    <w:rsid w:val="490C7F61"/>
    <w:rsid w:val="491456BA"/>
    <w:rsid w:val="491D214E"/>
    <w:rsid w:val="49277F17"/>
    <w:rsid w:val="492B03C7"/>
    <w:rsid w:val="493A685C"/>
    <w:rsid w:val="493E41E5"/>
    <w:rsid w:val="494470E9"/>
    <w:rsid w:val="49455908"/>
    <w:rsid w:val="494754FE"/>
    <w:rsid w:val="4948541D"/>
    <w:rsid w:val="494D2A33"/>
    <w:rsid w:val="4955220D"/>
    <w:rsid w:val="495B598B"/>
    <w:rsid w:val="495B779D"/>
    <w:rsid w:val="496F29A9"/>
    <w:rsid w:val="497E74D9"/>
    <w:rsid w:val="49840303"/>
    <w:rsid w:val="4986099E"/>
    <w:rsid w:val="498F4260"/>
    <w:rsid w:val="499205FD"/>
    <w:rsid w:val="499441BE"/>
    <w:rsid w:val="499A379E"/>
    <w:rsid w:val="499E5D83"/>
    <w:rsid w:val="49A563CB"/>
    <w:rsid w:val="49A72ACE"/>
    <w:rsid w:val="49AD5781"/>
    <w:rsid w:val="49B7342A"/>
    <w:rsid w:val="49B92BDE"/>
    <w:rsid w:val="49CB3958"/>
    <w:rsid w:val="49D22F38"/>
    <w:rsid w:val="49DC7715"/>
    <w:rsid w:val="49E05655"/>
    <w:rsid w:val="49E50646"/>
    <w:rsid w:val="49E54A1A"/>
    <w:rsid w:val="49ED4347"/>
    <w:rsid w:val="49F66C27"/>
    <w:rsid w:val="49F92273"/>
    <w:rsid w:val="49FE3D2D"/>
    <w:rsid w:val="4A023139"/>
    <w:rsid w:val="4A04467A"/>
    <w:rsid w:val="4A056E6A"/>
    <w:rsid w:val="4A064990"/>
    <w:rsid w:val="4A115D97"/>
    <w:rsid w:val="4A1F3214"/>
    <w:rsid w:val="4A1F4953"/>
    <w:rsid w:val="4A2F62D0"/>
    <w:rsid w:val="4A337E4F"/>
    <w:rsid w:val="4A375867"/>
    <w:rsid w:val="4A3E237C"/>
    <w:rsid w:val="4A4469AD"/>
    <w:rsid w:val="4A4D25BF"/>
    <w:rsid w:val="4A4F4E67"/>
    <w:rsid w:val="4A5A5CBA"/>
    <w:rsid w:val="4A5B2032"/>
    <w:rsid w:val="4A6126C8"/>
    <w:rsid w:val="4A671A50"/>
    <w:rsid w:val="4A6D4A0F"/>
    <w:rsid w:val="4A74059B"/>
    <w:rsid w:val="4A7560A2"/>
    <w:rsid w:val="4A7B576F"/>
    <w:rsid w:val="4A7E303F"/>
    <w:rsid w:val="4A827A02"/>
    <w:rsid w:val="4A8E6E5F"/>
    <w:rsid w:val="4A9B460E"/>
    <w:rsid w:val="4A9C71C4"/>
    <w:rsid w:val="4AA87194"/>
    <w:rsid w:val="4AAB140C"/>
    <w:rsid w:val="4AAC7653"/>
    <w:rsid w:val="4AAD01EC"/>
    <w:rsid w:val="4AAE3579"/>
    <w:rsid w:val="4ABD5996"/>
    <w:rsid w:val="4ABE526B"/>
    <w:rsid w:val="4AC00034"/>
    <w:rsid w:val="4ACC7D39"/>
    <w:rsid w:val="4AD52CE0"/>
    <w:rsid w:val="4AD53B11"/>
    <w:rsid w:val="4AE253FD"/>
    <w:rsid w:val="4AE32B45"/>
    <w:rsid w:val="4AE403EE"/>
    <w:rsid w:val="4AEC1DD8"/>
    <w:rsid w:val="4AEE78FE"/>
    <w:rsid w:val="4AEF126B"/>
    <w:rsid w:val="4AF561A9"/>
    <w:rsid w:val="4AFA2EF5"/>
    <w:rsid w:val="4B0F48B2"/>
    <w:rsid w:val="4B105053"/>
    <w:rsid w:val="4B18409A"/>
    <w:rsid w:val="4B1C0C8A"/>
    <w:rsid w:val="4B3814C1"/>
    <w:rsid w:val="4B3E124D"/>
    <w:rsid w:val="4B413ED2"/>
    <w:rsid w:val="4B4B1F76"/>
    <w:rsid w:val="4B4E2A92"/>
    <w:rsid w:val="4B55573D"/>
    <w:rsid w:val="4B5758E3"/>
    <w:rsid w:val="4B586142"/>
    <w:rsid w:val="4B5A6964"/>
    <w:rsid w:val="4B5D6832"/>
    <w:rsid w:val="4B62209A"/>
    <w:rsid w:val="4B6B4AB5"/>
    <w:rsid w:val="4B7668BA"/>
    <w:rsid w:val="4B7C13AE"/>
    <w:rsid w:val="4B820AC3"/>
    <w:rsid w:val="4B8D0AE6"/>
    <w:rsid w:val="4B8D7117"/>
    <w:rsid w:val="4B8D71BD"/>
    <w:rsid w:val="4B985ABC"/>
    <w:rsid w:val="4BA346AD"/>
    <w:rsid w:val="4BAF04A1"/>
    <w:rsid w:val="4BB26B7D"/>
    <w:rsid w:val="4BB328F5"/>
    <w:rsid w:val="4BF30F0E"/>
    <w:rsid w:val="4BF314B9"/>
    <w:rsid w:val="4BF453E8"/>
    <w:rsid w:val="4BF47196"/>
    <w:rsid w:val="4C03387D"/>
    <w:rsid w:val="4C0350D3"/>
    <w:rsid w:val="4C0418D1"/>
    <w:rsid w:val="4C084119"/>
    <w:rsid w:val="4C110693"/>
    <w:rsid w:val="4C1A515E"/>
    <w:rsid w:val="4C3D0F14"/>
    <w:rsid w:val="4C416153"/>
    <w:rsid w:val="4C4A0649"/>
    <w:rsid w:val="4C651A12"/>
    <w:rsid w:val="4C6E196F"/>
    <w:rsid w:val="4C744295"/>
    <w:rsid w:val="4C7E5ECA"/>
    <w:rsid w:val="4C87000A"/>
    <w:rsid w:val="4C876AA5"/>
    <w:rsid w:val="4C8C69F9"/>
    <w:rsid w:val="4CA02E7A"/>
    <w:rsid w:val="4CA935D5"/>
    <w:rsid w:val="4CAF1EB4"/>
    <w:rsid w:val="4CB86415"/>
    <w:rsid w:val="4CB96F72"/>
    <w:rsid w:val="4CBD430E"/>
    <w:rsid w:val="4CBF7BDC"/>
    <w:rsid w:val="4CC528E0"/>
    <w:rsid w:val="4CC6718A"/>
    <w:rsid w:val="4CDB0356"/>
    <w:rsid w:val="4CDE6805"/>
    <w:rsid w:val="4CDF101B"/>
    <w:rsid w:val="4CF03E01"/>
    <w:rsid w:val="4CF3569F"/>
    <w:rsid w:val="4D086D5D"/>
    <w:rsid w:val="4D087328"/>
    <w:rsid w:val="4D0E00FB"/>
    <w:rsid w:val="4D176606"/>
    <w:rsid w:val="4D176E22"/>
    <w:rsid w:val="4D227D33"/>
    <w:rsid w:val="4D2E66D8"/>
    <w:rsid w:val="4D2F3AE1"/>
    <w:rsid w:val="4D2F41FE"/>
    <w:rsid w:val="4D322EC2"/>
    <w:rsid w:val="4D3D691B"/>
    <w:rsid w:val="4D3F08E5"/>
    <w:rsid w:val="4D4128AF"/>
    <w:rsid w:val="4D4C2964"/>
    <w:rsid w:val="4D602609"/>
    <w:rsid w:val="4D6E11CA"/>
    <w:rsid w:val="4D73160D"/>
    <w:rsid w:val="4D740FB2"/>
    <w:rsid w:val="4D7F4451"/>
    <w:rsid w:val="4D8207D1"/>
    <w:rsid w:val="4D994499"/>
    <w:rsid w:val="4DA22C22"/>
    <w:rsid w:val="4DAB490D"/>
    <w:rsid w:val="4DC05EF6"/>
    <w:rsid w:val="4DC67679"/>
    <w:rsid w:val="4DC91DCC"/>
    <w:rsid w:val="4DD352FC"/>
    <w:rsid w:val="4DD73EAF"/>
    <w:rsid w:val="4DD94E85"/>
    <w:rsid w:val="4DDD3780"/>
    <w:rsid w:val="4DE51C18"/>
    <w:rsid w:val="4DE65204"/>
    <w:rsid w:val="4DE67521"/>
    <w:rsid w:val="4DEC4FB0"/>
    <w:rsid w:val="4DF84434"/>
    <w:rsid w:val="4DFC3DE1"/>
    <w:rsid w:val="4DFE60AA"/>
    <w:rsid w:val="4E0336C0"/>
    <w:rsid w:val="4E075D8A"/>
    <w:rsid w:val="4E0E24E3"/>
    <w:rsid w:val="4E121B55"/>
    <w:rsid w:val="4E1242EF"/>
    <w:rsid w:val="4E183A2C"/>
    <w:rsid w:val="4E1953C1"/>
    <w:rsid w:val="4E2B0E69"/>
    <w:rsid w:val="4E46088A"/>
    <w:rsid w:val="4E497E8D"/>
    <w:rsid w:val="4E4A2A5E"/>
    <w:rsid w:val="4E4A2CC0"/>
    <w:rsid w:val="4E4E1811"/>
    <w:rsid w:val="4E5114B2"/>
    <w:rsid w:val="4E5263F6"/>
    <w:rsid w:val="4E57324E"/>
    <w:rsid w:val="4E582329"/>
    <w:rsid w:val="4E5B174E"/>
    <w:rsid w:val="4E600B13"/>
    <w:rsid w:val="4E6A373F"/>
    <w:rsid w:val="4E6A782E"/>
    <w:rsid w:val="4E7B3BB7"/>
    <w:rsid w:val="4E7C16C5"/>
    <w:rsid w:val="4E806A11"/>
    <w:rsid w:val="4E830CA5"/>
    <w:rsid w:val="4E86609F"/>
    <w:rsid w:val="4E8D38D2"/>
    <w:rsid w:val="4E9437B3"/>
    <w:rsid w:val="4EB1136E"/>
    <w:rsid w:val="4EC00FAD"/>
    <w:rsid w:val="4EC63D8E"/>
    <w:rsid w:val="4ECA71B4"/>
    <w:rsid w:val="4ED901BE"/>
    <w:rsid w:val="4EDB63EB"/>
    <w:rsid w:val="4EE259CC"/>
    <w:rsid w:val="4EE334F2"/>
    <w:rsid w:val="4EE5726A"/>
    <w:rsid w:val="4EEC7F74"/>
    <w:rsid w:val="4EED611E"/>
    <w:rsid w:val="4EF15C0F"/>
    <w:rsid w:val="4EF179BD"/>
    <w:rsid w:val="4EFB5199"/>
    <w:rsid w:val="4EFF6CF5"/>
    <w:rsid w:val="4F0A6CD0"/>
    <w:rsid w:val="4F13372A"/>
    <w:rsid w:val="4F164111"/>
    <w:rsid w:val="4F187221"/>
    <w:rsid w:val="4F234D65"/>
    <w:rsid w:val="4F246F58"/>
    <w:rsid w:val="4F2F2872"/>
    <w:rsid w:val="4F430F32"/>
    <w:rsid w:val="4F4641AC"/>
    <w:rsid w:val="4F4E460C"/>
    <w:rsid w:val="4F51309D"/>
    <w:rsid w:val="4F576BF2"/>
    <w:rsid w:val="4F591223"/>
    <w:rsid w:val="4F5B752C"/>
    <w:rsid w:val="4F5D14F6"/>
    <w:rsid w:val="4F5E6AB0"/>
    <w:rsid w:val="4F611ED6"/>
    <w:rsid w:val="4F714FA1"/>
    <w:rsid w:val="4F7655AA"/>
    <w:rsid w:val="4F786330"/>
    <w:rsid w:val="4F8C340B"/>
    <w:rsid w:val="4F950C90"/>
    <w:rsid w:val="4F9825F6"/>
    <w:rsid w:val="4F9843DC"/>
    <w:rsid w:val="4FA1269F"/>
    <w:rsid w:val="4FA218E3"/>
    <w:rsid w:val="4FA27205"/>
    <w:rsid w:val="4FA42C81"/>
    <w:rsid w:val="4FA830FD"/>
    <w:rsid w:val="4FAA670D"/>
    <w:rsid w:val="4FAB400F"/>
    <w:rsid w:val="4FB235F0"/>
    <w:rsid w:val="4FB45527"/>
    <w:rsid w:val="4FC62A8C"/>
    <w:rsid w:val="4FC7239D"/>
    <w:rsid w:val="4FC7696F"/>
    <w:rsid w:val="4FD24B70"/>
    <w:rsid w:val="4FD532C3"/>
    <w:rsid w:val="4FDA2B47"/>
    <w:rsid w:val="4FE030B4"/>
    <w:rsid w:val="4FE20F0D"/>
    <w:rsid w:val="4FE51552"/>
    <w:rsid w:val="4FE82FB2"/>
    <w:rsid w:val="4FF260E2"/>
    <w:rsid w:val="4FF959C0"/>
    <w:rsid w:val="4FFD4A8B"/>
    <w:rsid w:val="50025BF9"/>
    <w:rsid w:val="50066209"/>
    <w:rsid w:val="500D4CCA"/>
    <w:rsid w:val="50106AF7"/>
    <w:rsid w:val="50144555"/>
    <w:rsid w:val="50153B7F"/>
    <w:rsid w:val="502A385F"/>
    <w:rsid w:val="50341C3D"/>
    <w:rsid w:val="503A35E5"/>
    <w:rsid w:val="50493613"/>
    <w:rsid w:val="50504C4B"/>
    <w:rsid w:val="50540B7D"/>
    <w:rsid w:val="50563AEF"/>
    <w:rsid w:val="50566671"/>
    <w:rsid w:val="505F0FDC"/>
    <w:rsid w:val="506210A0"/>
    <w:rsid w:val="50662CA9"/>
    <w:rsid w:val="50674C2E"/>
    <w:rsid w:val="50770396"/>
    <w:rsid w:val="5079666E"/>
    <w:rsid w:val="507B505B"/>
    <w:rsid w:val="507D3E97"/>
    <w:rsid w:val="50923421"/>
    <w:rsid w:val="5098144F"/>
    <w:rsid w:val="509C53B3"/>
    <w:rsid w:val="509C6E7C"/>
    <w:rsid w:val="509E3B74"/>
    <w:rsid w:val="50A20F00"/>
    <w:rsid w:val="50A33755"/>
    <w:rsid w:val="50A56CB1"/>
    <w:rsid w:val="50AF79B5"/>
    <w:rsid w:val="50B415EA"/>
    <w:rsid w:val="50C55835"/>
    <w:rsid w:val="50D04C66"/>
    <w:rsid w:val="50E579F5"/>
    <w:rsid w:val="50E772C9"/>
    <w:rsid w:val="50EA4B2C"/>
    <w:rsid w:val="50EB7222"/>
    <w:rsid w:val="50F33EC0"/>
    <w:rsid w:val="50F46847"/>
    <w:rsid w:val="50FB7E9B"/>
    <w:rsid w:val="51051E45"/>
    <w:rsid w:val="51075332"/>
    <w:rsid w:val="510A120A"/>
    <w:rsid w:val="5116195C"/>
    <w:rsid w:val="511B3D4E"/>
    <w:rsid w:val="5122709B"/>
    <w:rsid w:val="5124051D"/>
    <w:rsid w:val="51355E48"/>
    <w:rsid w:val="51375F6A"/>
    <w:rsid w:val="51475699"/>
    <w:rsid w:val="514C1F60"/>
    <w:rsid w:val="514E7348"/>
    <w:rsid w:val="51553DA4"/>
    <w:rsid w:val="5160707C"/>
    <w:rsid w:val="5162104E"/>
    <w:rsid w:val="51736DAF"/>
    <w:rsid w:val="517401CC"/>
    <w:rsid w:val="51960CEF"/>
    <w:rsid w:val="51A418F2"/>
    <w:rsid w:val="51BD627C"/>
    <w:rsid w:val="51C92E73"/>
    <w:rsid w:val="51C969CF"/>
    <w:rsid w:val="51CB6BEB"/>
    <w:rsid w:val="51CC09C4"/>
    <w:rsid w:val="51D11276"/>
    <w:rsid w:val="51DF6DAD"/>
    <w:rsid w:val="51EC645C"/>
    <w:rsid w:val="51FB465B"/>
    <w:rsid w:val="52024ADB"/>
    <w:rsid w:val="520302F0"/>
    <w:rsid w:val="520F3F2C"/>
    <w:rsid w:val="52151C14"/>
    <w:rsid w:val="521A36CE"/>
    <w:rsid w:val="521D4F6D"/>
    <w:rsid w:val="5224454D"/>
    <w:rsid w:val="52274D98"/>
    <w:rsid w:val="522B43CF"/>
    <w:rsid w:val="522E717A"/>
    <w:rsid w:val="52304CA0"/>
    <w:rsid w:val="52383CD0"/>
    <w:rsid w:val="52391DA6"/>
    <w:rsid w:val="52405CB5"/>
    <w:rsid w:val="524644C3"/>
    <w:rsid w:val="5248023B"/>
    <w:rsid w:val="52483E88"/>
    <w:rsid w:val="524972A7"/>
    <w:rsid w:val="524A70D6"/>
    <w:rsid w:val="52534711"/>
    <w:rsid w:val="52577EDE"/>
    <w:rsid w:val="525C5A95"/>
    <w:rsid w:val="526112FD"/>
    <w:rsid w:val="5262776E"/>
    <w:rsid w:val="5265185C"/>
    <w:rsid w:val="52720E14"/>
    <w:rsid w:val="527903F5"/>
    <w:rsid w:val="528C11D5"/>
    <w:rsid w:val="52990CB8"/>
    <w:rsid w:val="52996FE5"/>
    <w:rsid w:val="529C3023"/>
    <w:rsid w:val="52A37C23"/>
    <w:rsid w:val="52A649ED"/>
    <w:rsid w:val="52AD1B20"/>
    <w:rsid w:val="52BA12AF"/>
    <w:rsid w:val="52C608B9"/>
    <w:rsid w:val="52D91433"/>
    <w:rsid w:val="52E77397"/>
    <w:rsid w:val="53005FBA"/>
    <w:rsid w:val="5302663C"/>
    <w:rsid w:val="53057EDB"/>
    <w:rsid w:val="53095C1D"/>
    <w:rsid w:val="530971A6"/>
    <w:rsid w:val="530F7C6E"/>
    <w:rsid w:val="53105926"/>
    <w:rsid w:val="531427C1"/>
    <w:rsid w:val="531B187C"/>
    <w:rsid w:val="531B5FBD"/>
    <w:rsid w:val="53233C4C"/>
    <w:rsid w:val="532760A3"/>
    <w:rsid w:val="532D316C"/>
    <w:rsid w:val="53313D67"/>
    <w:rsid w:val="533267F6"/>
    <w:rsid w:val="533B55DB"/>
    <w:rsid w:val="533D39EA"/>
    <w:rsid w:val="534A244F"/>
    <w:rsid w:val="53567E22"/>
    <w:rsid w:val="535D5719"/>
    <w:rsid w:val="536270DB"/>
    <w:rsid w:val="5367649F"/>
    <w:rsid w:val="53714FC7"/>
    <w:rsid w:val="53723EDF"/>
    <w:rsid w:val="537A6F20"/>
    <w:rsid w:val="538F0B31"/>
    <w:rsid w:val="53961F58"/>
    <w:rsid w:val="539979DD"/>
    <w:rsid w:val="53A039CC"/>
    <w:rsid w:val="53A1505A"/>
    <w:rsid w:val="53AC0052"/>
    <w:rsid w:val="53B770B9"/>
    <w:rsid w:val="53BB2232"/>
    <w:rsid w:val="53BB67EB"/>
    <w:rsid w:val="53BE0A79"/>
    <w:rsid w:val="53BF55E0"/>
    <w:rsid w:val="53C2401E"/>
    <w:rsid w:val="53CB1F4D"/>
    <w:rsid w:val="53CC238A"/>
    <w:rsid w:val="53D50058"/>
    <w:rsid w:val="53DB6E8D"/>
    <w:rsid w:val="53E47528"/>
    <w:rsid w:val="53E80BCE"/>
    <w:rsid w:val="53EE4E13"/>
    <w:rsid w:val="53FC752F"/>
    <w:rsid w:val="53FF6C78"/>
    <w:rsid w:val="54063E08"/>
    <w:rsid w:val="54072176"/>
    <w:rsid w:val="54117B1C"/>
    <w:rsid w:val="5418600B"/>
    <w:rsid w:val="542720D3"/>
    <w:rsid w:val="542B1BC3"/>
    <w:rsid w:val="542E3461"/>
    <w:rsid w:val="54330A77"/>
    <w:rsid w:val="543437E8"/>
    <w:rsid w:val="54353136"/>
    <w:rsid w:val="543708EB"/>
    <w:rsid w:val="543C3DD0"/>
    <w:rsid w:val="54450053"/>
    <w:rsid w:val="544E5FFD"/>
    <w:rsid w:val="545509EE"/>
    <w:rsid w:val="54600E42"/>
    <w:rsid w:val="54652B5C"/>
    <w:rsid w:val="54671E9B"/>
    <w:rsid w:val="546A46D6"/>
    <w:rsid w:val="546B6080"/>
    <w:rsid w:val="547277F2"/>
    <w:rsid w:val="54734B94"/>
    <w:rsid w:val="54752B56"/>
    <w:rsid w:val="547C41CC"/>
    <w:rsid w:val="5483555B"/>
    <w:rsid w:val="54840BFA"/>
    <w:rsid w:val="54890E5E"/>
    <w:rsid w:val="548E0AE1"/>
    <w:rsid w:val="54912F92"/>
    <w:rsid w:val="54921C42"/>
    <w:rsid w:val="5496272C"/>
    <w:rsid w:val="54967603"/>
    <w:rsid w:val="549E05E7"/>
    <w:rsid w:val="549F610D"/>
    <w:rsid w:val="54A53971"/>
    <w:rsid w:val="54B01AED"/>
    <w:rsid w:val="54BE2A37"/>
    <w:rsid w:val="54BE4EE9"/>
    <w:rsid w:val="54C85239"/>
    <w:rsid w:val="54D13E64"/>
    <w:rsid w:val="54DB5397"/>
    <w:rsid w:val="54DD5741"/>
    <w:rsid w:val="54E84282"/>
    <w:rsid w:val="54E979F3"/>
    <w:rsid w:val="54EA55DA"/>
    <w:rsid w:val="54ED4BE3"/>
    <w:rsid w:val="54EE4B1C"/>
    <w:rsid w:val="54EF43AE"/>
    <w:rsid w:val="54F039A0"/>
    <w:rsid w:val="54F73313"/>
    <w:rsid w:val="54F80955"/>
    <w:rsid w:val="551E5284"/>
    <w:rsid w:val="551F29EE"/>
    <w:rsid w:val="552D7C03"/>
    <w:rsid w:val="554338F4"/>
    <w:rsid w:val="55450A62"/>
    <w:rsid w:val="554820F5"/>
    <w:rsid w:val="554B067D"/>
    <w:rsid w:val="555170A7"/>
    <w:rsid w:val="55517407"/>
    <w:rsid w:val="55622D1F"/>
    <w:rsid w:val="5568597E"/>
    <w:rsid w:val="55774123"/>
    <w:rsid w:val="55783729"/>
    <w:rsid w:val="557F3E89"/>
    <w:rsid w:val="558370DE"/>
    <w:rsid w:val="5587536D"/>
    <w:rsid w:val="558A3E33"/>
    <w:rsid w:val="55901C1B"/>
    <w:rsid w:val="559B174B"/>
    <w:rsid w:val="55AA2FBB"/>
    <w:rsid w:val="55B10744"/>
    <w:rsid w:val="55C02FA4"/>
    <w:rsid w:val="55C41BF8"/>
    <w:rsid w:val="55C467BF"/>
    <w:rsid w:val="55C67DF5"/>
    <w:rsid w:val="55CC0C1E"/>
    <w:rsid w:val="55CE0CF4"/>
    <w:rsid w:val="55E72761"/>
    <w:rsid w:val="55EF3B75"/>
    <w:rsid w:val="55F12998"/>
    <w:rsid w:val="55FB1B75"/>
    <w:rsid w:val="55FD1D62"/>
    <w:rsid w:val="56127C8F"/>
    <w:rsid w:val="561812DA"/>
    <w:rsid w:val="561E407A"/>
    <w:rsid w:val="5621327D"/>
    <w:rsid w:val="562403AC"/>
    <w:rsid w:val="56323309"/>
    <w:rsid w:val="5643645D"/>
    <w:rsid w:val="564B02FA"/>
    <w:rsid w:val="56592E41"/>
    <w:rsid w:val="565C03D4"/>
    <w:rsid w:val="566D1E47"/>
    <w:rsid w:val="566E5D97"/>
    <w:rsid w:val="567B1170"/>
    <w:rsid w:val="56857ED4"/>
    <w:rsid w:val="56872AF8"/>
    <w:rsid w:val="568C3447"/>
    <w:rsid w:val="568C3FA7"/>
    <w:rsid w:val="568D0913"/>
    <w:rsid w:val="5695444D"/>
    <w:rsid w:val="56B0716F"/>
    <w:rsid w:val="56B22A9C"/>
    <w:rsid w:val="56BB382F"/>
    <w:rsid w:val="56BF4844"/>
    <w:rsid w:val="56DE0129"/>
    <w:rsid w:val="56DE4A2D"/>
    <w:rsid w:val="56E322E1"/>
    <w:rsid w:val="56E878F7"/>
    <w:rsid w:val="56EC2EAE"/>
    <w:rsid w:val="56EE45EC"/>
    <w:rsid w:val="56EE690F"/>
    <w:rsid w:val="56F20776"/>
    <w:rsid w:val="56F94D26"/>
    <w:rsid w:val="56FB1D20"/>
    <w:rsid w:val="57075698"/>
    <w:rsid w:val="571050A0"/>
    <w:rsid w:val="571A7DF8"/>
    <w:rsid w:val="571B42B8"/>
    <w:rsid w:val="571B7CCD"/>
    <w:rsid w:val="57233025"/>
    <w:rsid w:val="5723539C"/>
    <w:rsid w:val="57300E7A"/>
    <w:rsid w:val="573203A1"/>
    <w:rsid w:val="5736751E"/>
    <w:rsid w:val="573945F7"/>
    <w:rsid w:val="573B0F53"/>
    <w:rsid w:val="574540B4"/>
    <w:rsid w:val="57496970"/>
    <w:rsid w:val="574F3E1A"/>
    <w:rsid w:val="575300D9"/>
    <w:rsid w:val="57535931"/>
    <w:rsid w:val="5754209E"/>
    <w:rsid w:val="57574A7D"/>
    <w:rsid w:val="57650F48"/>
    <w:rsid w:val="577613A7"/>
    <w:rsid w:val="577D0987"/>
    <w:rsid w:val="57820D77"/>
    <w:rsid w:val="57821AAA"/>
    <w:rsid w:val="5785783C"/>
    <w:rsid w:val="578853C6"/>
    <w:rsid w:val="578A4E52"/>
    <w:rsid w:val="578C2978"/>
    <w:rsid w:val="578E7F29"/>
    <w:rsid w:val="57947A7F"/>
    <w:rsid w:val="579823CA"/>
    <w:rsid w:val="579C5023"/>
    <w:rsid w:val="57A65A75"/>
    <w:rsid w:val="57A85B85"/>
    <w:rsid w:val="57AB0E67"/>
    <w:rsid w:val="57AB782F"/>
    <w:rsid w:val="57AE1B0B"/>
    <w:rsid w:val="57B72A76"/>
    <w:rsid w:val="57B974E6"/>
    <w:rsid w:val="57C25ACA"/>
    <w:rsid w:val="57C3426C"/>
    <w:rsid w:val="57CE1F93"/>
    <w:rsid w:val="57D6623A"/>
    <w:rsid w:val="57DA73A0"/>
    <w:rsid w:val="57DD1426"/>
    <w:rsid w:val="57DE6178"/>
    <w:rsid w:val="57DE7D2D"/>
    <w:rsid w:val="57E80B95"/>
    <w:rsid w:val="57F549C2"/>
    <w:rsid w:val="57F6706A"/>
    <w:rsid w:val="57F707E1"/>
    <w:rsid w:val="580C3AB9"/>
    <w:rsid w:val="58292585"/>
    <w:rsid w:val="582E0BB0"/>
    <w:rsid w:val="58350E23"/>
    <w:rsid w:val="584039E5"/>
    <w:rsid w:val="584119B5"/>
    <w:rsid w:val="58473D00"/>
    <w:rsid w:val="58626885"/>
    <w:rsid w:val="586438F5"/>
    <w:rsid w:val="586D72CD"/>
    <w:rsid w:val="586E5D2F"/>
    <w:rsid w:val="58790342"/>
    <w:rsid w:val="587A6C75"/>
    <w:rsid w:val="587C78C9"/>
    <w:rsid w:val="5880292F"/>
    <w:rsid w:val="5887183A"/>
    <w:rsid w:val="588743D1"/>
    <w:rsid w:val="5887701A"/>
    <w:rsid w:val="5889335C"/>
    <w:rsid w:val="588B63BB"/>
    <w:rsid w:val="588F6FE2"/>
    <w:rsid w:val="58905B44"/>
    <w:rsid w:val="58975A79"/>
    <w:rsid w:val="58A61818"/>
    <w:rsid w:val="58AB5080"/>
    <w:rsid w:val="58B47061"/>
    <w:rsid w:val="58B6021B"/>
    <w:rsid w:val="58C156E6"/>
    <w:rsid w:val="58C35579"/>
    <w:rsid w:val="58C61EBA"/>
    <w:rsid w:val="58C65785"/>
    <w:rsid w:val="58CA156E"/>
    <w:rsid w:val="58CE3861"/>
    <w:rsid w:val="58D26BBF"/>
    <w:rsid w:val="58D34ED1"/>
    <w:rsid w:val="58DF11CE"/>
    <w:rsid w:val="58EE2A00"/>
    <w:rsid w:val="58F5454D"/>
    <w:rsid w:val="58FB3919"/>
    <w:rsid w:val="590F79E2"/>
    <w:rsid w:val="59260BAB"/>
    <w:rsid w:val="592B7F6F"/>
    <w:rsid w:val="592E787E"/>
    <w:rsid w:val="593307DD"/>
    <w:rsid w:val="59345076"/>
    <w:rsid w:val="593D1F4C"/>
    <w:rsid w:val="59407993"/>
    <w:rsid w:val="594824ED"/>
    <w:rsid w:val="595D7EC7"/>
    <w:rsid w:val="59691C32"/>
    <w:rsid w:val="596A4945"/>
    <w:rsid w:val="596C6BA9"/>
    <w:rsid w:val="5975569F"/>
    <w:rsid w:val="5975743C"/>
    <w:rsid w:val="59860F0F"/>
    <w:rsid w:val="5988381B"/>
    <w:rsid w:val="59973856"/>
    <w:rsid w:val="59976E46"/>
    <w:rsid w:val="59995821"/>
    <w:rsid w:val="599A2A6F"/>
    <w:rsid w:val="59A10AFD"/>
    <w:rsid w:val="59B61F2F"/>
    <w:rsid w:val="59B702A7"/>
    <w:rsid w:val="59C0439F"/>
    <w:rsid w:val="59C77BB1"/>
    <w:rsid w:val="59CF6B1B"/>
    <w:rsid w:val="59D7134B"/>
    <w:rsid w:val="59DA24C3"/>
    <w:rsid w:val="59E639BD"/>
    <w:rsid w:val="59F46EB6"/>
    <w:rsid w:val="59FF6320"/>
    <w:rsid w:val="5A037476"/>
    <w:rsid w:val="5A0A5858"/>
    <w:rsid w:val="5A185B07"/>
    <w:rsid w:val="5A1B4488"/>
    <w:rsid w:val="5A207B6D"/>
    <w:rsid w:val="5A2A3D98"/>
    <w:rsid w:val="5A2C0AD2"/>
    <w:rsid w:val="5A3435B5"/>
    <w:rsid w:val="5A380B96"/>
    <w:rsid w:val="5A3C1FE1"/>
    <w:rsid w:val="5A421A14"/>
    <w:rsid w:val="5A43745D"/>
    <w:rsid w:val="5A47527D"/>
    <w:rsid w:val="5A4C358A"/>
    <w:rsid w:val="5A4E03B9"/>
    <w:rsid w:val="5A554398"/>
    <w:rsid w:val="5A581029"/>
    <w:rsid w:val="5A5C7858"/>
    <w:rsid w:val="5A5E6C71"/>
    <w:rsid w:val="5A673229"/>
    <w:rsid w:val="5A683D6B"/>
    <w:rsid w:val="5A7252ED"/>
    <w:rsid w:val="5A726889"/>
    <w:rsid w:val="5A7659B1"/>
    <w:rsid w:val="5A7D0C9E"/>
    <w:rsid w:val="5A8B4347"/>
    <w:rsid w:val="5A900C7C"/>
    <w:rsid w:val="5A943A15"/>
    <w:rsid w:val="5A985883"/>
    <w:rsid w:val="5A985AD8"/>
    <w:rsid w:val="5AB109D3"/>
    <w:rsid w:val="5AB24A6D"/>
    <w:rsid w:val="5ABE2233"/>
    <w:rsid w:val="5AC62645"/>
    <w:rsid w:val="5AC86F44"/>
    <w:rsid w:val="5ACB635E"/>
    <w:rsid w:val="5ACF093B"/>
    <w:rsid w:val="5AD27930"/>
    <w:rsid w:val="5AD84127"/>
    <w:rsid w:val="5ADF49CA"/>
    <w:rsid w:val="5AE538D2"/>
    <w:rsid w:val="5AF2367F"/>
    <w:rsid w:val="5AF8204A"/>
    <w:rsid w:val="5B0373F5"/>
    <w:rsid w:val="5B0E1457"/>
    <w:rsid w:val="5B0E2E7D"/>
    <w:rsid w:val="5B19750A"/>
    <w:rsid w:val="5B3D3894"/>
    <w:rsid w:val="5B4026A2"/>
    <w:rsid w:val="5B411CCC"/>
    <w:rsid w:val="5B461090"/>
    <w:rsid w:val="5B4760B8"/>
    <w:rsid w:val="5B564DAB"/>
    <w:rsid w:val="5B612603"/>
    <w:rsid w:val="5B653C0C"/>
    <w:rsid w:val="5B656F4A"/>
    <w:rsid w:val="5B74103A"/>
    <w:rsid w:val="5B746432"/>
    <w:rsid w:val="5B756A41"/>
    <w:rsid w:val="5B7C4E48"/>
    <w:rsid w:val="5B7F4D18"/>
    <w:rsid w:val="5B9308DE"/>
    <w:rsid w:val="5B9330A5"/>
    <w:rsid w:val="5B94004E"/>
    <w:rsid w:val="5B993E25"/>
    <w:rsid w:val="5B9C5154"/>
    <w:rsid w:val="5B9E3681"/>
    <w:rsid w:val="5BB10BFF"/>
    <w:rsid w:val="5BB514A6"/>
    <w:rsid w:val="5BBB1A7E"/>
    <w:rsid w:val="5BC03DE2"/>
    <w:rsid w:val="5BD13050"/>
    <w:rsid w:val="5BDF5D95"/>
    <w:rsid w:val="5BE37716"/>
    <w:rsid w:val="5BE92837"/>
    <w:rsid w:val="5BE95273"/>
    <w:rsid w:val="5BED4932"/>
    <w:rsid w:val="5BF45379"/>
    <w:rsid w:val="5BF65C86"/>
    <w:rsid w:val="5BF94355"/>
    <w:rsid w:val="5BFE7528"/>
    <w:rsid w:val="5C09603E"/>
    <w:rsid w:val="5C0A5550"/>
    <w:rsid w:val="5C0C22DA"/>
    <w:rsid w:val="5C1D0043"/>
    <w:rsid w:val="5C20690D"/>
    <w:rsid w:val="5C22393C"/>
    <w:rsid w:val="5C325E14"/>
    <w:rsid w:val="5C495B5E"/>
    <w:rsid w:val="5C534E4A"/>
    <w:rsid w:val="5C555AB7"/>
    <w:rsid w:val="5C5F39ED"/>
    <w:rsid w:val="5C6213B6"/>
    <w:rsid w:val="5C724FDF"/>
    <w:rsid w:val="5C772A3B"/>
    <w:rsid w:val="5C7952F5"/>
    <w:rsid w:val="5C7D3CE6"/>
    <w:rsid w:val="5C862DD5"/>
    <w:rsid w:val="5C9A57BB"/>
    <w:rsid w:val="5CA235C7"/>
    <w:rsid w:val="5CA2679A"/>
    <w:rsid w:val="5CAE195D"/>
    <w:rsid w:val="5CB12E81"/>
    <w:rsid w:val="5CBB71AE"/>
    <w:rsid w:val="5CC44F18"/>
    <w:rsid w:val="5CC76201"/>
    <w:rsid w:val="5CC8534F"/>
    <w:rsid w:val="5CC95946"/>
    <w:rsid w:val="5CCC1A69"/>
    <w:rsid w:val="5CE1534A"/>
    <w:rsid w:val="5CE51DB8"/>
    <w:rsid w:val="5CE9014C"/>
    <w:rsid w:val="5CEC5C67"/>
    <w:rsid w:val="5CEE7C31"/>
    <w:rsid w:val="5CF16A7F"/>
    <w:rsid w:val="5CFA2018"/>
    <w:rsid w:val="5D041203"/>
    <w:rsid w:val="5D11008D"/>
    <w:rsid w:val="5D1A0A26"/>
    <w:rsid w:val="5D242DBC"/>
    <w:rsid w:val="5D261179"/>
    <w:rsid w:val="5D340056"/>
    <w:rsid w:val="5D344B9F"/>
    <w:rsid w:val="5D500C10"/>
    <w:rsid w:val="5D503CC2"/>
    <w:rsid w:val="5D55380D"/>
    <w:rsid w:val="5D622761"/>
    <w:rsid w:val="5D6D6DA8"/>
    <w:rsid w:val="5D6D772E"/>
    <w:rsid w:val="5D6E17E2"/>
    <w:rsid w:val="5D737273"/>
    <w:rsid w:val="5D777C27"/>
    <w:rsid w:val="5D881E34"/>
    <w:rsid w:val="5D8B5480"/>
    <w:rsid w:val="5D8D1A18"/>
    <w:rsid w:val="5D8F4F70"/>
    <w:rsid w:val="5DA327CA"/>
    <w:rsid w:val="5DAA53CA"/>
    <w:rsid w:val="5DAF1585"/>
    <w:rsid w:val="5DB91C38"/>
    <w:rsid w:val="5DBD32C9"/>
    <w:rsid w:val="5DC015CE"/>
    <w:rsid w:val="5DC17682"/>
    <w:rsid w:val="5DC911F0"/>
    <w:rsid w:val="5DC94597"/>
    <w:rsid w:val="5DD5494D"/>
    <w:rsid w:val="5DDE7CA6"/>
    <w:rsid w:val="5DE968FE"/>
    <w:rsid w:val="5DEA77D2"/>
    <w:rsid w:val="5DED7165"/>
    <w:rsid w:val="5E0F1C0D"/>
    <w:rsid w:val="5E14501A"/>
    <w:rsid w:val="5E192A8C"/>
    <w:rsid w:val="5E203E1A"/>
    <w:rsid w:val="5E227E31"/>
    <w:rsid w:val="5E2467F1"/>
    <w:rsid w:val="5E2660DB"/>
    <w:rsid w:val="5E2A48FC"/>
    <w:rsid w:val="5E2C612B"/>
    <w:rsid w:val="5E2E29DB"/>
    <w:rsid w:val="5E2E6979"/>
    <w:rsid w:val="5E32585B"/>
    <w:rsid w:val="5E33539D"/>
    <w:rsid w:val="5E351141"/>
    <w:rsid w:val="5E40270F"/>
    <w:rsid w:val="5E491E6F"/>
    <w:rsid w:val="5E4E6F3C"/>
    <w:rsid w:val="5E5D1EB8"/>
    <w:rsid w:val="5E620D63"/>
    <w:rsid w:val="5E666035"/>
    <w:rsid w:val="5E6C15C1"/>
    <w:rsid w:val="5E7714C7"/>
    <w:rsid w:val="5E795BD0"/>
    <w:rsid w:val="5E7B72A3"/>
    <w:rsid w:val="5E83260F"/>
    <w:rsid w:val="5E884785"/>
    <w:rsid w:val="5E9B29A1"/>
    <w:rsid w:val="5EA05A1B"/>
    <w:rsid w:val="5EA26EB2"/>
    <w:rsid w:val="5EA46E83"/>
    <w:rsid w:val="5EA502B5"/>
    <w:rsid w:val="5EB10F16"/>
    <w:rsid w:val="5EB26049"/>
    <w:rsid w:val="5EBA013E"/>
    <w:rsid w:val="5EBF1887"/>
    <w:rsid w:val="5EC92936"/>
    <w:rsid w:val="5ECA3D86"/>
    <w:rsid w:val="5ECE5416"/>
    <w:rsid w:val="5EE664D7"/>
    <w:rsid w:val="5EE66E12"/>
    <w:rsid w:val="5EE7291C"/>
    <w:rsid w:val="5EEB267A"/>
    <w:rsid w:val="5EF64B7B"/>
    <w:rsid w:val="5F0B2483"/>
    <w:rsid w:val="5F155949"/>
    <w:rsid w:val="5F180F2B"/>
    <w:rsid w:val="5F1A2B43"/>
    <w:rsid w:val="5F20548D"/>
    <w:rsid w:val="5F333379"/>
    <w:rsid w:val="5F64242D"/>
    <w:rsid w:val="5F681F1D"/>
    <w:rsid w:val="5F684511"/>
    <w:rsid w:val="5F780088"/>
    <w:rsid w:val="5F8843FD"/>
    <w:rsid w:val="5F93700D"/>
    <w:rsid w:val="5F990328"/>
    <w:rsid w:val="5F9E593F"/>
    <w:rsid w:val="5FB32A6C"/>
    <w:rsid w:val="5FB837BB"/>
    <w:rsid w:val="5FCA4963"/>
    <w:rsid w:val="5FCC1AF0"/>
    <w:rsid w:val="5FCE5104"/>
    <w:rsid w:val="5FDC0215"/>
    <w:rsid w:val="5FDC151C"/>
    <w:rsid w:val="5FE458AE"/>
    <w:rsid w:val="5FE716E9"/>
    <w:rsid w:val="5FF6601A"/>
    <w:rsid w:val="5FFF6206"/>
    <w:rsid w:val="600354CB"/>
    <w:rsid w:val="601608F3"/>
    <w:rsid w:val="60172FFB"/>
    <w:rsid w:val="601856F1"/>
    <w:rsid w:val="601F1001"/>
    <w:rsid w:val="602944DE"/>
    <w:rsid w:val="603A003B"/>
    <w:rsid w:val="603A3A76"/>
    <w:rsid w:val="6042276E"/>
    <w:rsid w:val="604927F6"/>
    <w:rsid w:val="604F3526"/>
    <w:rsid w:val="605C7101"/>
    <w:rsid w:val="605F4603"/>
    <w:rsid w:val="60602BF4"/>
    <w:rsid w:val="60622A5F"/>
    <w:rsid w:val="606C09EB"/>
    <w:rsid w:val="606E2515"/>
    <w:rsid w:val="606F2E37"/>
    <w:rsid w:val="607346E6"/>
    <w:rsid w:val="607928FD"/>
    <w:rsid w:val="607E6A15"/>
    <w:rsid w:val="60844B35"/>
    <w:rsid w:val="60885370"/>
    <w:rsid w:val="60934DD4"/>
    <w:rsid w:val="60A76693"/>
    <w:rsid w:val="60AC721D"/>
    <w:rsid w:val="60BA2331"/>
    <w:rsid w:val="60C41E64"/>
    <w:rsid w:val="60CC405A"/>
    <w:rsid w:val="60D550B8"/>
    <w:rsid w:val="60D8301C"/>
    <w:rsid w:val="60DA29A7"/>
    <w:rsid w:val="60E951E6"/>
    <w:rsid w:val="60F1336C"/>
    <w:rsid w:val="60F374A8"/>
    <w:rsid w:val="60FB07AF"/>
    <w:rsid w:val="60FD7297"/>
    <w:rsid w:val="610905D2"/>
    <w:rsid w:val="61194745"/>
    <w:rsid w:val="61242B66"/>
    <w:rsid w:val="612C0D28"/>
    <w:rsid w:val="612F130E"/>
    <w:rsid w:val="613227E2"/>
    <w:rsid w:val="61504A17"/>
    <w:rsid w:val="61551558"/>
    <w:rsid w:val="61706E67"/>
    <w:rsid w:val="6172193C"/>
    <w:rsid w:val="61776D2E"/>
    <w:rsid w:val="617B5218"/>
    <w:rsid w:val="617D0FA5"/>
    <w:rsid w:val="61815EAF"/>
    <w:rsid w:val="61A1655C"/>
    <w:rsid w:val="61A22D98"/>
    <w:rsid w:val="61B02366"/>
    <w:rsid w:val="61B56F70"/>
    <w:rsid w:val="61BD6954"/>
    <w:rsid w:val="61BE469E"/>
    <w:rsid w:val="61BF6F5F"/>
    <w:rsid w:val="61C45A29"/>
    <w:rsid w:val="61D065E0"/>
    <w:rsid w:val="61DA7A0E"/>
    <w:rsid w:val="61E215D8"/>
    <w:rsid w:val="61E41DA5"/>
    <w:rsid w:val="61E57855"/>
    <w:rsid w:val="61E6537B"/>
    <w:rsid w:val="61E82C41"/>
    <w:rsid w:val="61F53810"/>
    <w:rsid w:val="61F63E37"/>
    <w:rsid w:val="61F745E3"/>
    <w:rsid w:val="61F978BC"/>
    <w:rsid w:val="62034222"/>
    <w:rsid w:val="620A1069"/>
    <w:rsid w:val="621626F5"/>
    <w:rsid w:val="621B3775"/>
    <w:rsid w:val="62233ED9"/>
    <w:rsid w:val="62326812"/>
    <w:rsid w:val="62364782"/>
    <w:rsid w:val="62365326"/>
    <w:rsid w:val="62375F0E"/>
    <w:rsid w:val="62441074"/>
    <w:rsid w:val="6247406C"/>
    <w:rsid w:val="624B3430"/>
    <w:rsid w:val="62510370"/>
    <w:rsid w:val="62550792"/>
    <w:rsid w:val="62672824"/>
    <w:rsid w:val="627C662F"/>
    <w:rsid w:val="628B218A"/>
    <w:rsid w:val="62960B4F"/>
    <w:rsid w:val="62A50D92"/>
    <w:rsid w:val="62AD49EE"/>
    <w:rsid w:val="62B07B9D"/>
    <w:rsid w:val="62B35DE6"/>
    <w:rsid w:val="62B854A0"/>
    <w:rsid w:val="62C05293"/>
    <w:rsid w:val="62CC137C"/>
    <w:rsid w:val="62CE02E9"/>
    <w:rsid w:val="62CF1703"/>
    <w:rsid w:val="62DD3A1A"/>
    <w:rsid w:val="62DE0174"/>
    <w:rsid w:val="62E32090"/>
    <w:rsid w:val="62F12229"/>
    <w:rsid w:val="62FB4A3D"/>
    <w:rsid w:val="62FE17D1"/>
    <w:rsid w:val="630C245E"/>
    <w:rsid w:val="63167524"/>
    <w:rsid w:val="631A6398"/>
    <w:rsid w:val="631D301E"/>
    <w:rsid w:val="63260125"/>
    <w:rsid w:val="63283C1D"/>
    <w:rsid w:val="6328707D"/>
    <w:rsid w:val="63296312"/>
    <w:rsid w:val="632F4BB7"/>
    <w:rsid w:val="633B0693"/>
    <w:rsid w:val="633B2D1F"/>
    <w:rsid w:val="63467D7C"/>
    <w:rsid w:val="634E002F"/>
    <w:rsid w:val="635307EE"/>
    <w:rsid w:val="63534C11"/>
    <w:rsid w:val="636855CB"/>
    <w:rsid w:val="63685F83"/>
    <w:rsid w:val="636B3D8A"/>
    <w:rsid w:val="636C1987"/>
    <w:rsid w:val="636F7DBB"/>
    <w:rsid w:val="63752DAA"/>
    <w:rsid w:val="637644DD"/>
    <w:rsid w:val="637721F8"/>
    <w:rsid w:val="637D13E0"/>
    <w:rsid w:val="63814C5E"/>
    <w:rsid w:val="63891A8E"/>
    <w:rsid w:val="638A4992"/>
    <w:rsid w:val="6394356A"/>
    <w:rsid w:val="63972DD1"/>
    <w:rsid w:val="63985646"/>
    <w:rsid w:val="639D402C"/>
    <w:rsid w:val="639D5B9C"/>
    <w:rsid w:val="63AA0FB2"/>
    <w:rsid w:val="63AA7FF2"/>
    <w:rsid w:val="63C61B2C"/>
    <w:rsid w:val="63D2002A"/>
    <w:rsid w:val="63D37B6A"/>
    <w:rsid w:val="63D40BE9"/>
    <w:rsid w:val="63D47B81"/>
    <w:rsid w:val="63DB5486"/>
    <w:rsid w:val="63E853DA"/>
    <w:rsid w:val="63EA26B5"/>
    <w:rsid w:val="63F218C9"/>
    <w:rsid w:val="63F35B2D"/>
    <w:rsid w:val="63FA3360"/>
    <w:rsid w:val="64025B4C"/>
    <w:rsid w:val="64055F8C"/>
    <w:rsid w:val="640714E5"/>
    <w:rsid w:val="640A35A3"/>
    <w:rsid w:val="64102431"/>
    <w:rsid w:val="64171AE7"/>
    <w:rsid w:val="64175236"/>
    <w:rsid w:val="64183553"/>
    <w:rsid w:val="641E576D"/>
    <w:rsid w:val="641E6962"/>
    <w:rsid w:val="64212465"/>
    <w:rsid w:val="64224F0D"/>
    <w:rsid w:val="64225A44"/>
    <w:rsid w:val="64267CB1"/>
    <w:rsid w:val="643248A8"/>
    <w:rsid w:val="643423CE"/>
    <w:rsid w:val="64357EF4"/>
    <w:rsid w:val="644521ED"/>
    <w:rsid w:val="645B6740"/>
    <w:rsid w:val="647D3B6C"/>
    <w:rsid w:val="647E311F"/>
    <w:rsid w:val="64882719"/>
    <w:rsid w:val="648B3FB8"/>
    <w:rsid w:val="648D5F82"/>
    <w:rsid w:val="64994927"/>
    <w:rsid w:val="64A04B87"/>
    <w:rsid w:val="64A05CB5"/>
    <w:rsid w:val="64A5243A"/>
    <w:rsid w:val="64A72FBC"/>
    <w:rsid w:val="64AB5E85"/>
    <w:rsid w:val="64BC60D9"/>
    <w:rsid w:val="64BE0DF2"/>
    <w:rsid w:val="64C00105"/>
    <w:rsid w:val="64C3022F"/>
    <w:rsid w:val="64CE3020"/>
    <w:rsid w:val="64D20553"/>
    <w:rsid w:val="64D67FEA"/>
    <w:rsid w:val="64E50E87"/>
    <w:rsid w:val="64E75692"/>
    <w:rsid w:val="64EB67AD"/>
    <w:rsid w:val="64ED29E5"/>
    <w:rsid w:val="64F1206D"/>
    <w:rsid w:val="64F34037"/>
    <w:rsid w:val="64F531DE"/>
    <w:rsid w:val="64FE29DC"/>
    <w:rsid w:val="650407A0"/>
    <w:rsid w:val="65092761"/>
    <w:rsid w:val="650C1E4E"/>
    <w:rsid w:val="651025ED"/>
    <w:rsid w:val="65150413"/>
    <w:rsid w:val="65222B6E"/>
    <w:rsid w:val="65341166"/>
    <w:rsid w:val="653707BE"/>
    <w:rsid w:val="65373578"/>
    <w:rsid w:val="653A7EB8"/>
    <w:rsid w:val="65496BE1"/>
    <w:rsid w:val="654B3E73"/>
    <w:rsid w:val="654E5711"/>
    <w:rsid w:val="65510D5D"/>
    <w:rsid w:val="6564648E"/>
    <w:rsid w:val="656960A7"/>
    <w:rsid w:val="656B62C3"/>
    <w:rsid w:val="657B402C"/>
    <w:rsid w:val="658911AC"/>
    <w:rsid w:val="658D23E0"/>
    <w:rsid w:val="659D6335"/>
    <w:rsid w:val="65A37379"/>
    <w:rsid w:val="65A70771"/>
    <w:rsid w:val="65AB0C5E"/>
    <w:rsid w:val="65AB2B63"/>
    <w:rsid w:val="65AD2600"/>
    <w:rsid w:val="65AE3461"/>
    <w:rsid w:val="65AE7402"/>
    <w:rsid w:val="65BE4E78"/>
    <w:rsid w:val="65D774B5"/>
    <w:rsid w:val="65DB26B4"/>
    <w:rsid w:val="65EB2F60"/>
    <w:rsid w:val="65F938CF"/>
    <w:rsid w:val="65FC33BF"/>
    <w:rsid w:val="66000F82"/>
    <w:rsid w:val="6605462F"/>
    <w:rsid w:val="66056C42"/>
    <w:rsid w:val="6607107C"/>
    <w:rsid w:val="6610339B"/>
    <w:rsid w:val="6618187B"/>
    <w:rsid w:val="661A7641"/>
    <w:rsid w:val="661F3DA7"/>
    <w:rsid w:val="662B1969"/>
    <w:rsid w:val="6630191B"/>
    <w:rsid w:val="663E3398"/>
    <w:rsid w:val="66406789"/>
    <w:rsid w:val="66476CF1"/>
    <w:rsid w:val="66486604"/>
    <w:rsid w:val="664A560B"/>
    <w:rsid w:val="664D3C1B"/>
    <w:rsid w:val="664E480A"/>
    <w:rsid w:val="66556621"/>
    <w:rsid w:val="667C3072"/>
    <w:rsid w:val="668212D4"/>
    <w:rsid w:val="668B60F0"/>
    <w:rsid w:val="66953922"/>
    <w:rsid w:val="66960976"/>
    <w:rsid w:val="669730E8"/>
    <w:rsid w:val="66A15D14"/>
    <w:rsid w:val="66AD7DFB"/>
    <w:rsid w:val="66BE019C"/>
    <w:rsid w:val="66C04A14"/>
    <w:rsid w:val="66C2677C"/>
    <w:rsid w:val="66C63E36"/>
    <w:rsid w:val="66CD7ECC"/>
    <w:rsid w:val="66D44DFF"/>
    <w:rsid w:val="66D87988"/>
    <w:rsid w:val="66E5364F"/>
    <w:rsid w:val="66E7680C"/>
    <w:rsid w:val="66E96885"/>
    <w:rsid w:val="66F00747"/>
    <w:rsid w:val="66F57C08"/>
    <w:rsid w:val="670D77D7"/>
    <w:rsid w:val="670E1F16"/>
    <w:rsid w:val="67196048"/>
    <w:rsid w:val="671F124A"/>
    <w:rsid w:val="6727621A"/>
    <w:rsid w:val="672A2144"/>
    <w:rsid w:val="672A348A"/>
    <w:rsid w:val="673D3C8F"/>
    <w:rsid w:val="673E3563"/>
    <w:rsid w:val="67450DB3"/>
    <w:rsid w:val="674C7466"/>
    <w:rsid w:val="674D2550"/>
    <w:rsid w:val="675124BE"/>
    <w:rsid w:val="675A61CB"/>
    <w:rsid w:val="6765565D"/>
    <w:rsid w:val="676F196F"/>
    <w:rsid w:val="67741CE8"/>
    <w:rsid w:val="677A33C6"/>
    <w:rsid w:val="677D71F5"/>
    <w:rsid w:val="678E03A2"/>
    <w:rsid w:val="6795572C"/>
    <w:rsid w:val="67A5169F"/>
    <w:rsid w:val="67A63E75"/>
    <w:rsid w:val="67B202F3"/>
    <w:rsid w:val="67B850C4"/>
    <w:rsid w:val="67BB6E88"/>
    <w:rsid w:val="67C1280A"/>
    <w:rsid w:val="67C17B79"/>
    <w:rsid w:val="67CB24AE"/>
    <w:rsid w:val="67D33AC4"/>
    <w:rsid w:val="67EA7597"/>
    <w:rsid w:val="67EB5499"/>
    <w:rsid w:val="67EE6D37"/>
    <w:rsid w:val="67F16891"/>
    <w:rsid w:val="68022FF0"/>
    <w:rsid w:val="680353B8"/>
    <w:rsid w:val="680745F0"/>
    <w:rsid w:val="68092C01"/>
    <w:rsid w:val="680A27E5"/>
    <w:rsid w:val="68120C78"/>
    <w:rsid w:val="681A69B1"/>
    <w:rsid w:val="681C1AF7"/>
    <w:rsid w:val="681D7A3A"/>
    <w:rsid w:val="681F6961"/>
    <w:rsid w:val="68222CD3"/>
    <w:rsid w:val="682E5386"/>
    <w:rsid w:val="68424C4D"/>
    <w:rsid w:val="68483C3E"/>
    <w:rsid w:val="684C5306"/>
    <w:rsid w:val="684E3CC7"/>
    <w:rsid w:val="68555A65"/>
    <w:rsid w:val="685D6FCE"/>
    <w:rsid w:val="685E210F"/>
    <w:rsid w:val="68610A2F"/>
    <w:rsid w:val="686320C7"/>
    <w:rsid w:val="68790CF7"/>
    <w:rsid w:val="68792AA5"/>
    <w:rsid w:val="687C2A49"/>
    <w:rsid w:val="687F3E33"/>
    <w:rsid w:val="68802085"/>
    <w:rsid w:val="68805514"/>
    <w:rsid w:val="68815DFE"/>
    <w:rsid w:val="68831C98"/>
    <w:rsid w:val="68882CE8"/>
    <w:rsid w:val="688B0A2A"/>
    <w:rsid w:val="688D0B6E"/>
    <w:rsid w:val="688D47A2"/>
    <w:rsid w:val="68971588"/>
    <w:rsid w:val="68A56F69"/>
    <w:rsid w:val="68A638DC"/>
    <w:rsid w:val="68A831B8"/>
    <w:rsid w:val="68A94749"/>
    <w:rsid w:val="68AC21D7"/>
    <w:rsid w:val="68AF4719"/>
    <w:rsid w:val="68B05A23"/>
    <w:rsid w:val="68B4703A"/>
    <w:rsid w:val="68B910F3"/>
    <w:rsid w:val="68C63810"/>
    <w:rsid w:val="68C81889"/>
    <w:rsid w:val="68EE7174"/>
    <w:rsid w:val="68F80C58"/>
    <w:rsid w:val="68F91E38"/>
    <w:rsid w:val="69051C0F"/>
    <w:rsid w:val="69095CA4"/>
    <w:rsid w:val="690C3919"/>
    <w:rsid w:val="690E7336"/>
    <w:rsid w:val="69110F2F"/>
    <w:rsid w:val="691C3860"/>
    <w:rsid w:val="692579A4"/>
    <w:rsid w:val="692768AD"/>
    <w:rsid w:val="693057DE"/>
    <w:rsid w:val="69316E2F"/>
    <w:rsid w:val="693C655C"/>
    <w:rsid w:val="69424E07"/>
    <w:rsid w:val="69434E61"/>
    <w:rsid w:val="694E2071"/>
    <w:rsid w:val="695157D0"/>
    <w:rsid w:val="695318D3"/>
    <w:rsid w:val="695B7A92"/>
    <w:rsid w:val="69735746"/>
    <w:rsid w:val="69766163"/>
    <w:rsid w:val="6978615D"/>
    <w:rsid w:val="697A3B33"/>
    <w:rsid w:val="6985191D"/>
    <w:rsid w:val="69861CAF"/>
    <w:rsid w:val="69931944"/>
    <w:rsid w:val="699833FF"/>
    <w:rsid w:val="699F036F"/>
    <w:rsid w:val="69A7383D"/>
    <w:rsid w:val="69A9091B"/>
    <w:rsid w:val="69A920BB"/>
    <w:rsid w:val="69A974F1"/>
    <w:rsid w:val="69B34F48"/>
    <w:rsid w:val="69BA15C7"/>
    <w:rsid w:val="69BC3852"/>
    <w:rsid w:val="69C66E5A"/>
    <w:rsid w:val="69CB62D5"/>
    <w:rsid w:val="69CC1D57"/>
    <w:rsid w:val="69D1246D"/>
    <w:rsid w:val="69D44760"/>
    <w:rsid w:val="69DE740E"/>
    <w:rsid w:val="69E06196"/>
    <w:rsid w:val="69E40F29"/>
    <w:rsid w:val="69E436FF"/>
    <w:rsid w:val="69E47C2E"/>
    <w:rsid w:val="69F12B0F"/>
    <w:rsid w:val="69F66377"/>
    <w:rsid w:val="6A114F5F"/>
    <w:rsid w:val="6A1521B5"/>
    <w:rsid w:val="6A1707C7"/>
    <w:rsid w:val="6A242416"/>
    <w:rsid w:val="6A281E10"/>
    <w:rsid w:val="6A2F4A5F"/>
    <w:rsid w:val="6A3A2708"/>
    <w:rsid w:val="6A3F7670"/>
    <w:rsid w:val="6A520EC7"/>
    <w:rsid w:val="6A520F40"/>
    <w:rsid w:val="6A633A0D"/>
    <w:rsid w:val="6A665F6F"/>
    <w:rsid w:val="6A6B4DB2"/>
    <w:rsid w:val="6A73551D"/>
    <w:rsid w:val="6A773014"/>
    <w:rsid w:val="6A794FDE"/>
    <w:rsid w:val="6A813133"/>
    <w:rsid w:val="6A827840"/>
    <w:rsid w:val="6A8B4D12"/>
    <w:rsid w:val="6A935A28"/>
    <w:rsid w:val="6A936A4A"/>
    <w:rsid w:val="6A955B90"/>
    <w:rsid w:val="6AA73CDC"/>
    <w:rsid w:val="6AA858C3"/>
    <w:rsid w:val="6AAF11DC"/>
    <w:rsid w:val="6AB805D2"/>
    <w:rsid w:val="6AC4614D"/>
    <w:rsid w:val="6AC826F6"/>
    <w:rsid w:val="6AEE7EEB"/>
    <w:rsid w:val="6AF015DD"/>
    <w:rsid w:val="6AF6662F"/>
    <w:rsid w:val="6AF76F9B"/>
    <w:rsid w:val="6AF82EED"/>
    <w:rsid w:val="6AF87E20"/>
    <w:rsid w:val="6AFE5055"/>
    <w:rsid w:val="6B054A88"/>
    <w:rsid w:val="6B1142BC"/>
    <w:rsid w:val="6B142F59"/>
    <w:rsid w:val="6B162F3B"/>
    <w:rsid w:val="6B1E07DB"/>
    <w:rsid w:val="6B1F62A6"/>
    <w:rsid w:val="6B2A7E49"/>
    <w:rsid w:val="6B2C07DF"/>
    <w:rsid w:val="6B317667"/>
    <w:rsid w:val="6B322639"/>
    <w:rsid w:val="6B347157"/>
    <w:rsid w:val="6B37267A"/>
    <w:rsid w:val="6B3B7550"/>
    <w:rsid w:val="6B43383E"/>
    <w:rsid w:val="6B4D325B"/>
    <w:rsid w:val="6B544431"/>
    <w:rsid w:val="6B5D66AE"/>
    <w:rsid w:val="6B5E41D4"/>
    <w:rsid w:val="6B6714A0"/>
    <w:rsid w:val="6B6826CF"/>
    <w:rsid w:val="6B6C2C98"/>
    <w:rsid w:val="6B716ECB"/>
    <w:rsid w:val="6B717576"/>
    <w:rsid w:val="6B753F21"/>
    <w:rsid w:val="6B7E03D2"/>
    <w:rsid w:val="6B827EC3"/>
    <w:rsid w:val="6B8C288E"/>
    <w:rsid w:val="6B8C6F93"/>
    <w:rsid w:val="6B91256F"/>
    <w:rsid w:val="6B9320D0"/>
    <w:rsid w:val="6B952203"/>
    <w:rsid w:val="6B9C694A"/>
    <w:rsid w:val="6B9D2996"/>
    <w:rsid w:val="6BB65DBE"/>
    <w:rsid w:val="6BBB33D4"/>
    <w:rsid w:val="6BBC2C74"/>
    <w:rsid w:val="6BBC4452"/>
    <w:rsid w:val="6BC07EA4"/>
    <w:rsid w:val="6BE02E3B"/>
    <w:rsid w:val="6BE75F78"/>
    <w:rsid w:val="6BF23309"/>
    <w:rsid w:val="6BF52D0C"/>
    <w:rsid w:val="6BFC5025"/>
    <w:rsid w:val="6BFF3AB4"/>
    <w:rsid w:val="6C057008"/>
    <w:rsid w:val="6C0E16B6"/>
    <w:rsid w:val="6C1765A4"/>
    <w:rsid w:val="6C1A00FB"/>
    <w:rsid w:val="6C272818"/>
    <w:rsid w:val="6C2B23A1"/>
    <w:rsid w:val="6C2B50B3"/>
    <w:rsid w:val="6C3513D9"/>
    <w:rsid w:val="6C374F4A"/>
    <w:rsid w:val="6C450EF0"/>
    <w:rsid w:val="6C586C11"/>
    <w:rsid w:val="6C6132BE"/>
    <w:rsid w:val="6C616F52"/>
    <w:rsid w:val="6C636C38"/>
    <w:rsid w:val="6C6728D2"/>
    <w:rsid w:val="6C6835A6"/>
    <w:rsid w:val="6C725AC8"/>
    <w:rsid w:val="6C725F74"/>
    <w:rsid w:val="6C745C65"/>
    <w:rsid w:val="6C975BF0"/>
    <w:rsid w:val="6C9B3B02"/>
    <w:rsid w:val="6CAB2164"/>
    <w:rsid w:val="6CAE57C5"/>
    <w:rsid w:val="6CAE6A95"/>
    <w:rsid w:val="6CB30550"/>
    <w:rsid w:val="6CB6634A"/>
    <w:rsid w:val="6CBC5656"/>
    <w:rsid w:val="6CCE5C39"/>
    <w:rsid w:val="6CD504C6"/>
    <w:rsid w:val="6CDB47E5"/>
    <w:rsid w:val="6CFB6C05"/>
    <w:rsid w:val="6D0F29CE"/>
    <w:rsid w:val="6D176D30"/>
    <w:rsid w:val="6D1B6E80"/>
    <w:rsid w:val="6D2D768C"/>
    <w:rsid w:val="6D3F3629"/>
    <w:rsid w:val="6D403BCC"/>
    <w:rsid w:val="6D451126"/>
    <w:rsid w:val="6D5835D1"/>
    <w:rsid w:val="6D596E90"/>
    <w:rsid w:val="6D6829FE"/>
    <w:rsid w:val="6D6A3304"/>
    <w:rsid w:val="6D7E0B5E"/>
    <w:rsid w:val="6D811100"/>
    <w:rsid w:val="6D837F22"/>
    <w:rsid w:val="6D85697E"/>
    <w:rsid w:val="6D875D2F"/>
    <w:rsid w:val="6D8C327A"/>
    <w:rsid w:val="6D8D7674"/>
    <w:rsid w:val="6D9525F1"/>
    <w:rsid w:val="6DB34098"/>
    <w:rsid w:val="6DB53DEA"/>
    <w:rsid w:val="6DB545B6"/>
    <w:rsid w:val="6DBF7511"/>
    <w:rsid w:val="6DC8533B"/>
    <w:rsid w:val="6DCA468C"/>
    <w:rsid w:val="6DCF24DD"/>
    <w:rsid w:val="6DD07A3E"/>
    <w:rsid w:val="6DDE5E6D"/>
    <w:rsid w:val="6DE02FB4"/>
    <w:rsid w:val="6DEC62F6"/>
    <w:rsid w:val="6DF637F5"/>
    <w:rsid w:val="6DF64B98"/>
    <w:rsid w:val="6DF90928"/>
    <w:rsid w:val="6E0B7751"/>
    <w:rsid w:val="6E137448"/>
    <w:rsid w:val="6E1F1AD1"/>
    <w:rsid w:val="6E2C6AC6"/>
    <w:rsid w:val="6E3934AA"/>
    <w:rsid w:val="6E4B7D4B"/>
    <w:rsid w:val="6E4F32C3"/>
    <w:rsid w:val="6E503572"/>
    <w:rsid w:val="6E514CED"/>
    <w:rsid w:val="6E526AE8"/>
    <w:rsid w:val="6E5E44B4"/>
    <w:rsid w:val="6E5E7650"/>
    <w:rsid w:val="6E603EA1"/>
    <w:rsid w:val="6E7F2DDF"/>
    <w:rsid w:val="6E807C6C"/>
    <w:rsid w:val="6E8B0FB8"/>
    <w:rsid w:val="6E8B7232"/>
    <w:rsid w:val="6E9A203B"/>
    <w:rsid w:val="6EA14B04"/>
    <w:rsid w:val="6EA311CE"/>
    <w:rsid w:val="6EB17BE2"/>
    <w:rsid w:val="6EB563D5"/>
    <w:rsid w:val="6EBD5CE3"/>
    <w:rsid w:val="6EBE1F29"/>
    <w:rsid w:val="6ED55363"/>
    <w:rsid w:val="6ED92677"/>
    <w:rsid w:val="6EDC1FE0"/>
    <w:rsid w:val="6EE7569C"/>
    <w:rsid w:val="6EEE6550"/>
    <w:rsid w:val="6EF00770"/>
    <w:rsid w:val="6F0025C6"/>
    <w:rsid w:val="6F037E5A"/>
    <w:rsid w:val="6F075086"/>
    <w:rsid w:val="6F08090C"/>
    <w:rsid w:val="6F0F5516"/>
    <w:rsid w:val="6F122BF6"/>
    <w:rsid w:val="6F156FA6"/>
    <w:rsid w:val="6F1F233B"/>
    <w:rsid w:val="6F225983"/>
    <w:rsid w:val="6F2278C5"/>
    <w:rsid w:val="6F3622C0"/>
    <w:rsid w:val="6F392BD7"/>
    <w:rsid w:val="6F406167"/>
    <w:rsid w:val="6F5A2461"/>
    <w:rsid w:val="6F727BD6"/>
    <w:rsid w:val="6F7A6673"/>
    <w:rsid w:val="6F800BBD"/>
    <w:rsid w:val="6F951366"/>
    <w:rsid w:val="6F963F3C"/>
    <w:rsid w:val="6FAC3D02"/>
    <w:rsid w:val="6FB01F5B"/>
    <w:rsid w:val="6FCC5BB0"/>
    <w:rsid w:val="6FD01B8B"/>
    <w:rsid w:val="6FDE7AEF"/>
    <w:rsid w:val="6FDF35B3"/>
    <w:rsid w:val="6FE2406F"/>
    <w:rsid w:val="6FE6799D"/>
    <w:rsid w:val="6FEA5530"/>
    <w:rsid w:val="6FF06C27"/>
    <w:rsid w:val="6FF70CFA"/>
    <w:rsid w:val="6FFC5590"/>
    <w:rsid w:val="70187047"/>
    <w:rsid w:val="70384FF4"/>
    <w:rsid w:val="704541B6"/>
    <w:rsid w:val="70490FDB"/>
    <w:rsid w:val="705D2856"/>
    <w:rsid w:val="70627770"/>
    <w:rsid w:val="706B2330"/>
    <w:rsid w:val="706D1DD0"/>
    <w:rsid w:val="7073427E"/>
    <w:rsid w:val="70753501"/>
    <w:rsid w:val="70775457"/>
    <w:rsid w:val="70791971"/>
    <w:rsid w:val="707A525F"/>
    <w:rsid w:val="70856B87"/>
    <w:rsid w:val="70911303"/>
    <w:rsid w:val="709509A6"/>
    <w:rsid w:val="70956ABC"/>
    <w:rsid w:val="709824E1"/>
    <w:rsid w:val="70A02B99"/>
    <w:rsid w:val="70B73A02"/>
    <w:rsid w:val="70B75627"/>
    <w:rsid w:val="70B84EF7"/>
    <w:rsid w:val="70BC3723"/>
    <w:rsid w:val="70C222C3"/>
    <w:rsid w:val="70C73331"/>
    <w:rsid w:val="70C76378"/>
    <w:rsid w:val="70CA7023"/>
    <w:rsid w:val="70CF6678"/>
    <w:rsid w:val="70D527EE"/>
    <w:rsid w:val="70DA4E7A"/>
    <w:rsid w:val="70DE203F"/>
    <w:rsid w:val="70E37655"/>
    <w:rsid w:val="70E95617"/>
    <w:rsid w:val="70EB6F9A"/>
    <w:rsid w:val="70EE5FFA"/>
    <w:rsid w:val="70F07835"/>
    <w:rsid w:val="70F76C5D"/>
    <w:rsid w:val="70F94125"/>
    <w:rsid w:val="70FC0717"/>
    <w:rsid w:val="711471FA"/>
    <w:rsid w:val="711C525D"/>
    <w:rsid w:val="712F3C11"/>
    <w:rsid w:val="71353D9C"/>
    <w:rsid w:val="713A5789"/>
    <w:rsid w:val="714B6FA9"/>
    <w:rsid w:val="71502C3F"/>
    <w:rsid w:val="71567590"/>
    <w:rsid w:val="715B5300"/>
    <w:rsid w:val="7164006A"/>
    <w:rsid w:val="71692130"/>
    <w:rsid w:val="716B31A7"/>
    <w:rsid w:val="71716795"/>
    <w:rsid w:val="717209D9"/>
    <w:rsid w:val="717E1C17"/>
    <w:rsid w:val="71827337"/>
    <w:rsid w:val="7185070D"/>
    <w:rsid w:val="71852872"/>
    <w:rsid w:val="71854018"/>
    <w:rsid w:val="718F3339"/>
    <w:rsid w:val="71991D4D"/>
    <w:rsid w:val="719A3A8C"/>
    <w:rsid w:val="71A04622"/>
    <w:rsid w:val="71B927E7"/>
    <w:rsid w:val="71C55B91"/>
    <w:rsid w:val="71C823A7"/>
    <w:rsid w:val="71C8432A"/>
    <w:rsid w:val="71D032BC"/>
    <w:rsid w:val="71D27F8A"/>
    <w:rsid w:val="71DC4D5F"/>
    <w:rsid w:val="71DD0E59"/>
    <w:rsid w:val="71DE4838"/>
    <w:rsid w:val="71FA1F12"/>
    <w:rsid w:val="71FC0FEC"/>
    <w:rsid w:val="72037978"/>
    <w:rsid w:val="720553A9"/>
    <w:rsid w:val="720C26CC"/>
    <w:rsid w:val="72113D4E"/>
    <w:rsid w:val="72187846"/>
    <w:rsid w:val="72192C03"/>
    <w:rsid w:val="721D1825"/>
    <w:rsid w:val="721F1F76"/>
    <w:rsid w:val="721F290F"/>
    <w:rsid w:val="72286515"/>
    <w:rsid w:val="722F4919"/>
    <w:rsid w:val="723F6439"/>
    <w:rsid w:val="723F6B0D"/>
    <w:rsid w:val="724265FE"/>
    <w:rsid w:val="7247096A"/>
    <w:rsid w:val="7250085E"/>
    <w:rsid w:val="725117D9"/>
    <w:rsid w:val="72553024"/>
    <w:rsid w:val="725A2C95"/>
    <w:rsid w:val="725B7D61"/>
    <w:rsid w:val="7264450F"/>
    <w:rsid w:val="72695938"/>
    <w:rsid w:val="726F71EB"/>
    <w:rsid w:val="727B233D"/>
    <w:rsid w:val="727F5809"/>
    <w:rsid w:val="72840C5B"/>
    <w:rsid w:val="72841E81"/>
    <w:rsid w:val="728E35F1"/>
    <w:rsid w:val="72A21D12"/>
    <w:rsid w:val="72A314FA"/>
    <w:rsid w:val="72A85A52"/>
    <w:rsid w:val="72AC3A77"/>
    <w:rsid w:val="72C50FCD"/>
    <w:rsid w:val="72C74EA1"/>
    <w:rsid w:val="72CD5798"/>
    <w:rsid w:val="72D07765"/>
    <w:rsid w:val="72D51220"/>
    <w:rsid w:val="72E22317"/>
    <w:rsid w:val="72E43211"/>
    <w:rsid w:val="72EC2523"/>
    <w:rsid w:val="72F2564F"/>
    <w:rsid w:val="72F859D2"/>
    <w:rsid w:val="72FA0C86"/>
    <w:rsid w:val="730E4732"/>
    <w:rsid w:val="73122968"/>
    <w:rsid w:val="73144EB3"/>
    <w:rsid w:val="73170365"/>
    <w:rsid w:val="731B0489"/>
    <w:rsid w:val="731C0C59"/>
    <w:rsid w:val="731F5D5E"/>
    <w:rsid w:val="73201E23"/>
    <w:rsid w:val="73250640"/>
    <w:rsid w:val="732E1691"/>
    <w:rsid w:val="732F2382"/>
    <w:rsid w:val="733028FA"/>
    <w:rsid w:val="73306307"/>
    <w:rsid w:val="73393303"/>
    <w:rsid w:val="73441F01"/>
    <w:rsid w:val="7346211D"/>
    <w:rsid w:val="734A1D78"/>
    <w:rsid w:val="734F7756"/>
    <w:rsid w:val="7350457E"/>
    <w:rsid w:val="735C36EF"/>
    <w:rsid w:val="73685BF0"/>
    <w:rsid w:val="737B346E"/>
    <w:rsid w:val="73800E64"/>
    <w:rsid w:val="7386415C"/>
    <w:rsid w:val="738F3FE8"/>
    <w:rsid w:val="73927111"/>
    <w:rsid w:val="739D4FA0"/>
    <w:rsid w:val="73A32A2E"/>
    <w:rsid w:val="73A32D66"/>
    <w:rsid w:val="73A40BF2"/>
    <w:rsid w:val="73A62BBC"/>
    <w:rsid w:val="73AF0823"/>
    <w:rsid w:val="73B00498"/>
    <w:rsid w:val="73B02E03"/>
    <w:rsid w:val="73B60B82"/>
    <w:rsid w:val="73BC23E0"/>
    <w:rsid w:val="73C432B0"/>
    <w:rsid w:val="73C51AD5"/>
    <w:rsid w:val="73C73A13"/>
    <w:rsid w:val="73CD46CC"/>
    <w:rsid w:val="73CE0271"/>
    <w:rsid w:val="73CF6E2B"/>
    <w:rsid w:val="73D62BC2"/>
    <w:rsid w:val="73D872AE"/>
    <w:rsid w:val="73E8526C"/>
    <w:rsid w:val="73E97B4F"/>
    <w:rsid w:val="73EF1E6D"/>
    <w:rsid w:val="73F036D9"/>
    <w:rsid w:val="73FD2F24"/>
    <w:rsid w:val="741655D3"/>
    <w:rsid w:val="741E793C"/>
    <w:rsid w:val="742328FA"/>
    <w:rsid w:val="74400F5D"/>
    <w:rsid w:val="744E286B"/>
    <w:rsid w:val="74571348"/>
    <w:rsid w:val="745B7C98"/>
    <w:rsid w:val="745E3944"/>
    <w:rsid w:val="746926B2"/>
    <w:rsid w:val="746A679C"/>
    <w:rsid w:val="746E50F7"/>
    <w:rsid w:val="74717335"/>
    <w:rsid w:val="74756441"/>
    <w:rsid w:val="747607E0"/>
    <w:rsid w:val="74785E04"/>
    <w:rsid w:val="747E535F"/>
    <w:rsid w:val="747F7032"/>
    <w:rsid w:val="7487552D"/>
    <w:rsid w:val="74962C31"/>
    <w:rsid w:val="749B0247"/>
    <w:rsid w:val="749C564F"/>
    <w:rsid w:val="74AB3E50"/>
    <w:rsid w:val="74AE7F7A"/>
    <w:rsid w:val="74B13954"/>
    <w:rsid w:val="74B9247B"/>
    <w:rsid w:val="74BC6453"/>
    <w:rsid w:val="74C72DEA"/>
    <w:rsid w:val="74CE7BCE"/>
    <w:rsid w:val="74D07478"/>
    <w:rsid w:val="74D47D67"/>
    <w:rsid w:val="74DD76D3"/>
    <w:rsid w:val="75017ABC"/>
    <w:rsid w:val="75061B64"/>
    <w:rsid w:val="75137DDD"/>
    <w:rsid w:val="753E38CD"/>
    <w:rsid w:val="753F5076"/>
    <w:rsid w:val="75410DEE"/>
    <w:rsid w:val="75452D69"/>
    <w:rsid w:val="754E52B9"/>
    <w:rsid w:val="75562075"/>
    <w:rsid w:val="75610B49"/>
    <w:rsid w:val="75644ADD"/>
    <w:rsid w:val="757811FC"/>
    <w:rsid w:val="757D09AA"/>
    <w:rsid w:val="757E70DE"/>
    <w:rsid w:val="758A5BA0"/>
    <w:rsid w:val="758B2E47"/>
    <w:rsid w:val="758D4ADB"/>
    <w:rsid w:val="759058D2"/>
    <w:rsid w:val="75907424"/>
    <w:rsid w:val="75986535"/>
    <w:rsid w:val="759C7DD3"/>
    <w:rsid w:val="75AF5D58"/>
    <w:rsid w:val="75B421EA"/>
    <w:rsid w:val="75B96BD7"/>
    <w:rsid w:val="75C15943"/>
    <w:rsid w:val="75C21594"/>
    <w:rsid w:val="75C74CFC"/>
    <w:rsid w:val="75CA1374"/>
    <w:rsid w:val="75D2632D"/>
    <w:rsid w:val="75DF2898"/>
    <w:rsid w:val="75DF4163"/>
    <w:rsid w:val="75E079CB"/>
    <w:rsid w:val="75E51AE3"/>
    <w:rsid w:val="75E63744"/>
    <w:rsid w:val="75ED5A63"/>
    <w:rsid w:val="75ED712A"/>
    <w:rsid w:val="75F000BD"/>
    <w:rsid w:val="75F06371"/>
    <w:rsid w:val="75F71C65"/>
    <w:rsid w:val="75F93588"/>
    <w:rsid w:val="75FF6149"/>
    <w:rsid w:val="761958C7"/>
    <w:rsid w:val="7620086F"/>
    <w:rsid w:val="762027B2"/>
    <w:rsid w:val="762A53DF"/>
    <w:rsid w:val="762B1157"/>
    <w:rsid w:val="762D1373"/>
    <w:rsid w:val="762E5EC9"/>
    <w:rsid w:val="762F50EB"/>
    <w:rsid w:val="76312C11"/>
    <w:rsid w:val="7635099D"/>
    <w:rsid w:val="7641097A"/>
    <w:rsid w:val="76412EC1"/>
    <w:rsid w:val="7647503B"/>
    <w:rsid w:val="76485F7C"/>
    <w:rsid w:val="765661D4"/>
    <w:rsid w:val="765C72C6"/>
    <w:rsid w:val="766D70EC"/>
    <w:rsid w:val="766D79C1"/>
    <w:rsid w:val="76724FD8"/>
    <w:rsid w:val="76750AA0"/>
    <w:rsid w:val="76760624"/>
    <w:rsid w:val="76762563"/>
    <w:rsid w:val="768D7710"/>
    <w:rsid w:val="769000ED"/>
    <w:rsid w:val="7693567A"/>
    <w:rsid w:val="76992564"/>
    <w:rsid w:val="76A90156"/>
    <w:rsid w:val="76AA2EBE"/>
    <w:rsid w:val="76B65BCE"/>
    <w:rsid w:val="76BA6956"/>
    <w:rsid w:val="76BB24E0"/>
    <w:rsid w:val="76CE5EC8"/>
    <w:rsid w:val="76DE48A5"/>
    <w:rsid w:val="76E41B79"/>
    <w:rsid w:val="76E71522"/>
    <w:rsid w:val="76E97048"/>
    <w:rsid w:val="76F12290"/>
    <w:rsid w:val="76F6239E"/>
    <w:rsid w:val="76FA0681"/>
    <w:rsid w:val="7701788A"/>
    <w:rsid w:val="770266F9"/>
    <w:rsid w:val="770403E0"/>
    <w:rsid w:val="77046330"/>
    <w:rsid w:val="771827E3"/>
    <w:rsid w:val="771F2A69"/>
    <w:rsid w:val="771F42A6"/>
    <w:rsid w:val="77212C85"/>
    <w:rsid w:val="772C5C48"/>
    <w:rsid w:val="7733332F"/>
    <w:rsid w:val="77334767"/>
    <w:rsid w:val="77383B2B"/>
    <w:rsid w:val="77401CD1"/>
    <w:rsid w:val="77411CFE"/>
    <w:rsid w:val="774150D6"/>
    <w:rsid w:val="77436940"/>
    <w:rsid w:val="774A17EC"/>
    <w:rsid w:val="774F3949"/>
    <w:rsid w:val="7751797F"/>
    <w:rsid w:val="775C3CBE"/>
    <w:rsid w:val="775C474D"/>
    <w:rsid w:val="775F555C"/>
    <w:rsid w:val="776143DD"/>
    <w:rsid w:val="77754D7F"/>
    <w:rsid w:val="77762421"/>
    <w:rsid w:val="77983CC0"/>
    <w:rsid w:val="779A0FFD"/>
    <w:rsid w:val="779A33A8"/>
    <w:rsid w:val="779B6640"/>
    <w:rsid w:val="779F33F8"/>
    <w:rsid w:val="77A967D7"/>
    <w:rsid w:val="77AB254F"/>
    <w:rsid w:val="77B05DB7"/>
    <w:rsid w:val="77B30CF1"/>
    <w:rsid w:val="77B56B1F"/>
    <w:rsid w:val="77B63CFE"/>
    <w:rsid w:val="77C856C0"/>
    <w:rsid w:val="77CD1018"/>
    <w:rsid w:val="77CF2FD4"/>
    <w:rsid w:val="77D33D88"/>
    <w:rsid w:val="77D626F3"/>
    <w:rsid w:val="77E02B9B"/>
    <w:rsid w:val="77F51A1C"/>
    <w:rsid w:val="77F73815"/>
    <w:rsid w:val="77FB7F9F"/>
    <w:rsid w:val="77FD6304"/>
    <w:rsid w:val="78000AED"/>
    <w:rsid w:val="78022BAB"/>
    <w:rsid w:val="78065E67"/>
    <w:rsid w:val="780A722E"/>
    <w:rsid w:val="780B1240"/>
    <w:rsid w:val="780F09F4"/>
    <w:rsid w:val="781B2C77"/>
    <w:rsid w:val="7822028B"/>
    <w:rsid w:val="782557C7"/>
    <w:rsid w:val="78371911"/>
    <w:rsid w:val="78431528"/>
    <w:rsid w:val="78482494"/>
    <w:rsid w:val="784A31FE"/>
    <w:rsid w:val="785A6C63"/>
    <w:rsid w:val="785C3849"/>
    <w:rsid w:val="785E5813"/>
    <w:rsid w:val="786A55E6"/>
    <w:rsid w:val="7874006B"/>
    <w:rsid w:val="787B0ADF"/>
    <w:rsid w:val="78801C2E"/>
    <w:rsid w:val="78817358"/>
    <w:rsid w:val="78845E45"/>
    <w:rsid w:val="78892BA5"/>
    <w:rsid w:val="7890052D"/>
    <w:rsid w:val="78922203"/>
    <w:rsid w:val="789631FF"/>
    <w:rsid w:val="789F3537"/>
    <w:rsid w:val="78A90480"/>
    <w:rsid w:val="78AB14E8"/>
    <w:rsid w:val="78AF6B87"/>
    <w:rsid w:val="78B65050"/>
    <w:rsid w:val="78BA32A0"/>
    <w:rsid w:val="78BE62B2"/>
    <w:rsid w:val="78BE6515"/>
    <w:rsid w:val="78C30917"/>
    <w:rsid w:val="78CE5EC5"/>
    <w:rsid w:val="78DE6954"/>
    <w:rsid w:val="78E04EF4"/>
    <w:rsid w:val="78E05BA1"/>
    <w:rsid w:val="78E26444"/>
    <w:rsid w:val="78EE6B97"/>
    <w:rsid w:val="78F004C9"/>
    <w:rsid w:val="78F03112"/>
    <w:rsid w:val="78F41CD4"/>
    <w:rsid w:val="78F44239"/>
    <w:rsid w:val="78FC1205"/>
    <w:rsid w:val="79000D96"/>
    <w:rsid w:val="79015365"/>
    <w:rsid w:val="79050385"/>
    <w:rsid w:val="790C34C1"/>
    <w:rsid w:val="790D26D9"/>
    <w:rsid w:val="79145048"/>
    <w:rsid w:val="791B6F01"/>
    <w:rsid w:val="792B7374"/>
    <w:rsid w:val="7943605C"/>
    <w:rsid w:val="79472C05"/>
    <w:rsid w:val="794805D4"/>
    <w:rsid w:val="794964C4"/>
    <w:rsid w:val="794C3BA0"/>
    <w:rsid w:val="796759C5"/>
    <w:rsid w:val="796C5E98"/>
    <w:rsid w:val="797572B9"/>
    <w:rsid w:val="79782905"/>
    <w:rsid w:val="797C4307"/>
    <w:rsid w:val="797D28DB"/>
    <w:rsid w:val="79882533"/>
    <w:rsid w:val="798A22D7"/>
    <w:rsid w:val="798B6ADC"/>
    <w:rsid w:val="79913983"/>
    <w:rsid w:val="799728E1"/>
    <w:rsid w:val="799963EA"/>
    <w:rsid w:val="799A0ACD"/>
    <w:rsid w:val="79A14396"/>
    <w:rsid w:val="79A350CF"/>
    <w:rsid w:val="79AB2CDA"/>
    <w:rsid w:val="79BD5EC0"/>
    <w:rsid w:val="79C72738"/>
    <w:rsid w:val="79CD432C"/>
    <w:rsid w:val="79D317C4"/>
    <w:rsid w:val="79D92B96"/>
    <w:rsid w:val="79D97847"/>
    <w:rsid w:val="79DE6506"/>
    <w:rsid w:val="79E3359C"/>
    <w:rsid w:val="79EA1A55"/>
    <w:rsid w:val="79F008B8"/>
    <w:rsid w:val="79F24465"/>
    <w:rsid w:val="7A054C90"/>
    <w:rsid w:val="7A063F95"/>
    <w:rsid w:val="7A0917AF"/>
    <w:rsid w:val="7A094EFB"/>
    <w:rsid w:val="7A1940E8"/>
    <w:rsid w:val="7A326F58"/>
    <w:rsid w:val="7A33625D"/>
    <w:rsid w:val="7A364017"/>
    <w:rsid w:val="7A3C3932"/>
    <w:rsid w:val="7A3F2143"/>
    <w:rsid w:val="7A3F3423"/>
    <w:rsid w:val="7A412F06"/>
    <w:rsid w:val="7A440730"/>
    <w:rsid w:val="7A4A42A1"/>
    <w:rsid w:val="7A543053"/>
    <w:rsid w:val="7A6A04A0"/>
    <w:rsid w:val="7A6F1F5A"/>
    <w:rsid w:val="7A7B4A13"/>
    <w:rsid w:val="7A8265E1"/>
    <w:rsid w:val="7A835A05"/>
    <w:rsid w:val="7A9D66D6"/>
    <w:rsid w:val="7AA03EC1"/>
    <w:rsid w:val="7AA50AEA"/>
    <w:rsid w:val="7AA87817"/>
    <w:rsid w:val="7AAA4726"/>
    <w:rsid w:val="7AD925BD"/>
    <w:rsid w:val="7AE312A7"/>
    <w:rsid w:val="7AE51D48"/>
    <w:rsid w:val="7AE5353A"/>
    <w:rsid w:val="7AE625C3"/>
    <w:rsid w:val="7AE71AF0"/>
    <w:rsid w:val="7AEF6BF7"/>
    <w:rsid w:val="7AFA667D"/>
    <w:rsid w:val="7AFB6912"/>
    <w:rsid w:val="7AFF230B"/>
    <w:rsid w:val="7B1E6D01"/>
    <w:rsid w:val="7B220D7A"/>
    <w:rsid w:val="7B222C7A"/>
    <w:rsid w:val="7B3779E7"/>
    <w:rsid w:val="7B3A7E30"/>
    <w:rsid w:val="7B4927AB"/>
    <w:rsid w:val="7B581CE5"/>
    <w:rsid w:val="7B592205"/>
    <w:rsid w:val="7B5A6766"/>
    <w:rsid w:val="7B5D15F3"/>
    <w:rsid w:val="7B686D42"/>
    <w:rsid w:val="7B71585E"/>
    <w:rsid w:val="7B726842"/>
    <w:rsid w:val="7B777538"/>
    <w:rsid w:val="7B783EB4"/>
    <w:rsid w:val="7B7B71A1"/>
    <w:rsid w:val="7B7D06A6"/>
    <w:rsid w:val="7B841746"/>
    <w:rsid w:val="7B8F3F36"/>
    <w:rsid w:val="7B936E9D"/>
    <w:rsid w:val="7B942581"/>
    <w:rsid w:val="7B971768"/>
    <w:rsid w:val="7B9B0065"/>
    <w:rsid w:val="7B9C1507"/>
    <w:rsid w:val="7BA32890"/>
    <w:rsid w:val="7BA67044"/>
    <w:rsid w:val="7BB2422F"/>
    <w:rsid w:val="7BBE70C4"/>
    <w:rsid w:val="7BD7611D"/>
    <w:rsid w:val="7BE6624C"/>
    <w:rsid w:val="7BF00E78"/>
    <w:rsid w:val="7BF70459"/>
    <w:rsid w:val="7BF94A96"/>
    <w:rsid w:val="7C0041E8"/>
    <w:rsid w:val="7C0257F9"/>
    <w:rsid w:val="7C154B4A"/>
    <w:rsid w:val="7C17535C"/>
    <w:rsid w:val="7C1B35FE"/>
    <w:rsid w:val="7C1B4AE0"/>
    <w:rsid w:val="7C1C31B5"/>
    <w:rsid w:val="7C1D1542"/>
    <w:rsid w:val="7C26752C"/>
    <w:rsid w:val="7C3A6597"/>
    <w:rsid w:val="7C3C5E6C"/>
    <w:rsid w:val="7C460A98"/>
    <w:rsid w:val="7C491D1D"/>
    <w:rsid w:val="7C5A2796"/>
    <w:rsid w:val="7C6C5AC7"/>
    <w:rsid w:val="7C7A4BE6"/>
    <w:rsid w:val="7C7A6994"/>
    <w:rsid w:val="7C7C44BA"/>
    <w:rsid w:val="7C810A59"/>
    <w:rsid w:val="7C887303"/>
    <w:rsid w:val="7C9C717B"/>
    <w:rsid w:val="7C9D7B46"/>
    <w:rsid w:val="7CA0425F"/>
    <w:rsid w:val="7CA51473"/>
    <w:rsid w:val="7CAF663E"/>
    <w:rsid w:val="7CB33237"/>
    <w:rsid w:val="7CC2029C"/>
    <w:rsid w:val="7CC47FFB"/>
    <w:rsid w:val="7CC6544B"/>
    <w:rsid w:val="7CCA791B"/>
    <w:rsid w:val="7CD04806"/>
    <w:rsid w:val="7CD9190C"/>
    <w:rsid w:val="7CE64029"/>
    <w:rsid w:val="7CED360A"/>
    <w:rsid w:val="7CF45005"/>
    <w:rsid w:val="7CFB5D27"/>
    <w:rsid w:val="7D0239FF"/>
    <w:rsid w:val="7D1172F8"/>
    <w:rsid w:val="7D23702C"/>
    <w:rsid w:val="7D271DEF"/>
    <w:rsid w:val="7D307669"/>
    <w:rsid w:val="7D33401B"/>
    <w:rsid w:val="7D3D1E9B"/>
    <w:rsid w:val="7D3E5C13"/>
    <w:rsid w:val="7D4240E5"/>
    <w:rsid w:val="7D521B68"/>
    <w:rsid w:val="7D5521DC"/>
    <w:rsid w:val="7D556273"/>
    <w:rsid w:val="7D5E40CD"/>
    <w:rsid w:val="7D71105E"/>
    <w:rsid w:val="7D7B1996"/>
    <w:rsid w:val="7D7E4262"/>
    <w:rsid w:val="7D9615AC"/>
    <w:rsid w:val="7D9D293A"/>
    <w:rsid w:val="7D9E5BC9"/>
    <w:rsid w:val="7DA55011"/>
    <w:rsid w:val="7DAE4B47"/>
    <w:rsid w:val="7DC17B4C"/>
    <w:rsid w:val="7DC23F84"/>
    <w:rsid w:val="7DC40737"/>
    <w:rsid w:val="7DC504C9"/>
    <w:rsid w:val="7DC555EE"/>
    <w:rsid w:val="7DC97BD3"/>
    <w:rsid w:val="7DCD56F2"/>
    <w:rsid w:val="7DD42F08"/>
    <w:rsid w:val="7DD50498"/>
    <w:rsid w:val="7DD520D4"/>
    <w:rsid w:val="7DDB3462"/>
    <w:rsid w:val="7DE1409F"/>
    <w:rsid w:val="7DE26BE4"/>
    <w:rsid w:val="7DF11B7F"/>
    <w:rsid w:val="7DF32EA2"/>
    <w:rsid w:val="7DF83D26"/>
    <w:rsid w:val="7DFB6D23"/>
    <w:rsid w:val="7DFC4431"/>
    <w:rsid w:val="7E123328"/>
    <w:rsid w:val="7E142678"/>
    <w:rsid w:val="7E490EFB"/>
    <w:rsid w:val="7E4A77C9"/>
    <w:rsid w:val="7E502C92"/>
    <w:rsid w:val="7E521976"/>
    <w:rsid w:val="7E544A6E"/>
    <w:rsid w:val="7E582D05"/>
    <w:rsid w:val="7E5971A9"/>
    <w:rsid w:val="7E6230A3"/>
    <w:rsid w:val="7E635932"/>
    <w:rsid w:val="7E665D8F"/>
    <w:rsid w:val="7E6B2A38"/>
    <w:rsid w:val="7E741656"/>
    <w:rsid w:val="7E7A0EC9"/>
    <w:rsid w:val="7E82779C"/>
    <w:rsid w:val="7E9755DB"/>
    <w:rsid w:val="7EA16083"/>
    <w:rsid w:val="7EAB1EEB"/>
    <w:rsid w:val="7EBA751C"/>
    <w:rsid w:val="7EBB1A57"/>
    <w:rsid w:val="7EC07C5D"/>
    <w:rsid w:val="7EC65EC0"/>
    <w:rsid w:val="7ED1633C"/>
    <w:rsid w:val="7ED5767C"/>
    <w:rsid w:val="7EDC02B0"/>
    <w:rsid w:val="7EE10F4C"/>
    <w:rsid w:val="7EE41C92"/>
    <w:rsid w:val="7EEA6FF6"/>
    <w:rsid w:val="7EF02F3D"/>
    <w:rsid w:val="7EF23159"/>
    <w:rsid w:val="7EF46ED2"/>
    <w:rsid w:val="7EF742CC"/>
    <w:rsid w:val="7EF9012F"/>
    <w:rsid w:val="7F001CE7"/>
    <w:rsid w:val="7F091472"/>
    <w:rsid w:val="7F131800"/>
    <w:rsid w:val="7F211349"/>
    <w:rsid w:val="7F2552DD"/>
    <w:rsid w:val="7F2F4F26"/>
    <w:rsid w:val="7F366937"/>
    <w:rsid w:val="7F370B6C"/>
    <w:rsid w:val="7F3823EB"/>
    <w:rsid w:val="7F4509E7"/>
    <w:rsid w:val="7F4E1D30"/>
    <w:rsid w:val="7F6000C3"/>
    <w:rsid w:val="7F604567"/>
    <w:rsid w:val="7F6568C3"/>
    <w:rsid w:val="7F6B7F73"/>
    <w:rsid w:val="7F7432FD"/>
    <w:rsid w:val="7F78540D"/>
    <w:rsid w:val="7F7E679B"/>
    <w:rsid w:val="7F82454A"/>
    <w:rsid w:val="7F8658B7"/>
    <w:rsid w:val="7F910091"/>
    <w:rsid w:val="7F935EC4"/>
    <w:rsid w:val="7F96388C"/>
    <w:rsid w:val="7F9710F9"/>
    <w:rsid w:val="7F983D01"/>
    <w:rsid w:val="7F9E0BEB"/>
    <w:rsid w:val="7F9F7F30"/>
    <w:rsid w:val="7FA11E27"/>
    <w:rsid w:val="7FA27273"/>
    <w:rsid w:val="7FAB4734"/>
    <w:rsid w:val="7FB476CC"/>
    <w:rsid w:val="7FB81CAD"/>
    <w:rsid w:val="7FBB79EF"/>
    <w:rsid w:val="7FBC561C"/>
    <w:rsid w:val="7FC20D7E"/>
    <w:rsid w:val="7FC30A4E"/>
    <w:rsid w:val="7FCA53DD"/>
    <w:rsid w:val="7FCF3DBA"/>
    <w:rsid w:val="7FD36AE7"/>
    <w:rsid w:val="7FD55275"/>
    <w:rsid w:val="7FDA1C8A"/>
    <w:rsid w:val="7FDB599C"/>
    <w:rsid w:val="7FE059FC"/>
    <w:rsid w:val="7FE47E50"/>
    <w:rsid w:val="7FE505C8"/>
    <w:rsid w:val="7FF9010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qFormat="1" w:unhideWhenUsed="0" w:uiPriority="0" w:semiHidden="0" w:name="toc 9" w:locked="1"/>
    <w:lsdException w:qFormat="1" w:unhideWhenUsed="0" w:uiPriority="0" w:semiHidden="0" w:name="Normal Indent"/>
    <w:lsdException w:unhideWhenUsed="0" w:uiPriority="0" w:semiHidden="0" w:name="footnote text" w:locked="1"/>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ocked="1"/>
    <w:lsdException w:qFormat="1" w:unhideWhenUsed="0" w:uiPriority="0" w:semiHidden="0" w:name="caption"/>
    <w:lsdException w:unhideWhenUsed="0" w:uiPriority="0" w:semiHidden="0" w:name="table of figures" w:locked="1"/>
    <w:lsdException w:unhideWhenUsed="0" w:uiPriority="0" w:semiHidden="0" w:name="envelope address" w:locked="1"/>
    <w:lsdException w:unhideWhenUsed="0" w:uiPriority="0" w:semiHidden="0" w:name="envelope return"/>
    <w:lsdException w:unhideWhenUsed="0" w:uiPriority="0" w:semiHidden="0" w:name="footnote reference" w:locked="1"/>
    <w:lsdException w:unhideWhenUsed="0" w:uiPriority="0" w:semiHidden="0" w:name="annotation reference"/>
    <w:lsdException w:unhideWhenUsed="0" w:uiPriority="0" w:semiHidden="0" w:name="line number" w:locked="1"/>
    <w:lsdException w:unhideWhenUsed="0" w:uiPriority="0" w:semiHidden="0" w:name="page number"/>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ocked="1"/>
    <w:lsdException w:qFormat="1" w:unhideWhenUsed="0" w:uiPriority="0" w:semiHidden="0" w:name="Body Text 2"/>
    <w:lsdException w:unhideWhenUsed="0" w:uiPriority="0" w:semiHidden="0" w:name="Body Text 3" w:locked="1"/>
    <w:lsdException w:qFormat="1" w:unhideWhenUsed="0" w:uiPriority="0" w:semiHidden="0" w:name="Body Text Indent 2"/>
    <w:lsdException w:unhideWhenUsed="0" w:uiPriority="0" w:semiHidden="0" w:name="Body Text Indent 3" w:locked="1"/>
    <w:lsdException w:qFormat="1"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sdException w:qFormat="1" w:unhideWhenUsed="0" w:uiPriority="0" w:semiHidden="0" w:name="Emphasis" w:locked="1"/>
    <w:lsdException w:unhideWhenUsed="0" w:uiPriority="0" w:semiHidden="0" w:name="Document Map" w:locked="1"/>
    <w:lsdException w:qFormat="1" w:unhideWhenUsed="0" w:uiPriority="0" w:semiHidden="0" w:name="Plain Text"/>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unhideWhenUsed="0" w:uiPriority="0" w:semiHidden="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unhideWhenUsed="0" w:uiPriority="0" w:semiHidden="0" w:name="Balloon Text"/>
    <w:lsdException w:qFormat="1" w:unhideWhenUsed="0" w:uiPriority="59" w:semiHidden="0" w:name="Table Grid"/>
    <w:lsdException w:unhideWhenUsed="0" w:uiPriority="0" w:semiHidden="0"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2"/>
    <w:basedOn w:val="1"/>
    <w:next w:val="1"/>
    <w:link w:val="30"/>
    <w:qFormat/>
    <w:locked/>
    <w:uiPriority w:val="0"/>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link w:val="31"/>
    <w:qFormat/>
    <w:locked/>
    <w:uiPriority w:val="0"/>
    <w:pPr>
      <w:keepNext/>
      <w:keepLines/>
      <w:spacing w:before="260" w:after="260" w:line="416" w:lineRule="auto"/>
      <w:outlineLvl w:val="2"/>
    </w:pPr>
    <w:rPr>
      <w:b/>
      <w:bCs/>
      <w:sz w:val="32"/>
      <w:szCs w:val="32"/>
    </w:rPr>
  </w:style>
  <w:style w:type="paragraph" w:styleId="2">
    <w:name w:val="heading 4"/>
    <w:basedOn w:val="1"/>
    <w:next w:val="1"/>
    <w:qFormat/>
    <w:locked/>
    <w:uiPriority w:val="0"/>
    <w:pPr>
      <w:keepNext/>
      <w:keepLines/>
      <w:spacing w:before="280" w:after="290" w:line="376" w:lineRule="auto"/>
      <w:outlineLvl w:val="3"/>
    </w:pPr>
    <w:rPr>
      <w:rFonts w:ascii="Cambria" w:hAnsi="Cambria"/>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rPr>
      <w:sz w:val="28"/>
    </w:rPr>
  </w:style>
  <w:style w:type="paragraph" w:styleId="7">
    <w:name w:val="caption"/>
    <w:basedOn w:val="1"/>
    <w:next w:val="1"/>
    <w:qFormat/>
    <w:uiPriority w:val="0"/>
    <w:pPr>
      <w:widowControl w:val="0"/>
      <w:autoSpaceDE/>
      <w:autoSpaceDN/>
      <w:spacing w:before="152" w:after="160" w:line="240" w:lineRule="auto"/>
      <w:ind w:left="0" w:firstLine="0"/>
      <w:jc w:val="both"/>
    </w:pPr>
    <w:rPr>
      <w:rFonts w:ascii="Arial" w:eastAsia="黑体"/>
      <w:sz w:val="20"/>
    </w:rPr>
  </w:style>
  <w:style w:type="paragraph" w:styleId="8">
    <w:name w:val="annotation text"/>
    <w:basedOn w:val="1"/>
    <w:qFormat/>
    <w:uiPriority w:val="0"/>
    <w:pPr>
      <w:jc w:val="left"/>
    </w:pPr>
  </w:style>
  <w:style w:type="paragraph" w:styleId="9">
    <w:name w:val="Salutation"/>
    <w:basedOn w:val="1"/>
    <w:next w:val="1"/>
    <w:qFormat/>
    <w:uiPriority w:val="0"/>
  </w:style>
  <w:style w:type="paragraph" w:styleId="10">
    <w:name w:val="Body Text"/>
    <w:basedOn w:val="1"/>
    <w:next w:val="1"/>
    <w:qFormat/>
    <w:uiPriority w:val="0"/>
    <w:pPr>
      <w:spacing w:after="120" w:afterLines="0" w:afterAutospacing="0"/>
    </w:pPr>
  </w:style>
  <w:style w:type="paragraph" w:styleId="11">
    <w:name w:val="Body Text Indent"/>
    <w:basedOn w:val="1"/>
    <w:next w:val="1"/>
    <w:qFormat/>
    <w:uiPriority w:val="0"/>
    <w:pPr>
      <w:spacing w:after="120"/>
      <w:ind w:left="420" w:leftChars="200"/>
    </w:pPr>
    <w:rPr>
      <w:rFonts w:cs="Times New Roman"/>
      <w:kern w:val="0"/>
      <w:szCs w:val="20"/>
    </w:rPr>
  </w:style>
  <w:style w:type="paragraph" w:styleId="12">
    <w:name w:val="Block Text"/>
    <w:basedOn w:val="1"/>
    <w:qFormat/>
    <w:locked/>
    <w:uiPriority w:val="0"/>
    <w:pPr>
      <w:spacing w:after="120" w:line="500" w:lineRule="exact"/>
      <w:ind w:left="1440" w:leftChars="700" w:right="1440" w:rightChars="700"/>
    </w:pPr>
    <w:rPr>
      <w:rFonts w:hint="eastAsia" w:ascii="仿宋_GB2312" w:eastAsia="仿宋_GB2312"/>
      <w:sz w:val="28"/>
    </w:rPr>
  </w:style>
  <w:style w:type="paragraph" w:styleId="13">
    <w:name w:val="Plain Text"/>
    <w:basedOn w:val="1"/>
    <w:qFormat/>
    <w:uiPriority w:val="0"/>
    <w:rPr>
      <w:rFonts w:ascii="宋体" w:hAnsi="Courier New"/>
      <w:szCs w:val="20"/>
    </w:rPr>
  </w:style>
  <w:style w:type="paragraph" w:styleId="14">
    <w:name w:val="Date"/>
    <w:basedOn w:val="1"/>
    <w:next w:val="1"/>
    <w:qFormat/>
    <w:uiPriority w:val="0"/>
    <w:pPr>
      <w:ind w:left="100" w:leftChars="2500"/>
    </w:pPr>
  </w:style>
  <w:style w:type="paragraph" w:styleId="15">
    <w:name w:val="Body Text Indent 2"/>
    <w:basedOn w:val="1"/>
    <w:next w:val="16"/>
    <w:qFormat/>
    <w:uiPriority w:val="0"/>
    <w:pPr>
      <w:spacing w:after="120" w:line="480" w:lineRule="auto"/>
      <w:ind w:left="420" w:leftChars="200"/>
    </w:pPr>
  </w:style>
  <w:style w:type="paragraph" w:styleId="16">
    <w:name w:val="Body Text First Indent 2"/>
    <w:basedOn w:val="1"/>
    <w:next w:val="1"/>
    <w:qFormat/>
    <w:uiPriority w:val="0"/>
    <w:pPr>
      <w:ind w:firstLine="420"/>
    </w:pPr>
  </w:style>
  <w:style w:type="paragraph" w:styleId="17">
    <w:name w:val="footer"/>
    <w:basedOn w:val="1"/>
    <w:unhideWhenUsed/>
    <w:qFormat/>
    <w:uiPriority w:val="99"/>
    <w:pPr>
      <w:tabs>
        <w:tab w:val="center" w:pos="4153"/>
        <w:tab w:val="right" w:pos="8306"/>
      </w:tabs>
      <w:snapToGrid w:val="0"/>
      <w:jc w:val="left"/>
    </w:pPr>
    <w:rPr>
      <w:kern w:val="0"/>
      <w:sz w:val="18"/>
      <w:szCs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toc 1"/>
    <w:basedOn w:val="1"/>
    <w:next w:val="1"/>
    <w:qFormat/>
    <w:locked/>
    <w:uiPriority w:val="0"/>
  </w:style>
  <w:style w:type="paragraph" w:styleId="20">
    <w:name w:val="toc 2"/>
    <w:basedOn w:val="1"/>
    <w:next w:val="1"/>
    <w:qFormat/>
    <w:locked/>
    <w:uiPriority w:val="39"/>
    <w:pPr>
      <w:ind w:left="420" w:leftChars="200"/>
    </w:pPr>
  </w:style>
  <w:style w:type="paragraph" w:styleId="21">
    <w:name w:val="toc 9"/>
    <w:basedOn w:val="1"/>
    <w:next w:val="1"/>
    <w:qFormat/>
    <w:locked/>
    <w:uiPriority w:val="0"/>
    <w:pPr>
      <w:widowControl/>
      <w:wordWrap w:val="0"/>
      <w:autoSpaceDE/>
      <w:autoSpaceDN/>
      <w:spacing w:before="0" w:after="0" w:line="240" w:lineRule="auto"/>
      <w:ind w:left="2975" w:firstLine="0"/>
      <w:jc w:val="both"/>
    </w:pPr>
    <w:rPr>
      <w:sz w:val="21"/>
      <w:szCs w:val="22"/>
    </w:rPr>
  </w:style>
  <w:style w:type="paragraph" w:styleId="22">
    <w:name w:val="Body Text 2"/>
    <w:basedOn w:val="1"/>
    <w:next w:val="1"/>
    <w:qFormat/>
    <w:uiPriority w:val="0"/>
    <w:pPr>
      <w:spacing w:line="420" w:lineRule="exact"/>
    </w:pPr>
    <w:rPr>
      <w:bCs/>
      <w:sz w:val="28"/>
    </w:rPr>
  </w:style>
  <w:style w:type="paragraph" w:styleId="2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4">
    <w:name w:val="Body Text First Indent"/>
    <w:basedOn w:val="10"/>
    <w:qFormat/>
    <w:uiPriority w:val="0"/>
    <w:pPr>
      <w:ind w:firstLine="420" w:firstLineChars="100"/>
    </w:pPr>
    <w:rPr>
      <w:sz w:val="21"/>
    </w:rPr>
  </w:style>
  <w:style w:type="table" w:styleId="26">
    <w:name w:val="Table Grid"/>
    <w:basedOn w:val="25"/>
    <w:qFormat/>
    <w:uiPriority w:val="59"/>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Hyperlink"/>
    <w:basedOn w:val="27"/>
    <w:qFormat/>
    <w:locked/>
    <w:uiPriority w:val="0"/>
    <w:rPr>
      <w:color w:val="0000FF"/>
      <w:u w:val="single"/>
    </w:rPr>
  </w:style>
  <w:style w:type="character" w:customStyle="1" w:styleId="30">
    <w:name w:val="标题 2 字符"/>
    <w:link w:val="4"/>
    <w:qFormat/>
    <w:locked/>
    <w:uiPriority w:val="0"/>
    <w:rPr>
      <w:rFonts w:ascii="Cambria" w:hAnsi="Cambria" w:eastAsia="宋体" w:cs="Times New Roman"/>
      <w:b/>
      <w:bCs/>
      <w:sz w:val="32"/>
      <w:szCs w:val="32"/>
    </w:rPr>
  </w:style>
  <w:style w:type="character" w:customStyle="1" w:styleId="31">
    <w:name w:val="标题 3 Char"/>
    <w:link w:val="5"/>
    <w:semiHidden/>
    <w:qFormat/>
    <w:uiPriority w:val="0"/>
    <w:rPr>
      <w:b/>
      <w:bCs/>
      <w:kern w:val="2"/>
      <w:sz w:val="32"/>
      <w:szCs w:val="32"/>
    </w:rPr>
  </w:style>
  <w:style w:type="paragraph" w:customStyle="1" w:styleId="32">
    <w:name w:val="Default"/>
    <w:basedOn w:val="33"/>
    <w:next w:val="34"/>
    <w:unhideWhenUsed/>
    <w:qFormat/>
    <w:uiPriority w:val="0"/>
    <w:pPr>
      <w:autoSpaceDE w:val="0"/>
      <w:autoSpaceDN w:val="0"/>
      <w:adjustRightInd w:val="0"/>
      <w:spacing w:beforeLines="0" w:afterLines="0"/>
    </w:pPr>
    <w:rPr>
      <w:rFonts w:hint="default" w:ascii="Arial Black" w:hAnsi="Arial Black"/>
      <w:sz w:val="21"/>
      <w:szCs w:val="24"/>
    </w:rPr>
  </w:style>
  <w:style w:type="paragraph" w:customStyle="1" w:styleId="33">
    <w:name w:val="标题2"/>
    <w:basedOn w:val="4"/>
    <w:qFormat/>
    <w:uiPriority w:val="0"/>
    <w:pPr>
      <w:numPr>
        <w:ilvl w:val="1"/>
        <w:numId w:val="1"/>
      </w:numPr>
      <w:spacing w:before="0" w:after="0" w:line="440" w:lineRule="exact"/>
    </w:pPr>
    <w:rPr>
      <w:kern w:val="0"/>
      <w:sz w:val="28"/>
    </w:rPr>
  </w:style>
  <w:style w:type="paragraph" w:customStyle="1" w:styleId="34">
    <w:name w:val="Char Char Char Char Char Char1 Char Char Char Char"/>
    <w:basedOn w:val="1"/>
    <w:next w:val="1"/>
    <w:semiHidden/>
    <w:qFormat/>
    <w:uiPriority w:val="0"/>
    <w:pPr>
      <w:spacing w:line="360" w:lineRule="auto"/>
      <w:ind w:firstLine="200" w:firstLineChars="200"/>
    </w:pPr>
    <w:rPr>
      <w:rFonts w:ascii="宋体" w:hAnsi="宋体" w:cs="宋体"/>
      <w:szCs w:val="21"/>
    </w:rPr>
  </w:style>
  <w:style w:type="paragraph" w:customStyle="1" w:styleId="35">
    <w:name w:val="xl27"/>
    <w:basedOn w:val="1"/>
    <w:qFormat/>
    <w:uiPriority w:val="99"/>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18030" w:hAnsi="???-18030" w:cs="???-18030"/>
      <w:kern w:val="0"/>
    </w:rPr>
  </w:style>
  <w:style w:type="paragraph" w:customStyle="1" w:styleId="36">
    <w:name w:val="A正文"/>
    <w:basedOn w:val="1"/>
    <w:qFormat/>
    <w:uiPriority w:val="0"/>
    <w:pPr>
      <w:widowControl/>
      <w:overflowPunct w:val="0"/>
      <w:autoSpaceDE w:val="0"/>
      <w:autoSpaceDN w:val="0"/>
      <w:jc w:val="left"/>
      <w:textAlignment w:val="baseline"/>
    </w:pPr>
  </w:style>
  <w:style w:type="table" w:customStyle="1" w:styleId="37">
    <w:name w:val="Table Normal"/>
    <w:unhideWhenUsed/>
    <w:qFormat/>
    <w:uiPriority w:val="0"/>
    <w:rPr>
      <w:lang w:val="en-US" w:eastAsia="zh-CN" w:bidi="ar-SA"/>
    </w:rPr>
    <w:tblPr>
      <w:tblCellMar>
        <w:top w:w="0" w:type="dxa"/>
        <w:left w:w="0" w:type="dxa"/>
        <w:bottom w:w="0" w:type="dxa"/>
        <w:right w:w="0" w:type="dxa"/>
      </w:tblCellMar>
    </w:tblPr>
  </w:style>
  <w:style w:type="paragraph" w:styleId="38">
    <w:name w:val="List Paragraph"/>
    <w:basedOn w:val="1"/>
    <w:qFormat/>
    <w:uiPriority w:val="99"/>
    <w:pPr>
      <w:ind w:firstLine="420" w:firstLineChars="200"/>
    </w:pPr>
    <w:rPr>
      <w:rFonts w:ascii="Times New Roman" w:hAnsi="Times New Roman" w:eastAsia="宋体" w:cs="Times New Roman"/>
      <w:kern w:val="0"/>
      <w:sz w:val="20"/>
      <w:szCs w:val="20"/>
    </w:rPr>
  </w:style>
  <w:style w:type="paragraph" w:customStyle="1" w:styleId="39">
    <w:name w:val="样式 文字 + 首行缩进:  2 字符3"/>
    <w:basedOn w:val="1"/>
    <w:qFormat/>
    <w:uiPriority w:val="0"/>
    <w:pPr>
      <w:spacing w:line="360" w:lineRule="auto"/>
      <w:ind w:firstLine="200" w:firstLineChars="200"/>
      <w:jc w:val="left"/>
    </w:pPr>
    <w:rPr>
      <w:rFonts w:eastAsia="仿宋_GB2312" w:cs="宋体"/>
      <w:sz w:val="28"/>
      <w:szCs w:val="28"/>
    </w:rPr>
  </w:style>
  <w:style w:type="paragraph" w:customStyle="1" w:styleId="40">
    <w:name w:val="正文1"/>
    <w:basedOn w:val="1"/>
    <w:qFormat/>
    <w:uiPriority w:val="0"/>
    <w:pPr>
      <w:adjustRightInd w:val="0"/>
      <w:snapToGrid w:val="0"/>
      <w:spacing w:line="360" w:lineRule="auto"/>
      <w:ind w:firstLine="482"/>
    </w:pPr>
    <w:rPr>
      <w:rFonts w:ascii="宋体" w:hAnsi="宋体"/>
      <w:snapToGrid w:val="0"/>
      <w:kern w:val="0"/>
      <w:sz w:val="24"/>
    </w:rPr>
  </w:style>
  <w:style w:type="character" w:customStyle="1" w:styleId="41">
    <w:name w:val="font11"/>
    <w:basedOn w:val="27"/>
    <w:qFormat/>
    <w:uiPriority w:val="0"/>
    <w:rPr>
      <w:rFonts w:hint="eastAsia" w:ascii="宋体" w:hAnsi="宋体" w:eastAsia="宋体" w:cs="宋体"/>
      <w:b/>
      <w:bCs/>
      <w:color w:val="000000"/>
      <w:sz w:val="21"/>
      <w:szCs w:val="21"/>
      <w:u w:val="none"/>
    </w:rPr>
  </w:style>
  <w:style w:type="character" w:customStyle="1" w:styleId="42">
    <w:name w:val="font31"/>
    <w:basedOn w:val="27"/>
    <w:qFormat/>
    <w:uiPriority w:val="0"/>
    <w:rPr>
      <w:rFonts w:hint="default" w:ascii="Times New Roman" w:hAnsi="Times New Roman" w:cs="Times New Roman"/>
      <w:b/>
      <w:bCs/>
      <w:color w:val="000000"/>
      <w:sz w:val="21"/>
      <w:szCs w:val="21"/>
      <w:u w:val="none"/>
    </w:rPr>
  </w:style>
  <w:style w:type="paragraph" w:customStyle="1" w:styleId="43">
    <w:name w:val="报告书正文"/>
    <w:basedOn w:val="15"/>
    <w:qFormat/>
    <w:uiPriority w:val="0"/>
    <w:pPr>
      <w:spacing w:line="360" w:lineRule="auto"/>
      <w:ind w:firstLine="0"/>
    </w:pPr>
    <w:rPr>
      <w:rFonts w:ascii="Times New Roman"/>
      <w:kern w:val="2"/>
      <w:szCs w:val="24"/>
    </w:rPr>
  </w:style>
  <w:style w:type="table" w:customStyle="1" w:styleId="44">
    <w:name w:val="主表"/>
    <w:basedOn w:val="25"/>
    <w:qFormat/>
    <w:uiPriority w:val="99"/>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style>
  <w:style w:type="character" w:customStyle="1" w:styleId="45">
    <w:name w:val="font21"/>
    <w:basedOn w:val="27"/>
    <w:qFormat/>
    <w:uiPriority w:val="0"/>
    <w:rPr>
      <w:rFonts w:hint="eastAsia" w:ascii="宋体" w:hAnsi="宋体" w:eastAsia="宋体" w:cs="宋体"/>
      <w:color w:val="000000"/>
      <w:sz w:val="21"/>
      <w:szCs w:val="21"/>
      <w:u w:val="none"/>
    </w:rPr>
  </w:style>
  <w:style w:type="paragraph" w:customStyle="1" w:styleId="46">
    <w:name w:val="图、表标题"/>
    <w:basedOn w:val="1"/>
    <w:qFormat/>
    <w:uiPriority w:val="0"/>
    <w:pPr>
      <w:jc w:val="center"/>
    </w:pPr>
    <w:rPr>
      <w:rFonts w:cs="Times New Roman"/>
      <w:b/>
      <w:spacing w:val="0"/>
      <w:sz w:val="21"/>
    </w:rPr>
  </w:style>
  <w:style w:type="paragraph" w:customStyle="1" w:styleId="47">
    <w:name w:val="表格文字"/>
    <w:basedOn w:val="1"/>
    <w:qFormat/>
    <w:uiPriority w:val="0"/>
    <w:pPr>
      <w:spacing w:line="240" w:lineRule="auto"/>
      <w:ind w:firstLine="0" w:firstLineChars="0"/>
      <w:jc w:val="center"/>
    </w:pPr>
    <w:rPr>
      <w:sz w:val="18"/>
      <w:szCs w:val="21"/>
    </w:rPr>
  </w:style>
  <w:style w:type="paragraph" w:customStyle="1" w:styleId="48">
    <w:name w:val="Table Text"/>
    <w:basedOn w:val="1"/>
    <w:semiHidden/>
    <w:qFormat/>
    <w:uiPriority w:val="0"/>
    <w:rPr>
      <w:rFonts w:ascii="宋体" w:hAnsi="宋体" w:eastAsia="宋体" w:cs="宋体"/>
      <w:sz w:val="24"/>
      <w:szCs w:val="24"/>
      <w:lang w:val="en-US" w:eastAsia="en-US" w:bidi="ar-SA"/>
    </w:rPr>
  </w:style>
  <w:style w:type="paragraph" w:customStyle="1" w:styleId="49">
    <w:name w:val="纯文本1"/>
    <w:basedOn w:val="1"/>
    <w:qFormat/>
    <w:uiPriority w:val="0"/>
    <w:pPr>
      <w:adjustRightInd w:val="0"/>
    </w:pPr>
    <w:rPr>
      <w:rFonts w:ascii="宋体" w:hAnsi="Courier New"/>
      <w:szCs w:val="20"/>
    </w:rPr>
  </w:style>
  <w:style w:type="paragraph" w:customStyle="1" w:styleId="50">
    <w:name w:val="Table Paragraph"/>
    <w:basedOn w:val="1"/>
    <w:qFormat/>
    <w:uiPriority w:val="1"/>
    <w:rPr>
      <w:rFonts w:ascii="宋体" w:hAnsi="宋体" w:eastAsia="宋体" w:cs="宋体"/>
      <w:lang w:val="en-US" w:eastAsia="en-US" w:bidi="en-US"/>
    </w:rPr>
  </w:style>
  <w:style w:type="paragraph" w:customStyle="1" w:styleId="51">
    <w:name w:val="1表格"/>
    <w:basedOn w:val="1"/>
    <w:qFormat/>
    <w:uiPriority w:val="0"/>
    <w:pPr>
      <w:snapToGrid w:val="0"/>
      <w:spacing w:line="360" w:lineRule="atLeast"/>
      <w:ind w:firstLine="0" w:firstLineChars="0"/>
      <w:jc w:val="center"/>
    </w:pPr>
    <w:rPr>
      <w:rFonts w:eastAsia="宋体"/>
      <w:sz w:val="21"/>
      <w:szCs w:val="21"/>
    </w:rPr>
  </w:style>
  <w:style w:type="paragraph" w:customStyle="1" w:styleId="52">
    <w:name w:val="表头"/>
    <w:basedOn w:val="53"/>
    <w:next w:val="1"/>
    <w:unhideWhenUsed/>
    <w:qFormat/>
    <w:uiPriority w:val="0"/>
    <w:pPr>
      <w:spacing w:line="240" w:lineRule="auto"/>
      <w:ind w:firstLine="0" w:firstLineChars="0"/>
      <w:jc w:val="center"/>
    </w:pPr>
    <w:rPr>
      <w:rFonts w:ascii="Times New Roman" w:hAnsi="Times New Roman" w:eastAsia="宋体"/>
      <w:b/>
      <w:kern w:val="0"/>
      <w:sz w:val="21"/>
      <w:szCs w:val="21"/>
    </w:rPr>
  </w:style>
  <w:style w:type="paragraph" w:customStyle="1" w:styleId="53">
    <w:name w:val="文本"/>
    <w:basedOn w:val="1"/>
    <w:qFormat/>
    <w:uiPriority w:val="99"/>
    <w:pPr>
      <w:widowControl/>
      <w:spacing w:line="440" w:lineRule="exact"/>
    </w:pPr>
    <w:rPr>
      <w:sz w:val="24"/>
      <w:szCs w:val="24"/>
    </w:rPr>
  </w:style>
  <w:style w:type="paragraph" w:customStyle="1" w:styleId="54">
    <w:name w:val="表内最终版"/>
    <w:basedOn w:val="55"/>
    <w:unhideWhenUsed/>
    <w:qFormat/>
    <w:uiPriority w:val="0"/>
    <w:pPr>
      <w:adjustRightInd w:val="0"/>
      <w:snapToGrid w:val="0"/>
      <w:spacing w:line="240" w:lineRule="auto"/>
      <w:ind w:firstLine="0" w:firstLineChars="0"/>
      <w:jc w:val="center"/>
      <w:textAlignment w:val="baseline"/>
    </w:pPr>
    <w:rPr>
      <w:rFonts w:ascii="Times New Roman" w:hAnsi="Times New Roman" w:eastAsia="宋体"/>
      <w:sz w:val="21"/>
    </w:rPr>
  </w:style>
  <w:style w:type="paragraph" w:customStyle="1" w:styleId="55">
    <w:name w:val="正文最终"/>
    <w:qFormat/>
    <w:uiPriority w:val="0"/>
    <w:pPr>
      <w:widowControl w:val="0"/>
      <w:snapToGrid w:val="0"/>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56">
    <w:name w:val="1表头"/>
    <w:basedOn w:val="1"/>
    <w:next w:val="51"/>
    <w:qFormat/>
    <w:uiPriority w:val="0"/>
    <w:pPr>
      <w:widowControl/>
      <w:spacing w:line="240" w:lineRule="auto"/>
      <w:ind w:firstLine="0" w:firstLineChars="0"/>
      <w:jc w:val="center"/>
    </w:pPr>
    <w:rPr>
      <w:rFonts w:ascii="Times New Roman" w:hAnsi="Times New Roman" w:eastAsia="宋体" w:cs="Times New Roman"/>
      <w:b/>
      <w:color w:val="auto"/>
      <w:kern w:val="0"/>
      <w:sz w:val="24"/>
      <w:szCs w:val="24"/>
      <w:lang w:val="en-US" w:bidi="ar-SA"/>
    </w:rPr>
  </w:style>
  <w:style w:type="paragraph" w:customStyle="1" w:styleId="57">
    <w:name w:val="1正文"/>
    <w:basedOn w:val="1"/>
    <w:qFormat/>
    <w:uiPriority w:val="0"/>
    <w:pPr>
      <w:spacing w:line="360" w:lineRule="auto"/>
      <w:ind w:firstLine="480" w:firstLineChars="200"/>
    </w:pPr>
    <w:rPr>
      <w:rFonts w:ascii="Times New Roman" w:hAnsi="Times New Roman"/>
      <w:color w:val="auto"/>
      <w:sz w:val="24"/>
    </w:rPr>
  </w:style>
  <w:style w:type="paragraph" w:customStyle="1" w:styleId="58">
    <w:name w:val="报告正文"/>
    <w:basedOn w:val="1"/>
    <w:qFormat/>
    <w:uiPriority w:val="0"/>
    <w:pPr>
      <w:spacing w:line="360" w:lineRule="auto"/>
      <w:ind w:firstLine="200" w:firstLineChars="200"/>
      <w:jc w:val="left"/>
    </w:pPr>
    <w:rPr>
      <w:sz w:val="24"/>
    </w:rPr>
  </w:style>
  <w:style w:type="paragraph" w:customStyle="1" w:styleId="59">
    <w:name w:val="1正文段落"/>
    <w:basedOn w:val="1"/>
    <w:qFormat/>
    <w:uiPriority w:val="0"/>
    <w:pPr>
      <w:spacing w:line="360" w:lineRule="auto"/>
      <w:ind w:firstLine="480" w:firstLineChars="200"/>
      <w:jc w:val="left"/>
    </w:pPr>
    <w:rPr>
      <w:rFonts w:ascii="Times New Roman" w:hAnsi="Times New Roman" w:eastAsia="宋体"/>
      <w:snapToGrid w:val="0"/>
      <w:kern w:val="0"/>
      <w:sz w:val="24"/>
    </w:rPr>
  </w:style>
  <w:style w:type="paragraph" w:customStyle="1" w:styleId="60">
    <w:name w:val="表格内正文"/>
    <w:basedOn w:val="1"/>
    <w:qFormat/>
    <w:uiPriority w:val="0"/>
    <w:pPr>
      <w:spacing w:line="240" w:lineRule="auto"/>
      <w:ind w:firstLine="0" w:firstLineChars="0"/>
      <w:jc w:val="center"/>
    </w:pPr>
    <w:rPr>
      <w:rFonts w:ascii="Times New Roman" w:hAnsi="Times New Roman" w:eastAsia="宋体"/>
      <w:sz w:val="21"/>
      <w:szCs w:val="21"/>
    </w:rPr>
  </w:style>
  <w:style w:type="paragraph" w:customStyle="1" w:styleId="61">
    <w:name w:val="中文报告书样式"/>
    <w:basedOn w:val="1"/>
    <w:next w:val="7"/>
    <w:qFormat/>
    <w:uiPriority w:val="0"/>
    <w:pPr>
      <w:adjustRightInd w:val="0"/>
      <w:spacing w:line="480" w:lineRule="atLeast"/>
      <w:ind w:firstLine="482"/>
      <w:textAlignment w:val="baseline"/>
    </w:pPr>
    <w:rPr>
      <w:kern w:val="24"/>
      <w:sz w:val="24"/>
      <w:szCs w:val="20"/>
    </w:rPr>
  </w:style>
  <w:style w:type="paragraph" w:customStyle="1" w:styleId="62">
    <w:name w:val="表格"/>
    <w:basedOn w:val="52"/>
    <w:next w:val="1"/>
    <w:qFormat/>
    <w:uiPriority w:val="0"/>
    <w:pPr>
      <w:spacing w:beforeLines="10" w:afterLines="10"/>
    </w:pPr>
    <w:rPr>
      <w:b w:val="0"/>
      <w:sz w:val="21"/>
      <w:szCs w:val="21"/>
    </w:rPr>
  </w:style>
  <w:style w:type="character" w:customStyle="1" w:styleId="63">
    <w:name w:val="font01"/>
    <w:basedOn w:val="27"/>
    <w:qFormat/>
    <w:uiPriority w:val="0"/>
    <w:rPr>
      <w:rFonts w:hint="eastAsia" w:ascii="宋体" w:hAnsi="宋体" w:eastAsia="宋体" w:cs="宋体"/>
      <w:color w:val="000000"/>
      <w:sz w:val="24"/>
      <w:szCs w:val="24"/>
      <w:u w:val="none"/>
    </w:rPr>
  </w:style>
  <w:style w:type="paragraph" w:customStyle="1" w:styleId="64">
    <w:name w:val="+正文"/>
    <w:basedOn w:val="1"/>
    <w:qFormat/>
    <w:uiPriority w:val="0"/>
    <w:pPr>
      <w:widowControl/>
      <w:spacing w:line="360" w:lineRule="auto"/>
      <w:ind w:firstLine="200" w:firstLineChars="200"/>
    </w:pPr>
    <w:rPr>
      <w:rFonts w:cs="宋体"/>
      <w:sz w:val="24"/>
    </w:rPr>
  </w:style>
  <w:style w:type="paragraph" w:customStyle="1" w:styleId="65">
    <w:name w:val="简单回函地址"/>
    <w:basedOn w:val="1"/>
    <w:qFormat/>
    <w:uiPriority w:val="0"/>
    <w:pPr>
      <w:keepNext/>
      <w:keepLines/>
      <w:snapToGrid w:val="0"/>
      <w:spacing w:line="480" w:lineRule="exact"/>
      <w:ind w:firstLine="480" w:firstLineChars="200"/>
    </w:pPr>
    <w:rPr>
      <w:sz w:val="24"/>
      <w:szCs w:val="20"/>
    </w:rPr>
  </w:style>
  <w:style w:type="paragraph" w:styleId="66">
    <w:name w:val="No Spacing"/>
    <w:next w:val="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样式 样式 Arial 四号1 + 首行缩进:  2 字符"/>
    <w:qFormat/>
    <w:uiPriority w:val="99"/>
    <w:pPr>
      <w:ind w:firstLine="566" w:firstLineChars="236"/>
    </w:pPr>
    <w:rPr>
      <w:rFonts w:ascii="宋体" w:hAnsi="宋体" w:eastAsia="宋体" w:cs="Times New Roman"/>
      <w:lang w:val="en-US" w:eastAsia="zh-CN" w:bidi="ar-SA"/>
    </w:rPr>
  </w:style>
  <w:style w:type="paragraph" w:customStyle="1" w:styleId="68">
    <w:name w:val="正文 4"/>
    <w:basedOn w:val="1"/>
    <w:qFormat/>
    <w:uiPriority w:val="0"/>
    <w:pPr>
      <w:autoSpaceDE w:val="0"/>
      <w:autoSpaceDN w:val="0"/>
      <w:adjustRightInd w:val="0"/>
      <w:snapToGrid w:val="0"/>
      <w:ind w:firstLine="480" w:firstLineChars="200"/>
    </w:pPr>
    <w:rPr>
      <w:spacing w:val="-6"/>
      <w:kern w:val="0"/>
    </w:rPr>
  </w:style>
  <w:style w:type="paragraph" w:customStyle="1" w:styleId="69">
    <w:name w:val="【表头】"/>
    <w:basedOn w:val="1"/>
    <w:qFormat/>
    <w:uiPriority w:val="0"/>
    <w:pPr>
      <w:spacing w:line="460" w:lineRule="exact"/>
      <w:jc w:val="center"/>
    </w:pPr>
    <w:rPr>
      <w:rFonts w:eastAsia="黑体"/>
      <w:kern w:val="0"/>
      <w:szCs w:val="20"/>
    </w:rPr>
  </w:style>
  <w:style w:type="paragraph" w:customStyle="1" w:styleId="70">
    <w:name w:val="5号正文"/>
    <w:basedOn w:val="1"/>
    <w:qFormat/>
    <w:uiPriority w:val="0"/>
    <w:pPr>
      <w:spacing w:line="360" w:lineRule="auto"/>
      <w:ind w:firstLine="200" w:firstLineChars="200"/>
    </w:pPr>
    <w:rPr>
      <w:kern w:val="24"/>
      <w:szCs w:val="20"/>
    </w:rPr>
  </w:style>
  <w:style w:type="paragraph" w:customStyle="1" w:styleId="71">
    <w:name w:val="表格标题"/>
    <w:basedOn w:val="6"/>
    <w:qFormat/>
    <w:uiPriority w:val="0"/>
    <w:pPr>
      <w:spacing w:line="480" w:lineRule="auto"/>
      <w:jc w:val="center"/>
    </w:pPr>
    <w:rPr>
      <w:rFonts w:cs="宋体"/>
      <w:szCs w:val="20"/>
    </w:rPr>
  </w:style>
  <w:style w:type="paragraph" w:customStyle="1" w:styleId="72">
    <w:name w:val="表格内容kmj"/>
    <w:basedOn w:val="1"/>
    <w:qFormat/>
    <w:uiPriority w:val="0"/>
    <w:pPr>
      <w:tabs>
        <w:tab w:val="left" w:pos="645"/>
      </w:tabs>
      <w:snapToGrid w:val="0"/>
      <w:jc w:val="center"/>
    </w:pPr>
    <w:rPr>
      <w:szCs w:val="21"/>
    </w:rPr>
  </w:style>
  <w:style w:type="paragraph" w:customStyle="1" w:styleId="73">
    <w:name w:val="w-表格内容"/>
    <w:basedOn w:val="1"/>
    <w:next w:val="1"/>
    <w:qFormat/>
    <w:uiPriority w:val="0"/>
    <w:pPr>
      <w:spacing w:line="240" w:lineRule="atLeast"/>
      <w:jc w:val="center"/>
    </w:pPr>
    <w:rPr>
      <w:rFonts w:eastAsia="宋体"/>
      <w:sz w:val="21"/>
    </w:rPr>
  </w:style>
  <w:style w:type="paragraph" w:customStyle="1" w:styleId="74">
    <w:name w:val="陈正文"/>
    <w:basedOn w:val="1"/>
    <w:next w:val="1"/>
    <w:qFormat/>
    <w:uiPriority w:val="0"/>
    <w:pPr>
      <w:ind w:firstLine="480" w:firstLineChars="200"/>
    </w:pPr>
    <w:rPr>
      <w:szCs w:val="24"/>
    </w:rPr>
  </w:style>
  <w:style w:type="paragraph" w:customStyle="1" w:styleId="75">
    <w:name w:val="表格内容"/>
    <w:basedOn w:val="71"/>
    <w:next w:val="1"/>
    <w:qFormat/>
    <w:uiPriority w:val="0"/>
    <w:pPr>
      <w:spacing w:line="240" w:lineRule="auto"/>
    </w:pPr>
    <w:rPr>
      <w:sz w:val="21"/>
    </w:rPr>
  </w:style>
  <w:style w:type="paragraph" w:customStyle="1" w:styleId="76">
    <w:name w:val="报告"/>
    <w:basedOn w:val="1"/>
    <w:qFormat/>
    <w:uiPriority w:val="0"/>
    <w:pPr>
      <w:overflowPunct w:val="0"/>
      <w:autoSpaceDE w:val="0"/>
      <w:autoSpaceDN w:val="0"/>
      <w:adjustRightInd w:val="0"/>
      <w:spacing w:beforeLines="30" w:afterLines="30" w:line="400" w:lineRule="atLeast"/>
      <w:ind w:left="200" w:leftChars="200" w:firstLine="200" w:firstLineChars="200"/>
      <w:textAlignment w:val="baseline"/>
    </w:pPr>
    <w:rPr>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footer" Target="footer2.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er" Target="foot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emf"/><Relationship Id="rId17" Type="http://schemas.openxmlformats.org/officeDocument/2006/relationships/oleObject" Target="embeddings/oleObject2.bin"/><Relationship Id="rId16" Type="http://schemas.openxmlformats.org/officeDocument/2006/relationships/image" Target="media/image1.emf"/><Relationship Id="rId15" Type="http://schemas.openxmlformats.org/officeDocument/2006/relationships/oleObject" Target="embeddings/oleObject1.bin"/><Relationship Id="rId14" Type="http://schemas.openxmlformats.org/officeDocument/2006/relationships/theme" Target="theme/theme1.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6c0b12b8-ab4a-42bb-be96-7a9d814e839a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4F2B5091</paraID>
      <start>28</start>
      <end>29</end>
      <status>unmodified</status>
      <modifiedWord/>
      <trackRevisions>false</trackRevisions>
    </reviewItem>
    <reviewItem>
      <errorID>a1077237-9aac-4bdf-a4eb-6ce617c9e83b</errorID>
      <errorWord>：/</errorWord>
      <group>L1_Punc</group>
      <groupName>标点问题</groupName>
      <ability>L2_Punc_CN</ability>
      <abilityName>标点符号问题</abilityName>
      <candidateList>
        <item>：</item>
      </candidateList>
      <explain/>
      <paraID> F2D79F4</paraID>
      <start>4</start>
      <end>6</end>
      <status>unmodified</status>
      <modifiedWord/>
      <trackRevisions>false</trackRevisions>
    </reviewItem>
    <reviewItem>
      <errorID>34ff4c7b-90f0-4a87-a24d-7bea62f0f65b</errorID>
      <errorWord>：/</errorWord>
      <group>L1_Punc</group>
      <groupName>标点问题</groupName>
      <ability>L2_Punc_CN</ability>
      <abilityName>标点符号问题</abilityName>
      <candidateList>
        <item>：</item>
      </candidateList>
      <explain/>
      <paraID>32F0A93E</paraID>
      <start>9</start>
      <end>11</end>
      <status>unmodified</status>
      <modifiedWord/>
      <trackRevisions>false</trackRevisions>
    </reviewItem>
    <reviewItem>
      <errorID>61ebbef5-8861-473e-b166-09fc140b29f9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6ACE5EFF</paraID>
      <start>34</start>
      <end>35</end>
      <status>unmodified</status>
      <modifiedWord/>
      <trackRevisions>false</trackRevisions>
    </reviewItem>
    <reviewItem>
      <errorID>054b686a-7e20-4492-9750-0110978df095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5CAEB05</paraID>
      <start>34</start>
      <end>35</end>
      <status>unmodified</status>
      <modifiedWord/>
      <trackRevisions>false</trackRevisions>
    </reviewItem>
    <reviewItem>
      <errorID>0bd3c6fd-e844-4dff-8368-307128a27461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64AA0BCC</paraID>
      <start>0</start>
      <end>2</end>
      <status>unmodified</status>
      <modifiedWord/>
      <trackRevisions>false</trackRevisions>
    </reviewItem>
    <reviewItem>
      <errorID>13a2c043-7d2a-46b0-af33-266772530a29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64AA0BCC</paraID>
      <start>26</start>
      <end>27</end>
      <status>unmodified</status>
      <modifiedWord/>
      <trackRevisions>false</trackRevisions>
    </reviewItem>
    <reviewItem>
      <errorID>49b88300-208e-4e1f-a981-431f6b9c8787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3D9CB6F6</paraID>
      <start>46</start>
      <end>47</end>
      <status>unmodified</status>
      <modifiedWord/>
      <trackRevisions>false</trackRevisions>
    </reviewItem>
    <reviewItem>
      <errorID>da0d30d2-3155-4cab-a958-898c98bce3a6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2F022121</paraID>
      <start>31</start>
      <end>32</end>
      <status>unmodified</status>
      <modifiedWord/>
      <trackRevisions>false</trackRevisions>
    </reviewItem>
    <reviewItem>
      <errorID>745abb1e-bfb9-44ae-8ecc-b3ba1ba11ee1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B9323B1</paraID>
      <start>0</start>
      <end>2</end>
      <status>unmodified</status>
      <modifiedWord/>
      <trackRevisions>false</trackRevisions>
    </reviewItem>
    <reviewItem>
      <errorID>2be276ae-6041-49b6-8818-e8dda85f990e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B9323B1</paraID>
      <start>26</start>
      <end>27</end>
      <status>unmodified</status>
      <modifiedWord/>
      <trackRevisions>false</trackRevisions>
    </reviewItem>
    <reviewItem>
      <errorID>7a95d58e-5387-481c-8ec5-443362618d3c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434F65F9</paraID>
      <start>28</start>
      <end>29</end>
      <status>unmodified</status>
      <modifiedWord/>
      <trackRevisions>false</trackRevisions>
    </reviewItem>
    <reviewItem>
      <errorID>5e44f8d4-9a33-4cb0-ba5c-bb0f46705e15</errorID>
      <errorWord>国家发展和改革委</errorWord>
      <group>L1_Political</group>
      <groupName>政治性问题</groupName>
      <ability>L2_Keyword</ability>
      <abilityName>固定表述</abilityName>
      <candidateList>
        <item>国家发展改革委</item>
      </candidateList>
      <explain>词汇“国家发展改革委”在特定场景下为固定表述形式，请确认此处的“国家发展和改革委”是否存在不当。</explain>
      <paraID>2B69CC63</paraID>
      <start>9</start>
      <end>17</end>
      <status>unmodified</status>
      <modifiedWord/>
      <trackRevisions>false</trackRevisions>
    </reviewItem>
    <reviewItem>
      <errorID>a58e9712-d520-4340-acce-2a4d38eae17a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2B69CC63</paraID>
      <start>36</start>
      <end>38</end>
      <status>modified</status>
      <modifiedWord>》《</modifiedWord>
      <trackRevisions>false</trackRevisions>
    </reviewItem>
    <reviewItem>
      <errorID>987f9028-6ccb-4d41-ba1e-ef6b953d89de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72EA9950</paraID>
      <start>52</start>
      <end>54</end>
      <status>modified</status>
      <modifiedWord>》《</modifiedWord>
      <trackRevisions>false</trackRevisions>
    </reviewItem>
    <reviewItem>
      <errorID>d8e61cfe-0e26-4765-b75a-c8e0f47c81d1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BD1D639</paraID>
      <start>28</start>
      <end>29</end>
      <status>unmodified</status>
      <modifiedWord/>
      <trackRevisions>false</trackRevisions>
    </reviewItem>
    <reviewItem>
      <errorID>25219f59-970a-4c6c-8be8-f7ee0dbc5fcf</errorID>
      <errorWord>坚持绿色协调发展</errorWord>
      <group>L1_Political</group>
      <groupName>政治性问题</groupName>
      <ability>L2_Keyword</ability>
      <abilityName>固定表述</abilityName>
      <candidateList>
        <item>坚持绿色低碳发展</item>
      </candidateList>
      <explain>词汇“坚持绿色低碳发展”在特定场景下为固定表述形式，请确认此处的“坚持绿色协调发展”是否存在不当。</explain>
      <paraID>1207E7B7</paraID>
      <start>9</start>
      <end>17</end>
      <status>unmodified</status>
      <modifiedWord/>
      <trackRevisions>false</trackRevisions>
    </reviewItem>
    <reviewItem>
      <errorID>205d1456-4b9e-4ef8-afad-657480c83055</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47AD5D67</paraID>
      <start>5</start>
      <end>13</end>
      <status>unmodified</status>
      <modifiedWord/>
      <trackRevisions>false</trackRevisions>
    </reviewItem>
    <reviewItem>
      <errorID>aaac723e-6853-4ecc-a0f2-dea0e0fe78fa</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47AD5D67</paraID>
      <start>58</start>
      <end>66</end>
      <status>unmodified</status>
      <modifiedWord/>
      <trackRevisions>false</trackRevisions>
    </reviewItem>
    <reviewItem>
      <errorID>447a5973-4870-4d6e-950d-0c7e49f89edd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75897A32</paraID>
      <start>45</start>
      <end>46</end>
      <status>unmodified</status>
      <modifiedWord/>
      <trackRevisions>false</trackRevisions>
    </reviewItem>
    <reviewItem>
      <errorID>dcaf39a5-9254-4d06-b936-841270c939ad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5695F6A6</paraID>
      <start>0</start>
      <end>2</end>
      <status>unmodified</status>
      <modifiedWord/>
      <trackRevisions>false</trackRevisions>
    </reviewItem>
    <reviewItem>
      <errorID>f87973cf-8f5c-4dcd-80f1-e412594eade6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7C04F3CD</paraID>
      <start>0</start>
      <end>2</end>
      <status>unmodified</status>
      <modifiedWord/>
      <trackRevisions>false</trackRevisions>
    </reviewItem>
    <reviewItem>
      <errorID>eb9991c2-2aab-4c06-b466-9a09a8a5fe55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2D62F035</paraID>
      <start>0</start>
      <end>2</end>
      <status>unmodified</status>
      <modifiedWord/>
      <trackRevisions>false</trackRevisions>
    </reviewItem>
    <reviewItem>
      <errorID>2610915a-bf7d-4960-871b-a116e2035e58</errorID>
      <errorWord>胶粘剂</errorWord>
      <group>L1_Word</group>
      <groupName>字词问题</groupName>
      <ability>L2_Typo</ability>
      <abilityName>字词错误</abilityName>
      <candidateList>
        <item>胶黏剂</item>
      </candidateList>
      <explain/>
      <paraID> 5D5A515</paraID>
      <start>26</start>
      <end>29</end>
      <status>unmodified</status>
      <modifiedWord/>
      <trackRevisions>false</trackRevisions>
    </reviewItem>
    <reviewItem>
      <errorID>63dbd727-4a08-49e4-a7c5-a3428ea461b5</errorID>
      <errorWord>涉</errorWord>
      <group>L1_Word</group>
      <groupName>字词问题</groupName>
      <ability>L2_Typo</ability>
      <abilityName>字词错误</abilityName>
      <candidateList>
        <item>涉及</item>
      </candidateList>
      <explain/>
      <paraID>4E10A387</paraID>
      <start>4</start>
      <end>6</end>
      <status>modified</status>
      <modifiedWord>涉及</modifiedWord>
      <trackRevisions>false</trackRevisions>
    </reviewItem>
    <reviewItem>
      <errorID>17bf96ce-6865-4a99-91fe-87960f3222ce</errorID>
      <errorWord>胶粘剂</errorWord>
      <group>L1_Word</group>
      <groupName>字词问题</groupName>
      <ability>L2_Typo</ability>
      <abilityName>字词错误</abilityName>
      <candidateList>
        <item>胶黏剂</item>
      </candidateList>
      <explain/>
      <paraID>4E10A387</paraID>
      <start>28</start>
      <end>31</end>
      <status>unmodified</status>
      <modifiedWord/>
      <trackRevisions>false</trackRevisions>
    </reviewItem>
    <reviewItem>
      <errorID>6f1b5511-6322-4acf-bf1a-6adb95946ad9</errorID>
      <errorWord>胶粘剂</errorWord>
      <group>L1_Word</group>
      <groupName>字词问题</groupName>
      <ability>L2_Typo</ability>
      <abilityName>字词错误</abilityName>
      <candidateList>
        <item>胶黏剂</item>
      </candidateList>
      <explain/>
      <paraID>635BFACC</paraID>
      <start>33</start>
      <end>36</end>
      <status>unmodified</status>
      <modifiedWord/>
      <trackRevisions>false</trackRevisions>
    </reviewItem>
    <reviewItem>
      <errorID>1f1a7cdd-5349-46f5-9c67-56107946abd5</errorID>
      <errorWord>胶粘剂</errorWord>
      <group>L1_Word</group>
      <groupName>字词问题</groupName>
      <ability>L2_Typo</ability>
      <abilityName>字词错误</abilityName>
      <candidateList>
        <item>胶黏剂</item>
      </candidateList>
      <explain/>
      <paraID>4A6DFB51</paraID>
      <start>45</start>
      <end>48</end>
      <status>unmodified</status>
      <modifiedWord/>
      <trackRevisions>false</trackRevisions>
    </reviewItem>
    <reviewItem>
      <errorID>0956e232-2142-49fd-9e43-ac6cb39b2b91</errorID>
      <errorWord>胶粘剂</errorWord>
      <group>L1_Word</group>
      <groupName>字词问题</groupName>
      <ability>L2_Typo</ability>
      <abilityName>字词错误</abilityName>
      <candidateList>
        <item>胶黏剂</item>
      </candidateList>
      <explain/>
      <paraID>4A6DFB51</paraID>
      <start>76</start>
      <end>79</end>
      <status>unmodified</status>
      <modifiedWord/>
      <trackRevisions>false</trackRevisions>
    </reviewItem>
    <reviewItem>
      <errorID>6f0fbbf9-47f4-483b-9838-ca5acfa73fc5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12F474F1</paraID>
      <start>0</start>
      <end>2</end>
      <status>unmodified</status>
      <modifiedWord/>
      <trackRevisions>false</trackRevisions>
    </reviewItem>
    <reviewItem>
      <errorID>dbd5ad16-69f2-402a-985d-a2350d0e1d3e</errorID>
      <errorWord>&lt;</errorWord>
      <group>L1_Format</group>
      <groupName>格式问题</groupName>
      <ability>L2_HalfPunc_CN</ability>
      <abilityName>全半角问题</abilityName>
      <candidateList>
        <item>〈</item>
      </candidateList>
      <explain>文本全半角错误。</explain>
      <paraID> 3500319</paraID>
      <start>5</start>
      <end>6</end>
      <status>modified</status>
      <modifiedWord>〈</modifiedWord>
      <trackRevisions>false</trackRevisions>
    </reviewItem>
    <reviewItem>
      <errorID>167eccff-8622-41f6-8c27-0b44da26e7cc</errorID>
      <errorWord>&gt;的通知》</errorWord>
      <group>L1_Punc</group>
      <groupName>标点问题</groupName>
      <ability>L2_Punc_CN</ability>
      <abilityName>标点符号问题</abilityName>
      <candidateList>
        <item>〉的通知》</item>
      </candidateList>
      <explain/>
      <paraID> 3500319</paraID>
      <start>28</start>
      <end>33</end>
      <status>modified</status>
      <modifiedWord>〉的通知》</modifiedWord>
      <trackRevisions>false</trackRevisions>
    </reviewItem>
    <reviewItem>
      <errorID>9f261016-15c8-44d6-a202-b1e56d29579b</errorID>
      <errorWord>胶粘剂</errorWord>
      <group>L1_Word</group>
      <groupName>字词问题</groupName>
      <ability>L2_Typo</ability>
      <abilityName>字词错误</abilityName>
      <candidateList>
        <item>胶黏剂</item>
      </candidateList>
      <explain/>
      <paraID>7B4763A4</paraID>
      <start>15</start>
      <end>18</end>
      <status>unmodified</status>
      <modifiedWord/>
      <trackRevisions>false</trackRevisions>
    </reviewItem>
    <reviewItem>
      <errorID>9c4a4d28-a4cb-4ea3-80a6-e47993eed13d</errorID>
      <errorWord>胶粘剂</errorWord>
      <group>L1_Word</group>
      <groupName>字词问题</groupName>
      <ability>L2_Typo</ability>
      <abilityName>字词错误</abilityName>
      <candidateList>
        <item>胶黏剂</item>
      </candidateList>
      <explain/>
      <paraID>7B4763A4</paraID>
      <start>60</start>
      <end>63</end>
      <status>unmodified</status>
      <modifiedWord/>
      <trackRevisions>false</trackRevisions>
    </reviewItem>
    <reviewItem>
      <errorID>9bbf9b24-3b17-472f-a137-1fdcb94fc9cb</errorID>
      <errorWord>胶粘剂</errorWord>
      <group>L1_Word</group>
      <groupName>字词问题</groupName>
      <ability>L2_Typo</ability>
      <abilityName>字词错误</abilityName>
      <candidateList>
        <item>胶黏剂</item>
      </candidateList>
      <explain/>
      <paraID>7B4763A4</paraID>
      <start>99</start>
      <end>102</end>
      <status>unmodified</status>
      <modifiedWord/>
      <trackRevisions>false</trackRevisions>
    </reviewItem>
    <reviewItem>
      <errorID>6f278f4c-452b-40af-aa37-454769b89b18</errorID>
      <errorWord>胶粘剂</errorWord>
      <group>L1_Word</group>
      <groupName>字词问题</groupName>
      <ability>L2_Typo</ability>
      <abilityName>字词错误</abilityName>
      <candidateList>
        <item>胶黏剂</item>
      </candidateList>
      <explain/>
      <paraID>5DD0C827</paraID>
      <start>56</start>
      <end>59</end>
      <status>unmodified</status>
      <modifiedWord/>
      <trackRevisions>false</trackRevisions>
    </reviewItem>
    <reviewItem>
      <errorID>f13ea478-e86a-4bef-ac18-e44058109176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51514FA5</paraID>
      <start>21</start>
      <end>22</end>
      <status>unmodified</status>
      <modifiedWord/>
      <trackRevisions>false</trackRevisions>
    </reviewItem>
    <reviewItem>
      <errorID>a33ba665-168f-4560-9508-037bf9800b77</errorID>
      <errorWord>胶粘剂</errorWord>
      <group>L1_Word</group>
      <groupName>字词问题</groupName>
      <ability>L2_Typo</ability>
      <abilityName>字词错误</abilityName>
      <candidateList>
        <item>胶黏剂</item>
      </candidateList>
      <explain/>
      <paraID>163735A9</paraID>
      <start>56</start>
      <end>59</end>
      <status>unmodified</status>
      <modifiedWord/>
      <trackRevisions>false</trackRevisions>
    </reviewItem>
    <reviewItem>
      <errorID>ba28e2b4-0cce-4e70-bb39-04f3d0fcaaf0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176EC8CE</paraID>
      <start>0</start>
      <end>2</end>
      <status>unmodified</status>
      <modifiedWord/>
      <trackRevisions>false</trackRevisions>
    </reviewItem>
    <reviewItem>
      <errorID>47955485-6b32-4ab9-ad02-63ee78690fde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6F090FDB</paraID>
      <start>24</start>
      <end>25</end>
      <status>unmodified</status>
      <modifiedWord/>
      <trackRevisions>false</trackRevisions>
    </reviewItem>
    <reviewItem>
      <errorID>6e130368-56fd-40a9-956e-53cd4022322e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722267ED</paraID>
      <start>0</start>
      <end>2</end>
      <status>unmodified</status>
      <modifiedWord/>
      <trackRevisions>false</trackRevisions>
    </reviewItem>
    <reviewItem>
      <errorID>a2dfa369-a7fd-4457-bf85-1e56e725ab30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70839490</paraID>
      <start>0</start>
      <end>2</end>
      <status>unmodified</status>
      <modifiedWord/>
      <trackRevisions>false</trackRevisions>
    </reviewItem>
    <reviewItem>
      <errorID>cb5b4605-6d1c-49ba-b599-8ddff5b66740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4B3AECEE</paraID>
      <start>0</start>
      <end>2</end>
      <status>unmodified</status>
      <modifiedWord/>
      <trackRevisions>false</trackRevisions>
    </reviewItem>
    <reviewItem>
      <errorID>aaca6189-822e-4231-9077-9acb2ba1854f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73076BFD</paraID>
      <start>0</start>
      <end>2</end>
      <status>unmodified</status>
      <modifiedWord/>
      <trackRevisions>false</trackRevisions>
    </reviewItem>
    <reviewItem>
      <errorID>78c77b08-8377-4d23-be87-eeed2711e034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28997F9F</paraID>
      <start>0</start>
      <end>2</end>
      <status>unmodified</status>
      <modifiedWord/>
      <trackRevisions>false</trackRevisions>
    </reviewItem>
    <reviewItem>
      <errorID>aba646a1-c636-47ad-b513-67c51e4e15f4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71561EB3</paraID>
      <start>0</start>
      <end>2</end>
      <status>unmodified</status>
      <modifiedWord/>
      <trackRevisions>false</trackRevisions>
    </reviewItem>
    <reviewItem>
      <errorID>268b5632-22f2-4996-94c9-d0cbf59981a3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1F7954BC</paraID>
      <start>0</start>
      <end>2</end>
      <status>unmodified</status>
      <modifiedWord/>
      <trackRevisions>false</trackRevisions>
    </reviewItem>
    <reviewItem>
      <errorID>b66f47b9-f295-46f7-8389-aa9716175aa8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6A9E508D</paraID>
      <start>0</start>
      <end>2</end>
      <status>unmodified</status>
      <modifiedWord/>
      <trackRevisions>false</trackRevisions>
    </reviewItem>
    <reviewItem>
      <errorID>dd0b3e6b-1963-4601-8c8f-7e9d60d55de8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4E55D6F7</paraID>
      <start>0</start>
      <end>2</end>
      <status>unmodified</status>
      <modifiedWord/>
      <trackRevisions>false</trackRevisions>
    </reviewItem>
    <reviewItem>
      <errorID>f604ab9f-4396-47e3-91db-b070169c2f66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73AD740F</paraID>
      <start>0</start>
      <end>2</end>
      <status>unmodified</status>
      <modifiedWord/>
      <trackRevisions>false</trackRevisions>
    </reviewItem>
    <reviewItem>
      <errorID>f529c1e3-de50-4264-bab7-9f066f9e7c02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BB5B6E5</paraID>
      <start>0</start>
      <end>2</end>
      <status>unmodified</status>
      <modifiedWord/>
      <trackRevisions>false</trackRevisions>
    </reviewItem>
    <reviewItem>
      <errorID>90bc147b-f043-426c-8e83-9e0a15be2ae0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55F8CC81</paraID>
      <start>0</start>
      <end>2</end>
      <status>unmodified</status>
      <modifiedWord/>
      <trackRevisions>false</trackRevisions>
    </reviewItem>
    <reviewItem>
      <errorID>0b782555-4a3e-4b5f-809b-c8f524fff2a3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35303596</paraID>
      <start>0</start>
      <end>2</end>
      <status>unmodified</status>
      <modifiedWord/>
      <trackRevisions>false</trackRevisions>
    </reviewItem>
    <reviewItem>
      <errorID>e629dd85-250b-49dd-b7fb-fe78ff82bec0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697A8E1C</paraID>
      <start>0</start>
      <end>2</end>
      <status>unmodified</status>
      <modifiedWord/>
      <trackRevisions>false</trackRevisions>
    </reviewItem>
    <reviewItem>
      <errorID>1b9ef271-4693-4805-845c-710949c1c11a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7B675C01</paraID>
      <start>0</start>
      <end>2</end>
      <status>unmodified</status>
      <modifiedWord/>
      <trackRevisions>false</trackRevisions>
    </reviewItem>
    <reviewItem>
      <errorID>b7c113f1-b5a1-4093-a958-8a545eb0c7be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5B2CEB0B</paraID>
      <start>0</start>
      <end>2</end>
      <status>unmodified</status>
      <modifiedWord/>
      <trackRevisions>false</trackRevisions>
    </reviewItem>
    <reviewItem>
      <errorID>eeba603a-4558-4218-a1fa-d9ae4b7543a9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2B9C5469</paraID>
      <start>0</start>
      <end>2</end>
      <status>unmodified</status>
      <modifiedWord/>
      <trackRevisions>false</trackRevisions>
    </reviewItem>
    <reviewItem>
      <errorID>b01f8bb7-819f-4847-9739-849c4accd98c</errorID>
      <errorWord>胶粘剂</errorWord>
      <group>L1_Word</group>
      <groupName>字词问题</groupName>
      <ability>L2_Typo</ability>
      <abilityName>字词错误</abilityName>
      <candidateList>
        <item>胶黏剂</item>
      </candidateList>
      <explain/>
      <paraID>2B9C5469</paraID>
      <start>49</start>
      <end>52</end>
      <status>unmodified</status>
      <modifiedWord/>
      <trackRevisions>false</trackRevisions>
    </reviewItem>
    <reviewItem>
      <errorID>7474af91-10ca-4e63-9713-b9a5356e1c0a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637495C3</paraID>
      <start>0</start>
      <end>2</end>
      <status>unmodified</status>
      <modifiedWord/>
      <trackRevisions>false</trackRevisions>
    </reviewItem>
    <reviewItem>
      <errorID>df4cef57-0514-48e8-b421-cc0cf6610b64</errorID>
      <errorWord>胶粘剂</errorWord>
      <group>L1_Word</group>
      <groupName>字词问题</groupName>
      <ability>L2_Typo</ability>
      <abilityName>字词错误</abilityName>
      <candidateList>
        <item>胶黏剂</item>
      </candidateList>
      <explain/>
      <paraID>637495C3</paraID>
      <start>26</start>
      <end>29</end>
      <status>unmodified</status>
      <modifiedWord/>
      <trackRevisions>false</trackRevisions>
    </reviewItem>
    <reviewItem>
      <errorID>6c567a76-ca00-4615-89fb-7f272c8aeea1</errorID>
      <errorWord>胶粘剂</errorWord>
      <group>L1_Word</group>
      <groupName>字词问题</groupName>
      <ability>L2_Typo</ability>
      <abilityName>字词错误</abilityName>
      <candidateList>
        <item>胶黏剂</item>
      </candidateList>
      <explain/>
      <paraID>37828864</paraID>
      <start>56</start>
      <end>59</end>
      <status>unmodified</status>
      <modifiedWord/>
      <trackRevisions>false</trackRevisions>
    </reviewItem>
    <reviewItem>
      <errorID>6d89a119-0a4a-4bdc-a550-5f0f1e28a8ba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37F00082</paraID>
      <start>0</start>
      <end>2</end>
      <status>unmodified</status>
      <modifiedWord/>
      <trackRevisions>false</trackRevisions>
    </reviewItem>
    <reviewItem>
      <errorID>a2941f80-d198-437e-a24d-48f37ec03a78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117404DB</paraID>
      <start>0</start>
      <end>2</end>
      <status>unmodified</status>
      <modifiedWord/>
      <trackRevisions>false</trackRevisions>
    </reviewItem>
    <reviewItem>
      <errorID>a258e4bb-7a75-4bd3-9088-b29d5faa3ff1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263CEF2A</paraID>
      <start>0</start>
      <end>2</end>
      <status>unmodified</status>
      <modifiedWord/>
      <trackRevisions>false</trackRevisions>
    </reviewItem>
    <reviewItem>
      <errorID>9fd435be-0e3d-42c6-8b8b-4eadd6680cd6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6201A8E2</paraID>
      <start>15</start>
      <end>18</end>
      <status>unmodified</status>
      <modifiedWord/>
      <trackRevisions>false</trackRevisions>
    </reviewItem>
    <reviewItem>
      <errorID>9e4702f3-c58a-4489-a163-f0bbf4f50130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6201A8E2</paraID>
      <start>32</start>
      <end>35</end>
      <status>unmodified</status>
      <modifiedWord/>
      <trackRevisions>false</trackRevisions>
    </reviewItem>
    <reviewItem>
      <errorID>c822631d-82e0-4e84-9b31-010852eb6440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47671D7C</paraID>
      <start>33</start>
      <end>34</end>
      <status>unmodified</status>
      <modifiedWord/>
      <trackRevisions>false</trackRevisions>
    </reviewItem>
    <reviewItem>
      <errorID>701b2c40-e100-4b96-8e32-57bd8dceaad5</errorID>
      <errorWord>胶粘剂</errorWord>
      <group>L1_Word</group>
      <groupName>字词问题</groupName>
      <ability>L2_Typo</ability>
      <abilityName>字词错误</abilityName>
      <candidateList>
        <item>胶黏剂</item>
      </candidateList>
      <explain/>
      <paraID> FB9C352</paraID>
      <start>42</start>
      <end>45</end>
      <status>unmodified</status>
      <modifiedWord/>
      <trackRevisions>false</trackRevisions>
    </reviewItem>
    <reviewItem>
      <errorID>8ac688f2-53eb-4ee0-8d97-d3ef4ede8e36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55C2739F</paraID>
      <start>0</start>
      <end>2</end>
      <status>unmodified</status>
      <modifiedWord/>
      <trackRevisions>false</trackRevisions>
    </reviewItem>
    <reviewItem>
      <errorID>67c22ad7-15e1-4eed-8dfa-79150012bc23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18C33446</paraID>
      <start>0</start>
      <end>2</end>
      <status>unmodified</status>
      <modifiedWord/>
      <trackRevisions>false</trackRevisions>
    </reviewItem>
    <reviewItem>
      <errorID>8a85e2ed-91af-460c-981e-39f066fdeab1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54E51798</paraID>
      <start>0</start>
      <end>2</end>
      <status>unmodified</status>
      <modifiedWord/>
      <trackRevisions>false</trackRevisions>
    </reviewItem>
    <reviewItem>
      <errorID>9b07702c-7e7b-44db-9ffa-95aeb4b93079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470B5EA7</paraID>
      <start>0</start>
      <end>2</end>
      <status>unmodified</status>
      <modifiedWord/>
      <trackRevisions>false</trackRevisions>
    </reviewItem>
    <reviewItem>
      <errorID>78c892b3-6dc6-4e30-b34d-0d1d1031ae54</errorID>
      <errorWord>87%-90%</errorWord>
      <group>L1_Knowledge</group>
      <groupName>知识性问题</groupName>
      <ability>L2_Knowledge</ability>
      <abilityName>其他知识</abilityName>
      <candidateList>
        <item>87%—90%</item>
      </candidateList>
      <explain>1. “87%-90%”中的单位“%”仅出现在后一个数字上，容易引起歧义；根据《现代汉语标点符号数字用法规范手册》，数字表示范围两边需要使用统一的格式。2. 根据标点国标 4.13 中的规则，数字、时间或地域连接符应使用（视觉上更长的）“—”或“～”。</explain>
      <paraID>423B545B</paraID>
      <start>0</start>
      <end>7</end>
      <status>unmodified</status>
      <modifiedWord/>
      <trackRevisions>false</trackRevisions>
    </reviewItem>
    <reviewItem>
      <errorID>cb49c249-34db-4e1c-8027-b721ba35ac31</errorID>
      <errorWord>0-3.5%</errorWord>
      <group>L1_Knowledge</group>
      <groupName>知识性问题</groupName>
      <ability>L2_Knowledge</ability>
      <abilityName>其他知识</abilityName>
      <candidateList>
        <item>0—3.5%</item>
      </candidateList>
      <explain>1. “0-3.5%”中的单位“%”仅出现在后一个数字上，容易引起歧义；根据《现代汉语标点符号数字用法规范手册》，数字表示范围两边需要使用统一的格式。2. 根据标点国标 4.13 中的规则，数字、时间或地域连接符应使用（视觉上更长的）“—”或“～”。</explain>
      <paraID>617698AA</paraID>
      <start>0</start>
      <end>6</end>
      <status>unmodified</status>
      <modifiedWord/>
      <trackRevisions>false</trackRevisions>
    </reviewItem>
    <reviewItem>
      <errorID>1eb1fe5a-74a2-41ab-a543-1463e200ea90</errorID>
      <errorWord>9.5%-10.5%</errorWord>
      <group>L1_Knowledge</group>
      <groupName>知识性问题</groupName>
      <ability>L2_Knowledge</ability>
      <abilityName>其他知识</abilityName>
      <candidateList>
        <item>9.5%—10.5%</item>
      </candidateList>
      <explain>1. “9.5%-10.5%”中的单位“%”仅出现在后一个数字上，容易引起歧义；根据《现代汉语标点符号数字用法规范手册》，数字表示范围两边需要使用统一的格式。2. 根据标点国标 4.13 中的规则，数字、时间或地域连接符应使用（视觉上更长的）“—”或“～”。</explain>
      <paraID>401D32CE</paraID>
      <start>0</start>
      <end>10</end>
      <status>unmodified</status>
      <modifiedWord/>
      <trackRevisions>false</trackRevisions>
    </reviewItem>
    <reviewItem>
      <errorID>6af50574-8913-4c96-89ec-614f2aa1ed6b</errorID>
      <errorWord>50%-60%</errorWord>
      <group>L1_Knowledge</group>
      <groupName>知识性问题</groupName>
      <ability>L2_Knowledge</ability>
      <abilityName>其他知识</abilityName>
      <candidateList>
        <item>50%—60%</item>
      </candidateList>
      <explain>1. “50%-60%”中的单位“%”仅出现在后一个数字上，容易引起歧义；根据《现代汉语标点符号数字用法规范手册》，数字表示范围两边需要使用统一的格式。2. 根据标点国标 4.13 中的规则，数字、时间或地域连接符应使用（视觉上更长的）“—”或“～”。</explain>
      <paraID> 2E6FF0C</paraID>
      <start>0</start>
      <end>7</end>
      <status>unmodified</status>
      <modifiedWord/>
      <trackRevisions>false</trackRevisions>
    </reviewItem>
    <reviewItem>
      <errorID>8afd9a64-8e21-4460-94b8-8275c6d3ab92</errorID>
      <errorWord>4%-4.5%</errorWord>
      <group>L1_Knowledge</group>
      <groupName>知识性问题</groupName>
      <ability>L2_Knowledge</ability>
      <abilityName>其他知识</abilityName>
      <candidateList>
        <item>4%—4.5%</item>
      </candidateList>
      <explain>1. “4%-4.5%”中的单位“%”仅出现在后一个数字上，容易引起歧义；根据《现代汉语标点符号数字用法规范手册》，数字表示范围两边需要使用统一的格式。2. 根据标点国标 4.13 中的规则，数字、时间或地域连接符应使用（视觉上更长的）“—”或“～”。</explain>
      <paraID>54CA4275</paraID>
      <start>0</start>
      <end>7</end>
      <status>unmodified</status>
      <modifiedWord/>
      <trackRevisions>false</trackRevisions>
    </reviewItem>
    <reviewItem>
      <errorID>263beaeb-2195-4fea-9b6e-3e1d001541ec</errorID>
      <errorWord>17%-31%</errorWord>
      <group>L1_Knowledge</group>
      <groupName>知识性问题</groupName>
      <ability>L2_Knowledge</ability>
      <abilityName>其他知识</abilityName>
      <candidateList>
        <item>17%—31%</item>
      </candidateList>
      <explain>1. “17%-31%”中的单位“%”仅出现在后一个数字上，容易引起歧义；根据《现代汉语标点符号数字用法规范手册》，数字表示范围两边需要使用统一的格式。2. 根据标点国标 4.13 中的规则，数字、时间或地域连接符应使用（视觉上更长的）“—”或“～”。</explain>
      <paraID>7A65E156</paraID>
      <start>0</start>
      <end>7</end>
      <status>unmodified</status>
      <modifiedWord/>
      <trackRevisions>false</trackRevisions>
    </reviewItem>
    <reviewItem>
      <errorID>f269e2f7-888c-4eab-a820-0e2bb9fd9657</errorID>
      <errorWord>0.7%-1%</errorWord>
      <group>L1_Knowledge</group>
      <groupName>知识性问题</groupName>
      <ability>L2_Knowledge</ability>
      <abilityName>其他知识</abilityName>
      <candidateList>
        <item>0.7%—1%</item>
      </candidateList>
      <explain>1. “0.7%-1%”中的单位“%”仅出现在后一个数字上，容易引起歧义；根据《现代汉语标点符号数字用法规范手册》，数字表示范围两边需要使用统一的格式。2. 根据标点国标 4.13 中的规则，数字、时间或地域连接符应使用（视觉上更长的）“—”或“～”。</explain>
      <paraID>6CE00006</paraID>
      <start>0</start>
      <end>7</end>
      <status>unmodified</status>
      <modifiedWord/>
      <trackRevisions>false</trackRevisions>
    </reviewItem>
    <reviewItem>
      <errorID>ff1bccea-ea69-452c-a4bb-f6cdc4b07970</errorID>
      <errorWord>0.3%-0.6%</errorWord>
      <group>L1_Knowledge</group>
      <groupName>知识性问题</groupName>
      <ability>L2_Knowledge</ability>
      <abilityName>其他知识</abilityName>
      <candidateList>
        <item>0.3%—0.6%</item>
      </candidateList>
      <explain>1. “0.3%-0.6%”中的单位“%”仅出现在后一个数字上，容易引起歧义；根据《现代汉语标点符号数字用法规范手册》，数字表示范围两边需要使用统一的格式。2. 根据标点国标 4.13 中的规则，数字、时间或地域连接符应使用（视觉上更长的）“—”或“～”。</explain>
      <paraID>7DCCFE31</paraID>
      <start>0</start>
      <end>9</end>
      <status>unmodified</status>
      <modifiedWord/>
      <trackRevisions>false</trackRevisions>
    </reviewItem>
    <reviewItem>
      <errorID>99005fcc-fceb-4a65-8f93-3c63b92e8500</errorID>
      <errorWord>0.43%-0.5%</errorWord>
      <group>L1_Knowledge</group>
      <groupName>知识性问题</groupName>
      <ability>L2_Knowledge</ability>
      <abilityName>其他知识</abilityName>
      <candidateList>
        <item>0.43%—0.5%</item>
      </candidateList>
      <explain>1. “0.43%-0.5%”中的单位“%”仅出现在后一个数字上，容易引起歧义；根据《现代汉语标点符号数字用法规范手册》，数字表示范围两边需要使用统一的格式。2. 根据标点国标 4.13 中的规则，数字、时间或地域连接符应使用（视觉上更长的）“—”或“～”。</explain>
      <paraID>5CB2CC80</paraID>
      <start>0</start>
      <end>10</end>
      <status>unmodified</status>
      <modifiedWord/>
      <trackRevisions>false</trackRevisions>
    </reviewItem>
    <reviewItem>
      <errorID>e35261fa-6d47-4e30-926b-37a9e04ab0f8</errorID>
      <errorWord>70%~90%</errorWord>
      <group>L1_Knowledge</group>
      <groupName>知识性问题</groupName>
      <ability>L2_Knowledge</ability>
      <abilityName>其他知识</abilityName>
      <candidateList>
        <item>70%～90%</item>
      </candidateList>
      <explain>1. “70%~90%”中的单位“%”仅出现在后一个数字上，容易引起歧义；根据《现代汉语标点符号数字用法规范手册》，数字表示范围两边需要使用统一的格式。2. 根据标点国标 4.13 中的规则，数字、时间或地域连接符应使用（视觉上更长的）“—”或“～”。</explain>
      <paraID> AD1CDAB</paraID>
      <start>111</start>
      <end>118</end>
      <status>unmodified</status>
      <modifiedWord/>
      <trackRevisions>false</trackRevisions>
    </reviewItem>
    <reviewItem>
      <errorID>ec2d86f8-9010-4145-b2e8-b2c643c42567</errorID>
      <errorWord>胶粘剂</errorWord>
      <group>L1_Word</group>
      <groupName>字词问题</groupName>
      <ability>L2_Typo</ability>
      <abilityName>字词错误</abilityName>
      <candidateList>
        <item>胶黏剂</item>
      </candidateList>
      <explain/>
      <paraID> 3AA7EA1</paraID>
      <start>3</start>
      <end>6</end>
      <status>unmodified</status>
      <modifiedWord/>
      <trackRevisions>false</trackRevisions>
    </reviewItem>
    <reviewItem>
      <errorID>c35cd934-3ed4-401b-949b-dac24f565b99</errorID>
      <errorWord>)</errorWord>
      <group>L1_Format</group>
      <groupName>格式问题</groupName>
      <ability>L2_HalfPunc_CN</ability>
      <abilityName>全半角问题</abilityName>
      <candidateList>
        <item>）</item>
      </candidateList>
      <explain>文本全半角错误。</explain>
      <paraID>56C4D507</paraID>
      <start>32</start>
      <end>33</end>
      <status>unmodified</status>
      <modifiedWord/>
      <trackRevisions>false</trackRevisions>
    </reviewItem>
    <reviewItem>
      <errorID>3fed3023-766f-4e8f-9be3-57d44be09adb</errorID>
      <errorWord>:</errorWord>
      <group>L1_Format</group>
      <groupName>格式问题</groupName>
      <ability>L2_HalfPunc_CN</ability>
      <abilityName>全半角问题</abilityName>
      <candidateList>
        <item>：</item>
      </candidateList>
      <explain>文本全半角错误。</explain>
      <paraID>132D07FF</paraID>
      <start>2</start>
      <end>3</end>
      <status>unmodified</status>
      <modifiedWord/>
      <trackRevisions>false</trackRevisions>
    </reviewItem>
    <reviewItem>
      <errorID>d91d6950-a3b2-4ca3-9508-aa67b1cdf38f</errorID>
      <errorWord>~</errorWord>
      <group>L1_Format</group>
      <groupName>格式问题</groupName>
      <ability>L2_HalfPunc_CN</ability>
      <abilityName>全半角问题</abilityName>
      <candidateList>
        <item>～</item>
      </candidateList>
      <explain>文本全半角错误。</explain>
      <paraID> A1F22DB</paraID>
      <start>85</start>
      <end>86</end>
      <status>unmodified</status>
      <modifiedWord/>
      <trackRevisions>false</trackRevisions>
    </reviewItem>
    <reviewItem>
      <errorID>d5642900-1487-452a-be7e-40d61f5563fc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756B650B</paraID>
      <start>0</start>
      <end>2</end>
      <status>unmodified</status>
      <modifiedWord/>
      <trackRevisions>false</trackRevisions>
    </reviewItem>
    <reviewItem>
      <errorID>6cbdac54-4abb-4614-861d-3a0f19628be9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27ED3642</paraID>
      <start>52</start>
      <end>53</end>
      <status>unmodified</status>
      <modifiedWord/>
      <trackRevisions>false</trackRevisions>
    </reviewItem>
    <reviewItem>
      <errorID>724e24d2-d24f-4e6d-9d5c-e8f3e2cb230a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7CF19A98</paraID>
      <start>0</start>
      <end>2</end>
      <status>unmodified</status>
      <modifiedWord/>
      <trackRevisions>false</trackRevisions>
    </reviewItem>
    <reviewItem>
      <errorID>33ae43e9-e920-454f-b8a2-4910dc47b522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248F0815</paraID>
      <start>0</start>
      <end>2</end>
      <status>unmodified</status>
      <modifiedWord/>
      <trackRevisions>false</trackRevisions>
    </reviewItem>
    <reviewItem>
      <errorID>67fdc05b-7522-4f0d-b7ce-456c4e83e562</errorID>
      <errorWord>（</errorWord>
      <group>L1_Format</group>
      <groupName>格式问题</groupName>
      <ability>L2_HalfPunc_CN</ability>
      <abilityName>全半角问题</abilityName>
      <candidateList>
        <item>(</item>
      </candidateList>
      <explain>文本全半角错误。</explain>
      <paraID>2A6B02C1</paraID>
      <start>0</start>
      <end>1</end>
      <status>unmodified</status>
      <modifiedWord/>
      <trackRevisions>false</trackRevisions>
    </reviewItem>
    <reviewItem>
      <errorID>48f734a7-7fec-4174-ad23-505b11913010</errorID>
      <errorWord>）</errorWord>
      <group>L1_Format</group>
      <groupName>格式问题</groupName>
      <ability>L2_HalfPunc_CN</ability>
      <abilityName>全半角问题</abilityName>
      <candidateList>
        <item>)</item>
      </candidateList>
      <explain>文本全半角错误。</explain>
      <paraID>2A6B02C1</paraID>
      <start>6</start>
      <end>7</end>
      <status>unmodified</status>
      <modifiedWord/>
      <trackRevisions>false</trackRevisions>
    </reviewItem>
    <reviewItem>
      <errorID>3e659d36-4ea6-40d8-b863-52d7c415b2b6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3B2D659C</paraID>
      <start>225</start>
      <end>226</end>
      <status>unmodified</status>
      <modifiedWord/>
      <trackRevisions>false</trackRevisions>
    </reviewItem>
    <reviewItem>
      <errorID>0c9a98bd-d965-4099-ba8a-45824c7b3103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3B2D659C</paraID>
      <start>294</start>
      <end>295</end>
      <status>unmodified</status>
      <modifiedWord/>
      <trackRevisions>false</trackRevisions>
    </reviewItem>
    <reviewItem>
      <errorID>9a8f2a5b-846d-4ba2-8d56-baaf62387056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3B2D659C</paraID>
      <start>357</start>
      <end>358</end>
      <status>unmodified</status>
      <modifiedWord/>
      <trackRevisions>false</trackRevisions>
    </reviewItem>
    <reviewItem>
      <errorID>55b93fa8-525f-46e0-b66e-5a7f4e063c0b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1F7AAAE0</paraID>
      <start>0</start>
      <end>2</end>
      <status>unmodified</status>
      <modifiedWord/>
      <trackRevisions>false</trackRevisions>
    </reviewItem>
    <reviewItem>
      <errorID>6d8a2343-2691-43b1-b6c2-bb8d8b2fbcd4</errorID>
      <errorWord>》</errorWord>
      <group>L1_Word</group>
      <groupName>字词问题</groupName>
      <ability>L2_Typo</ability>
      <abilityName>字词错误</abilityName>
      <candidateList>
        <item>》对</item>
      </candidateList>
      <explain/>
      <paraID>2E64ADF4</paraID>
      <start>31</start>
      <end>32</end>
      <status>unmodified</status>
      <modifiedWord/>
      <trackRevisions>false</trackRevisions>
    </reviewItem>
    <reviewItem>
      <errorID>1a2bff7d-d4b3-4880-a8cf-3e12a9739ce8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1D95EC09</paraID>
      <start>0</start>
      <end>2</end>
      <status>unmodified</status>
      <modifiedWord/>
      <trackRevisions>false</trackRevisions>
    </reviewItem>
    <reviewItem>
      <errorID>cbf915dc-a34b-434c-8e70-53e9b54f274c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74B8A9A5</paraID>
      <start>0</start>
      <end>2</end>
      <status>unmodified</status>
      <modifiedWord/>
      <trackRevisions>false</trackRevisions>
    </reviewItem>
    <reviewItem>
      <errorID>d94e0aa6-1883-45e6-bc4e-9c731279acd6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6EEF2636</paraID>
      <start>0</start>
      <end>2</end>
      <status>unmodified</status>
      <modifiedWord/>
      <trackRevisions>false</trackRevisions>
    </reviewItem>
    <reviewItem>
      <errorID>7ddd5881-d0ec-4d20-ad85-fa609498680d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517BDE16</paraID>
      <start>0</start>
      <end>2</end>
      <status>unmodified</status>
      <modifiedWord/>
      <trackRevisions>false</trackRevisions>
    </reviewItem>
    <reviewItem>
      <errorID>513729fc-db5e-4f7b-8882-548902e5da6a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3E8664C3</paraID>
      <start>0</start>
      <end>2</end>
      <status>unmodified</status>
      <modifiedWord/>
      <trackRevisions>false</trackRevisions>
    </reviewItem>
    <reviewItem>
      <errorID>c1165316-dad1-4dce-8428-018f5efa4ed9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635FC0EA</paraID>
      <start>0</start>
      <end>2</end>
      <status>unmodified</status>
      <modifiedWord/>
      <trackRevisions>false</trackRevisions>
    </reviewItem>
    <reviewItem>
      <errorID>b362b851-f4a0-40eb-9fcd-2ee343869ebc</errorID>
      <errorWord>（</errorWord>
      <group>L1_Format</group>
      <groupName>格式问题</groupName>
      <ability>L2_HalfPunc_CN</ability>
      <abilityName>全半角问题</abilityName>
      <candidateList>
        <item>(</item>
      </candidateList>
      <explain>文本全半角错误。</explain>
      <paraID>258B6A3A</paraID>
      <start>4</start>
      <end>5</end>
      <status>unmodified</status>
      <modifiedWord/>
      <trackRevisions>false</trackRevisions>
    </reviewItem>
    <reviewItem>
      <errorID>da89ba41-8e88-472e-ae8e-508b519f4bb4</errorID>
      <errorWord>）</errorWord>
      <group>L1_Format</group>
      <groupName>格式问题</groupName>
      <ability>L2_HalfPunc_CN</ability>
      <abilityName>全半角问题</abilityName>
      <candidateList>
        <item>)</item>
      </candidateList>
      <explain>文本全半角错误。</explain>
      <paraID>258B6A3A</paraID>
      <start>8</start>
      <end>9</end>
      <status>unmodified</status>
      <modifiedWord/>
      <trackRevisions>false</trackRevisions>
    </reviewItem>
    <reviewItem>
      <errorID>6190ee47-c550-45c6-aa6a-12a02c7a87d5</errorID>
      <errorWord>（</errorWord>
      <group>L1_Format</group>
      <groupName>格式问题</groupName>
      <ability>L2_HalfPunc_CN</ability>
      <abilityName>全半角问题</abilityName>
      <candidateList>
        <item>(</item>
      </candidateList>
      <explain>文本全半角错误。</explain>
      <paraID>3CE87672</paraID>
      <start>4</start>
      <end>5</end>
      <status>unmodified</status>
      <modifiedWord/>
      <trackRevisions>false</trackRevisions>
    </reviewItem>
    <reviewItem>
      <errorID>08d70326-0af1-4686-83b4-d325aedbd6ba</errorID>
      <errorWord>）</errorWord>
      <group>L1_Format</group>
      <groupName>格式问题</groupName>
      <ability>L2_HalfPunc_CN</ability>
      <abilityName>全半角问题</abilityName>
      <candidateList>
        <item>)</item>
      </candidateList>
      <explain>文本全半角错误。</explain>
      <paraID>3CE87672</paraID>
      <start>8</start>
      <end>9</end>
      <status>unmodified</status>
      <modifiedWord/>
      <trackRevisions>false</trackRevisions>
    </reviewItem>
    <reviewItem>
      <errorID>f418e29a-eaa8-407f-af2b-098034393995</errorID>
      <errorWord>（</errorWord>
      <group>L1_Format</group>
      <groupName>格式问题</groupName>
      <ability>L2_HalfPunc_CN</ability>
      <abilityName>全半角问题</abilityName>
      <candidateList>
        <item>(</item>
      </candidateList>
      <explain>文本全半角错误。</explain>
      <paraID>78C2B774</paraID>
      <start>3</start>
      <end>4</end>
      <status>unmodified</status>
      <modifiedWord/>
      <trackRevisions>false</trackRevisions>
    </reviewItem>
    <reviewItem>
      <errorID>047935c7-062d-4b37-99d4-920d85cd7982</errorID>
      <errorWord>）</errorWord>
      <group>L1_Format</group>
      <groupName>格式问题</groupName>
      <ability>L2_HalfPunc_CN</ability>
      <abilityName>全半角问题</abilityName>
      <candidateList>
        <item>)</item>
      </candidateList>
      <explain>文本全半角错误。</explain>
      <paraID>78C2B774</paraID>
      <start>7</start>
      <end>8</end>
      <status>unmodified</status>
      <modifiedWord/>
      <trackRevisions>false</trackRevisions>
    </reviewItem>
    <reviewItem>
      <errorID>7258f265-2b6e-40e1-8f75-f080a3fe1d48</errorID>
      <errorWord>（</errorWord>
      <group>L1_Format</group>
      <groupName>格式问题</groupName>
      <ability>L2_HalfPunc_CN</ability>
      <abilityName>全半角问题</abilityName>
      <candidateList>
        <item>(</item>
      </candidateList>
      <explain>文本全半角错误。</explain>
      <paraID>7F1C3311</paraID>
      <start>0</start>
      <end>1</end>
      <status>unmodified</status>
      <modifiedWord/>
      <trackRevisions>false</trackRevisions>
    </reviewItem>
    <reviewItem>
      <errorID>b0edab9b-2040-4199-8d7a-8b47c66351f9</errorID>
      <errorWord>）</errorWord>
      <group>L1_Format</group>
      <groupName>格式问题</groupName>
      <ability>L2_HalfPunc_CN</ability>
      <abilityName>全半角问题</abilityName>
      <candidateList>
        <item>)</item>
      </candidateList>
      <explain>文本全半角错误。</explain>
      <paraID>7F1C3311</paraID>
      <start>6</start>
      <end>7</end>
      <status>unmodified</status>
      <modifiedWord/>
      <trackRevisions>false</trackRevisions>
    </reviewItem>
    <reviewItem>
      <errorID>d5d9da11-b983-4046-8212-e1c0fbae4e42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42C8EEDF</paraID>
      <start>0</start>
      <end>2</end>
      <status>unmodified</status>
      <modifiedWord/>
      <trackRevisions>false</trackRevisions>
    </reviewItem>
    <reviewItem>
      <errorID>cd7a1286-9e4e-4ac3-abb1-4ac16f70f000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77416A4</paraID>
      <start>0</start>
      <end>2</end>
      <status>unmodified</status>
      <modifiedWord/>
      <trackRevisions>false</trackRevisions>
    </reviewItem>
    <reviewItem>
      <errorID>d31224a9-d786-42e1-bee0-d1ef2c2410b9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7D5D2C8D</paraID>
      <start>0</start>
      <end>2</end>
      <status>unmodified</status>
      <modifiedWord/>
      <trackRevisions>false</trackRevisions>
    </reviewItem>
    <reviewItem>
      <errorID>833bc206-d1b9-498f-8a24-57f2a962b48a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BB176FF</paraID>
      <start>0</start>
      <end>2</end>
      <status>unmodified</status>
      <modifiedWord/>
      <trackRevisions>false</trackRevisions>
    </reviewItem>
    <reviewItem>
      <errorID>81f08572-b613-4bb9-bd1a-e0c00d472783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16587A0E</paraID>
      <start>52</start>
      <end>53</end>
      <status>unmodified</status>
      <modifiedWord/>
      <trackRevisions>false</trackRevisions>
    </reviewItem>
    <reviewItem>
      <errorID>b8f2967d-ad2d-4448-9483-d0254c91032a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E0F7AD3</paraID>
      <start>0</start>
      <end>2</end>
      <status>unmodified</status>
      <modifiedWord/>
      <trackRevisions>false</trackRevisions>
    </reviewItem>
    <reviewItem>
      <errorID>a5d4edc4-b730-4179-84bf-d2003af36e5a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C2108D2</paraID>
      <start>0</start>
      <end>2</end>
      <status>unmodified</status>
      <modifiedWord/>
      <trackRevisions>false</trackRevisions>
    </reviewItem>
    <reviewItem>
      <errorID>5d97965e-cc33-4cde-8b9b-99370f0748c4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1BCE253D</paraID>
      <start>0</start>
      <end>2</end>
      <status>unmodified</status>
      <modifiedWord/>
      <trackRevisions>false</trackRevisions>
    </reviewItem>
    <reviewItem>
      <errorID>45431616-1cdd-47ef-89b2-0b61191d26f7</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48A271BD</paraID>
      <start>0</start>
      <end>2</end>
      <status>unmodified</status>
      <modifiedWord/>
      <trackRevisions>false</trackRevisions>
    </reviewItem>
    <reviewItem>
      <errorID>f5f43a77-44fa-472c-913e-09861dbc4122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18A2CEB2</paraID>
      <start>0</start>
      <end>2</end>
      <status>unmodified</status>
      <modifiedWord/>
      <trackRevisions>false</trackRevisions>
    </reviewItem>
    <reviewItem>
      <errorID>81e7b03b-5143-4449-ad00-194256eedd81</errorID>
      <errorWord>(</errorWord>
      <group>L1_Format</group>
      <groupName>格式问题</groupName>
      <ability>L2_HalfPunc_CN</ability>
      <abilityName>全半角问题</abilityName>
      <candidateList>
        <item>（</item>
      </candidateList>
      <explain>文本全半角错误。</explain>
      <paraID>47EC4316</paraID>
      <start>16</start>
      <end>17</end>
      <status>unmodified</status>
      <modifiedWord/>
      <trackRevisions>false</trackRevisions>
    </reviewItem>
    <reviewItem>
      <errorID>571bbb35-6dd0-47bb-9c45-43a50752c734</errorID>
      <errorWord>)</errorWord>
      <group>L1_Format</group>
      <groupName>格式问题</groupName>
      <ability>L2_HalfPunc_CN</ability>
      <abilityName>全半角问题</abilityName>
      <candidateList>
        <item>）</item>
      </candidateList>
      <explain>文本全半角错误。</explain>
      <paraID>47EC4316</paraID>
      <start>28</start>
      <end>29</end>
      <status>unmodified</status>
      <modifiedWord/>
      <trackRevisions>false</trackRevisions>
    </reviewItem>
    <reviewItem>
      <errorID>28806b7b-ab6b-407f-83e8-be438767e910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323B33B</paraID>
      <start>0</start>
      <end>2</end>
      <status>unmodified</status>
      <modifiedWord/>
      <trackRevisions>false</trackRevisions>
    </reviewItem>
    <reviewItem>
      <errorID>89012267-8439-4ccd-a1cc-9c88d535ccdb</errorID>
      <errorWord>)</errorWord>
      <group>L1_Format</group>
      <groupName>格式问题</groupName>
      <ability>L2_HalfPunc_CN</ability>
      <abilityName>全半角问题</abilityName>
      <candidateList>
        <item>）</item>
      </candidateList>
      <explain>文本全半角错误。</explain>
      <paraID>1E499049</paraID>
      <start>39</start>
      <end>40</end>
      <status>unmodified</status>
      <modifiedWord/>
      <trackRevisions>false</trackRevisions>
    </reviewItem>
    <reviewItem>
      <errorID>50dca8fd-eb5f-491c-9ce3-239e622838de</errorID>
      <errorWord>)</errorWord>
      <group>L1_Format</group>
      <groupName>格式问题</groupName>
      <ability>L2_HalfPunc_CN</ability>
      <abilityName>全半角问题</abilityName>
      <candidateList>
        <item>）</item>
      </candidateList>
      <explain>文本全半角错误。</explain>
      <paraID>11F2BA54</paraID>
      <start>58</start>
      <end>59</end>
      <status>unmodified</status>
      <modifiedWord/>
      <trackRevisions>false</trackRevisions>
    </reviewItem>
    <reviewItem>
      <errorID>9a125d29-b72d-4062-8000-c4434b74f720</errorID>
      <errorWord>)</errorWord>
      <group>L1_Format</group>
      <groupName>格式问题</groupName>
      <ability>L2_HalfPunc_CN</ability>
      <abilityName>全半角问题</abilityName>
      <candidateList>
        <item>）</item>
      </candidateList>
      <explain>文本全半角错误。</explain>
      <paraID>11F2BA54</paraID>
      <start>69</start>
      <end>70</end>
      <status>unmodified</status>
      <modifiedWord/>
      <trackRevisions>false</trackRevisions>
    </reviewItem>
    <reviewItem>
      <errorID>82849bba-ab5f-42b7-a078-6a571223af19</errorID>
      <errorWord>总图</errorWord>
      <group>L1_Word</group>
      <groupName>字词问题</groupName>
      <ability>L2_Typo</ability>
      <abilityName>字词错误</abilityName>
      <candidateList>
        <item>总体</item>
      </candidateList>
      <explain/>
      <paraID>  411C78</paraID>
      <start>3</start>
      <end>5</end>
      <status>unmodified</status>
      <modifiedWord/>
      <trackRevisions>false</trackRevisions>
    </reviewItem>
    <reviewItem>
      <errorID>ff298958-dd44-4fce-a889-06ac75547bec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6B735F8F</paraID>
      <start>0</start>
      <end>2</end>
      <status>unmodified</status>
      <modifiedWord/>
      <trackRevisions>false</trackRevisions>
    </reviewItem>
    <reviewItem>
      <errorID>79626fff-a29e-41b7-a4d5-91b00ecf5e9b</errorID>
      <errorWord>)</errorWord>
      <group>L1_Format</group>
      <groupName>格式问题</groupName>
      <ability>L2_HalfPunc_CN</ability>
      <abilityName>全半角问题</abilityName>
      <candidateList>
        <item>）</item>
      </candidateList>
      <explain>文本全半角错误。</explain>
      <paraID>1ADCA380</paraID>
      <start>16</start>
      <end>17</end>
      <status>unmodified</status>
      <modifiedWord/>
      <trackRevisions>false</trackRevisions>
    </reviewItem>
    <reviewItem>
      <errorID>c0d0698e-9821-4b69-8fc2-d28b4adf8daf</errorID>
      <errorWord>)</errorWord>
      <group>L1_Format</group>
      <groupName>格式问题</groupName>
      <ability>L2_HalfPunc_CN</ability>
      <abilityName>全半角问题</abilityName>
      <candidateList>
        <item>）</item>
      </candidateList>
      <explain>文本全半角错误。</explain>
      <paraID>61E2FE0E</paraID>
      <start>30</start>
      <end>31</end>
      <status>unmodified</status>
      <modifiedWord/>
      <trackRevisions>false</trackRevisions>
    </reviewItem>
    <reviewItem>
      <errorID>22516b7f-8167-449f-ac42-02e26602c370</errorID>
      <errorWord>)</errorWord>
      <group>L1_Format</group>
      <groupName>格式问题</groupName>
      <ability>L2_HalfPunc_CN</ability>
      <abilityName>全半角问题</abilityName>
      <candidateList>
        <item>）</item>
      </candidateList>
      <explain>文本全半角错误。</explain>
      <paraID>1479784B</paraID>
      <start>17</start>
      <end>18</end>
      <status>unmodified</status>
      <modifiedWord/>
      <trackRevisions>false</trackRevisions>
    </reviewItem>
    <reviewItem>
      <errorID>e72736fe-1587-48cd-a4f7-c51db8bbb7bf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6A20699D</paraID>
      <start>0</start>
      <end>2</end>
      <status>unmodified</status>
      <modifiedWord/>
      <trackRevisions>false</trackRevisions>
    </reviewItem>
    <reviewItem>
      <errorID>bda4b25f-9e82-469d-a1f1-8071b1ac2616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3D6678D0</paraID>
      <start>0</start>
      <end>2</end>
      <status>unmodified</status>
      <modifiedWord/>
      <trackRevisions>false</trackRevisions>
    </reviewItem>
    <reviewItem>
      <errorID>a659d057-4452-4939-982e-62aab33357a9</errorID>
      <errorWord>(</errorWord>
      <group>L1_Format</group>
      <groupName>格式问题</groupName>
      <ability>L2_HalfPunc_CN</ability>
      <abilityName>全半角问题</abilityName>
      <candidateList>
        <item>（</item>
      </candidateList>
      <explain>文本全半角错误。</explain>
      <paraID>420354A4</paraID>
      <start>5</start>
      <end>6</end>
      <status>unmodified</status>
      <modifiedWord/>
      <trackRevisions>false</trackRevisions>
    </reviewItem>
    <reviewItem>
      <errorID>63d9f649-3fc6-4ba1-a84e-e520e785507d</errorID>
      <errorWord>)</errorWord>
      <group>L1_Format</group>
      <groupName>格式问题</groupName>
      <ability>L2_HalfPunc_CN</ability>
      <abilityName>全半角问题</abilityName>
      <candidateList>
        <item>）</item>
      </candidateList>
      <explain>文本全半角错误。</explain>
      <paraID>420354A4</paraID>
      <start>7</start>
      <end>8</end>
      <status>unmodified</status>
      <modifiedWord/>
      <trackRevisions>false</trackRevisions>
    </reviewItem>
    <reviewItem>
      <errorID>eddf2e13-3f13-4306-9e28-74f387c843d2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3600070B</paraID>
      <start>0</start>
      <end>2</end>
      <status>unmodified</status>
      <modifiedWord/>
      <trackRevisions>false</trackRevisions>
    </reviewItem>
    <reviewItem>
      <errorID>81eeb0ba-94b9-4037-9dc0-9e7eb3ff8f4b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1474CB32</paraID>
      <start>124</start>
      <end>125</end>
      <status>unmodified</status>
      <modifiedWord/>
      <trackRevisions>false</trackRevisions>
    </reviewItem>
    <reviewItem>
      <errorID>fb750428-2a9b-494d-aafc-293f28868a6b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1474CB32</paraID>
      <start>163</start>
      <end>164</end>
      <status>unmodified</status>
      <modifiedWord/>
      <trackRevisions>false</trackRevisions>
    </reviewItem>
    <reviewItem>
      <errorID>7310d7b0-958d-4a59-b7a6-a04213e07ff3</errorID>
      <errorWord>，，</errorWord>
      <group>L1_Punc</group>
      <groupName>标点问题</groupName>
      <ability>L2_Punc_CN</ability>
      <abilityName>标点符号问题</abilityName>
      <candidateList>
        <item>，</item>
      </candidateList>
      <explain/>
      <paraID>34139460</paraID>
      <start>36</start>
      <end>38</end>
      <status>unmodified</status>
      <modifiedWord/>
      <trackRevisions>false</trackRevisions>
    </reviewItem>
    <reviewItem>
      <errorID>f195023d-5aaa-4581-9965-1d2dcafd271a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6A6D5E1</paraID>
      <start>0</start>
      <end>2</end>
      <status>unmodified</status>
      <modifiedWord/>
      <trackRevisions>false</trackRevisions>
    </reviewItem>
    <reviewItem>
      <errorID>a86be7ba-77dc-43d8-9b81-eda7e9c6f7a7</errorID>
      <errorWord>，...，</errorWord>
      <group>L1_Punc</group>
      <groupName>标点问题</groupName>
      <ability>L2_Punc_CN</ability>
      <abilityName>标点符号问题</abilityName>
      <candidateList>
        <item>，</item>
      </candidateList>
      <explain/>
      <paraID>646C12B9</paraID>
      <start>8</start>
      <end>13</end>
      <status>unmodified</status>
      <modifiedWord/>
      <trackRevisions>false</trackRevisions>
    </reviewItem>
    <reviewItem>
      <errorID>4a3d92fe-930c-41ae-9851-5c9fe950d54f</errorID>
      <errorWord>，...，</errorWord>
      <group>L1_Punc</group>
      <groupName>标点问题</groupName>
      <ability>L2_Punc_CN</ability>
      <abilityName>标点符号问题</abilityName>
      <candidateList>
        <item>，</item>
      </candidateList>
      <explain/>
      <paraID>34A802A1</paraID>
      <start>5</start>
      <end>10</end>
      <status>unmodified</status>
      <modifiedWord/>
      <trackRevisions>false</trackRevisions>
    </reviewItem>
    <reviewItem>
      <errorID>0cff891d-25fc-42b3-8386-0744d1bf045d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32A3B7E3</paraID>
      <start>0</start>
      <end>2</end>
      <status>unmodified</status>
      <modifiedWord/>
      <trackRevisions>false</trackRevisions>
    </reviewItem>
    <reviewItem>
      <errorID>7a3d4eac-d78b-4d93-9df6-9809bb78e6c5</errorID>
      <errorWord>（</errorWord>
      <group>L1_Format</group>
      <groupName>格式问题</groupName>
      <ability>L2_HalfPunc_CN</ability>
      <abilityName>全半角问题</abilityName>
      <candidateList>
        <item>(</item>
      </candidateList>
      <explain>文本全半角错误。</explain>
      <paraID>76EB0463</paraID>
      <start>3</start>
      <end>4</end>
      <status>unmodified</status>
      <modifiedWord/>
      <trackRevisions>false</trackRevisions>
    </reviewItem>
    <reviewItem>
      <errorID>08b65ba8-db17-493a-94ed-91f54bf2bb9f</errorID>
      <errorWord>）</errorWord>
      <group>L1_Format</group>
      <groupName>格式问题</groupName>
      <ability>L2_HalfPunc_CN</ability>
      <abilityName>全半角问题</abilityName>
      <candidateList>
        <item>)</item>
      </candidateList>
      <explain>文本全半角错误。</explain>
      <paraID>76EB0463</paraID>
      <start>5</start>
      <end>6</end>
      <status>unmodified</status>
      <modifiedWord/>
      <trackRevisions>false</trackRevisions>
    </reviewItem>
    <reviewItem>
      <errorID>6500bf9e-ee41-4342-8473-e4821c4a9d7b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145C70DC</paraID>
      <start>0</start>
      <end>2</end>
      <status>unmodified</status>
      <modifiedWord/>
      <trackRevisions>false</trackRevisions>
    </reviewItem>
    <reviewItem>
      <errorID>46d7a377-7bb4-4fc4-a128-6b60fe8af53a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51D05D44</paraID>
      <start>0</start>
      <end>2</end>
      <status>unmodified</status>
      <modifiedWord/>
      <trackRevisions>false</trackRevisions>
    </reviewItem>
    <reviewItem>
      <errorID>ecd5d0bf-13f4-4726-94a1-d5e328539dcc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3E1961FC</paraID>
      <start>0</start>
      <end>2</end>
      <status>unmodified</status>
      <modifiedWord/>
      <trackRevisions>false</trackRevisions>
    </reviewItem>
    <reviewItem>
      <errorID>280a6786-ed7f-43d3-a3af-2091190f73e7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F206A8F</paraID>
      <start>0</start>
      <end>2</end>
      <status>unmodified</status>
      <modifiedWord/>
      <trackRevisions>false</trackRevisions>
    </reviewItem>
    <reviewItem>
      <errorID>31966187-06a4-4dc9-9130-e4b38a259026</errorID>
      <errorWord>(</errorWord>
      <group>L1_Format</group>
      <groupName>格式问题</groupName>
      <ability>L2_HalfPunc_CN</ability>
      <abilityName>全半角问题</abilityName>
      <candidateList>
        <item>（</item>
      </candidateList>
      <explain>文本全半角错误。</explain>
      <paraID>5DE85DC0</paraID>
      <start>17</start>
      <end>18</end>
      <status>unmodified</status>
      <modifiedWord/>
      <trackRevisions>false</trackRevisions>
    </reviewItem>
    <reviewItem>
      <errorID>6468731d-faeb-4747-9d4f-544eb9b1deed</errorID>
      <errorWord>)</errorWord>
      <group>L1_Format</group>
      <groupName>格式问题</groupName>
      <ability>L2_HalfPunc_CN</ability>
      <abilityName>全半角问题</abilityName>
      <candidateList>
        <item>）</item>
      </candidateList>
      <explain>文本全半角错误。</explain>
      <paraID>5DE85DC0</paraID>
      <start>28</start>
      <end>29</end>
      <status>unmodified</status>
      <modifiedWord/>
      <trackRevisions>false</trackRevisions>
    </reviewItem>
    <reviewItem>
      <errorID>22294bd7-e21c-43ac-94a5-8b34f158a1e3</errorID>
      <errorWord>-</errorWord>
      <group>L1_Format</group>
      <groupName>格式问题</groupName>
      <ability>L2_HalfPunc_CN</ability>
      <abilityName>全半角问题</abilityName>
      <candidateList>
        <item>－</item>
      </candidateList>
      <explain>文本全半角错误。</explain>
      <paraID>28CD8AD2</paraID>
      <start>13</start>
      <end>14</end>
      <status>unmodified</status>
      <modifiedWord/>
      <trackRevisions>false</trackRevisions>
    </reviewItem>
    <reviewItem>
      <errorID>79b6db31-6e9e-42ff-ae0d-a50808a86a4f</errorID>
      <errorWord>(</errorWord>
      <group>L1_Format</group>
      <groupName>格式问题</groupName>
      <ability>L2_HalfPunc_CN</ability>
      <abilityName>全半角问题</abilityName>
      <candidateList>
        <item>（</item>
      </candidateList>
      <explain>文本全半角错误。</explain>
      <paraID>501AE1A2</paraID>
      <start>12</start>
      <end>13</end>
      <status>unmodified</status>
      <modifiedWord/>
      <trackRevisions>false</trackRevisions>
    </reviewItem>
    <reviewItem>
      <errorID>0f36de9a-15f8-4847-9a22-3afda7c8dd6b</errorID>
      <errorWord>)</errorWord>
      <group>L1_Format</group>
      <groupName>格式问题</groupName>
      <ability>L2_HalfPunc_CN</ability>
      <abilityName>全半角问题</abilityName>
      <candidateList>
        <item>）</item>
      </candidateList>
      <explain>文本全半角错误。</explain>
      <paraID>501AE1A2</paraID>
      <start>24</start>
      <end>25</end>
      <status>unmodified</status>
      <modifiedWord/>
      <trackRevisions>false</trackRevisions>
    </reviewItem>
    <reviewItem>
      <errorID>c6158e10-e534-4d52-a7c1-f77a1e7b405a</errorID>
      <errorWord>其它</errorWord>
      <group>L1_Word</group>
      <groupName>字词问题</groupName>
      <ability>L2_Alias</ability>
      <abilityName>也作/曾用词</abilityName>
      <candidateList>
        <item>其他</item>
      </candidateList>
      <explain>词汇[其它]为不规范表述或旧称，其规范书面表述为[其他]。</explain>
      <paraID>3697B8E3</paraID>
      <start>7</start>
      <end>9</end>
      <status>unmodified</status>
      <modifiedWord/>
      <trackRevisions>false</trackRevisions>
    </reviewItem>
    <reviewItem>
      <errorID>66a29cba-cd0e-4b62-8024-ad6ab9c046a1</errorID>
      <errorWord>)</errorWord>
      <group>L1_Format</group>
      <groupName>格式问题</groupName>
      <ability>L2_HalfPunc_CN</ability>
      <abilityName>全半角问题</abilityName>
      <candidateList>
        <item>）</item>
      </candidateList>
      <explain>文本全半角错误。</explain>
      <paraID> 2A89C19</paraID>
      <start>30</start>
      <end>31</end>
      <status>unmodified</status>
      <modifiedWord/>
      <trackRevisions>false</trackRevisions>
    </reviewItem>
    <reviewItem>
      <errorID>3f53ff2d-54e3-4e4a-946d-d42a6b1951e9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2A89C19</paraID>
      <start>65</start>
      <end>66</end>
      <status>unmodified</status>
      <modifiedWord/>
      <trackRevisions>false</trackRevisions>
    </reviewItem>
    <reviewItem>
      <errorID>a3b68794-ad71-4a30-ba81-756698fef9d1</errorID>
      <errorWord>法律、法规</errorWord>
      <group>L1_Word</group>
      <groupName>字词问题</groupName>
      <ability>L2_Typo</ability>
      <abilityName>字词错误</abilityName>
      <candidateList>
        <item>法律法规</item>
      </candidateList>
      <explain/>
      <paraID>5B78F359</paraID>
      <start>21</start>
      <end>26</end>
      <status>unmodified</status>
      <modifiedWord/>
      <trackRevisions>false</trackRevisions>
    </reviewItem>
    <reviewItem>
      <errorID>6ea18289-b28a-43e4-83dc-5789dbbc4102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58E9EB81</paraID>
      <start>0</start>
      <end>2</end>
      <status>unmodified</status>
      <modifiedWord/>
      <trackRevisions>false</trackRevisions>
    </reviewItem>
    <reviewItem>
      <errorID>213b0f8e-4d25-4d84-9f02-5da441135e5f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66F2FCFE</paraID>
      <start>0</start>
      <end>2</end>
      <status>unmodified</status>
      <modifiedWord/>
      <trackRevisions>false</trackRevisions>
    </reviewItem>
    <reviewItem>
      <errorID>9320f310-57e0-4241-9ee6-e7bd74ede005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13A76BE4</paraID>
      <start>0</start>
      <end>2</end>
      <status>unmodified</status>
      <modifiedWord/>
      <trackRevisions>false</trackRevisions>
    </reviewItem>
    <reviewItem>
      <errorID>7c6bfb68-b102-452a-948d-629804dd8a37</errorID>
      <errorWord>（</errorWord>
      <group>L1_Format</group>
      <groupName>格式问题</groupName>
      <ability>L2_HalfPunc_CN</ability>
      <abilityName>全半角问题</abilityName>
      <candidateList>
        <item>(</item>
      </candidateList>
      <explain>文本全半角错误。</explain>
      <paraID>3560523F</paraID>
      <start>4</start>
      <end>5</end>
      <status>unmodified</status>
      <modifiedWord/>
      <trackRevisions>false</trackRevisions>
    </reviewItem>
    <reviewItem>
      <errorID>b5625326-358f-4ebe-a12b-0c0e4f818d5f</errorID>
      <errorWord>）</errorWord>
      <group>L1_Format</group>
      <groupName>格式问题</groupName>
      <ability>L2_HalfPunc_CN</ability>
      <abilityName>全半角问题</abilityName>
      <candidateList>
        <item>)</item>
      </candidateList>
      <explain>文本全半角错误。</explain>
      <paraID>3560523F</paraID>
      <start>8</start>
      <end>9</end>
      <status>unmodified</status>
      <modifiedWord/>
      <trackRevisions>false</trackRevisions>
    </reviewItem>
    <reviewItem>
      <errorID>00788617-12e5-49e0-b756-b235cc8eee76</errorID>
      <errorWord>（</errorWord>
      <group>L1_Format</group>
      <groupName>格式问题</groupName>
      <ability>L2_HalfPunc_CN</ability>
      <abilityName>全半角问题</abilityName>
      <candidateList>
        <item>(</item>
      </candidateList>
      <explain>文本全半角错误。</explain>
      <paraID> 30289DB</paraID>
      <start>4</start>
      <end>5</end>
      <status>unmodified</status>
      <modifiedWord/>
      <trackRevisions>false</trackRevisions>
    </reviewItem>
    <reviewItem>
      <errorID>5a00ffaa-a4b9-46d2-998e-3ac96e61cd1e</errorID>
      <errorWord>）</errorWord>
      <group>L1_Format</group>
      <groupName>格式问题</groupName>
      <ability>L2_HalfPunc_CN</ability>
      <abilityName>全半角问题</abilityName>
      <candidateList>
        <item>)</item>
      </candidateList>
      <explain>文本全半角错误。</explain>
      <paraID> 30289DB</paraID>
      <start>8</start>
      <end>9</end>
      <status>unmodified</status>
      <modifiedWord/>
      <trackRevisions>false</trackRevisions>
    </reviewItem>
    <reviewItem>
      <errorID>4b6ff7e3-fd65-4f85-85bf-9e56691d416a</errorID>
      <errorWord>（</errorWord>
      <group>L1_Format</group>
      <groupName>格式问题</groupName>
      <ability>L2_HalfPunc_CN</ability>
      <abilityName>全半角问题</abilityName>
      <candidateList>
        <item>(</item>
      </candidateList>
      <explain>文本全半角错误。</explain>
      <paraID>308BDB67</paraID>
      <start>3</start>
      <end>4</end>
      <status>unmodified</status>
      <modifiedWord/>
      <trackRevisions>false</trackRevisions>
    </reviewItem>
    <reviewItem>
      <errorID>a8d39b87-7296-4f9a-a429-ebcdb68f5210</errorID>
      <errorWord>）</errorWord>
      <group>L1_Format</group>
      <groupName>格式问题</groupName>
      <ability>L2_HalfPunc_CN</ability>
      <abilityName>全半角问题</abilityName>
      <candidateList>
        <item>)</item>
      </candidateList>
      <explain>文本全半角错误。</explain>
      <paraID>308BDB67</paraID>
      <start>7</start>
      <end>8</end>
      <status>unmodified</status>
      <modifiedWord/>
      <trackRevisions>false</trackRevisions>
    </reviewItem>
    <reviewItem>
      <errorID>18e45c2c-4703-4792-b912-db7dbebef5fa</errorID>
      <errorWord>（</errorWord>
      <group>L1_Format</group>
      <groupName>格式问题</groupName>
      <ability>L2_HalfPunc_CN</ability>
      <abilityName>全半角问题</abilityName>
      <candidateList>
        <item>(</item>
      </candidateList>
      <explain>文本全半角错误。</explain>
      <paraID>2CC8046D</paraID>
      <start>0</start>
      <end>1</end>
      <status>unmodified</status>
      <modifiedWord/>
      <trackRevisions>false</trackRevisions>
    </reviewItem>
    <reviewItem>
      <errorID>431d22ca-0943-41ba-8508-57a64b6e2052</errorID>
      <errorWord>）</errorWord>
      <group>L1_Format</group>
      <groupName>格式问题</groupName>
      <ability>L2_HalfPunc_CN</ability>
      <abilityName>全半角问题</abilityName>
      <candidateList>
        <item>)</item>
      </candidateList>
      <explain>文本全半角错误。</explain>
      <paraID>2CC8046D</paraID>
      <start>6</start>
      <end>7</end>
      <status>unmodified</status>
      <modifiedWord/>
      <trackRevisions>false</trackRevisions>
    </reviewItem>
    <reviewItem>
      <errorID>729e5443-65dd-4e15-a913-630f1011b54d</errorID>
      <errorWord>（</errorWord>
      <group>L1_Format</group>
      <groupName>格式问题</groupName>
      <ability>L2_HalfPunc_CN</ability>
      <abilityName>全半角问题</abilityName>
      <candidateList>
        <item>(</item>
      </candidateList>
      <explain>文本全半角错误。</explain>
      <paraID>582E7A0B</paraID>
      <start>0</start>
      <end>1</end>
      <status>unmodified</status>
      <modifiedWord/>
      <trackRevisions>false</trackRevisions>
    </reviewItem>
    <reviewItem>
      <errorID>2e638630-ddd8-4b40-bc4b-b1ce43da5f37</errorID>
      <errorWord>）</errorWord>
      <group>L1_Format</group>
      <groupName>格式问题</groupName>
      <ability>L2_HalfPunc_CN</ability>
      <abilityName>全半角问题</abilityName>
      <candidateList>
        <item>)</item>
      </candidateList>
      <explain>文本全半角错误。</explain>
      <paraID>582E7A0B</paraID>
      <start>6</start>
      <end>7</end>
      <status>unmodified</status>
      <modifiedWord/>
      <trackRevisions>false</trackRevisions>
    </reviewItem>
    <reviewItem>
      <errorID>db5c3631-1f6f-4da8-9ed2-e692c7fec3dc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588FD848</paraID>
      <start>225</start>
      <end>226</end>
      <status>unmodified</status>
      <modifiedWord/>
      <trackRevisions>false</trackRevisions>
    </reviewItem>
    <reviewItem>
      <errorID>556310e3-4f14-4d8e-8d65-d1830db12284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588FD848</paraID>
      <start>294</start>
      <end>295</end>
      <status>unmodified</status>
      <modifiedWord/>
      <trackRevisions>false</trackRevisions>
    </reviewItem>
    <reviewItem>
      <errorID>6fb1b00d-56c1-4b5b-b2d4-797dd28cd878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588FD848</paraID>
      <start>357</start>
      <end>358</end>
      <status>unmodified</status>
      <modifiedWord/>
      <trackRevisions>false</trackRevisions>
    </reviewItem>
    <reviewItem>
      <errorID>16fd780b-0943-4c20-b296-6d13d5319f16</errorID>
      <errorWord>-</errorWord>
      <group>L1_Format</group>
      <groupName>格式问题</groupName>
      <ability>L2_HalfPunc_CN</ability>
      <abilityName>全半角问题</abilityName>
      <candidateList>
        <item>－</item>
      </candidateList>
      <explain>文本全半角错误。</explain>
      <paraID> 130BEB1</paraID>
      <start>103</start>
      <end>104</end>
      <status>unmodified</status>
      <modifiedWord/>
      <trackRevisions>false</trackRevisions>
    </reviewItem>
    <reviewItem>
      <errorID>7d22d674-5c27-4eb4-b7ff-53917e75df23</errorID>
      <errorWord>~</errorWord>
      <group>L1_Format</group>
      <groupName>格式问题</groupName>
      <ability>L2_HalfPunc_CN</ability>
      <abilityName>全半角问题</abilityName>
      <candidateList>
        <item>～</item>
      </candidateList>
      <explain>文本全半角错误。</explain>
      <paraID>6C4AE747</paraID>
      <start>56</start>
      <end>57</end>
      <status>unmodified</status>
      <modifiedWord/>
      <trackRevisions>false</trackRevisions>
    </reviewItem>
    <reviewItem>
      <errorID>099e4eb2-bad9-4876-847c-e13969f7ecf2</errorID>
      <errorWord>及</errorWord>
      <group>L1_Word</group>
      <groupName>字词问题</groupName>
      <ability>L2_Typo</ability>
      <abilityName>字词错误</abilityName>
      <candidateList>
        <item>即</item>
      </candidateList>
      <explain>存在发音相同字词的误用。</explain>
      <paraID>5A21AF2B</paraID>
      <start>60</start>
      <end>61</end>
      <status>unmodified</status>
      <modifiedWord/>
      <trackRevisions>false</trackRevisions>
    </reviewItem>
    <reviewItem>
      <errorID>fcb6f12b-6c10-409f-bcd3-ef8cdb31ce2d</errorID>
      <errorWord>粘结剂</errorWord>
      <group>L1_Word</group>
      <groupName>字词问题</groupName>
      <ability>L2_Typo</ability>
      <abilityName>字词错误</abilityName>
      <candidateList>
        <item>黏结剂</item>
      </candidateList>
      <explain/>
      <paraID>60C2DA12</paraID>
      <start>11</start>
      <end>14</end>
      <status>unmodified</status>
      <modifiedWord/>
      <trackRevisions>false</trackRevisions>
    </reviewItem>
    <reviewItem>
      <errorID>2e31b842-92c8-4dc4-8bdb-ed1d0eea461d</errorID>
      <errorWord>粘结</errorWord>
      <group>L1_Word</group>
      <groupName>字词问题</groupName>
      <ability>L2_Typo</ability>
      <abilityName>字词错误</abilityName>
      <candidateList>
        <item>黏结</item>
      </candidateList>
      <explain>存在发音相同字词的误用。</explain>
      <paraID>60C2DA12</paraID>
      <start>23</start>
      <end>25</end>
      <status>unmodified</status>
      <modifiedWord/>
      <trackRevisions>false</trackRevisions>
    </reviewItem>
    <reviewItem>
      <errorID>e788ec40-4aff-4e5b-acd7-45959aef8cee</errorID>
      <errorWord>87~90%</errorWord>
      <group>L1_Knowledge</group>
      <groupName>知识性问题</groupName>
      <ability>L2_Knowledge</ability>
      <abilityName>其他知识</abilityName>
      <candidateList>
        <item>87%～90%</item>
      </candidateList>
      <explain>1. “87~90%”中的单位“%”仅出现在后一个数字上，容易引起歧义；根据《现代汉语标点符号数字用法规范手册》，数字表示范围两边需要使用统一的格式。2. 根据标点国标 4.13 中的规则，数字、时间或地域连接符应使用（视觉上更长的）“—”或“～”。</explain>
      <paraID>6AAE7771</paraID>
      <start>17</start>
      <end>23</end>
      <status>unmodified</status>
      <modifiedWord/>
      <trackRevisions>false</trackRevisions>
    </reviewItem>
    <reviewItem>
      <errorID>ee4ee4a2-2dae-4403-9f0a-8f99b920a03e</errorID>
      <errorWord>0~3.5%</errorWord>
      <group>L1_Knowledge</group>
      <groupName>知识性问题</groupName>
      <ability>L2_Knowledge</ability>
      <abilityName>其他知识</abilityName>
      <candidateList>
        <item>0～3.5%</item>
      </candidateList>
      <explain>1. “0~3.5%”中的单位“%”仅出现在后一个数字上，容易引起歧义；根据《现代汉语标点符号数字用法规范手册》，数字表示范围两边需要使用统一的格式。2. 根据标点国标 4.13 中的规则，数字、时间或地域连接符应使用（视觉上更长的）“—”或“～”。</explain>
      <paraID>6AAE7771</paraID>
      <start>28</start>
      <end>34</end>
      <status>unmodified</status>
      <modifiedWord/>
      <trackRevisions>false</trackRevisions>
    </reviewItem>
    <reviewItem>
      <errorID>061c4f67-df9d-4b38-a4e1-bd25f1b2c169</errorID>
      <errorWord>9.5~10.5%</errorWord>
      <group>L1_Knowledge</group>
      <groupName>知识性问题</groupName>
      <ability>L2_Knowledge</ability>
      <abilityName>其他知识</abilityName>
      <candidateList>
        <item>9.5%～10.5%</item>
      </candidateList>
      <explain>1. “9.5~10.5%”中的单位“%”仅出现在后一个数字上，容易引起歧义；根据《现代汉语标点符号数字用法规范手册》，数字表示范围两边需要使用统一的格式。2. 根据标点国标 4.13 中的规则，数字、时间或地域连接符应使用（视觉上更长的）“—”或“～”。</explain>
      <paraID>6AAE7771</paraID>
      <start>61</start>
      <end>70</end>
      <status>unmodified</status>
      <modifiedWord/>
      <trackRevisions>false</trackRevisions>
    </reviewItem>
    <reviewItem>
      <errorID>cac098b8-dc63-4b40-bbf2-70ef39200c21</errorID>
      <errorWord>~</errorWord>
      <group>L1_Format</group>
      <groupName>格式问题</groupName>
      <ability>L2_HalfPunc_CN</ability>
      <abilityName>全半角问题</abilityName>
      <candidateList>
        <item>～</item>
      </candidateList>
      <explain>文本全半角错误。</explain>
      <paraID>104F9BA8</paraID>
      <start>56</start>
      <end>57</end>
      <status>unmodified</status>
      <modifiedWord/>
      <trackRevisions>false</trackRevisions>
    </reviewItem>
    <reviewItem>
      <errorID>41d9552c-c2f3-4709-aa28-b40779d947b9</errorID>
      <errorWord>及</errorWord>
      <group>L1_Word</group>
      <groupName>字词问题</groupName>
      <ability>L2_Typo</ability>
      <abilityName>字词错误</abilityName>
      <candidateList>
        <item>即</item>
      </candidateList>
      <explain>存在发音相同字词的误用。</explain>
      <paraID>381EFBAF</paraID>
      <start>60</start>
      <end>61</end>
      <status>unmodified</status>
      <modifiedWord/>
      <trackRevisions>false</trackRevisions>
    </reviewItem>
    <reviewItem>
      <errorID>1eead8de-82c5-4b31-bb4c-0ee5649e3211</errorID>
      <errorWord>(</errorWord>
      <group>L1_Format</group>
      <groupName>格式问题</groupName>
      <ability>L2_HalfPunc_CN</ability>
      <abilityName>全半角问题</abilityName>
      <candidateList>
        <item>（</item>
      </candidateList>
      <explain>文本全半角错误。</explain>
      <paraID>676F880B</paraID>
      <start>86</start>
      <end>87</end>
      <status>unmodified</status>
      <modifiedWord/>
      <trackRevisions>false</trackRevisions>
    </reviewItem>
    <reviewItem>
      <errorID>243b3011-bb94-434e-a21d-fa12eb5a83ed</errorID>
      <errorWord>)</errorWord>
      <group>L1_Format</group>
      <groupName>格式问题</groupName>
      <ability>L2_HalfPunc_CN</ability>
      <abilityName>全半角问题</abilityName>
      <candidateList>
        <item>）</item>
      </candidateList>
      <explain>文本全半角错误。</explain>
      <paraID>676F880B</paraID>
      <start>93</start>
      <end>94</end>
      <status>unmodified</status>
      <modifiedWord/>
      <trackRevisions>false</trackRevisions>
    </reviewItem>
    <reviewItem>
      <errorID>573604ae-d053-4aa3-8013-73067843356e</errorID>
      <errorWord>海拔高度</errorWord>
      <group>L1_Word</group>
      <groupName>字词问题</groupName>
      <ability>L2_Typo</ability>
      <abilityName>字词错误</abilityName>
      <candidateList>
        <item>海拔</item>
      </candidateList>
      <explain/>
      <paraID>7EF1650D</paraID>
      <start>5</start>
      <end>9</end>
      <status>unmodified</status>
      <modifiedWord/>
      <trackRevisions>false</trackRevisions>
    </reviewItem>
    <reviewItem>
      <errorID>0e73c3df-6f70-43cd-a707-0aecf6380571</errorID>
      <errorWord>海拔高度</errorWord>
      <group>L1_Word</group>
      <groupName>字词问题</groupName>
      <ability>L2_Typo</ability>
      <abilityName>字词错误</abilityName>
      <candidateList>
        <item>海拔</item>
      </candidateList>
      <explain/>
      <paraID> B725CE9</paraID>
      <start>2</start>
      <end>6</end>
      <status>unmodified</status>
      <modifiedWord/>
      <trackRevisions>false</trackRevisions>
    </reviewItem>
    <reviewItem>
      <errorID>993a43ed-7998-41d0-9fd9-b2875e89e99d</errorID>
      <errorWord>(</errorWord>
      <group>L1_Format</group>
      <groupName>格式问题</groupName>
      <ability>L2_HalfPunc_CN</ability>
      <abilityName>全半角问题</abilityName>
      <candidateList>
        <item>（</item>
      </candidateList>
      <explain>文本全半角错误。</explain>
      <paraID> B725CE9</paraID>
      <start>6</start>
      <end>7</end>
      <status>unmodified</status>
      <modifiedWord/>
      <trackRevisions>false</trackRevisions>
    </reviewItem>
    <reviewItem>
      <errorID>dc4dff96-d166-46a3-940d-670ca1c44612</errorID>
      <errorWord>)</errorWord>
      <group>L1_Format</group>
      <groupName>格式问题</groupName>
      <ability>L2_HalfPunc_CN</ability>
      <abilityName>全半角问题</abilityName>
      <candidateList>
        <item>）</item>
      </candidateList>
      <explain>文本全半角错误。</explain>
      <paraID> B725CE9</paraID>
      <start>8</start>
      <end>9</end>
      <status>unmodified</status>
      <modifiedWord/>
      <trackRevisions>false</trackRevisions>
    </reviewItem>
    <reviewItem>
      <errorID>b566cf8e-c292-4a86-8b7b-9a049ec4423d</errorID>
      <errorWord>/。</errorWord>
      <group>L1_Punc</group>
      <groupName>标点问题</groupName>
      <ability>L2_Punc_CN</ability>
      <abilityName>标点符号问题</abilityName>
      <candidateList>
        <item>/</item>
      </candidateList>
      <explain/>
      <paraID> BF233EA</paraID>
      <start>7</start>
      <end>9</end>
      <status>unmodified</status>
      <modifiedWord/>
      <trackRevisions>false</trackRevisions>
    </reviewItem>
    <reviewItem>
      <errorID>f45e16bf-7f60-49be-89a4-796b104267b8</errorID>
      <errorWord>/。</errorWord>
      <group>L1_Punc</group>
      <groupName>标点问题</groupName>
      <ability>L2_Punc_CN</ability>
      <abilityName>标点符号问题</abilityName>
      <candidateList>
        <item>/</item>
      </candidateList>
      <explain/>
      <paraID>58ABC99A</paraID>
      <start>4</start>
      <end>6</end>
      <status>unmodified</status>
      <modifiedWord/>
      <trackRevisions>false</trackRevisions>
    </reviewItem>
    <reviewItem>
      <errorID>188aa81e-9351-4455-bc65-9fa334fbec99</errorID>
      <errorWord>(</errorWord>
      <group>L1_Format</group>
      <groupName>格式问题</groupName>
      <ability>L2_HalfPunc_CN</ability>
      <abilityName>全半角问题</abilityName>
      <candidateList>
        <item>（</item>
      </candidateList>
      <explain>文本全半角错误。</explain>
      <paraID> 22C0340</paraID>
      <start>19</start>
      <end>20</end>
      <status>unmodified</status>
      <modifiedWord/>
      <trackRevisions>false</trackRevisions>
    </reviewItem>
    <reviewItem>
      <errorID>0d58b67a-0734-4269-af6c-5dfcce22e7c4</errorID>
      <errorWord>~</errorWord>
      <group>L1_Format</group>
      <groupName>格式问题</groupName>
      <ability>L2_HalfPunc_CN</ability>
      <abilityName>全半角问题</abilityName>
      <candidateList>
        <item>～</item>
      </candidateList>
      <explain>文本全半角错误。</explain>
      <paraID>531B71A9</paraID>
      <start>4</start>
      <end>5</end>
      <status>unmodified</status>
      <modifiedWord/>
      <trackRevisions>false</trackRevisions>
    </reviewItem>
    <reviewItem>
      <errorID>74fec30b-2ec3-4afd-9058-be8fe089c989</errorID>
      <errorWord>~</errorWord>
      <group>L1_Format</group>
      <groupName>格式问题</groupName>
      <ability>L2_HalfPunc_CN</ability>
      <abilityName>全半角问题</abilityName>
      <candidateList>
        <item>～</item>
      </candidateList>
      <explain>文本全半角错误。</explain>
      <paraID>3D505018</paraID>
      <start>3</start>
      <end>4</end>
      <status>unmodified</status>
      <modifiedWord/>
      <trackRevisions>false</trackRevisions>
    </reviewItem>
    <reviewItem>
      <errorID>38a4a65c-0283-4593-bbcd-1ae1992ccf99</errorID>
      <errorWord>~</errorWord>
      <group>L1_Format</group>
      <groupName>格式问题</groupName>
      <ability>L2_HalfPunc_CN</ability>
      <abilityName>全半角问题</abilityName>
      <candidateList>
        <item>～</item>
      </candidateList>
      <explain>文本全半角错误。</explain>
      <paraID>66672C66</paraID>
      <start>4</start>
      <end>5</end>
      <status>unmodified</status>
      <modifiedWord/>
      <trackRevisions>false</trackRevisions>
    </reviewItem>
    <reviewItem>
      <errorID>4ee8c43d-98e0-4aa2-b6af-ce6bf1a0f21b</errorID>
      <errorWord>:</errorWord>
      <group>L1_Format</group>
      <groupName>格式问题</groupName>
      <ability>L2_HalfPunc_CN</ability>
      <abilityName>全半角问题</abilityName>
      <candidateList>
        <item>：</item>
      </candidateList>
      <explain>文本全半角错误。</explain>
      <paraID>43165AB9</paraID>
      <start>3</start>
      <end>4</end>
      <status>unmodified</status>
      <modifiedWord/>
      <trackRevisions>false</trackRevisions>
    </reviewItem>
    <reviewItem>
      <errorID>0fda2ea2-fe13-4a24-86ff-fa0523e17e39</errorID>
      <errorWord>（</errorWord>
      <group>L1_Format</group>
      <groupName>格式问题</groupName>
      <ability>L2_HalfPunc_CN</ability>
      <abilityName>全半角问题</abilityName>
      <candidateList>
        <item>(</item>
      </candidateList>
      <explain>文本全半角错误。</explain>
      <paraID>70110B3A</paraID>
      <start>5</start>
      <end>6</end>
      <status>unmodified</status>
      <modifiedWord/>
      <trackRevisions>false</trackRevisions>
    </reviewItem>
    <reviewItem>
      <errorID>2b3ede2d-635f-41fc-acc0-4b9eba604a1f</errorID>
      <errorWord>）</errorWord>
      <group>L1_Format</group>
      <groupName>格式问题</groupName>
      <ability>L2_HalfPunc_CN</ability>
      <abilityName>全半角问题</abilityName>
      <candidateList>
        <item>)</item>
      </candidateList>
      <explain>文本全半角错误。</explain>
      <paraID>70110B3A</paraID>
      <start>12</start>
      <end>13</end>
      <status>unmodified</status>
      <modifiedWord/>
      <trackRevisions>false</trackRevisions>
    </reviewItem>
    <reviewItem>
      <errorID>2f5b487e-c065-4aea-909e-c68e753dbba5</errorID>
      <errorWord>可行性</errorWord>
      <group>L1_Word</group>
      <groupName>字词问题</groupName>
      <ability>L2_Typo</ability>
      <abilityName>字词错误</abilityName>
      <candidateList>
        <item>可行</item>
      </candidateList>
      <explain/>
      <paraID>4BFC954F</paraID>
      <start>83</start>
      <end>86</end>
      <status>unmodified</status>
      <modifiedWord/>
      <trackRevisions>false</trackRevisions>
    </reviewItem>
    <reviewItem>
      <errorID>d0edcfec-9b14-4807-98ea-d084d58f6e1f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7402AD47</paraID>
      <start>0</start>
      <end>2</end>
      <status>unmodified</status>
      <modifiedWord/>
      <trackRevisions>false</trackRevisions>
    </reviewItem>
    <reviewItem>
      <errorID>d7819cba-8968-4f05-8ff2-249d5623eee7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24809280</paraID>
      <start>0</start>
      <end>2</end>
      <status>unmodified</status>
      <modifiedWord/>
      <trackRevisions>false</trackRevisions>
    </reviewItem>
    <reviewItem>
      <errorID>31164a41-dc02-42ce-b328-2e3bead3f4c7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33122658</paraID>
      <start>0</start>
      <end>2</end>
      <status>unmodified</status>
      <modifiedWord/>
      <trackRevisions>false</trackRevisions>
    </reviewItem>
    <reviewItem>
      <errorID>a7c5c1ac-5832-4634-a100-20a7ae98952e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63AC127C</paraID>
      <start>0</start>
      <end>2</end>
      <status>unmodified</status>
      <modifiedWord/>
      <trackRevisions>false</trackRevisions>
    </reviewItem>
    <reviewItem>
      <errorID>b5259347-dd88-46ad-920b-058f4b28e3be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A72FEC8</paraID>
      <start>0</start>
      <end>2</end>
      <status>unmodified</status>
      <modifiedWord/>
      <trackRevisions>false</trackRevisions>
    </reviewItem>
    <reviewItem>
      <errorID>8a6f36af-0879-4976-a5b2-2d67f6ce1c6e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B45AF68</paraID>
      <start>0</start>
      <end>2</end>
      <status>unmodified</status>
      <modifiedWord/>
      <trackRevisions>false</trackRevisions>
    </reviewItem>
    <reviewItem>
      <errorID>23b2c9c3-b0f0-41f9-b21d-81477e700ada</errorID>
      <errorWord>的</errorWord>
      <group>L1_Word</group>
      <groupName>字词问题</groupName>
      <ability>L2_DDD</ability>
      <abilityName>的地得用法</abilityName>
      <candidateList>
        <item>地</item>
      </candidateList>
      <explain/>
      <paraID> B45AF68</paraID>
      <start>28</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e8b592-9811-4518-b3c3-279b1449ca3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86</Pages>
  <Words>17263</Words>
  <Characters>18872</Characters>
  <Lines>369</Lines>
  <Paragraphs>103</Paragraphs>
  <TotalTime>6</TotalTime>
  <ScaleCrop>false</ScaleCrop>
  <LinksUpToDate>false</LinksUpToDate>
  <CharactersWithSpaces>18989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2022-08-01T10:03:00Z</dcterms:created>
  <dc:creator>lhj</dc:creator>
  <cp:lastModifiedBy>C</cp:lastModifiedBy>
  <cp:lastPrinted>2024-01-22T02:00:00Z</cp:lastPrinted>
  <dcterms:modified xsi:type="dcterms:W3CDTF">2026-10-19T07:56:43Z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693FC437C7AE4F40B36957829F223A69_13</vt:lpwstr>
  </property>
  <property fmtid="{D5CDD505-2E9C-101B-9397-08002B2CF9AE}" pid="4" name="KSOTemplateDocerSaveRecord">
    <vt:lpwstr>eyJoZGlkIjoiNTFkMGI2MzNkYTEzM2I3ODdmZTkzZDY2NGJjNWE2ZDUiLCJ1c2VySWQiOiIyMzgyOTA3MiJ9</vt:lpwstr>
  </property>
</Properties>
</file>