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2687B">
      <w:pPr>
        <w:rPr>
          <w:rFonts w:ascii="Times New Roman" w:hAnsi="Times New Roman" w:eastAsia="仿宋_GB2312"/>
          <w:sz w:val="36"/>
          <w:szCs w:val="36"/>
        </w:rPr>
      </w:pPr>
      <w:bookmarkStart w:id="0" w:name="_Hlk57883707"/>
    </w:p>
    <w:p w14:paraId="6533A583">
      <w:pPr>
        <w:pStyle w:val="31"/>
        <w:rPr>
          <w:color w:val="auto"/>
        </w:rPr>
      </w:pPr>
    </w:p>
    <w:p w14:paraId="7701567B">
      <w:pPr>
        <w:pStyle w:val="31"/>
        <w:rPr>
          <w:color w:val="auto"/>
        </w:rPr>
      </w:pPr>
    </w:p>
    <w:bookmarkEnd w:id="0"/>
    <w:p w14:paraId="049BB211">
      <w:pPr>
        <w:adjustRightInd w:val="0"/>
        <w:snapToGrid w:val="0"/>
        <w:jc w:val="center"/>
        <w:outlineLvl w:val="0"/>
        <w:rPr>
          <w:rFonts w:ascii="Times New Roman" w:hAnsi="宋体"/>
          <w:bCs/>
          <w:color w:val="000000" w:themeColor="text1"/>
          <w:sz w:val="52"/>
          <w:szCs w:val="52"/>
          <w:highlight w:val="none"/>
        </w:rPr>
      </w:pPr>
      <w:bookmarkStart w:id="1" w:name="_Toc8351"/>
      <w:r>
        <w:rPr>
          <w:rFonts w:ascii="Times New Roman" w:hAnsi="宋体"/>
          <w:bCs/>
          <w:color w:val="000000" w:themeColor="text1"/>
          <w:sz w:val="52"/>
          <w:szCs w:val="52"/>
          <w:highlight w:val="none"/>
        </w:rPr>
        <w:t>建设项目</w:t>
      </w:r>
      <w:r>
        <w:rPr>
          <w:rFonts w:hint="eastAsia" w:ascii="Times New Roman" w:hAnsi="宋体"/>
          <w:bCs/>
          <w:color w:val="000000" w:themeColor="text1"/>
          <w:sz w:val="52"/>
          <w:szCs w:val="52"/>
          <w:highlight w:val="none"/>
          <w:lang w:val="en-US" w:eastAsia="zh-CN"/>
        </w:rPr>
        <w:t>生态</w:t>
      </w:r>
      <w:r>
        <w:rPr>
          <w:rFonts w:ascii="Times New Roman" w:hAnsi="宋体"/>
          <w:bCs/>
          <w:color w:val="000000" w:themeColor="text1"/>
          <w:sz w:val="52"/>
          <w:szCs w:val="52"/>
          <w:highlight w:val="none"/>
        </w:rPr>
        <w:t>环境影响报告表</w:t>
      </w:r>
      <w:bookmarkEnd w:id="1"/>
    </w:p>
    <w:p w14:paraId="5104562E">
      <w:pPr>
        <w:keepNext w:val="0"/>
        <w:keepLines w:val="0"/>
        <w:pageBreakBefore w:val="0"/>
        <w:widowControl w:val="0"/>
        <w:kinsoku/>
        <w:wordWrap/>
        <w:overflowPunct/>
        <w:topLinePunct w:val="0"/>
        <w:autoSpaceDE/>
        <w:autoSpaceDN/>
        <w:bidi w:val="0"/>
        <w:adjustRightInd w:val="0"/>
        <w:snapToGrid w:val="0"/>
        <w:spacing w:line="279" w:lineRule="auto"/>
        <w:jc w:val="center"/>
        <w:textAlignment w:val="auto"/>
        <w:outlineLvl w:val="9"/>
        <w:rPr>
          <w:rFonts w:ascii="Times New Roman" w:hAnsi="Times New Roman"/>
          <w:bCs/>
          <w:color w:val="000000" w:themeColor="text1"/>
          <w:sz w:val="44"/>
          <w:szCs w:val="44"/>
          <w:highlight w:val="none"/>
        </w:rPr>
      </w:pPr>
      <w:r>
        <w:rPr>
          <w:rFonts w:ascii="Times New Roman" w:hAnsi="宋体"/>
          <w:bCs/>
          <w:color w:val="000000" w:themeColor="text1"/>
          <w:sz w:val="44"/>
          <w:szCs w:val="44"/>
          <w:highlight w:val="none"/>
        </w:rPr>
        <w:t>（生态影响类）</w:t>
      </w:r>
    </w:p>
    <w:p w14:paraId="5F60F1C7">
      <w:pPr>
        <w:jc w:val="center"/>
        <w:rPr>
          <w:color w:val="000000" w:themeColor="text1"/>
          <w:highlight w:val="none"/>
        </w:rPr>
      </w:pPr>
      <w:bookmarkStart w:id="2" w:name="_Hlk57883728"/>
    </w:p>
    <w:p w14:paraId="1F40DBBB">
      <w:pPr>
        <w:jc w:val="center"/>
        <w:rPr>
          <w:rFonts w:ascii="Times New Roman" w:hAnsi="Times New Roman" w:eastAsia="仿宋"/>
          <w:color w:val="000000" w:themeColor="text1"/>
          <w:sz w:val="52"/>
          <w:szCs w:val="52"/>
          <w:highlight w:val="none"/>
        </w:rPr>
      </w:pPr>
    </w:p>
    <w:p w14:paraId="2546E97F">
      <w:pPr>
        <w:jc w:val="center"/>
        <w:rPr>
          <w:rFonts w:ascii="Times New Roman" w:hAnsi="Times New Roman" w:eastAsia="仿宋"/>
          <w:color w:val="000000" w:themeColor="text1"/>
          <w:sz w:val="52"/>
          <w:szCs w:val="52"/>
          <w:highlight w:val="none"/>
        </w:rPr>
      </w:pPr>
    </w:p>
    <w:p w14:paraId="54C521DC">
      <w:pPr>
        <w:jc w:val="center"/>
        <w:rPr>
          <w:rFonts w:ascii="Times New Roman" w:hAnsi="Times New Roman" w:eastAsia="仿宋"/>
          <w:color w:val="000000" w:themeColor="text1"/>
          <w:sz w:val="52"/>
          <w:szCs w:val="52"/>
          <w:highlight w:val="none"/>
        </w:rPr>
      </w:pPr>
    </w:p>
    <w:p w14:paraId="5E821DDB">
      <w:pPr>
        <w:ind w:firstLine="1040"/>
        <w:rPr>
          <w:rFonts w:ascii="Times New Roman" w:hAnsi="Times New Roman" w:eastAsia="仿宋"/>
          <w:color w:val="000000" w:themeColor="text1"/>
          <w:sz w:val="44"/>
          <w:szCs w:val="44"/>
          <w:highlight w:val="none"/>
        </w:rPr>
      </w:pPr>
    </w:p>
    <w:p w14:paraId="658BA0FA">
      <w:pPr>
        <w:ind w:firstLine="1040"/>
        <w:rPr>
          <w:rFonts w:ascii="Times New Roman" w:hAnsi="Times New Roman" w:eastAsia="仿宋"/>
          <w:color w:val="000000" w:themeColor="text1"/>
          <w:sz w:val="44"/>
          <w:szCs w:val="44"/>
          <w:highlight w:val="none"/>
        </w:rPr>
      </w:pPr>
    </w:p>
    <w:p w14:paraId="0EF69534">
      <w:pPr>
        <w:ind w:firstLine="1040"/>
        <w:rPr>
          <w:rFonts w:ascii="Times New Roman" w:hAnsi="Times New Roman" w:eastAsia="仿宋"/>
          <w:color w:val="000000" w:themeColor="text1"/>
          <w:sz w:val="44"/>
          <w:szCs w:val="44"/>
          <w:highlight w:val="none"/>
        </w:rPr>
      </w:pPr>
    </w:p>
    <w:p w14:paraId="696F3164">
      <w:pPr>
        <w:adjustRightInd w:val="0"/>
        <w:snapToGrid w:val="0"/>
        <w:spacing w:line="360" w:lineRule="auto"/>
        <w:rPr>
          <w:rFonts w:ascii="Times New Roman" w:hAnsi="Times New Roman"/>
          <w:color w:val="000000" w:themeColor="text1"/>
          <w:sz w:val="30"/>
          <w:szCs w:val="30"/>
          <w:highlight w:val="none"/>
          <w:u w:val="single"/>
        </w:rPr>
      </w:pPr>
      <w:r>
        <w:rPr>
          <w:rFonts w:ascii="Times New Roman" w:hAnsi="Times New Roman"/>
          <w:color w:val="000000" w:themeColor="text1"/>
          <w:sz w:val="30"/>
          <w:szCs w:val="30"/>
          <w:highlight w:val="none"/>
        </w:rPr>
        <w:t>项目名称：</w:t>
      </w:r>
      <w:r>
        <w:rPr>
          <w:rFonts w:hint="eastAsia" w:ascii="Times New Roman" w:hAnsi="Times New Roman"/>
          <w:color w:val="000000" w:themeColor="text1"/>
          <w:sz w:val="30"/>
          <w:szCs w:val="30"/>
          <w:highlight w:val="none"/>
          <w:u w:val="single"/>
        </w:rPr>
        <w:t xml:space="preserve"> </w:t>
      </w:r>
      <w:r>
        <w:rPr>
          <w:rFonts w:hint="eastAsia" w:ascii="Times New Roman" w:hAnsi="Times New Roman"/>
          <w:color w:val="000000" w:themeColor="text1"/>
          <w:sz w:val="30"/>
          <w:szCs w:val="30"/>
          <w:highlight w:val="none"/>
          <w:u w:val="single"/>
          <w:lang w:val="en-US" w:eastAsia="zh-CN"/>
        </w:rPr>
        <w:t xml:space="preserve"> </w:t>
      </w:r>
      <w:r>
        <w:rPr>
          <w:rFonts w:hint="eastAsia" w:ascii="Times New Roman" w:hAnsi="Times New Roman"/>
          <w:color w:val="000000" w:themeColor="text1"/>
          <w:sz w:val="30"/>
          <w:szCs w:val="30"/>
          <w:highlight w:val="none"/>
          <w:u w:val="single"/>
        </w:rPr>
        <w:t xml:space="preserve"> 朱集西煤矿盾构机施工巷道地面钻孔探查项目    </w:t>
      </w:r>
    </w:p>
    <w:p w14:paraId="69C6B7FF">
      <w:pPr>
        <w:adjustRightInd w:val="0"/>
        <w:snapToGrid w:val="0"/>
        <w:spacing w:line="360" w:lineRule="auto"/>
        <w:rPr>
          <w:rFonts w:ascii="Times New Roman" w:hAnsi="Times New Roman"/>
          <w:color w:val="000000" w:themeColor="text1"/>
          <w:sz w:val="30"/>
          <w:szCs w:val="30"/>
          <w:highlight w:val="none"/>
          <w:u w:val="single"/>
        </w:rPr>
      </w:pPr>
      <w:r>
        <w:rPr>
          <w:rFonts w:ascii="Times New Roman" w:hAnsi="Times New Roman"/>
          <w:color w:val="000000" w:themeColor="text1"/>
          <w:sz w:val="30"/>
          <w:szCs w:val="30"/>
          <w:highlight w:val="none"/>
        </w:rPr>
        <w:t>建设单位（盖章）：</w:t>
      </w:r>
      <w:r>
        <w:rPr>
          <w:rFonts w:hint="eastAsia" w:ascii="Times New Roman" w:hAnsi="Times New Roman"/>
          <w:color w:val="000000" w:themeColor="text1"/>
          <w:sz w:val="30"/>
          <w:szCs w:val="30"/>
          <w:highlight w:val="none"/>
          <w:u w:val="single"/>
        </w:rPr>
        <w:t xml:space="preserve">   </w:t>
      </w:r>
      <w:r>
        <w:rPr>
          <w:rFonts w:hint="eastAsia" w:ascii="Times New Roman" w:hAnsi="Times New Roman"/>
          <w:color w:val="000000" w:themeColor="text1"/>
          <w:sz w:val="30"/>
          <w:szCs w:val="30"/>
          <w:highlight w:val="none"/>
          <w:u w:val="single"/>
          <w:lang w:val="en-US" w:eastAsia="zh-CN"/>
        </w:rPr>
        <w:t xml:space="preserve">   </w:t>
      </w:r>
      <w:r>
        <w:rPr>
          <w:rFonts w:ascii="Times New Roman" w:hAnsi="Times New Roman"/>
          <w:color w:val="000000" w:themeColor="text1"/>
          <w:sz w:val="30"/>
          <w:szCs w:val="30"/>
          <w:highlight w:val="none"/>
          <w:u w:val="single"/>
        </w:rPr>
        <w:t>中安联合煤化有限责任公司</w:t>
      </w:r>
      <w:r>
        <w:rPr>
          <w:rFonts w:hint="eastAsia" w:ascii="Times New Roman" w:hAnsi="Times New Roman"/>
          <w:color w:val="000000" w:themeColor="text1"/>
          <w:sz w:val="30"/>
          <w:szCs w:val="30"/>
          <w:highlight w:val="none"/>
          <w:u w:val="single"/>
        </w:rPr>
        <w:t xml:space="preserve">         </w:t>
      </w:r>
    </w:p>
    <w:p w14:paraId="078D9658">
      <w:pPr>
        <w:adjustRightInd w:val="0"/>
        <w:snapToGrid w:val="0"/>
        <w:spacing w:line="360" w:lineRule="auto"/>
        <w:rPr>
          <w:rFonts w:ascii="Times New Roman" w:hAnsi="Times New Roman"/>
          <w:color w:val="000000" w:themeColor="text1"/>
          <w:sz w:val="30"/>
          <w:szCs w:val="30"/>
          <w:highlight w:val="none"/>
          <w:u w:val="single"/>
        </w:rPr>
      </w:pPr>
      <w:r>
        <w:rPr>
          <w:rFonts w:ascii="Times New Roman" w:hAnsi="Times New Roman"/>
          <w:color w:val="000000" w:themeColor="text1"/>
          <w:sz w:val="30"/>
          <w:szCs w:val="30"/>
          <w:highlight w:val="none"/>
        </w:rPr>
        <w:t>编制日期：</w:t>
      </w:r>
      <w:r>
        <w:rPr>
          <w:rFonts w:ascii="Times New Roman" w:hAnsi="Times New Roman"/>
          <w:color w:val="000000" w:themeColor="text1"/>
          <w:sz w:val="30"/>
          <w:szCs w:val="30"/>
          <w:highlight w:val="none"/>
          <w:u w:val="single"/>
        </w:rPr>
        <w:t xml:space="preserve"> </w:t>
      </w:r>
      <w:r>
        <w:rPr>
          <w:rFonts w:hint="eastAsia" w:ascii="Times New Roman" w:hAnsi="Times New Roman"/>
          <w:color w:val="000000" w:themeColor="text1"/>
          <w:sz w:val="30"/>
          <w:szCs w:val="30"/>
          <w:highlight w:val="none"/>
          <w:u w:val="single"/>
        </w:rPr>
        <w:t xml:space="preserve">                </w:t>
      </w:r>
      <w:r>
        <w:rPr>
          <w:rFonts w:ascii="Times New Roman" w:hAnsi="Times New Roman"/>
          <w:color w:val="000000" w:themeColor="text1"/>
          <w:sz w:val="30"/>
          <w:szCs w:val="30"/>
          <w:highlight w:val="none"/>
          <w:u w:val="single"/>
        </w:rPr>
        <w:t>202</w:t>
      </w:r>
      <w:r>
        <w:rPr>
          <w:rFonts w:hint="eastAsia" w:ascii="Times New Roman" w:hAnsi="Times New Roman"/>
          <w:color w:val="000000" w:themeColor="text1"/>
          <w:sz w:val="30"/>
          <w:szCs w:val="30"/>
          <w:highlight w:val="none"/>
          <w:u w:val="single"/>
          <w:lang w:val="en-US" w:eastAsia="zh-CN"/>
        </w:rPr>
        <w:t>6</w:t>
      </w:r>
      <w:r>
        <w:rPr>
          <w:rFonts w:ascii="Times New Roman" w:hAnsi="Times New Roman"/>
          <w:color w:val="000000" w:themeColor="text1"/>
          <w:sz w:val="30"/>
          <w:szCs w:val="30"/>
          <w:highlight w:val="none"/>
          <w:u w:val="single"/>
        </w:rPr>
        <w:t>年</w:t>
      </w:r>
      <w:r>
        <w:rPr>
          <w:rFonts w:hint="eastAsia" w:ascii="Times New Roman" w:hAnsi="Times New Roman"/>
          <w:color w:val="000000" w:themeColor="text1"/>
          <w:sz w:val="30"/>
          <w:szCs w:val="30"/>
          <w:highlight w:val="none"/>
          <w:u w:val="single"/>
          <w:lang w:val="en-US" w:eastAsia="zh-CN"/>
        </w:rPr>
        <w:t>10</w:t>
      </w:r>
      <w:r>
        <w:rPr>
          <w:rFonts w:ascii="Times New Roman" w:hAnsi="Times New Roman"/>
          <w:color w:val="000000" w:themeColor="text1"/>
          <w:sz w:val="30"/>
          <w:szCs w:val="30"/>
          <w:highlight w:val="none"/>
          <w:u w:val="single"/>
        </w:rPr>
        <w:t>月</w:t>
      </w:r>
      <w:r>
        <w:rPr>
          <w:rFonts w:hint="eastAsia" w:ascii="Times New Roman" w:hAnsi="Times New Roman"/>
          <w:color w:val="000000" w:themeColor="text1"/>
          <w:sz w:val="30"/>
          <w:szCs w:val="30"/>
          <w:highlight w:val="none"/>
          <w:u w:val="single"/>
        </w:rPr>
        <w:t xml:space="preserve">           </w:t>
      </w:r>
      <w:r>
        <w:rPr>
          <w:rFonts w:hint="eastAsia" w:ascii="Times New Roman" w:hAnsi="Times New Roman"/>
          <w:color w:val="000000" w:themeColor="text1"/>
          <w:sz w:val="30"/>
          <w:szCs w:val="30"/>
          <w:highlight w:val="none"/>
          <w:u w:val="single"/>
          <w:lang w:val="en-US" w:eastAsia="zh-CN"/>
        </w:rPr>
        <w:t xml:space="preserve">    </w:t>
      </w:r>
      <w:r>
        <w:rPr>
          <w:rFonts w:hint="eastAsia" w:ascii="Times New Roman" w:hAnsi="Times New Roman"/>
          <w:color w:val="000000" w:themeColor="text1"/>
          <w:sz w:val="30"/>
          <w:szCs w:val="30"/>
          <w:highlight w:val="none"/>
          <w:u w:val="single"/>
        </w:rPr>
        <w:t xml:space="preserve">     </w:t>
      </w:r>
    </w:p>
    <w:bookmarkEnd w:id="2"/>
    <w:p w14:paraId="739054BB">
      <w:pPr>
        <w:pStyle w:val="31"/>
        <w:rPr>
          <w:rFonts w:ascii="Times New Roman" w:hAnsi="Times New Roman"/>
          <w:color w:val="000000" w:themeColor="text1"/>
          <w:highlight w:val="none"/>
        </w:rPr>
      </w:pPr>
    </w:p>
    <w:p w14:paraId="6EAE22FD">
      <w:pPr>
        <w:adjustRightInd w:val="0"/>
        <w:snapToGrid w:val="0"/>
        <w:spacing w:line="288" w:lineRule="auto"/>
        <w:jc w:val="center"/>
        <w:rPr>
          <w:rFonts w:ascii="Times New Roman" w:hAnsi="Times New Roman"/>
          <w:color w:val="000000" w:themeColor="text1"/>
          <w:sz w:val="36"/>
          <w:szCs w:val="36"/>
          <w:highlight w:val="none"/>
        </w:rPr>
      </w:pPr>
      <w:r>
        <w:rPr>
          <w:rFonts w:ascii="Times New Roman" w:hAnsi="宋体"/>
          <w:color w:val="000000" w:themeColor="text1"/>
          <w:sz w:val="36"/>
          <w:szCs w:val="36"/>
          <w:highlight w:val="none"/>
        </w:rPr>
        <w:t>中华人民共和国生态环境部制</w:t>
      </w:r>
    </w:p>
    <w:p w14:paraId="35E1D956">
      <w:pPr>
        <w:adjustRightInd w:val="0"/>
        <w:snapToGrid w:val="0"/>
        <w:spacing w:line="288" w:lineRule="auto"/>
        <w:ind w:firstLine="1040"/>
        <w:rPr>
          <w:rFonts w:ascii="Times New Roman" w:hAnsi="Times New Roman" w:eastAsia="仿宋_GB2312"/>
          <w:color w:val="000000" w:themeColor="text1"/>
          <w:sz w:val="36"/>
          <w:szCs w:val="36"/>
          <w:highlight w:val="none"/>
        </w:rPr>
        <w:sectPr>
          <w:footerReference r:id="rId5" w:type="default"/>
          <w:footerReference r:id="rId6" w:type="even"/>
          <w:pgSz w:w="11906" w:h="16838"/>
          <w:pgMar w:top="1701" w:right="1531" w:bottom="1701" w:left="1417" w:header="851" w:footer="1077" w:gutter="0"/>
          <w:pgBorders>
            <w:top w:val="none" w:sz="0" w:space="0"/>
            <w:left w:val="none" w:sz="0" w:space="0"/>
            <w:bottom w:val="none" w:sz="0" w:space="0"/>
            <w:right w:val="none" w:sz="0" w:space="0"/>
          </w:pgBorders>
          <w:cols w:space="720" w:num="1"/>
          <w:docGrid w:linePitch="312" w:charSpace="0"/>
        </w:sectPr>
      </w:pPr>
    </w:p>
    <w:sdt>
      <w:sdtPr>
        <w:rPr>
          <w:rFonts w:ascii="Times New Roman" w:hAnsi="Times New Roman"/>
          <w:color w:val="000000" w:themeColor="text1"/>
          <w:sz w:val="24"/>
          <w:highlight w:val="none"/>
        </w:rPr>
        <w:id w:val="147479378"/>
        <w:docPartObj>
          <w:docPartGallery w:val="Table of Contents"/>
          <w:docPartUnique/>
        </w:docPartObj>
      </w:sdtPr>
      <w:sdtEndPr>
        <w:rPr>
          <w:rFonts w:hint="eastAsia" w:ascii="Times New Roman" w:hAnsi="Times New Roman"/>
          <w:b/>
          <w:bCs/>
          <w:color w:val="auto"/>
          <w:sz w:val="24"/>
          <w:highlight w:val="none"/>
        </w:rPr>
      </w:sdtEndPr>
      <w:sdtContent>
        <w:p w14:paraId="7EB9BFE3">
          <w:pPr>
            <w:pageBreakBefore/>
            <w:spacing w:after="0" w:line="360" w:lineRule="auto"/>
            <w:jc w:val="center"/>
            <w:rPr>
              <w:rFonts w:ascii="Times New Roman" w:hAnsi="Times New Roman"/>
              <w:b/>
              <w:bCs/>
              <w:color w:val="000000" w:themeColor="text1"/>
              <w:sz w:val="32"/>
              <w:szCs w:val="32"/>
              <w:highlight w:val="none"/>
            </w:rPr>
          </w:pPr>
          <w:r>
            <w:rPr>
              <w:rFonts w:ascii="Times New Roman" w:hAnsi="Times New Roman"/>
              <w:b/>
              <w:bCs/>
              <w:color w:val="000000" w:themeColor="text1"/>
              <w:sz w:val="32"/>
              <w:szCs w:val="32"/>
              <w:highlight w:val="none"/>
            </w:rPr>
            <w:t>目录</w:t>
          </w:r>
        </w:p>
        <w:p w14:paraId="2E5E529F">
          <w:pPr>
            <w:pStyle w:val="17"/>
            <w:tabs>
              <w:tab w:val="right" w:leader="dot" w:pos="8844"/>
            </w:tabs>
            <w:spacing w:after="0" w:line="360" w:lineRule="auto"/>
            <w:jc w:val="left"/>
            <w:rPr>
              <w:rFonts w:ascii="Times New Roman" w:hAnsi="Times New Roman"/>
              <w:color w:val="auto"/>
              <w:sz w:val="24"/>
              <w:highlight w:val="none"/>
            </w:rPr>
          </w:pPr>
          <w:r>
            <w:rPr>
              <w:rFonts w:ascii="Times New Roman" w:hAnsi="Times New Roman"/>
              <w:snapToGrid w:val="0"/>
              <w:color w:val="auto"/>
              <w:sz w:val="24"/>
              <w:highlight w:val="none"/>
            </w:rPr>
            <w:fldChar w:fldCharType="begin"/>
          </w:r>
          <w:r>
            <w:rPr>
              <w:rFonts w:ascii="Times New Roman" w:hAnsi="Times New Roman"/>
              <w:snapToGrid w:val="0"/>
              <w:color w:val="auto"/>
              <w:sz w:val="24"/>
              <w:highlight w:val="none"/>
            </w:rPr>
            <w:instrText xml:space="preserve">TOC \o "1-1" \h \u </w:instrText>
          </w:r>
          <w:r>
            <w:rPr>
              <w:rFonts w:ascii="Times New Roman" w:hAnsi="Times New Roman"/>
              <w:snapToGrid w:val="0"/>
              <w:color w:val="auto"/>
              <w:sz w:val="24"/>
              <w:highlight w:val="none"/>
            </w:rPr>
            <w:fldChar w:fldCharType="separate"/>
          </w:r>
          <w:r>
            <w:rPr>
              <w:color w:val="auto"/>
              <w:highlight w:val="none"/>
            </w:rPr>
            <w:fldChar w:fldCharType="begin"/>
          </w:r>
          <w:r>
            <w:rPr>
              <w:color w:val="auto"/>
              <w:highlight w:val="none"/>
            </w:rPr>
            <w:instrText xml:space="preserve"> HYPERLINK \l "_Toc29181" </w:instrText>
          </w:r>
          <w:r>
            <w:rPr>
              <w:color w:val="auto"/>
              <w:highlight w:val="none"/>
            </w:rPr>
            <w:fldChar w:fldCharType="separate"/>
          </w:r>
          <w:r>
            <w:rPr>
              <w:rFonts w:ascii="Times New Roman" w:hAnsi="Times New Roman"/>
              <w:snapToGrid w:val="0"/>
              <w:color w:val="auto"/>
              <w:sz w:val="24"/>
              <w:highlight w:val="none"/>
            </w:rPr>
            <w:t>一、建设项目基本情况</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_Toc29181 \h </w:instrText>
          </w:r>
          <w:r>
            <w:rPr>
              <w:rFonts w:ascii="Times New Roman" w:hAnsi="Times New Roman"/>
              <w:color w:val="auto"/>
              <w:sz w:val="24"/>
              <w:highlight w:val="none"/>
            </w:rPr>
            <w:fldChar w:fldCharType="separate"/>
          </w:r>
          <w:r>
            <w:rPr>
              <w:rFonts w:ascii="Times New Roman" w:hAnsi="Times New Roman"/>
              <w:color w:val="auto"/>
              <w:sz w:val="24"/>
              <w:highlight w:val="none"/>
            </w:rPr>
            <w:t>2</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75CC1761">
          <w:pPr>
            <w:pStyle w:val="17"/>
            <w:tabs>
              <w:tab w:val="right" w:leader="dot" w:pos="8844"/>
            </w:tabs>
            <w:spacing w:after="0" w:line="360" w:lineRule="auto"/>
            <w:jc w:val="left"/>
            <w:rPr>
              <w:rFonts w:ascii="Times New Roman" w:hAnsi="Times New Roman"/>
              <w:color w:val="auto"/>
              <w:sz w:val="24"/>
              <w:highlight w:val="none"/>
            </w:rPr>
          </w:pPr>
          <w:r>
            <w:rPr>
              <w:color w:val="auto"/>
              <w:highlight w:val="none"/>
            </w:rPr>
            <w:fldChar w:fldCharType="begin"/>
          </w:r>
          <w:r>
            <w:rPr>
              <w:color w:val="auto"/>
              <w:highlight w:val="none"/>
            </w:rPr>
            <w:instrText xml:space="preserve"> HYPERLINK \l "_Toc11614" </w:instrText>
          </w:r>
          <w:r>
            <w:rPr>
              <w:color w:val="auto"/>
              <w:highlight w:val="none"/>
            </w:rPr>
            <w:fldChar w:fldCharType="separate"/>
          </w:r>
          <w:r>
            <w:rPr>
              <w:rFonts w:hint="eastAsia" w:ascii="Times New Roman" w:hAnsi="Times New Roman"/>
              <w:snapToGrid w:val="0"/>
              <w:color w:val="auto"/>
              <w:sz w:val="24"/>
              <w:highlight w:val="none"/>
            </w:rPr>
            <w:t>二、</w:t>
          </w:r>
          <w:r>
            <w:rPr>
              <w:rFonts w:ascii="Times New Roman" w:hAnsi="Times New Roman"/>
              <w:snapToGrid w:val="0"/>
              <w:color w:val="auto"/>
              <w:sz w:val="24"/>
              <w:highlight w:val="none"/>
            </w:rPr>
            <w:t>建设内容</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_Toc11614 \h </w:instrText>
          </w:r>
          <w:r>
            <w:rPr>
              <w:rFonts w:ascii="Times New Roman" w:hAnsi="Times New Roman"/>
              <w:color w:val="auto"/>
              <w:sz w:val="24"/>
              <w:highlight w:val="none"/>
            </w:rPr>
            <w:fldChar w:fldCharType="separate"/>
          </w:r>
          <w:r>
            <w:rPr>
              <w:rFonts w:ascii="Times New Roman" w:hAnsi="Times New Roman"/>
              <w:color w:val="auto"/>
              <w:sz w:val="24"/>
              <w:highlight w:val="none"/>
            </w:rPr>
            <w:t>19</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280370A9">
          <w:pPr>
            <w:pStyle w:val="17"/>
            <w:tabs>
              <w:tab w:val="right" w:leader="dot" w:pos="8844"/>
            </w:tabs>
            <w:spacing w:after="0" w:line="360" w:lineRule="auto"/>
            <w:jc w:val="left"/>
            <w:rPr>
              <w:rFonts w:ascii="Times New Roman" w:hAnsi="Times New Roman"/>
              <w:color w:val="auto"/>
              <w:sz w:val="24"/>
              <w:highlight w:val="none"/>
            </w:rPr>
          </w:pPr>
          <w:r>
            <w:rPr>
              <w:color w:val="auto"/>
              <w:highlight w:val="none"/>
            </w:rPr>
            <w:fldChar w:fldCharType="begin"/>
          </w:r>
          <w:r>
            <w:rPr>
              <w:color w:val="auto"/>
              <w:highlight w:val="none"/>
            </w:rPr>
            <w:instrText xml:space="preserve"> HYPERLINK \l "_Toc22394" </w:instrText>
          </w:r>
          <w:r>
            <w:rPr>
              <w:color w:val="auto"/>
              <w:highlight w:val="none"/>
            </w:rPr>
            <w:fldChar w:fldCharType="separate"/>
          </w:r>
          <w:r>
            <w:rPr>
              <w:rFonts w:ascii="Times New Roman" w:hAnsi="Times New Roman"/>
              <w:snapToGrid w:val="0"/>
              <w:color w:val="auto"/>
              <w:sz w:val="24"/>
              <w:highlight w:val="none"/>
            </w:rPr>
            <w:t>三、生态环境现状、保护目标及评价标准</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_Toc22394 \h </w:instrText>
          </w:r>
          <w:r>
            <w:rPr>
              <w:rFonts w:ascii="Times New Roman" w:hAnsi="Times New Roman"/>
              <w:color w:val="auto"/>
              <w:sz w:val="24"/>
              <w:highlight w:val="none"/>
            </w:rPr>
            <w:fldChar w:fldCharType="separate"/>
          </w:r>
          <w:r>
            <w:rPr>
              <w:rFonts w:ascii="Times New Roman" w:hAnsi="Times New Roman"/>
              <w:color w:val="auto"/>
              <w:sz w:val="24"/>
              <w:highlight w:val="none"/>
            </w:rPr>
            <w:t>45</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16962261">
          <w:pPr>
            <w:pStyle w:val="17"/>
            <w:tabs>
              <w:tab w:val="right" w:leader="dot" w:pos="8844"/>
            </w:tabs>
            <w:spacing w:after="0" w:line="360" w:lineRule="auto"/>
            <w:jc w:val="left"/>
            <w:rPr>
              <w:rFonts w:ascii="Times New Roman" w:hAnsi="Times New Roman"/>
              <w:color w:val="auto"/>
              <w:sz w:val="24"/>
              <w:highlight w:val="none"/>
            </w:rPr>
          </w:pPr>
          <w:r>
            <w:rPr>
              <w:color w:val="auto"/>
              <w:highlight w:val="none"/>
            </w:rPr>
            <w:fldChar w:fldCharType="begin"/>
          </w:r>
          <w:r>
            <w:rPr>
              <w:color w:val="auto"/>
              <w:highlight w:val="none"/>
            </w:rPr>
            <w:instrText xml:space="preserve"> HYPERLINK \l "_Toc17497" </w:instrText>
          </w:r>
          <w:r>
            <w:rPr>
              <w:color w:val="auto"/>
              <w:highlight w:val="none"/>
            </w:rPr>
            <w:fldChar w:fldCharType="separate"/>
          </w:r>
          <w:r>
            <w:rPr>
              <w:rFonts w:ascii="Times New Roman" w:hAnsi="Times New Roman"/>
              <w:snapToGrid w:val="0"/>
              <w:color w:val="auto"/>
              <w:sz w:val="24"/>
              <w:highlight w:val="none"/>
            </w:rPr>
            <w:t>四、生态环境影响分析</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_Toc17497 \h </w:instrText>
          </w:r>
          <w:r>
            <w:rPr>
              <w:rFonts w:ascii="Times New Roman" w:hAnsi="Times New Roman"/>
              <w:color w:val="auto"/>
              <w:sz w:val="24"/>
              <w:highlight w:val="none"/>
            </w:rPr>
            <w:fldChar w:fldCharType="separate"/>
          </w:r>
          <w:r>
            <w:rPr>
              <w:rFonts w:ascii="Times New Roman" w:hAnsi="Times New Roman"/>
              <w:color w:val="auto"/>
              <w:sz w:val="24"/>
              <w:highlight w:val="none"/>
            </w:rPr>
            <w:t>60</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11DC492D">
          <w:pPr>
            <w:pStyle w:val="17"/>
            <w:tabs>
              <w:tab w:val="right" w:leader="dot" w:pos="8844"/>
            </w:tabs>
            <w:spacing w:after="0" w:line="360" w:lineRule="auto"/>
            <w:jc w:val="left"/>
            <w:rPr>
              <w:rFonts w:ascii="Times New Roman" w:hAnsi="Times New Roman"/>
              <w:color w:val="auto"/>
              <w:sz w:val="24"/>
              <w:highlight w:val="none"/>
            </w:rPr>
          </w:pPr>
          <w:r>
            <w:rPr>
              <w:color w:val="auto"/>
              <w:highlight w:val="none"/>
            </w:rPr>
            <w:fldChar w:fldCharType="begin"/>
          </w:r>
          <w:r>
            <w:rPr>
              <w:color w:val="auto"/>
              <w:highlight w:val="none"/>
            </w:rPr>
            <w:instrText xml:space="preserve"> HYPERLINK \l "_Toc31829" </w:instrText>
          </w:r>
          <w:r>
            <w:rPr>
              <w:color w:val="auto"/>
              <w:highlight w:val="none"/>
            </w:rPr>
            <w:fldChar w:fldCharType="separate"/>
          </w:r>
          <w:r>
            <w:rPr>
              <w:rFonts w:ascii="Times New Roman" w:hAnsi="Times New Roman"/>
              <w:snapToGrid w:val="0"/>
              <w:color w:val="auto"/>
              <w:sz w:val="24"/>
              <w:highlight w:val="none"/>
            </w:rPr>
            <w:t>五、主要生态环境保护措施</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_Toc31829 \h </w:instrText>
          </w:r>
          <w:r>
            <w:rPr>
              <w:rFonts w:ascii="Times New Roman" w:hAnsi="Times New Roman"/>
              <w:color w:val="auto"/>
              <w:sz w:val="24"/>
              <w:highlight w:val="none"/>
            </w:rPr>
            <w:fldChar w:fldCharType="separate"/>
          </w:r>
          <w:r>
            <w:rPr>
              <w:rFonts w:ascii="Times New Roman" w:hAnsi="Times New Roman"/>
              <w:color w:val="auto"/>
              <w:sz w:val="24"/>
              <w:highlight w:val="none"/>
            </w:rPr>
            <w:t>79</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7E401200">
          <w:pPr>
            <w:pStyle w:val="17"/>
            <w:tabs>
              <w:tab w:val="right" w:leader="dot" w:pos="8844"/>
            </w:tabs>
            <w:spacing w:after="0" w:line="360" w:lineRule="auto"/>
            <w:jc w:val="left"/>
            <w:rPr>
              <w:rFonts w:ascii="Times New Roman" w:hAnsi="Times New Roman"/>
              <w:color w:val="auto"/>
              <w:sz w:val="24"/>
              <w:highlight w:val="none"/>
            </w:rPr>
          </w:pPr>
          <w:r>
            <w:rPr>
              <w:color w:val="auto"/>
              <w:highlight w:val="none"/>
            </w:rPr>
            <w:fldChar w:fldCharType="begin"/>
          </w:r>
          <w:r>
            <w:rPr>
              <w:color w:val="auto"/>
              <w:highlight w:val="none"/>
            </w:rPr>
            <w:instrText xml:space="preserve"> HYPERLINK \l "_Toc22535" </w:instrText>
          </w:r>
          <w:r>
            <w:rPr>
              <w:color w:val="auto"/>
              <w:highlight w:val="none"/>
            </w:rPr>
            <w:fldChar w:fldCharType="separate"/>
          </w:r>
          <w:r>
            <w:rPr>
              <w:rFonts w:ascii="Times New Roman" w:hAnsi="Times New Roman"/>
              <w:snapToGrid w:val="0"/>
              <w:color w:val="auto"/>
              <w:sz w:val="24"/>
              <w:highlight w:val="none"/>
            </w:rPr>
            <w:t>六、生态环境保护措施监督检查清单</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_Toc22535 \h </w:instrText>
          </w:r>
          <w:r>
            <w:rPr>
              <w:rFonts w:ascii="Times New Roman" w:hAnsi="Times New Roman"/>
              <w:color w:val="auto"/>
              <w:sz w:val="24"/>
              <w:highlight w:val="none"/>
            </w:rPr>
            <w:fldChar w:fldCharType="separate"/>
          </w:r>
          <w:r>
            <w:rPr>
              <w:rFonts w:ascii="Times New Roman" w:hAnsi="Times New Roman"/>
              <w:color w:val="auto"/>
              <w:sz w:val="24"/>
              <w:highlight w:val="none"/>
            </w:rPr>
            <w:t>99</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461C620D">
          <w:pPr>
            <w:pStyle w:val="17"/>
            <w:tabs>
              <w:tab w:val="right" w:leader="dot" w:pos="8844"/>
            </w:tabs>
            <w:spacing w:after="0" w:line="360" w:lineRule="auto"/>
            <w:jc w:val="left"/>
            <w:rPr>
              <w:rFonts w:ascii="Times New Roman" w:hAnsi="Times New Roman"/>
              <w:color w:val="auto"/>
              <w:sz w:val="24"/>
              <w:highlight w:val="none"/>
            </w:rPr>
          </w:pPr>
          <w:r>
            <w:rPr>
              <w:color w:val="auto"/>
              <w:highlight w:val="none"/>
            </w:rPr>
            <w:fldChar w:fldCharType="begin"/>
          </w:r>
          <w:r>
            <w:rPr>
              <w:color w:val="auto"/>
              <w:highlight w:val="none"/>
            </w:rPr>
            <w:instrText xml:space="preserve"> HYPERLINK \l "_Toc31666" </w:instrText>
          </w:r>
          <w:r>
            <w:rPr>
              <w:color w:val="auto"/>
              <w:highlight w:val="none"/>
            </w:rPr>
            <w:fldChar w:fldCharType="separate"/>
          </w:r>
          <w:r>
            <w:rPr>
              <w:rFonts w:ascii="Times New Roman" w:hAnsi="Times New Roman"/>
              <w:snapToGrid w:val="0"/>
              <w:color w:val="auto"/>
              <w:sz w:val="24"/>
              <w:highlight w:val="none"/>
            </w:rPr>
            <w:t>七、结论</w:t>
          </w:r>
          <w:r>
            <w:rPr>
              <w:rFonts w:ascii="Times New Roman" w:hAnsi="Times New Roman"/>
              <w:color w:val="auto"/>
              <w:sz w:val="24"/>
              <w:highlight w:val="none"/>
            </w:rPr>
            <w:tab/>
          </w:r>
          <w:r>
            <w:rPr>
              <w:rFonts w:ascii="Times New Roman" w:hAnsi="Times New Roman"/>
              <w:color w:val="auto"/>
              <w:sz w:val="24"/>
              <w:highlight w:val="none"/>
            </w:rPr>
            <w:fldChar w:fldCharType="begin"/>
          </w:r>
          <w:r>
            <w:rPr>
              <w:rFonts w:ascii="Times New Roman" w:hAnsi="Times New Roman"/>
              <w:color w:val="auto"/>
              <w:sz w:val="24"/>
              <w:highlight w:val="none"/>
            </w:rPr>
            <w:instrText xml:space="preserve"> PAGEREF _Toc31666 \h </w:instrText>
          </w:r>
          <w:r>
            <w:rPr>
              <w:rFonts w:ascii="Times New Roman" w:hAnsi="Times New Roman"/>
              <w:color w:val="auto"/>
              <w:sz w:val="24"/>
              <w:highlight w:val="none"/>
            </w:rPr>
            <w:fldChar w:fldCharType="separate"/>
          </w:r>
          <w:r>
            <w:rPr>
              <w:rFonts w:ascii="Times New Roman" w:hAnsi="Times New Roman"/>
              <w:color w:val="auto"/>
              <w:sz w:val="24"/>
              <w:highlight w:val="none"/>
            </w:rPr>
            <w:t>102</w:t>
          </w:r>
          <w:r>
            <w:rPr>
              <w:rFonts w:ascii="Times New Roman" w:hAnsi="Times New Roman"/>
              <w:color w:val="auto"/>
              <w:sz w:val="24"/>
              <w:highlight w:val="none"/>
            </w:rPr>
            <w:fldChar w:fldCharType="end"/>
          </w:r>
          <w:r>
            <w:rPr>
              <w:rFonts w:ascii="Times New Roman" w:hAnsi="Times New Roman"/>
              <w:color w:val="auto"/>
              <w:sz w:val="24"/>
              <w:highlight w:val="none"/>
            </w:rPr>
            <w:fldChar w:fldCharType="end"/>
          </w:r>
        </w:p>
        <w:p w14:paraId="3E5A2E2E">
          <w:pPr>
            <w:adjustRightInd w:val="0"/>
            <w:snapToGrid w:val="0"/>
            <w:spacing w:line="360" w:lineRule="auto"/>
            <w:rPr>
              <w:color w:val="auto"/>
              <w:highlight w:val="none"/>
            </w:rPr>
          </w:pPr>
          <w:r>
            <w:rPr>
              <w:rFonts w:ascii="Times New Roman" w:hAnsi="Times New Roman"/>
              <w:snapToGrid w:val="0"/>
              <w:color w:val="auto"/>
              <w:sz w:val="24"/>
              <w:highlight w:val="none"/>
            </w:rPr>
            <w:fldChar w:fldCharType="end"/>
          </w:r>
        </w:p>
      </w:sdtContent>
    </w:sdt>
    <w:p w14:paraId="3B8C3FF9">
      <w:pPr>
        <w:adjustRightInd w:val="0"/>
        <w:snapToGrid w:val="0"/>
        <w:spacing w:after="0" w:line="360" w:lineRule="auto"/>
        <w:rPr>
          <w:rFonts w:hint="eastAsia" w:ascii="Times New Roman" w:hAnsi="Times New Roman"/>
          <w:b/>
          <w:bCs/>
          <w:color w:val="auto"/>
          <w:sz w:val="24"/>
          <w:highlight w:val="none"/>
        </w:rPr>
      </w:pPr>
      <w:r>
        <w:rPr>
          <w:rFonts w:hint="eastAsia" w:ascii="Times New Roman" w:hAnsi="Times New Roman"/>
          <w:b/>
          <w:bCs/>
          <w:color w:val="auto"/>
          <w:sz w:val="24"/>
          <w:highlight w:val="none"/>
        </w:rPr>
        <w:t>附件</w:t>
      </w:r>
    </w:p>
    <w:p w14:paraId="66CC4343">
      <w:pPr>
        <w:adjustRightInd w:val="0"/>
        <w:snapToGrid w:val="0"/>
        <w:spacing w:after="0" w:line="360" w:lineRule="auto"/>
        <w:rPr>
          <w:rFonts w:hint="eastAsia" w:ascii="Times New Roman" w:hAnsi="Times New Roman"/>
          <w:color w:val="auto"/>
          <w:sz w:val="24"/>
          <w:highlight w:val="none"/>
        </w:rPr>
      </w:pPr>
      <w:r>
        <w:rPr>
          <w:rFonts w:hint="eastAsia" w:ascii="Times New Roman" w:hAnsi="Times New Roman"/>
          <w:color w:val="auto"/>
          <w:sz w:val="24"/>
          <w:highlight w:val="none"/>
        </w:rPr>
        <w:t>附件1 委托书</w:t>
      </w:r>
    </w:p>
    <w:p w14:paraId="22BF5ECF">
      <w:pPr>
        <w:adjustRightInd w:val="0"/>
        <w:snapToGrid w:val="0"/>
        <w:spacing w:after="0" w:line="360" w:lineRule="auto"/>
        <w:rPr>
          <w:rFonts w:hint="eastAsia" w:ascii="Times New Roman" w:hAnsi="Times New Roman"/>
          <w:color w:val="auto"/>
          <w:sz w:val="24"/>
          <w:highlight w:val="none"/>
          <w:lang w:eastAsia="zh-CN"/>
        </w:rPr>
      </w:pPr>
      <w:r>
        <w:rPr>
          <w:rFonts w:hint="eastAsia" w:ascii="Times New Roman" w:hAnsi="Times New Roman"/>
          <w:color w:val="auto"/>
          <w:sz w:val="24"/>
          <w:highlight w:val="none"/>
        </w:rPr>
        <w:t>附件2 备案表</w:t>
      </w:r>
      <w:bookmarkStart w:id="19" w:name="_GoBack"/>
      <w:bookmarkEnd w:id="19"/>
    </w:p>
    <w:p w14:paraId="24B0A5BB">
      <w:pPr>
        <w:adjustRightInd w:val="0"/>
        <w:snapToGrid w:val="0"/>
        <w:spacing w:after="0" w:line="360" w:lineRule="auto"/>
        <w:rPr>
          <w:rFonts w:hint="eastAsia" w:ascii="Times New Roman" w:hAnsi="Times New Roman"/>
          <w:color w:val="auto"/>
          <w:sz w:val="24"/>
          <w:highlight w:val="none"/>
        </w:rPr>
      </w:pPr>
      <w:r>
        <w:rPr>
          <w:rFonts w:hint="eastAsia" w:ascii="Times New Roman" w:hAnsi="Times New Roman"/>
          <w:color w:val="auto"/>
          <w:sz w:val="24"/>
          <w:highlight w:val="none"/>
        </w:rPr>
        <w:t>附件3 现状监测报告</w:t>
      </w:r>
    </w:p>
    <w:p w14:paraId="2B4C007A">
      <w:pPr>
        <w:adjustRightInd w:val="0"/>
        <w:snapToGrid w:val="0"/>
        <w:spacing w:after="0" w:line="360" w:lineRule="auto"/>
        <w:rPr>
          <w:rFonts w:hint="eastAsia" w:ascii="Times New Roman" w:hAnsi="Times New Roman"/>
          <w:color w:val="auto"/>
          <w:sz w:val="24"/>
          <w:highlight w:val="none"/>
        </w:rPr>
      </w:pPr>
      <w:r>
        <w:rPr>
          <w:rFonts w:hint="eastAsia" w:ascii="Times New Roman" w:hAnsi="Times New Roman"/>
          <w:color w:val="auto"/>
          <w:sz w:val="24"/>
          <w:highlight w:val="none"/>
          <w:lang w:val="en-US" w:eastAsia="zh-CN"/>
        </w:rPr>
        <w:t xml:space="preserve">附件4 </w:t>
      </w:r>
      <w:r>
        <w:rPr>
          <w:rFonts w:hint="eastAsia" w:ascii="Times New Roman" w:hAnsi="Times New Roman"/>
          <w:color w:val="auto"/>
          <w:sz w:val="24"/>
          <w:highlight w:val="none"/>
        </w:rPr>
        <w:t>临时用地土地复垦方案的初审意见</w:t>
      </w:r>
    </w:p>
    <w:p w14:paraId="529C46B4">
      <w:pPr>
        <w:adjustRightInd w:val="0"/>
        <w:snapToGrid w:val="0"/>
        <w:spacing w:after="0" w:line="360" w:lineRule="auto"/>
        <w:rPr>
          <w:rFonts w:ascii="Times New Roman" w:hAnsi="Times New Roman"/>
          <w:b/>
          <w:bCs/>
          <w:color w:val="auto"/>
          <w:sz w:val="24"/>
          <w:highlight w:val="none"/>
        </w:rPr>
      </w:pPr>
      <w:r>
        <w:rPr>
          <w:rFonts w:hint="eastAsia" w:ascii="Times New Roman" w:hAnsi="Times New Roman"/>
          <w:b/>
          <w:bCs/>
          <w:color w:val="auto"/>
          <w:sz w:val="24"/>
          <w:highlight w:val="none"/>
        </w:rPr>
        <w:t>附图</w:t>
      </w:r>
    </w:p>
    <w:p w14:paraId="39798D61">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附图1 地理位置图</w:t>
      </w:r>
    </w:p>
    <w:p w14:paraId="73715CC7">
      <w:pPr>
        <w:adjustRightInd w:val="0"/>
        <w:snapToGrid w:val="0"/>
        <w:spacing w:after="0" w:line="360" w:lineRule="auto"/>
        <w:rPr>
          <w:rFonts w:hint="default" w:ascii="Times New Roman" w:hAnsi="Times New Roman" w:eastAsia="宋体"/>
          <w:color w:val="auto"/>
          <w:sz w:val="24"/>
          <w:highlight w:val="none"/>
          <w:lang w:val="en-US" w:eastAsia="zh-CN"/>
        </w:rPr>
      </w:pPr>
      <w:r>
        <w:rPr>
          <w:rFonts w:hint="eastAsia" w:ascii="Times New Roman" w:hAnsi="Times New Roman"/>
          <w:color w:val="auto"/>
          <w:sz w:val="24"/>
          <w:highlight w:val="none"/>
        </w:rPr>
        <w:t xml:space="preserve">附图2 </w:t>
      </w:r>
      <w:r>
        <w:rPr>
          <w:rFonts w:hint="eastAsia" w:ascii="Times New Roman" w:hAnsi="Times New Roman"/>
          <w:color w:val="auto"/>
          <w:sz w:val="24"/>
          <w:highlight w:val="none"/>
          <w:lang w:val="en-US" w:eastAsia="zh-CN"/>
        </w:rPr>
        <w:t>项目位置周边概况图</w:t>
      </w:r>
    </w:p>
    <w:p w14:paraId="4644D476">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附图3 施工平面布置图</w:t>
      </w:r>
    </w:p>
    <w:p w14:paraId="13B4FF5C">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附图4 三区三线套核图</w:t>
      </w:r>
    </w:p>
    <w:p w14:paraId="59AC209A">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附图5 本项目在生态保护红线中的位置图</w:t>
      </w:r>
    </w:p>
    <w:p w14:paraId="3D806D9C">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附图6 淮南市水环境分区图中的位置图</w:t>
      </w:r>
    </w:p>
    <w:p w14:paraId="50443FA0">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附图7 淮南市大气环境分区图中的位置图</w:t>
      </w:r>
    </w:p>
    <w:p w14:paraId="170DC4F2">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附图8 淮南市土壤污染风险分区图中的位置图</w:t>
      </w:r>
    </w:p>
    <w:p w14:paraId="172AF209">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附图9 安徽省主体功能区划</w:t>
      </w:r>
      <w:r>
        <w:rPr>
          <w:rFonts w:hint="eastAsia" w:ascii="Times New Roman" w:hAnsi="Times New Roman"/>
          <w:color w:val="auto"/>
          <w:sz w:val="24"/>
          <w:highlight w:val="none"/>
          <w:lang w:val="en-US" w:eastAsia="zh-CN"/>
        </w:rPr>
        <w:t>图中</w:t>
      </w:r>
      <w:r>
        <w:rPr>
          <w:rFonts w:hint="eastAsia"/>
          <w:color w:val="auto"/>
          <w:lang w:val="en-US" w:eastAsia="zh-CN"/>
        </w:rPr>
        <w:t>的</w:t>
      </w:r>
      <w:r>
        <w:rPr>
          <w:rFonts w:hint="eastAsia" w:ascii="Times New Roman" w:hAnsi="Times New Roman"/>
          <w:color w:val="auto"/>
          <w:sz w:val="24"/>
          <w:highlight w:val="none"/>
        </w:rPr>
        <w:t>位置图</w:t>
      </w:r>
    </w:p>
    <w:p w14:paraId="694C5A9E">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附图10 安徽省生态功能区划</w:t>
      </w:r>
      <w:r>
        <w:rPr>
          <w:rFonts w:hint="eastAsia" w:ascii="Times New Roman" w:hAnsi="Times New Roman"/>
          <w:color w:val="auto"/>
          <w:sz w:val="24"/>
          <w:highlight w:val="none"/>
          <w:lang w:val="en-US" w:eastAsia="zh-CN"/>
        </w:rPr>
        <w:t>图中的</w:t>
      </w:r>
      <w:r>
        <w:rPr>
          <w:rFonts w:hint="eastAsia" w:ascii="Times New Roman" w:hAnsi="Times New Roman"/>
          <w:color w:val="auto"/>
          <w:sz w:val="24"/>
          <w:highlight w:val="none"/>
        </w:rPr>
        <w:t>位置图</w:t>
      </w:r>
    </w:p>
    <w:p w14:paraId="31D63D17">
      <w:pPr>
        <w:adjustRightInd w:val="0"/>
        <w:snapToGrid w:val="0"/>
        <w:spacing w:after="0" w:line="360" w:lineRule="auto"/>
        <w:rPr>
          <w:rFonts w:hint="eastAsia" w:ascii="Times New Roman" w:hAnsi="Times New Roman" w:eastAsia="宋体"/>
          <w:color w:val="auto"/>
          <w:sz w:val="24"/>
          <w:highlight w:val="none"/>
          <w:lang w:val="en-US" w:eastAsia="zh-CN"/>
        </w:rPr>
      </w:pPr>
      <w:r>
        <w:rPr>
          <w:rFonts w:hint="eastAsia" w:ascii="Times New Roman" w:hAnsi="Times New Roman"/>
          <w:color w:val="auto"/>
          <w:sz w:val="24"/>
          <w:highlight w:val="none"/>
        </w:rPr>
        <w:t>附图1</w:t>
      </w:r>
      <w:r>
        <w:rPr>
          <w:rFonts w:hint="eastAsia" w:ascii="Times New Roman" w:hAnsi="Times New Roman"/>
          <w:color w:val="auto"/>
          <w:sz w:val="24"/>
          <w:highlight w:val="none"/>
          <w:lang w:val="en-US" w:eastAsia="zh-CN"/>
        </w:rPr>
        <w:t>1</w:t>
      </w:r>
      <w:r>
        <w:rPr>
          <w:rFonts w:hint="eastAsia" w:ascii="Times New Roman" w:hAnsi="Times New Roman"/>
          <w:color w:val="auto"/>
          <w:sz w:val="24"/>
          <w:highlight w:val="none"/>
        </w:rPr>
        <w:t xml:space="preserve"> </w:t>
      </w:r>
      <w:r>
        <w:rPr>
          <w:rFonts w:hint="eastAsia" w:ascii="Times New Roman" w:hAnsi="Times New Roman"/>
          <w:color w:val="auto"/>
          <w:sz w:val="24"/>
          <w:highlight w:val="none"/>
          <w:lang w:val="en-US" w:eastAsia="zh-CN"/>
        </w:rPr>
        <w:t>淮南市</w:t>
      </w:r>
      <w:r>
        <w:rPr>
          <w:rFonts w:hint="eastAsia" w:ascii="Times New Roman" w:hAnsi="Times New Roman"/>
          <w:color w:val="auto"/>
          <w:sz w:val="24"/>
          <w:highlight w:val="none"/>
        </w:rPr>
        <w:t>水系图中的位置</w:t>
      </w:r>
      <w:r>
        <w:rPr>
          <w:rFonts w:hint="eastAsia" w:ascii="Times New Roman" w:hAnsi="Times New Roman"/>
          <w:color w:val="auto"/>
          <w:sz w:val="24"/>
          <w:lang w:val="en-US" w:eastAsia="zh-CN"/>
        </w:rPr>
        <w:t>图</w:t>
      </w:r>
    </w:p>
    <w:p w14:paraId="3A1F2D6F">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附图1</w:t>
      </w:r>
      <w:r>
        <w:rPr>
          <w:rFonts w:hint="eastAsia" w:ascii="Times New Roman" w:hAnsi="Times New Roman"/>
          <w:color w:val="auto"/>
          <w:sz w:val="24"/>
          <w:highlight w:val="none"/>
          <w:lang w:val="en-US" w:eastAsia="zh-CN"/>
        </w:rPr>
        <w:t>2</w:t>
      </w:r>
      <w:r>
        <w:rPr>
          <w:rFonts w:hint="eastAsia" w:ascii="Times New Roman" w:hAnsi="Times New Roman"/>
          <w:color w:val="auto"/>
          <w:sz w:val="24"/>
          <w:highlight w:val="none"/>
        </w:rPr>
        <w:t xml:space="preserve"> 生态环境保护措施分布图</w:t>
      </w:r>
    </w:p>
    <w:p w14:paraId="7C235A9F">
      <w:pPr>
        <w:adjustRightInd w:val="0"/>
        <w:snapToGrid w:val="0"/>
        <w:spacing w:after="0" w:line="360" w:lineRule="auto"/>
        <w:rPr>
          <w:rFonts w:hint="eastAsia" w:ascii="Times New Roman" w:hAnsi="Times New Roman"/>
          <w:color w:val="auto"/>
          <w:sz w:val="24"/>
          <w:highlight w:val="none"/>
        </w:rPr>
      </w:pPr>
      <w:r>
        <w:rPr>
          <w:rFonts w:hint="eastAsia" w:ascii="Times New Roman" w:hAnsi="Times New Roman"/>
          <w:color w:val="auto"/>
          <w:sz w:val="24"/>
          <w:highlight w:val="none"/>
        </w:rPr>
        <w:t>附图1</w:t>
      </w:r>
      <w:r>
        <w:rPr>
          <w:rFonts w:hint="eastAsia" w:ascii="Times New Roman" w:hAnsi="Times New Roman"/>
          <w:color w:val="auto"/>
          <w:sz w:val="24"/>
          <w:highlight w:val="none"/>
          <w:lang w:val="en-US" w:eastAsia="zh-CN"/>
        </w:rPr>
        <w:t>3</w:t>
      </w:r>
      <w:r>
        <w:rPr>
          <w:rFonts w:hint="eastAsia" w:ascii="Times New Roman" w:hAnsi="Times New Roman"/>
          <w:color w:val="auto"/>
          <w:sz w:val="24"/>
          <w:highlight w:val="none"/>
        </w:rPr>
        <w:t xml:space="preserve"> 生态环境保护目标图</w:t>
      </w:r>
    </w:p>
    <w:p w14:paraId="5530A7DB">
      <w:pPr>
        <w:adjustRightInd w:val="0"/>
        <w:snapToGrid w:val="0"/>
        <w:spacing w:after="0" w:line="360" w:lineRule="auto"/>
        <w:rPr>
          <w:rFonts w:ascii="Times New Roman" w:hAnsi="Times New Roman"/>
          <w:color w:val="auto"/>
          <w:sz w:val="24"/>
          <w:highlight w:val="none"/>
        </w:rPr>
      </w:pPr>
      <w:r>
        <w:rPr>
          <w:rFonts w:hint="eastAsia" w:ascii="Times New Roman" w:hAnsi="Times New Roman"/>
          <w:color w:val="auto"/>
          <w:sz w:val="24"/>
          <w:highlight w:val="none"/>
        </w:rPr>
        <w:t>附图1</w:t>
      </w:r>
      <w:r>
        <w:rPr>
          <w:rFonts w:hint="eastAsia" w:ascii="Times New Roman" w:hAnsi="Times New Roman"/>
          <w:color w:val="auto"/>
          <w:sz w:val="24"/>
          <w:highlight w:val="none"/>
          <w:lang w:val="en-US" w:eastAsia="zh-CN"/>
        </w:rPr>
        <w:t>4</w:t>
      </w:r>
      <w:r>
        <w:rPr>
          <w:rFonts w:hint="eastAsia" w:ascii="Times New Roman" w:hAnsi="Times New Roman"/>
          <w:color w:val="auto"/>
          <w:sz w:val="24"/>
          <w:highlight w:val="none"/>
        </w:rPr>
        <w:t xml:space="preserve"> 环境质量现状监测布点图</w:t>
      </w:r>
    </w:p>
    <w:p w14:paraId="1BAF28C7">
      <w:pPr>
        <w:adjustRightInd w:val="0"/>
        <w:snapToGrid w:val="0"/>
        <w:spacing w:after="0" w:line="360" w:lineRule="auto"/>
        <w:rPr>
          <w:rFonts w:ascii="Times New Roman" w:hAnsi="Times New Roman"/>
          <w:color w:val="auto"/>
          <w:sz w:val="24"/>
          <w:highlight w:val="none"/>
        </w:rPr>
      </w:pPr>
      <w:bookmarkStart w:id="3" w:name="_Toc29181"/>
      <w:r>
        <w:rPr>
          <w:rFonts w:hint="eastAsia" w:ascii="Times New Roman" w:hAnsi="Times New Roman"/>
          <w:color w:val="auto"/>
          <w:sz w:val="24"/>
          <w:highlight w:val="none"/>
        </w:rPr>
        <w:t>附图15 土地利用现状图</w:t>
      </w:r>
    </w:p>
    <w:p w14:paraId="3D4BACD5">
      <w:pPr>
        <w:adjustRightInd w:val="0"/>
        <w:snapToGrid w:val="0"/>
        <w:spacing w:line="360" w:lineRule="auto"/>
        <w:rPr>
          <w:rFonts w:ascii="Times New Roman" w:hAnsi="Times New Roman"/>
          <w:b/>
          <w:bCs/>
          <w:color w:val="auto"/>
          <w:sz w:val="24"/>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720" w:num="1"/>
          <w:docGrid w:linePitch="312" w:charSpace="0"/>
        </w:sectPr>
      </w:pPr>
    </w:p>
    <w:p w14:paraId="42176EA9">
      <w:pPr>
        <w:pStyle w:val="20"/>
        <w:pageBreakBefore/>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t>一、建设项目基本情况</w:t>
      </w:r>
      <w:bookmarkEnd w:id="3"/>
    </w:p>
    <w:tbl>
      <w:tblPr>
        <w:tblStyle w:val="22"/>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807"/>
        <w:gridCol w:w="692"/>
        <w:gridCol w:w="2468"/>
        <w:gridCol w:w="1825"/>
        <w:gridCol w:w="12"/>
        <w:gridCol w:w="3061"/>
      </w:tblGrid>
      <w:tr w14:paraId="77B324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99" w:type="dxa"/>
            <w:gridSpan w:val="2"/>
            <w:tcMar>
              <w:top w:w="16" w:type="dxa"/>
              <w:left w:w="16" w:type="dxa"/>
              <w:right w:w="16" w:type="dxa"/>
            </w:tcMar>
            <w:vAlign w:val="center"/>
          </w:tcPr>
          <w:p w14:paraId="4C62F996">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建设项目名称</w:t>
            </w:r>
          </w:p>
        </w:tc>
        <w:tc>
          <w:tcPr>
            <w:tcW w:w="7366" w:type="dxa"/>
            <w:gridSpan w:val="4"/>
            <w:vAlign w:val="center"/>
          </w:tcPr>
          <w:p w14:paraId="6C9787E7">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rPr>
              <w:t>朱集西煤矿盾构机施工巷道地面钻孔探查项目</w:t>
            </w:r>
          </w:p>
        </w:tc>
      </w:tr>
      <w:tr w14:paraId="551843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1499" w:type="dxa"/>
            <w:gridSpan w:val="2"/>
            <w:tcMar>
              <w:top w:w="16" w:type="dxa"/>
              <w:left w:w="16" w:type="dxa"/>
              <w:right w:w="16" w:type="dxa"/>
            </w:tcMar>
            <w:vAlign w:val="center"/>
          </w:tcPr>
          <w:p w14:paraId="0B66A878">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项目代码</w:t>
            </w:r>
          </w:p>
        </w:tc>
        <w:tc>
          <w:tcPr>
            <w:tcW w:w="7366" w:type="dxa"/>
            <w:gridSpan w:val="4"/>
            <w:vAlign w:val="center"/>
          </w:tcPr>
          <w:p w14:paraId="2D7187C9">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rPr>
              <w:t>2606-340406-04-01-971157</w:t>
            </w:r>
          </w:p>
        </w:tc>
      </w:tr>
      <w:tr w14:paraId="780C9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1499" w:type="dxa"/>
            <w:gridSpan w:val="2"/>
            <w:tcMar>
              <w:top w:w="16" w:type="dxa"/>
              <w:left w:w="16" w:type="dxa"/>
              <w:right w:w="16" w:type="dxa"/>
            </w:tcMar>
            <w:vAlign w:val="center"/>
          </w:tcPr>
          <w:p w14:paraId="6C6FBBED">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建设单位联系人</w:t>
            </w:r>
          </w:p>
        </w:tc>
        <w:tc>
          <w:tcPr>
            <w:tcW w:w="2468" w:type="dxa"/>
            <w:vAlign w:val="center"/>
          </w:tcPr>
          <w:p w14:paraId="067E280D">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rPr>
              <w:t>蒋守平</w:t>
            </w:r>
          </w:p>
        </w:tc>
        <w:tc>
          <w:tcPr>
            <w:tcW w:w="1837" w:type="dxa"/>
            <w:gridSpan w:val="2"/>
            <w:vAlign w:val="center"/>
          </w:tcPr>
          <w:p w14:paraId="2802AB75">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联系方式</w:t>
            </w:r>
          </w:p>
        </w:tc>
        <w:tc>
          <w:tcPr>
            <w:tcW w:w="3061" w:type="dxa"/>
            <w:vAlign w:val="center"/>
          </w:tcPr>
          <w:p w14:paraId="1BF7FC36">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eastAsia="仿宋"/>
                <w:color w:val="auto"/>
                <w:sz w:val="24"/>
                <w:highlight w:val="none"/>
              </w:rPr>
              <w:t>18056174126</w:t>
            </w:r>
          </w:p>
        </w:tc>
      </w:tr>
      <w:tr w14:paraId="63E12D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1499" w:type="dxa"/>
            <w:gridSpan w:val="2"/>
            <w:tcMar>
              <w:top w:w="16" w:type="dxa"/>
              <w:left w:w="16" w:type="dxa"/>
              <w:right w:w="16" w:type="dxa"/>
            </w:tcMar>
            <w:vAlign w:val="center"/>
          </w:tcPr>
          <w:p w14:paraId="52C6B8EF">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建设地点</w:t>
            </w:r>
          </w:p>
        </w:tc>
        <w:tc>
          <w:tcPr>
            <w:tcW w:w="7366" w:type="dxa"/>
            <w:gridSpan w:val="4"/>
            <w:vAlign w:val="center"/>
          </w:tcPr>
          <w:p w14:paraId="453352C0">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安徽省淮南市潘集区贺疃镇</w:t>
            </w:r>
          </w:p>
        </w:tc>
      </w:tr>
      <w:tr w14:paraId="423C8A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1499" w:type="dxa"/>
            <w:gridSpan w:val="2"/>
            <w:tcMar>
              <w:top w:w="16" w:type="dxa"/>
              <w:left w:w="16" w:type="dxa"/>
              <w:right w:w="16" w:type="dxa"/>
            </w:tcMar>
            <w:vAlign w:val="center"/>
          </w:tcPr>
          <w:p w14:paraId="2622D605">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地理坐标</w:t>
            </w:r>
          </w:p>
        </w:tc>
        <w:tc>
          <w:tcPr>
            <w:tcW w:w="7366" w:type="dxa"/>
            <w:gridSpan w:val="4"/>
            <w:vAlign w:val="center"/>
          </w:tcPr>
          <w:tbl>
            <w:tblPr>
              <w:tblStyle w:val="22"/>
              <w:tblW w:w="49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2"/>
              <w:gridCol w:w="1113"/>
              <w:gridCol w:w="2719"/>
              <w:gridCol w:w="2590"/>
            </w:tblGrid>
            <w:tr w14:paraId="4AC24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D392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FA94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点号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5E10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EAA5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纬度</w:t>
                  </w:r>
                </w:p>
              </w:tc>
            </w:tr>
            <w:tr w14:paraId="51156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B7E9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6F63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78D9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116度44分10.203秒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1233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32度53分56.413秒</w:t>
                  </w:r>
                </w:p>
              </w:tc>
            </w:tr>
            <w:tr w14:paraId="42214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36CA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868F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677D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116度44分10.081秒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612A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32度53分51.938秒</w:t>
                  </w:r>
                </w:p>
              </w:tc>
            </w:tr>
            <w:tr w14:paraId="04DBE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EAC0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E4F6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2650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116度44分9.395秒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85D9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32度53分47.394秒</w:t>
                  </w:r>
                </w:p>
              </w:tc>
            </w:tr>
            <w:tr w14:paraId="680F7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9630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112E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8D86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116度44分8.814秒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4D91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32度53分43.637秒</w:t>
                  </w:r>
                </w:p>
              </w:tc>
            </w:tr>
            <w:tr w14:paraId="37107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E99A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ED99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2ED9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116度44分8.208秒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3C75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32度53分39.134秒</w:t>
                  </w:r>
                </w:p>
              </w:tc>
            </w:tr>
            <w:tr w14:paraId="1DB0C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AB1F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8191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3027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116度44分7.629秒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3BE8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32度53分33.443秒</w:t>
                  </w:r>
                </w:p>
              </w:tc>
            </w:tr>
            <w:tr w14:paraId="2BD2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4025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69CE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473E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116度44分12.163秒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96E2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32度53分30.915秒</w:t>
                  </w:r>
                </w:p>
              </w:tc>
            </w:tr>
            <w:tr w14:paraId="2C5C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9653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8843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5E36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116度44分15.620秒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CB24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32度53分33.768秒</w:t>
                  </w:r>
                </w:p>
              </w:tc>
            </w:tr>
            <w:tr w14:paraId="1BD6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71F2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BDA6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538D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116度44分16.056秒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7A8A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32度53分40.233秒</w:t>
                  </w:r>
                </w:p>
              </w:tc>
            </w:tr>
            <w:tr w14:paraId="53D73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870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6FA7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7DA9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116度44分16.888秒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6192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32度53分45.412秒</w:t>
                  </w:r>
                </w:p>
              </w:tc>
            </w:tr>
            <w:tr w14:paraId="2CB9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4219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80F2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3EBF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116度44分17.425秒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15EA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32度53分49.153秒</w:t>
                  </w:r>
                </w:p>
              </w:tc>
            </w:tr>
            <w:tr w14:paraId="7911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7F75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51EF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AD11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116度44分18.417秒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B288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32度53分56.019秒</w:t>
                  </w:r>
                </w:p>
              </w:tc>
            </w:tr>
            <w:tr w14:paraId="0FA0E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B68B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A994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2BD4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116度44分18.832秒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32F6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32度53分58.895秒</w:t>
                  </w:r>
                </w:p>
              </w:tc>
            </w:tr>
            <w:tr w14:paraId="61733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4F58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BCCD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08DD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116度44分19.444秒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67F8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32度54分1.396秒</w:t>
                  </w:r>
                </w:p>
              </w:tc>
            </w:tr>
            <w:tr w14:paraId="1747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105B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D0CE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1947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116度43分42.675秒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E849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32度53分52.445秒</w:t>
                  </w:r>
                </w:p>
              </w:tc>
            </w:tr>
            <w:tr w14:paraId="4ACCF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DE07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69CC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BC57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116度43分40.305秒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E11F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32度53分36.893秒</w:t>
                  </w:r>
                </w:p>
              </w:tc>
            </w:tr>
            <w:tr w14:paraId="322B8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7696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4029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D305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116度43分39.548秒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485A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32度53分31.796秒</w:t>
                  </w:r>
                </w:p>
              </w:tc>
            </w:tr>
            <w:tr w14:paraId="6E64E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825C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DED2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31EB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116度43分35.981秒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3453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32度53分4.418秒</w:t>
                  </w:r>
                </w:p>
              </w:tc>
            </w:tr>
            <w:tr w14:paraId="10E0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37AC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9D6D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DG1-19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6DC1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116度43分35.068秒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9CAD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32度52分58.638秒</w:t>
                  </w:r>
                </w:p>
              </w:tc>
            </w:tr>
          </w:tbl>
          <w:p w14:paraId="1C1EB5A2">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color w:val="auto"/>
                <w:sz w:val="24"/>
                <w:highlight w:val="none"/>
              </w:rPr>
            </w:pPr>
          </w:p>
        </w:tc>
      </w:tr>
      <w:tr w14:paraId="749A6E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1499" w:type="dxa"/>
            <w:gridSpan w:val="2"/>
            <w:tcMar>
              <w:top w:w="16" w:type="dxa"/>
              <w:left w:w="16" w:type="dxa"/>
              <w:right w:w="16" w:type="dxa"/>
            </w:tcMar>
            <w:vAlign w:val="center"/>
          </w:tcPr>
          <w:p w14:paraId="50C70114">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建设项目</w:t>
            </w:r>
          </w:p>
          <w:p w14:paraId="7CC0F7C9">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行业类别</w:t>
            </w:r>
          </w:p>
        </w:tc>
        <w:tc>
          <w:tcPr>
            <w:tcW w:w="2468" w:type="dxa"/>
            <w:vAlign w:val="center"/>
          </w:tcPr>
          <w:p w14:paraId="6B32F5F5">
            <w:pPr>
              <w:adjustRightInd w:val="0"/>
              <w:snapToGrid w:val="0"/>
              <w:spacing w:before="80" w:after="80" w:line="240" w:lineRule="auto"/>
              <w:jc w:val="center"/>
              <w:rPr>
                <w:rFonts w:hint="eastAsia" w:ascii="Times New Roman" w:hAnsi="Times New Roman" w:eastAsia="宋体"/>
                <w:color w:val="auto"/>
                <w:sz w:val="24"/>
                <w:highlight w:val="none"/>
                <w:lang w:eastAsia="zh-CN"/>
              </w:rPr>
            </w:pPr>
            <w:r>
              <w:rPr>
                <w:rFonts w:hint="eastAsia" w:ascii="Times New Roman" w:hAnsi="Times New Roman"/>
                <w:color w:val="auto"/>
                <w:sz w:val="24"/>
                <w:highlight w:val="none"/>
                <w:lang w:eastAsia="zh-CN"/>
              </w:rPr>
              <w:t>“</w:t>
            </w:r>
            <w:r>
              <w:rPr>
                <w:rFonts w:ascii="Times New Roman" w:hAnsi="Times New Roman"/>
                <w:color w:val="auto"/>
                <w:sz w:val="24"/>
                <w:highlight w:val="none"/>
              </w:rPr>
              <w:t>四十六、专业技术服务业99中的陆地矿产资源地质勘查（含油气资源勘探）；二氧化碳地质封存中其他</w:t>
            </w:r>
            <w:r>
              <w:rPr>
                <w:rFonts w:hint="eastAsia" w:ascii="Times New Roman" w:hAnsi="Times New Roman"/>
                <w:color w:val="auto"/>
                <w:sz w:val="24"/>
                <w:highlight w:val="none"/>
                <w:lang w:eastAsia="zh-CN"/>
              </w:rPr>
              <w:t>”</w:t>
            </w:r>
          </w:p>
        </w:tc>
        <w:tc>
          <w:tcPr>
            <w:tcW w:w="1825" w:type="dxa"/>
            <w:vAlign w:val="center"/>
          </w:tcPr>
          <w:p w14:paraId="76D8E8EE">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用地面积（m</w:t>
            </w:r>
            <w:r>
              <w:rPr>
                <w:rFonts w:ascii="Times New Roman" w:hAnsi="Times New Roman"/>
                <w:color w:val="auto"/>
                <w:sz w:val="24"/>
                <w:highlight w:val="none"/>
                <w:vertAlign w:val="superscript"/>
              </w:rPr>
              <w:t>2</w:t>
            </w:r>
            <w:r>
              <w:rPr>
                <w:rFonts w:ascii="Times New Roman" w:hAnsi="Times New Roman"/>
                <w:color w:val="auto"/>
                <w:sz w:val="24"/>
                <w:highlight w:val="none"/>
              </w:rPr>
              <w:t>）</w:t>
            </w:r>
          </w:p>
        </w:tc>
        <w:tc>
          <w:tcPr>
            <w:tcW w:w="3073" w:type="dxa"/>
            <w:gridSpan w:val="2"/>
            <w:vAlign w:val="center"/>
          </w:tcPr>
          <w:p w14:paraId="12B890C5">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rPr>
              <w:t>井场临时用地：</w:t>
            </w:r>
            <w:r>
              <w:rPr>
                <w:rFonts w:hint="eastAsia" w:ascii="Times New Roman" w:hAnsi="Times New Roman"/>
                <w:color w:val="auto"/>
                <w:sz w:val="24"/>
                <w:highlight w:val="none"/>
                <w:lang w:val="en-US" w:eastAsia="zh-CN"/>
              </w:rPr>
              <w:t>28268</w:t>
            </w:r>
            <w:r>
              <w:rPr>
                <w:rFonts w:ascii="Times New Roman" w:hAnsi="Times New Roman"/>
                <w:color w:val="auto"/>
                <w:sz w:val="24"/>
                <w:highlight w:val="none"/>
              </w:rPr>
              <w:t>m</w:t>
            </w:r>
            <w:r>
              <w:rPr>
                <w:rFonts w:ascii="Times New Roman" w:hAnsi="Times New Roman"/>
                <w:color w:val="auto"/>
                <w:sz w:val="24"/>
                <w:highlight w:val="none"/>
                <w:vertAlign w:val="superscript"/>
              </w:rPr>
              <w:t>2</w:t>
            </w:r>
            <w:r>
              <w:rPr>
                <w:rFonts w:hint="eastAsia" w:ascii="Times New Roman" w:hAnsi="Times New Roman"/>
                <w:color w:val="auto"/>
                <w:sz w:val="24"/>
                <w:highlight w:val="none"/>
              </w:rPr>
              <w:t>；</w:t>
            </w:r>
          </w:p>
          <w:p w14:paraId="554396F7">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rPr>
              <w:t>临时道路用地：</w:t>
            </w:r>
            <w:r>
              <w:rPr>
                <w:rFonts w:hint="eastAsia" w:ascii="Times New Roman" w:hAnsi="Times New Roman"/>
                <w:color w:val="auto"/>
                <w:sz w:val="24"/>
                <w:highlight w:val="none"/>
                <w:lang w:val="en-US" w:eastAsia="zh-CN"/>
              </w:rPr>
              <w:t>3110</w:t>
            </w:r>
            <w:r>
              <w:rPr>
                <w:rFonts w:ascii="Times New Roman" w:hAnsi="Times New Roman"/>
                <w:color w:val="auto"/>
                <w:sz w:val="24"/>
                <w:highlight w:val="none"/>
              </w:rPr>
              <w:t>m</w:t>
            </w:r>
            <w:r>
              <w:rPr>
                <w:rFonts w:ascii="Times New Roman" w:hAnsi="Times New Roman"/>
                <w:color w:val="auto"/>
                <w:sz w:val="24"/>
                <w:highlight w:val="none"/>
                <w:vertAlign w:val="superscript"/>
              </w:rPr>
              <w:t>2</w:t>
            </w:r>
          </w:p>
        </w:tc>
      </w:tr>
      <w:tr w14:paraId="1DFD3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jc w:val="center"/>
        </w:trPr>
        <w:tc>
          <w:tcPr>
            <w:tcW w:w="1499" w:type="dxa"/>
            <w:gridSpan w:val="2"/>
            <w:tcMar>
              <w:top w:w="16" w:type="dxa"/>
              <w:left w:w="16" w:type="dxa"/>
              <w:right w:w="16" w:type="dxa"/>
            </w:tcMar>
            <w:vAlign w:val="center"/>
          </w:tcPr>
          <w:p w14:paraId="1D568AFB">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建设性质</w:t>
            </w:r>
          </w:p>
        </w:tc>
        <w:tc>
          <w:tcPr>
            <w:tcW w:w="2468" w:type="dxa"/>
            <w:vAlign w:val="center"/>
          </w:tcPr>
          <w:p w14:paraId="0A67F33D">
            <w:pPr>
              <w:adjustRightInd w:val="0"/>
              <w:snapToGrid w:val="0"/>
              <w:spacing w:before="80" w:after="80" w:line="240" w:lineRule="auto"/>
              <w:jc w:val="left"/>
              <w:rPr>
                <w:rFonts w:ascii="Times New Roman" w:hAnsi="Times New Roman"/>
                <w:color w:val="auto"/>
                <w:sz w:val="24"/>
                <w:highlight w:val="none"/>
              </w:rPr>
            </w:pPr>
            <w:r>
              <w:rPr>
                <w:rFonts w:hint="eastAsia" w:ascii="Times New Roman" w:hAnsi="Times New Roman"/>
                <w:color w:val="auto"/>
                <w:sz w:val="24"/>
                <w:highlight w:val="none"/>
              </w:rPr>
              <w:t>☑</w:t>
            </w:r>
            <w:r>
              <w:rPr>
                <w:rFonts w:ascii="Times New Roman" w:hAnsi="Times New Roman"/>
                <w:color w:val="auto"/>
                <w:sz w:val="24"/>
                <w:highlight w:val="none"/>
              </w:rPr>
              <w:t>新建（迁建）</w:t>
            </w:r>
          </w:p>
          <w:p w14:paraId="59410525">
            <w:pPr>
              <w:adjustRightInd w:val="0"/>
              <w:snapToGrid w:val="0"/>
              <w:spacing w:before="80" w:after="80" w:line="240" w:lineRule="auto"/>
              <w:jc w:val="left"/>
              <w:rPr>
                <w:rFonts w:ascii="Times New Roman" w:hAnsi="Times New Roman"/>
                <w:color w:val="auto"/>
                <w:sz w:val="24"/>
                <w:highlight w:val="none"/>
              </w:rPr>
            </w:pPr>
            <w:r>
              <w:rPr>
                <w:rFonts w:ascii="Times New Roman" w:hAnsi="Times New Roman"/>
                <w:color w:val="auto"/>
                <w:sz w:val="24"/>
                <w:highlight w:val="none"/>
              </w:rPr>
              <w:t>□改建</w:t>
            </w:r>
          </w:p>
          <w:p w14:paraId="20A0D0AD">
            <w:pPr>
              <w:adjustRightInd w:val="0"/>
              <w:snapToGrid w:val="0"/>
              <w:spacing w:before="80" w:after="80" w:line="240" w:lineRule="auto"/>
              <w:jc w:val="left"/>
              <w:rPr>
                <w:rFonts w:ascii="Times New Roman" w:hAnsi="Times New Roman"/>
                <w:color w:val="auto"/>
                <w:sz w:val="24"/>
                <w:highlight w:val="none"/>
              </w:rPr>
            </w:pPr>
            <w:r>
              <w:rPr>
                <w:rFonts w:ascii="Times New Roman" w:hAnsi="Times New Roman"/>
                <w:color w:val="auto"/>
                <w:sz w:val="24"/>
                <w:highlight w:val="none"/>
              </w:rPr>
              <w:t>□扩建</w:t>
            </w:r>
          </w:p>
          <w:p w14:paraId="24847DE0">
            <w:pPr>
              <w:adjustRightInd w:val="0"/>
              <w:snapToGrid w:val="0"/>
              <w:spacing w:before="80" w:after="80" w:line="240" w:lineRule="auto"/>
              <w:jc w:val="left"/>
              <w:rPr>
                <w:rFonts w:ascii="Times New Roman" w:hAnsi="Times New Roman"/>
                <w:color w:val="auto"/>
                <w:sz w:val="24"/>
                <w:highlight w:val="none"/>
              </w:rPr>
            </w:pPr>
            <w:r>
              <w:rPr>
                <w:rFonts w:ascii="Times New Roman" w:hAnsi="Times New Roman"/>
                <w:color w:val="auto"/>
                <w:sz w:val="24"/>
                <w:highlight w:val="none"/>
              </w:rPr>
              <w:t>□技术改造</w:t>
            </w:r>
          </w:p>
        </w:tc>
        <w:tc>
          <w:tcPr>
            <w:tcW w:w="1825" w:type="dxa"/>
            <w:vAlign w:val="center"/>
          </w:tcPr>
          <w:p w14:paraId="1B7E73F3">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建设项目</w:t>
            </w:r>
          </w:p>
          <w:p w14:paraId="0E9D25A4">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申报情形</w:t>
            </w:r>
          </w:p>
        </w:tc>
        <w:tc>
          <w:tcPr>
            <w:tcW w:w="3073" w:type="dxa"/>
            <w:gridSpan w:val="2"/>
            <w:vAlign w:val="center"/>
          </w:tcPr>
          <w:p w14:paraId="1BFFDE00">
            <w:pPr>
              <w:adjustRightInd w:val="0"/>
              <w:snapToGrid w:val="0"/>
              <w:spacing w:before="80" w:after="80" w:line="240" w:lineRule="auto"/>
              <w:jc w:val="left"/>
              <w:rPr>
                <w:rFonts w:ascii="Times New Roman" w:hAnsi="Times New Roman"/>
                <w:color w:val="auto"/>
                <w:sz w:val="24"/>
                <w:highlight w:val="none"/>
              </w:rPr>
            </w:pPr>
            <w:r>
              <w:rPr>
                <w:rFonts w:hint="eastAsia" w:ascii="Times New Roman" w:hAnsi="Times New Roman"/>
                <w:color w:val="auto"/>
                <w:sz w:val="24"/>
                <w:highlight w:val="none"/>
              </w:rPr>
              <w:t>☑</w:t>
            </w:r>
            <w:r>
              <w:rPr>
                <w:rFonts w:ascii="Times New Roman" w:hAnsi="Times New Roman"/>
                <w:color w:val="auto"/>
                <w:sz w:val="24"/>
                <w:highlight w:val="none"/>
              </w:rPr>
              <w:t>首次申报项目</w:t>
            </w:r>
          </w:p>
          <w:p w14:paraId="3DAC853F">
            <w:pPr>
              <w:adjustRightInd w:val="0"/>
              <w:snapToGrid w:val="0"/>
              <w:spacing w:before="80" w:after="80" w:line="240" w:lineRule="auto"/>
              <w:jc w:val="left"/>
              <w:rPr>
                <w:rFonts w:ascii="Times New Roman" w:hAnsi="Times New Roman"/>
                <w:color w:val="auto"/>
                <w:sz w:val="24"/>
                <w:highlight w:val="none"/>
              </w:rPr>
            </w:pPr>
            <w:r>
              <w:rPr>
                <w:rFonts w:ascii="Times New Roman" w:hAnsi="Times New Roman"/>
                <w:color w:val="auto"/>
                <w:sz w:val="24"/>
                <w:highlight w:val="none"/>
              </w:rPr>
              <w:t>□不予批准后再次申报项目</w:t>
            </w:r>
          </w:p>
          <w:p w14:paraId="604337D5">
            <w:pPr>
              <w:adjustRightInd w:val="0"/>
              <w:snapToGrid w:val="0"/>
              <w:spacing w:before="80" w:after="80" w:line="240" w:lineRule="auto"/>
              <w:jc w:val="left"/>
              <w:rPr>
                <w:rFonts w:ascii="Times New Roman" w:hAnsi="Times New Roman"/>
                <w:color w:val="auto"/>
                <w:sz w:val="24"/>
                <w:highlight w:val="none"/>
              </w:rPr>
            </w:pPr>
            <w:r>
              <w:rPr>
                <w:rFonts w:ascii="Times New Roman" w:hAnsi="Times New Roman"/>
                <w:color w:val="auto"/>
                <w:sz w:val="24"/>
                <w:highlight w:val="none"/>
              </w:rPr>
              <w:t>□超五年重新审核项目</w:t>
            </w:r>
          </w:p>
          <w:p w14:paraId="7C910DB0">
            <w:pPr>
              <w:adjustRightInd w:val="0"/>
              <w:snapToGrid w:val="0"/>
              <w:spacing w:before="80" w:after="80" w:line="240" w:lineRule="auto"/>
              <w:jc w:val="left"/>
              <w:rPr>
                <w:rFonts w:ascii="Times New Roman" w:hAnsi="Times New Roman"/>
                <w:color w:val="auto"/>
                <w:sz w:val="24"/>
                <w:highlight w:val="none"/>
              </w:rPr>
            </w:pPr>
            <w:r>
              <w:rPr>
                <w:rFonts w:ascii="Times New Roman" w:hAnsi="Times New Roman"/>
                <w:color w:val="auto"/>
                <w:sz w:val="24"/>
                <w:highlight w:val="none"/>
              </w:rPr>
              <w:t>□重大变动重新报批项目</w:t>
            </w:r>
          </w:p>
        </w:tc>
      </w:tr>
      <w:tr w14:paraId="79CB33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1499" w:type="dxa"/>
            <w:gridSpan w:val="2"/>
            <w:tcMar>
              <w:top w:w="16" w:type="dxa"/>
              <w:left w:w="16" w:type="dxa"/>
              <w:right w:w="16" w:type="dxa"/>
            </w:tcMar>
            <w:vAlign w:val="center"/>
          </w:tcPr>
          <w:p w14:paraId="7C7C6607">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项目审批（核准/备案）部门（选填）</w:t>
            </w:r>
          </w:p>
        </w:tc>
        <w:tc>
          <w:tcPr>
            <w:tcW w:w="2468" w:type="dxa"/>
            <w:vAlign w:val="center"/>
          </w:tcPr>
          <w:p w14:paraId="5178ABA8">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潘集区发展和改革委员会</w:t>
            </w:r>
          </w:p>
        </w:tc>
        <w:tc>
          <w:tcPr>
            <w:tcW w:w="1825" w:type="dxa"/>
            <w:vAlign w:val="center"/>
          </w:tcPr>
          <w:p w14:paraId="4A8AF70B">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项目审批（核准/</w:t>
            </w:r>
          </w:p>
          <w:p w14:paraId="01BF68C4">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备案）文号（选填）</w:t>
            </w:r>
          </w:p>
        </w:tc>
        <w:tc>
          <w:tcPr>
            <w:tcW w:w="3073" w:type="dxa"/>
            <w:gridSpan w:val="2"/>
            <w:vAlign w:val="center"/>
          </w:tcPr>
          <w:p w14:paraId="27BCF5AF">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w:t>
            </w:r>
          </w:p>
        </w:tc>
      </w:tr>
      <w:tr w14:paraId="70D7BD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1499" w:type="dxa"/>
            <w:gridSpan w:val="2"/>
            <w:tcMar>
              <w:top w:w="16" w:type="dxa"/>
              <w:left w:w="16" w:type="dxa"/>
              <w:right w:w="16" w:type="dxa"/>
            </w:tcMar>
            <w:vAlign w:val="center"/>
          </w:tcPr>
          <w:p w14:paraId="790DA334">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总投资（万元）</w:t>
            </w:r>
          </w:p>
        </w:tc>
        <w:tc>
          <w:tcPr>
            <w:tcW w:w="2468" w:type="dxa"/>
            <w:vAlign w:val="center"/>
          </w:tcPr>
          <w:p w14:paraId="4167A7A4">
            <w:pPr>
              <w:adjustRightInd w:val="0"/>
              <w:snapToGrid w:val="0"/>
              <w:spacing w:before="80" w:after="80" w:line="240" w:lineRule="auto"/>
              <w:jc w:val="center"/>
              <w:rPr>
                <w:rFonts w:hint="default" w:ascii="Times New Roman" w:hAnsi="Times New Roman" w:eastAsia="宋体"/>
                <w:color w:val="auto"/>
                <w:sz w:val="24"/>
                <w:highlight w:val="none"/>
                <w:lang w:val="en-US" w:eastAsia="zh-CN"/>
              </w:rPr>
            </w:pPr>
            <w:r>
              <w:rPr>
                <w:rFonts w:hint="eastAsia" w:ascii="Times New Roman" w:hAnsi="Times New Roman"/>
                <w:color w:val="auto"/>
                <w:sz w:val="24"/>
                <w:highlight w:val="none"/>
                <w:lang w:val="en-US" w:eastAsia="zh-CN"/>
              </w:rPr>
              <w:t>795.666</w:t>
            </w:r>
          </w:p>
        </w:tc>
        <w:tc>
          <w:tcPr>
            <w:tcW w:w="1825" w:type="dxa"/>
            <w:tcMar>
              <w:top w:w="16" w:type="dxa"/>
              <w:left w:w="16" w:type="dxa"/>
              <w:right w:w="16" w:type="dxa"/>
            </w:tcMar>
            <w:vAlign w:val="center"/>
          </w:tcPr>
          <w:p w14:paraId="38F0F75C">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环保投资（万元）</w:t>
            </w:r>
          </w:p>
        </w:tc>
        <w:tc>
          <w:tcPr>
            <w:tcW w:w="3073" w:type="dxa"/>
            <w:gridSpan w:val="2"/>
            <w:vAlign w:val="center"/>
          </w:tcPr>
          <w:p w14:paraId="38BF478A">
            <w:pPr>
              <w:adjustRightInd w:val="0"/>
              <w:snapToGrid w:val="0"/>
              <w:spacing w:before="80" w:after="80" w:line="240" w:lineRule="auto"/>
              <w:jc w:val="center"/>
              <w:rPr>
                <w:rFonts w:hint="default" w:ascii="Times New Roman" w:hAnsi="Times New Roman" w:eastAsia="宋体"/>
                <w:color w:val="auto"/>
                <w:sz w:val="24"/>
                <w:highlight w:val="none"/>
                <w:lang w:val="en-US" w:eastAsia="zh-CN"/>
              </w:rPr>
            </w:pPr>
            <w:r>
              <w:rPr>
                <w:rFonts w:hint="eastAsia" w:ascii="Times New Roman" w:hAnsi="Times New Roman"/>
                <w:color w:val="auto"/>
                <w:sz w:val="24"/>
                <w:highlight w:val="none"/>
                <w:lang w:val="en-US" w:eastAsia="zh-CN"/>
              </w:rPr>
              <w:t>190</w:t>
            </w:r>
          </w:p>
        </w:tc>
      </w:tr>
      <w:tr w14:paraId="20A00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jc w:val="center"/>
        </w:trPr>
        <w:tc>
          <w:tcPr>
            <w:tcW w:w="1499" w:type="dxa"/>
            <w:gridSpan w:val="2"/>
            <w:tcMar>
              <w:top w:w="16" w:type="dxa"/>
              <w:left w:w="16" w:type="dxa"/>
              <w:right w:w="16" w:type="dxa"/>
            </w:tcMar>
            <w:vAlign w:val="center"/>
          </w:tcPr>
          <w:p w14:paraId="6BE5DF69">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环保投资占比（%）</w:t>
            </w:r>
          </w:p>
        </w:tc>
        <w:tc>
          <w:tcPr>
            <w:tcW w:w="2468" w:type="dxa"/>
            <w:vAlign w:val="center"/>
          </w:tcPr>
          <w:p w14:paraId="29AEE002">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rPr>
              <w:t>23.9</w:t>
            </w:r>
            <w:r>
              <w:rPr>
                <w:rFonts w:ascii="Times New Roman" w:hAnsi="Times New Roman"/>
                <w:color w:val="auto"/>
                <w:sz w:val="24"/>
                <w:highlight w:val="none"/>
              </w:rPr>
              <w:t>%</w:t>
            </w:r>
          </w:p>
        </w:tc>
        <w:tc>
          <w:tcPr>
            <w:tcW w:w="1825" w:type="dxa"/>
            <w:tcMar>
              <w:top w:w="16" w:type="dxa"/>
              <w:left w:w="16" w:type="dxa"/>
              <w:right w:w="16" w:type="dxa"/>
            </w:tcMar>
            <w:vAlign w:val="center"/>
          </w:tcPr>
          <w:p w14:paraId="78AE48BE">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施工工期</w:t>
            </w:r>
          </w:p>
        </w:tc>
        <w:tc>
          <w:tcPr>
            <w:tcW w:w="3073" w:type="dxa"/>
            <w:gridSpan w:val="2"/>
            <w:vAlign w:val="center"/>
          </w:tcPr>
          <w:p w14:paraId="26F0C7DB">
            <w:pPr>
              <w:adjustRightInd w:val="0"/>
              <w:snapToGrid w:val="0"/>
              <w:spacing w:before="80" w:after="80" w:line="240" w:lineRule="auto"/>
              <w:jc w:val="center"/>
              <w:rPr>
                <w:rFonts w:ascii="Times New Roman" w:hAnsi="Times New Roman"/>
                <w:color w:val="auto"/>
                <w:sz w:val="24"/>
                <w:highlight w:val="none"/>
              </w:rPr>
            </w:pPr>
            <w:r>
              <w:rPr>
                <w:rFonts w:hint="eastAsia" w:ascii="Times New Roman" w:hAnsi="Times New Roman"/>
                <w:color w:val="auto"/>
                <w:sz w:val="24"/>
                <w:highlight w:val="none"/>
                <w:lang w:val="en-US" w:eastAsia="zh-CN"/>
              </w:rPr>
              <w:t>9</w:t>
            </w:r>
            <w:r>
              <w:rPr>
                <w:rFonts w:hint="eastAsia"/>
                <w:color w:val="auto"/>
                <w:lang w:val="en-US" w:eastAsia="zh-CN"/>
              </w:rPr>
              <w:t>个</w:t>
            </w:r>
            <w:r>
              <w:rPr>
                <w:rFonts w:hint="eastAsia" w:ascii="Times New Roman" w:hAnsi="Times New Roman"/>
                <w:color w:val="auto"/>
                <w:sz w:val="24"/>
                <w:highlight w:val="none"/>
              </w:rPr>
              <w:t>月</w:t>
            </w:r>
          </w:p>
        </w:tc>
      </w:tr>
      <w:tr w14:paraId="40441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1499" w:type="dxa"/>
            <w:gridSpan w:val="2"/>
            <w:tcMar>
              <w:top w:w="16" w:type="dxa"/>
              <w:left w:w="16" w:type="dxa"/>
              <w:right w:w="16" w:type="dxa"/>
            </w:tcMar>
            <w:vAlign w:val="center"/>
          </w:tcPr>
          <w:p w14:paraId="571CEEF8">
            <w:pPr>
              <w:adjustRightInd w:val="0"/>
              <w:snapToGrid w:val="0"/>
              <w:spacing w:before="80" w:after="80" w:line="240" w:lineRule="auto"/>
              <w:jc w:val="center"/>
              <w:rPr>
                <w:rFonts w:ascii="Times New Roman" w:hAnsi="Times New Roman"/>
                <w:color w:val="auto"/>
                <w:sz w:val="24"/>
                <w:highlight w:val="none"/>
              </w:rPr>
            </w:pPr>
            <w:r>
              <w:rPr>
                <w:rFonts w:ascii="Times New Roman" w:hAnsi="Times New Roman"/>
                <w:color w:val="auto"/>
                <w:sz w:val="24"/>
                <w:highlight w:val="none"/>
              </w:rPr>
              <w:t>是否开工建设</w:t>
            </w:r>
          </w:p>
        </w:tc>
        <w:tc>
          <w:tcPr>
            <w:tcW w:w="7366" w:type="dxa"/>
            <w:gridSpan w:val="4"/>
            <w:vAlign w:val="center"/>
          </w:tcPr>
          <w:p w14:paraId="64D7774E">
            <w:pPr>
              <w:adjustRightInd w:val="0"/>
              <w:snapToGrid w:val="0"/>
              <w:spacing w:before="80" w:after="80" w:line="240" w:lineRule="auto"/>
              <w:jc w:val="left"/>
              <w:rPr>
                <w:rFonts w:ascii="宋体" w:hAnsi="宋体" w:cs="宋体"/>
                <w:color w:val="auto"/>
                <w:szCs w:val="21"/>
                <w:highlight w:val="none"/>
              </w:rPr>
            </w:pPr>
            <w:r>
              <w:rPr>
                <w:rFonts w:hint="eastAsia" w:ascii="宋体" w:hAnsi="宋体" w:cs="宋体"/>
                <w:color w:val="auto"/>
                <w:szCs w:val="21"/>
                <w:highlight w:val="none"/>
              </w:rPr>
              <w:t>☑否</w:t>
            </w:r>
          </w:p>
          <w:p w14:paraId="339856C1">
            <w:pPr>
              <w:adjustRightInd w:val="0"/>
              <w:snapToGrid w:val="0"/>
              <w:spacing w:before="80" w:after="80" w:line="240" w:lineRule="auto"/>
              <w:jc w:val="left"/>
              <w:rPr>
                <w:rFonts w:ascii="Times New Roman" w:hAnsi="Times New Roman"/>
                <w:color w:val="auto"/>
                <w:sz w:val="24"/>
                <w:highlight w:val="none"/>
              </w:rPr>
            </w:pPr>
            <w:r>
              <w:rPr>
                <w:rFonts w:hint="eastAsia" w:ascii="宋体" w:hAnsi="宋体" w:cs="宋体"/>
                <w:color w:val="auto"/>
                <w:szCs w:val="21"/>
                <w:highlight w:val="none"/>
              </w:rPr>
              <w:t>□是：</w:t>
            </w:r>
          </w:p>
        </w:tc>
      </w:tr>
      <w:tr w14:paraId="7A1140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07" w:type="dxa"/>
            <w:tcMar>
              <w:top w:w="16" w:type="dxa"/>
              <w:left w:w="16" w:type="dxa"/>
              <w:right w:w="16" w:type="dxa"/>
            </w:tcMar>
            <w:vAlign w:val="center"/>
          </w:tcPr>
          <w:p w14:paraId="210A633C">
            <w:pPr>
              <w:autoSpaceDE w:val="0"/>
              <w:autoSpaceDN w:val="0"/>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专项评价设置情况</w:t>
            </w:r>
          </w:p>
        </w:tc>
        <w:tc>
          <w:tcPr>
            <w:tcW w:w="8058" w:type="dxa"/>
            <w:gridSpan w:val="5"/>
            <w:tcMar>
              <w:top w:w="16" w:type="dxa"/>
              <w:left w:w="16" w:type="dxa"/>
              <w:right w:w="16" w:type="dxa"/>
            </w:tcMar>
            <w:vAlign w:val="center"/>
          </w:tcPr>
          <w:p w14:paraId="286E085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color w:val="auto"/>
                <w:sz w:val="21"/>
                <w:szCs w:val="21"/>
                <w:highlight w:val="none"/>
              </w:rPr>
            </w:pPr>
            <w:r>
              <w:rPr>
                <w:rFonts w:ascii="Times New Roman" w:hAnsi="Times New Roman"/>
                <w:b/>
                <w:color w:val="auto"/>
                <w:sz w:val="21"/>
                <w:szCs w:val="21"/>
                <w:highlight w:val="none"/>
              </w:rPr>
              <w:t>表1-1专项评价设置原则对应一览表</w:t>
            </w:r>
          </w:p>
          <w:tbl>
            <w:tblPr>
              <w:tblStyle w:val="22"/>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4315"/>
              <w:gridCol w:w="2593"/>
            </w:tblGrid>
            <w:tr w14:paraId="23B3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82" w:type="dxa"/>
                  <w:noWrap/>
                  <w:vAlign w:val="center"/>
                </w:tcPr>
                <w:p w14:paraId="38E2FD66">
                  <w:pPr>
                    <w:spacing w:after="0"/>
                    <w:jc w:val="center"/>
                    <w:rPr>
                      <w:rFonts w:ascii="Times New Roman" w:hAnsi="Times New Roman"/>
                      <w:color w:val="auto"/>
                      <w:highlight w:val="none"/>
                    </w:rPr>
                  </w:pPr>
                  <w:r>
                    <w:rPr>
                      <w:rFonts w:ascii="Times New Roman" w:hAnsi="Times New Roman"/>
                      <w:color w:val="auto"/>
                      <w:highlight w:val="none"/>
                    </w:rPr>
                    <w:t>专项评价的类别</w:t>
                  </w:r>
                </w:p>
              </w:tc>
              <w:tc>
                <w:tcPr>
                  <w:tcW w:w="4315" w:type="dxa"/>
                  <w:noWrap/>
                  <w:vAlign w:val="center"/>
                </w:tcPr>
                <w:p w14:paraId="75E61B20">
                  <w:pPr>
                    <w:spacing w:after="0"/>
                    <w:jc w:val="center"/>
                    <w:rPr>
                      <w:rFonts w:ascii="Times New Roman" w:hAnsi="Times New Roman"/>
                      <w:color w:val="auto"/>
                      <w:highlight w:val="none"/>
                    </w:rPr>
                  </w:pPr>
                  <w:r>
                    <w:rPr>
                      <w:rFonts w:ascii="Times New Roman" w:hAnsi="Times New Roman"/>
                      <w:color w:val="auto"/>
                      <w:highlight w:val="none"/>
                    </w:rPr>
                    <w:t>涉及项目类别</w:t>
                  </w:r>
                </w:p>
              </w:tc>
              <w:tc>
                <w:tcPr>
                  <w:tcW w:w="2593" w:type="dxa"/>
                  <w:noWrap/>
                  <w:vAlign w:val="center"/>
                </w:tcPr>
                <w:p w14:paraId="029ACBB4">
                  <w:pPr>
                    <w:spacing w:after="0"/>
                    <w:jc w:val="center"/>
                    <w:rPr>
                      <w:rFonts w:ascii="Times New Roman" w:hAnsi="Times New Roman"/>
                      <w:color w:val="auto"/>
                      <w:highlight w:val="none"/>
                    </w:rPr>
                  </w:pPr>
                  <w:r>
                    <w:rPr>
                      <w:rFonts w:hint="eastAsia" w:ascii="Times New Roman" w:hAnsi="Times New Roman"/>
                      <w:color w:val="auto"/>
                      <w:highlight w:val="none"/>
                    </w:rPr>
                    <w:t>本项目情况</w:t>
                  </w:r>
                </w:p>
              </w:tc>
            </w:tr>
            <w:tr w14:paraId="5493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082" w:type="dxa"/>
                  <w:noWrap/>
                  <w:vAlign w:val="center"/>
                </w:tcPr>
                <w:p w14:paraId="0275CB00">
                  <w:pPr>
                    <w:spacing w:after="0"/>
                    <w:jc w:val="center"/>
                    <w:rPr>
                      <w:rFonts w:ascii="Times New Roman" w:hAnsi="Times New Roman"/>
                      <w:color w:val="auto"/>
                      <w:highlight w:val="none"/>
                    </w:rPr>
                  </w:pPr>
                  <w:r>
                    <w:rPr>
                      <w:rFonts w:ascii="Times New Roman" w:hAnsi="Times New Roman"/>
                      <w:color w:val="auto"/>
                      <w:highlight w:val="none"/>
                    </w:rPr>
                    <w:t>地表水</w:t>
                  </w:r>
                </w:p>
              </w:tc>
              <w:tc>
                <w:tcPr>
                  <w:tcW w:w="4315" w:type="dxa"/>
                  <w:noWrap/>
                  <w:vAlign w:val="center"/>
                </w:tcPr>
                <w:p w14:paraId="5B67A6E1">
                  <w:pPr>
                    <w:spacing w:after="0"/>
                    <w:rPr>
                      <w:rFonts w:ascii="Times New Roman" w:hAnsi="Times New Roman"/>
                      <w:color w:val="auto"/>
                      <w:highlight w:val="none"/>
                    </w:rPr>
                  </w:pPr>
                  <w:r>
                    <w:rPr>
                      <w:rFonts w:ascii="Times New Roman" w:hAnsi="Times New Roman"/>
                      <w:color w:val="auto"/>
                      <w:highlight w:val="none"/>
                    </w:rPr>
                    <w:t>水力发电</w:t>
                  </w:r>
                  <w:r>
                    <w:rPr>
                      <w:rFonts w:hint="eastAsia" w:ascii="Times New Roman" w:hAnsi="Times New Roman"/>
                      <w:color w:val="auto"/>
                      <w:highlight w:val="none"/>
                    </w:rPr>
                    <w:t>：</w:t>
                  </w:r>
                  <w:r>
                    <w:rPr>
                      <w:rFonts w:ascii="Times New Roman" w:hAnsi="Times New Roman"/>
                      <w:color w:val="auto"/>
                      <w:highlight w:val="none"/>
                    </w:rPr>
                    <w:t>引水式发电、涉及调峰发电的项目</w:t>
                  </w:r>
                  <w:r>
                    <w:rPr>
                      <w:rFonts w:hint="eastAsia" w:ascii="Times New Roman" w:hAnsi="Times New Roman"/>
                      <w:color w:val="auto"/>
                      <w:highlight w:val="none"/>
                    </w:rPr>
                    <w:t>；</w:t>
                  </w:r>
                </w:p>
                <w:p w14:paraId="73D22B50">
                  <w:pPr>
                    <w:spacing w:after="0"/>
                    <w:rPr>
                      <w:rFonts w:ascii="Times New Roman" w:hAnsi="Times New Roman"/>
                      <w:color w:val="auto"/>
                      <w:highlight w:val="none"/>
                    </w:rPr>
                  </w:pPr>
                  <w:r>
                    <w:rPr>
                      <w:rFonts w:ascii="Times New Roman" w:hAnsi="Times New Roman"/>
                      <w:color w:val="auto"/>
                      <w:highlight w:val="none"/>
                    </w:rPr>
                    <w:t>人工湖、人工湿地</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5567B0D5">
                  <w:pPr>
                    <w:spacing w:after="0"/>
                    <w:rPr>
                      <w:rFonts w:ascii="Times New Roman" w:hAnsi="Times New Roman"/>
                      <w:color w:val="auto"/>
                      <w:highlight w:val="none"/>
                    </w:rPr>
                  </w:pPr>
                  <w:r>
                    <w:rPr>
                      <w:rFonts w:ascii="Times New Roman" w:hAnsi="Times New Roman"/>
                      <w:color w:val="auto"/>
                      <w:highlight w:val="none"/>
                    </w:rPr>
                    <w:t>水库</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085871F5">
                  <w:pPr>
                    <w:spacing w:after="0"/>
                    <w:rPr>
                      <w:rFonts w:ascii="Times New Roman" w:hAnsi="Times New Roman"/>
                      <w:color w:val="auto"/>
                      <w:highlight w:val="none"/>
                    </w:rPr>
                  </w:pPr>
                  <w:r>
                    <w:rPr>
                      <w:rFonts w:ascii="Times New Roman" w:hAnsi="Times New Roman"/>
                      <w:color w:val="auto"/>
                      <w:highlight w:val="none"/>
                    </w:rPr>
                    <w:t>引水工程</w:t>
                  </w:r>
                  <w:r>
                    <w:rPr>
                      <w:rFonts w:hint="eastAsia" w:ascii="Times New Roman" w:hAnsi="Times New Roman"/>
                      <w:color w:val="auto"/>
                      <w:highlight w:val="none"/>
                    </w:rPr>
                    <w:t>：</w:t>
                  </w:r>
                  <w:r>
                    <w:rPr>
                      <w:rFonts w:ascii="Times New Roman" w:hAnsi="Times New Roman"/>
                      <w:color w:val="auto"/>
                      <w:highlight w:val="none"/>
                    </w:rPr>
                    <w:t>全部(配套的管线工程等除外)</w:t>
                  </w:r>
                  <w:r>
                    <w:rPr>
                      <w:rFonts w:hint="eastAsia" w:ascii="Times New Roman" w:hAnsi="Times New Roman"/>
                      <w:color w:val="auto"/>
                      <w:highlight w:val="none"/>
                    </w:rPr>
                    <w:t>；</w:t>
                  </w:r>
                </w:p>
                <w:p w14:paraId="081B8DE9">
                  <w:pPr>
                    <w:spacing w:after="0"/>
                    <w:rPr>
                      <w:rFonts w:ascii="Times New Roman" w:hAnsi="Times New Roman"/>
                      <w:color w:val="auto"/>
                      <w:highlight w:val="none"/>
                    </w:rPr>
                  </w:pPr>
                  <w:r>
                    <w:rPr>
                      <w:rFonts w:ascii="Times New Roman" w:hAnsi="Times New Roman"/>
                      <w:color w:val="auto"/>
                      <w:highlight w:val="none"/>
                    </w:rPr>
                    <w:t>防洪除涝工程</w:t>
                  </w:r>
                  <w:r>
                    <w:rPr>
                      <w:rFonts w:hint="eastAsia" w:ascii="Times New Roman" w:hAnsi="Times New Roman"/>
                      <w:color w:val="auto"/>
                      <w:highlight w:val="none"/>
                    </w:rPr>
                    <w:t>：</w:t>
                  </w:r>
                  <w:r>
                    <w:rPr>
                      <w:rFonts w:ascii="Times New Roman" w:hAnsi="Times New Roman"/>
                      <w:color w:val="auto"/>
                      <w:highlight w:val="none"/>
                    </w:rPr>
                    <w:t>包含水库的项目</w:t>
                  </w:r>
                  <w:r>
                    <w:rPr>
                      <w:rFonts w:hint="eastAsia" w:ascii="Times New Roman" w:hAnsi="Times New Roman"/>
                      <w:color w:val="auto"/>
                      <w:highlight w:val="none"/>
                    </w:rPr>
                    <w:t>；</w:t>
                  </w:r>
                </w:p>
                <w:p w14:paraId="4D731E40">
                  <w:pPr>
                    <w:spacing w:after="0"/>
                    <w:rPr>
                      <w:rFonts w:ascii="Times New Roman" w:hAnsi="Times New Roman"/>
                      <w:color w:val="auto"/>
                      <w:highlight w:val="none"/>
                    </w:rPr>
                  </w:pPr>
                  <w:r>
                    <w:rPr>
                      <w:rFonts w:ascii="Times New Roman" w:hAnsi="Times New Roman"/>
                      <w:color w:val="auto"/>
                      <w:highlight w:val="none"/>
                    </w:rPr>
                    <w:t>河湖整治</w:t>
                  </w:r>
                  <w:r>
                    <w:rPr>
                      <w:rFonts w:hint="eastAsia" w:ascii="Times New Roman" w:hAnsi="Times New Roman"/>
                      <w:color w:val="auto"/>
                      <w:highlight w:val="none"/>
                    </w:rPr>
                    <w:t>：</w:t>
                  </w:r>
                  <w:r>
                    <w:rPr>
                      <w:rFonts w:ascii="Times New Roman" w:hAnsi="Times New Roman"/>
                      <w:color w:val="auto"/>
                      <w:highlight w:val="none"/>
                    </w:rPr>
                    <w:t>涉及清淤且底泥存在重金属污染的项目</w:t>
                  </w:r>
                </w:p>
              </w:tc>
              <w:tc>
                <w:tcPr>
                  <w:tcW w:w="2593" w:type="dxa"/>
                  <w:noWrap/>
                  <w:vAlign w:val="center"/>
                </w:tcPr>
                <w:p w14:paraId="50E97753">
                  <w:pPr>
                    <w:spacing w:after="0"/>
                    <w:jc w:val="center"/>
                    <w:rPr>
                      <w:rFonts w:ascii="Times New Roman" w:hAnsi="Times New Roman"/>
                      <w:color w:val="auto"/>
                      <w:highlight w:val="none"/>
                    </w:rPr>
                  </w:pPr>
                  <w:r>
                    <w:rPr>
                      <w:rFonts w:hint="eastAsia" w:ascii="Times New Roman" w:hAnsi="Times New Roman"/>
                      <w:color w:val="auto"/>
                      <w:highlight w:val="none"/>
                    </w:rPr>
                    <w:t>本项目属于</w:t>
                  </w:r>
                  <w:r>
                    <w:rPr>
                      <w:rFonts w:ascii="Times New Roman" w:hAnsi="Times New Roman"/>
                      <w:color w:val="auto"/>
                      <w:highlight w:val="none"/>
                    </w:rPr>
                    <w:t>固体矿产地质勘查项目</w:t>
                  </w:r>
                  <w:r>
                    <w:rPr>
                      <w:rFonts w:hint="eastAsia" w:ascii="Times New Roman" w:hAnsi="Times New Roman"/>
                      <w:color w:val="auto"/>
                      <w:highlight w:val="none"/>
                    </w:rPr>
                    <w:t>，不属于涉及项目类别范畴</w:t>
                  </w:r>
                </w:p>
              </w:tc>
            </w:tr>
            <w:tr w14:paraId="57EC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82" w:type="dxa"/>
                  <w:noWrap/>
                  <w:vAlign w:val="center"/>
                </w:tcPr>
                <w:p w14:paraId="7283AB76">
                  <w:pPr>
                    <w:spacing w:after="0"/>
                    <w:jc w:val="center"/>
                    <w:rPr>
                      <w:rFonts w:ascii="Times New Roman" w:hAnsi="Times New Roman"/>
                      <w:color w:val="auto"/>
                      <w:highlight w:val="none"/>
                    </w:rPr>
                  </w:pPr>
                  <w:r>
                    <w:rPr>
                      <w:rFonts w:ascii="Times New Roman" w:hAnsi="Times New Roman"/>
                      <w:color w:val="auto"/>
                      <w:highlight w:val="none"/>
                    </w:rPr>
                    <w:t>地下水</w:t>
                  </w:r>
                </w:p>
              </w:tc>
              <w:tc>
                <w:tcPr>
                  <w:tcW w:w="4315" w:type="dxa"/>
                  <w:noWrap/>
                  <w:vAlign w:val="center"/>
                </w:tcPr>
                <w:p w14:paraId="617CEFB2">
                  <w:pPr>
                    <w:spacing w:after="0"/>
                    <w:rPr>
                      <w:rFonts w:ascii="Times New Roman" w:hAnsi="Times New Roman"/>
                      <w:color w:val="auto"/>
                      <w:highlight w:val="none"/>
                    </w:rPr>
                  </w:pPr>
                  <w:r>
                    <w:rPr>
                      <w:rFonts w:ascii="Times New Roman" w:hAnsi="Times New Roman"/>
                      <w:color w:val="auto"/>
                      <w:highlight w:val="none"/>
                    </w:rPr>
                    <w:t>陆地石油和天然气开采</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0A1A5E48">
                  <w:pPr>
                    <w:spacing w:after="0"/>
                    <w:rPr>
                      <w:rFonts w:ascii="Times New Roman" w:hAnsi="Times New Roman"/>
                      <w:color w:val="auto"/>
                      <w:highlight w:val="none"/>
                    </w:rPr>
                  </w:pPr>
                  <w:r>
                    <w:rPr>
                      <w:rFonts w:ascii="Times New Roman" w:hAnsi="Times New Roman"/>
                      <w:color w:val="auto"/>
                      <w:highlight w:val="none"/>
                    </w:rPr>
                    <w:t>地下水(含矿泉水)开采</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524A0641">
                  <w:pPr>
                    <w:spacing w:after="0"/>
                    <w:rPr>
                      <w:rFonts w:ascii="Times New Roman" w:hAnsi="Times New Roman"/>
                      <w:color w:val="auto"/>
                      <w:highlight w:val="none"/>
                    </w:rPr>
                  </w:pPr>
                  <w:r>
                    <w:rPr>
                      <w:rFonts w:ascii="Times New Roman" w:hAnsi="Times New Roman"/>
                      <w:color w:val="auto"/>
                      <w:highlight w:val="none"/>
                    </w:rPr>
                    <w:t>水利、水电、交通等</w:t>
                  </w:r>
                  <w:r>
                    <w:rPr>
                      <w:rFonts w:hint="eastAsia" w:ascii="Times New Roman" w:hAnsi="Times New Roman"/>
                      <w:color w:val="auto"/>
                      <w:highlight w:val="none"/>
                    </w:rPr>
                    <w:t>：</w:t>
                  </w:r>
                  <w:r>
                    <w:rPr>
                      <w:rFonts w:ascii="Times New Roman" w:hAnsi="Times New Roman"/>
                      <w:color w:val="auto"/>
                      <w:highlight w:val="none"/>
                    </w:rPr>
                    <w:t>含穿越可溶岩地层隧道的项目</w:t>
                  </w:r>
                </w:p>
              </w:tc>
              <w:tc>
                <w:tcPr>
                  <w:tcW w:w="2593" w:type="dxa"/>
                  <w:noWrap/>
                  <w:vAlign w:val="center"/>
                </w:tcPr>
                <w:p w14:paraId="27F06BBB">
                  <w:pPr>
                    <w:spacing w:after="0"/>
                    <w:jc w:val="center"/>
                    <w:rPr>
                      <w:rFonts w:ascii="Times New Roman" w:hAnsi="Times New Roman"/>
                      <w:color w:val="auto"/>
                      <w:highlight w:val="none"/>
                    </w:rPr>
                  </w:pPr>
                  <w:r>
                    <w:rPr>
                      <w:rFonts w:hint="eastAsia" w:ascii="Times New Roman" w:hAnsi="Times New Roman"/>
                      <w:color w:val="auto"/>
                      <w:highlight w:val="none"/>
                    </w:rPr>
                    <w:t>本项目不涉及地下水开采工作</w:t>
                  </w:r>
                </w:p>
              </w:tc>
            </w:tr>
            <w:tr w14:paraId="0C09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082" w:type="dxa"/>
                  <w:noWrap/>
                  <w:vAlign w:val="center"/>
                </w:tcPr>
                <w:p w14:paraId="2211EB5C">
                  <w:pPr>
                    <w:spacing w:after="0"/>
                    <w:jc w:val="center"/>
                    <w:rPr>
                      <w:rFonts w:ascii="Times New Roman" w:hAnsi="Times New Roman"/>
                      <w:color w:val="auto"/>
                      <w:highlight w:val="none"/>
                    </w:rPr>
                  </w:pPr>
                  <w:r>
                    <w:rPr>
                      <w:rFonts w:ascii="Times New Roman" w:hAnsi="Times New Roman"/>
                      <w:color w:val="auto"/>
                      <w:highlight w:val="none"/>
                    </w:rPr>
                    <w:t>生态</w:t>
                  </w:r>
                </w:p>
              </w:tc>
              <w:tc>
                <w:tcPr>
                  <w:tcW w:w="4315" w:type="dxa"/>
                  <w:noWrap/>
                  <w:vAlign w:val="center"/>
                </w:tcPr>
                <w:p w14:paraId="7C0C78A2">
                  <w:pPr>
                    <w:spacing w:after="0"/>
                    <w:rPr>
                      <w:rFonts w:ascii="Times New Roman" w:hAnsi="Times New Roman"/>
                      <w:color w:val="auto"/>
                      <w:highlight w:val="none"/>
                    </w:rPr>
                  </w:pPr>
                  <w:r>
                    <w:rPr>
                      <w:rFonts w:ascii="Times New Roman" w:hAnsi="Times New Roman"/>
                      <w:color w:val="auto"/>
                      <w:highlight w:val="none"/>
                    </w:rPr>
                    <w:t>涉及环境敏感区(不包括饮用水水源保护区，以居住、医疗卫生、文化教育、科研、行政办公为主要功能的区域，以及文物保护单位)的项目</w:t>
                  </w:r>
                </w:p>
              </w:tc>
              <w:tc>
                <w:tcPr>
                  <w:tcW w:w="2593" w:type="dxa"/>
                  <w:noWrap/>
                  <w:vAlign w:val="center"/>
                </w:tcPr>
                <w:p w14:paraId="15A45F88">
                  <w:pPr>
                    <w:spacing w:after="0"/>
                    <w:jc w:val="center"/>
                    <w:rPr>
                      <w:rFonts w:ascii="Times New Roman" w:hAnsi="Times New Roman"/>
                      <w:color w:val="auto"/>
                      <w:highlight w:val="none"/>
                    </w:rPr>
                  </w:pPr>
                  <w:r>
                    <w:rPr>
                      <w:rFonts w:hint="eastAsia" w:ascii="Times New Roman" w:hAnsi="Times New Roman"/>
                      <w:color w:val="auto"/>
                      <w:highlight w:val="none"/>
                    </w:rPr>
                    <w:t>本项目评价范围不涉及</w:t>
                  </w:r>
                  <w:r>
                    <w:rPr>
                      <w:rFonts w:ascii="Times New Roman" w:hAnsi="Times New Roman"/>
                      <w:color w:val="auto"/>
                      <w:highlight w:val="none"/>
                    </w:rPr>
                    <w:t>环境敏感区(不包括饮用水水源保护区，以居住、医疗卫生、文化教育、科研、行政办公为主要功能的区域，以及文物保护单位)</w:t>
                  </w:r>
                </w:p>
              </w:tc>
            </w:tr>
            <w:tr w14:paraId="71D2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082" w:type="dxa"/>
                  <w:noWrap/>
                  <w:vAlign w:val="center"/>
                </w:tcPr>
                <w:p w14:paraId="71C4AFC1">
                  <w:pPr>
                    <w:spacing w:after="0"/>
                    <w:jc w:val="center"/>
                    <w:rPr>
                      <w:rFonts w:ascii="Times New Roman" w:hAnsi="Times New Roman"/>
                      <w:color w:val="auto"/>
                      <w:highlight w:val="none"/>
                    </w:rPr>
                  </w:pPr>
                  <w:r>
                    <w:rPr>
                      <w:rFonts w:ascii="Times New Roman" w:hAnsi="Times New Roman"/>
                      <w:color w:val="auto"/>
                      <w:highlight w:val="none"/>
                    </w:rPr>
                    <w:t>大气</w:t>
                  </w:r>
                </w:p>
              </w:tc>
              <w:tc>
                <w:tcPr>
                  <w:tcW w:w="4315" w:type="dxa"/>
                  <w:noWrap/>
                  <w:vAlign w:val="center"/>
                </w:tcPr>
                <w:p w14:paraId="660E4103">
                  <w:pPr>
                    <w:spacing w:after="0"/>
                    <w:rPr>
                      <w:rFonts w:ascii="Times New Roman" w:hAnsi="Times New Roman"/>
                      <w:color w:val="auto"/>
                      <w:highlight w:val="none"/>
                    </w:rPr>
                  </w:pPr>
                  <w:r>
                    <w:rPr>
                      <w:rFonts w:ascii="Times New Roman" w:hAnsi="Times New Roman"/>
                      <w:color w:val="auto"/>
                      <w:highlight w:val="none"/>
                    </w:rPr>
                    <w:t>油气、液体化工码头</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71BB66CA">
                  <w:pPr>
                    <w:spacing w:after="0"/>
                    <w:rPr>
                      <w:rFonts w:ascii="Times New Roman" w:hAnsi="Times New Roman"/>
                      <w:color w:val="auto"/>
                      <w:highlight w:val="none"/>
                    </w:rPr>
                  </w:pPr>
                  <w:r>
                    <w:rPr>
                      <w:rFonts w:ascii="Times New Roman" w:hAnsi="Times New Roman"/>
                      <w:color w:val="auto"/>
                      <w:highlight w:val="none"/>
                    </w:rPr>
                    <w:t>干散货(含煤炭、矿石)、件杂、多用途、通用码头</w:t>
                  </w:r>
                  <w:r>
                    <w:rPr>
                      <w:rFonts w:hint="eastAsia" w:ascii="Times New Roman" w:hAnsi="Times New Roman"/>
                      <w:color w:val="auto"/>
                      <w:highlight w:val="none"/>
                    </w:rPr>
                    <w:t>：</w:t>
                  </w:r>
                  <w:r>
                    <w:rPr>
                      <w:rFonts w:ascii="Times New Roman" w:hAnsi="Times New Roman"/>
                      <w:color w:val="auto"/>
                      <w:highlight w:val="none"/>
                    </w:rPr>
                    <w:t>涉及粉尘、挥发性有机物排放的项目</w:t>
                  </w:r>
                </w:p>
              </w:tc>
              <w:tc>
                <w:tcPr>
                  <w:tcW w:w="2593" w:type="dxa"/>
                  <w:noWrap/>
                  <w:vAlign w:val="center"/>
                </w:tcPr>
                <w:p w14:paraId="10925BE2">
                  <w:pPr>
                    <w:spacing w:after="0"/>
                    <w:jc w:val="center"/>
                    <w:rPr>
                      <w:rFonts w:ascii="Times New Roman" w:hAnsi="Times New Roman"/>
                      <w:color w:val="auto"/>
                      <w:highlight w:val="none"/>
                    </w:rPr>
                  </w:pPr>
                  <w:r>
                    <w:rPr>
                      <w:rFonts w:hint="eastAsia" w:ascii="Times New Roman" w:hAnsi="Times New Roman"/>
                      <w:color w:val="auto"/>
                      <w:highlight w:val="none"/>
                    </w:rPr>
                    <w:t>本项目属于</w:t>
                  </w:r>
                  <w:r>
                    <w:rPr>
                      <w:rFonts w:ascii="Times New Roman" w:hAnsi="Times New Roman"/>
                      <w:color w:val="auto"/>
                      <w:highlight w:val="none"/>
                    </w:rPr>
                    <w:t>固体矿产地质勘查项目</w:t>
                  </w:r>
                  <w:r>
                    <w:rPr>
                      <w:rFonts w:hint="eastAsia" w:ascii="Times New Roman" w:hAnsi="Times New Roman"/>
                      <w:color w:val="auto"/>
                      <w:highlight w:val="none"/>
                    </w:rPr>
                    <w:t>，不属于涉及项目类别范畴</w:t>
                  </w:r>
                </w:p>
              </w:tc>
            </w:tr>
            <w:tr w14:paraId="7A58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082" w:type="dxa"/>
                  <w:noWrap/>
                  <w:vAlign w:val="center"/>
                </w:tcPr>
                <w:p w14:paraId="11083DED">
                  <w:pPr>
                    <w:spacing w:after="0"/>
                    <w:jc w:val="center"/>
                    <w:rPr>
                      <w:rFonts w:ascii="Times New Roman" w:hAnsi="Times New Roman"/>
                      <w:color w:val="auto"/>
                      <w:highlight w:val="none"/>
                    </w:rPr>
                  </w:pPr>
                  <w:r>
                    <w:rPr>
                      <w:rFonts w:ascii="Times New Roman" w:hAnsi="Times New Roman"/>
                      <w:color w:val="auto"/>
                      <w:highlight w:val="none"/>
                    </w:rPr>
                    <w:t>噪声</w:t>
                  </w:r>
                </w:p>
              </w:tc>
              <w:tc>
                <w:tcPr>
                  <w:tcW w:w="4315" w:type="dxa"/>
                  <w:noWrap/>
                  <w:vAlign w:val="center"/>
                </w:tcPr>
                <w:p w14:paraId="48E76065">
                  <w:pPr>
                    <w:spacing w:after="0"/>
                    <w:rPr>
                      <w:rFonts w:ascii="Times New Roman" w:hAnsi="Times New Roman"/>
                      <w:color w:val="auto"/>
                      <w:highlight w:val="none"/>
                    </w:rPr>
                  </w:pPr>
                  <w:r>
                    <w:rPr>
                      <w:rFonts w:ascii="Times New Roman" w:hAnsi="Times New Roman"/>
                      <w:color w:val="auto"/>
                      <w:highlight w:val="none"/>
                    </w:rPr>
                    <w:t>公路、铁路、机场等交通运输业涉及环境敏感区(以居住、医疗卫生、文化教育、科研、行政办公为主要功能的区域)的项目</w:t>
                  </w:r>
                  <w:r>
                    <w:rPr>
                      <w:rFonts w:hint="eastAsia" w:ascii="Times New Roman" w:hAnsi="Times New Roman"/>
                      <w:color w:val="auto"/>
                      <w:highlight w:val="none"/>
                    </w:rPr>
                    <w:t>；</w:t>
                  </w:r>
                </w:p>
                <w:p w14:paraId="156DAE50">
                  <w:pPr>
                    <w:spacing w:after="0"/>
                    <w:rPr>
                      <w:rFonts w:ascii="Times New Roman" w:hAnsi="Times New Roman"/>
                      <w:color w:val="auto"/>
                      <w:highlight w:val="none"/>
                    </w:rPr>
                  </w:pPr>
                  <w:r>
                    <w:rPr>
                      <w:rFonts w:ascii="Times New Roman" w:hAnsi="Times New Roman"/>
                      <w:color w:val="auto"/>
                      <w:highlight w:val="none"/>
                    </w:rPr>
                    <w:t>城市道路(不含维护，不含支路、人行天桥、人行地道)</w:t>
                  </w:r>
                  <w:r>
                    <w:rPr>
                      <w:rFonts w:hint="eastAsia" w:ascii="Times New Roman" w:hAnsi="Times New Roman"/>
                      <w:color w:val="auto"/>
                      <w:highlight w:val="none"/>
                    </w:rPr>
                    <w:t>：</w:t>
                  </w:r>
                  <w:r>
                    <w:rPr>
                      <w:rFonts w:ascii="Times New Roman" w:hAnsi="Times New Roman"/>
                      <w:color w:val="auto"/>
                      <w:highlight w:val="none"/>
                    </w:rPr>
                    <w:t>全部</w:t>
                  </w:r>
                </w:p>
              </w:tc>
              <w:tc>
                <w:tcPr>
                  <w:tcW w:w="2593" w:type="dxa"/>
                  <w:noWrap/>
                  <w:vAlign w:val="center"/>
                </w:tcPr>
                <w:p w14:paraId="75B033E1">
                  <w:pPr>
                    <w:spacing w:after="0"/>
                    <w:jc w:val="center"/>
                    <w:rPr>
                      <w:rFonts w:ascii="Times New Roman" w:hAnsi="Times New Roman"/>
                      <w:color w:val="auto"/>
                      <w:highlight w:val="none"/>
                    </w:rPr>
                  </w:pPr>
                  <w:r>
                    <w:rPr>
                      <w:rFonts w:hint="eastAsia" w:ascii="Times New Roman" w:hAnsi="Times New Roman"/>
                      <w:color w:val="auto"/>
                      <w:highlight w:val="none"/>
                    </w:rPr>
                    <w:t>本项目属于</w:t>
                  </w:r>
                  <w:r>
                    <w:rPr>
                      <w:rFonts w:ascii="Times New Roman" w:hAnsi="Times New Roman"/>
                      <w:color w:val="auto"/>
                      <w:highlight w:val="none"/>
                    </w:rPr>
                    <w:t>固体矿产地质勘查项目</w:t>
                  </w:r>
                  <w:r>
                    <w:rPr>
                      <w:rFonts w:hint="eastAsia" w:ascii="Times New Roman" w:hAnsi="Times New Roman"/>
                      <w:color w:val="auto"/>
                      <w:highlight w:val="none"/>
                    </w:rPr>
                    <w:t>，不属于涉及项目类别范畴</w:t>
                  </w:r>
                </w:p>
              </w:tc>
            </w:tr>
            <w:tr w14:paraId="3494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1082" w:type="dxa"/>
                  <w:noWrap/>
                  <w:vAlign w:val="center"/>
                </w:tcPr>
                <w:p w14:paraId="2922D59F">
                  <w:pPr>
                    <w:spacing w:after="0"/>
                    <w:jc w:val="center"/>
                    <w:rPr>
                      <w:rFonts w:ascii="Times New Roman" w:hAnsi="Times New Roman"/>
                      <w:color w:val="auto"/>
                      <w:highlight w:val="none"/>
                    </w:rPr>
                  </w:pPr>
                  <w:r>
                    <w:rPr>
                      <w:rFonts w:ascii="Times New Roman" w:hAnsi="Times New Roman"/>
                      <w:color w:val="auto"/>
                      <w:highlight w:val="none"/>
                    </w:rPr>
                    <w:t>环境风险</w:t>
                  </w:r>
                </w:p>
              </w:tc>
              <w:tc>
                <w:tcPr>
                  <w:tcW w:w="4315" w:type="dxa"/>
                  <w:noWrap/>
                  <w:vAlign w:val="center"/>
                </w:tcPr>
                <w:p w14:paraId="08918ED7">
                  <w:pPr>
                    <w:spacing w:after="0"/>
                    <w:rPr>
                      <w:rFonts w:ascii="Times New Roman" w:hAnsi="Times New Roman"/>
                      <w:color w:val="auto"/>
                      <w:highlight w:val="none"/>
                    </w:rPr>
                  </w:pPr>
                  <w:r>
                    <w:rPr>
                      <w:rFonts w:ascii="Times New Roman" w:hAnsi="Times New Roman"/>
                      <w:color w:val="auto"/>
                      <w:highlight w:val="none"/>
                    </w:rPr>
                    <w:t>石油和天然气开采</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37625657">
                  <w:pPr>
                    <w:spacing w:after="0"/>
                    <w:rPr>
                      <w:rFonts w:ascii="Times New Roman" w:hAnsi="Times New Roman"/>
                      <w:color w:val="auto"/>
                      <w:highlight w:val="none"/>
                    </w:rPr>
                  </w:pPr>
                  <w:r>
                    <w:rPr>
                      <w:rFonts w:ascii="Times New Roman" w:hAnsi="Times New Roman"/>
                      <w:color w:val="auto"/>
                      <w:highlight w:val="none"/>
                    </w:rPr>
                    <w:t>油气、液体化工码头</w:t>
                  </w:r>
                  <w:r>
                    <w:rPr>
                      <w:rFonts w:hint="eastAsia" w:ascii="Times New Roman" w:hAnsi="Times New Roman"/>
                      <w:color w:val="auto"/>
                      <w:highlight w:val="none"/>
                    </w:rPr>
                    <w:t>：</w:t>
                  </w:r>
                  <w:r>
                    <w:rPr>
                      <w:rFonts w:ascii="Times New Roman" w:hAnsi="Times New Roman"/>
                      <w:color w:val="auto"/>
                      <w:highlight w:val="none"/>
                    </w:rPr>
                    <w:t>全部</w:t>
                  </w:r>
                  <w:r>
                    <w:rPr>
                      <w:rFonts w:hint="eastAsia" w:ascii="Times New Roman" w:hAnsi="Times New Roman"/>
                      <w:color w:val="auto"/>
                      <w:highlight w:val="none"/>
                    </w:rPr>
                    <w:t>；</w:t>
                  </w:r>
                </w:p>
                <w:p w14:paraId="10202EC7">
                  <w:pPr>
                    <w:spacing w:after="0"/>
                    <w:rPr>
                      <w:rFonts w:ascii="Times New Roman" w:hAnsi="Times New Roman"/>
                      <w:color w:val="auto"/>
                      <w:highlight w:val="none"/>
                    </w:rPr>
                  </w:pPr>
                  <w:r>
                    <w:rPr>
                      <w:rFonts w:ascii="Times New Roman" w:hAnsi="Times New Roman"/>
                      <w:color w:val="auto"/>
                      <w:highlight w:val="none"/>
                    </w:rPr>
                    <w:t>原油、成品油、天然气管线(不含城镇天然气管线、企业厂区内管线)，危险化学品输送管线(不含企业厂区内管线)</w:t>
                  </w:r>
                  <w:r>
                    <w:rPr>
                      <w:rFonts w:hint="eastAsia" w:ascii="Times New Roman" w:hAnsi="Times New Roman"/>
                      <w:color w:val="auto"/>
                      <w:highlight w:val="none"/>
                    </w:rPr>
                    <w:t>：</w:t>
                  </w:r>
                  <w:r>
                    <w:rPr>
                      <w:rFonts w:ascii="Times New Roman" w:hAnsi="Times New Roman"/>
                      <w:color w:val="auto"/>
                      <w:highlight w:val="none"/>
                    </w:rPr>
                    <w:t>全部</w:t>
                  </w:r>
                </w:p>
              </w:tc>
              <w:tc>
                <w:tcPr>
                  <w:tcW w:w="2593" w:type="dxa"/>
                  <w:noWrap/>
                  <w:vAlign w:val="center"/>
                </w:tcPr>
                <w:p w14:paraId="21A438A6">
                  <w:pPr>
                    <w:spacing w:after="0"/>
                    <w:jc w:val="center"/>
                    <w:rPr>
                      <w:rFonts w:ascii="Times New Roman" w:hAnsi="Times New Roman"/>
                      <w:color w:val="auto"/>
                      <w:highlight w:val="none"/>
                    </w:rPr>
                  </w:pPr>
                  <w:r>
                    <w:rPr>
                      <w:rFonts w:hint="eastAsia" w:ascii="Times New Roman" w:hAnsi="Times New Roman"/>
                      <w:color w:val="auto"/>
                      <w:highlight w:val="none"/>
                    </w:rPr>
                    <w:t>本项目属于</w:t>
                  </w:r>
                  <w:r>
                    <w:rPr>
                      <w:rFonts w:ascii="Times New Roman" w:hAnsi="Times New Roman"/>
                      <w:color w:val="auto"/>
                      <w:highlight w:val="none"/>
                    </w:rPr>
                    <w:t>固体矿产地质勘查项目</w:t>
                  </w:r>
                  <w:r>
                    <w:rPr>
                      <w:rFonts w:hint="eastAsia" w:ascii="Times New Roman" w:hAnsi="Times New Roman"/>
                      <w:color w:val="auto"/>
                      <w:highlight w:val="none"/>
                    </w:rPr>
                    <w:t>，不属于涉及项目类别范畴</w:t>
                  </w:r>
                </w:p>
              </w:tc>
            </w:tr>
          </w:tbl>
          <w:p w14:paraId="53A1ED46">
            <w:pPr>
              <w:autoSpaceDE w:val="0"/>
              <w:autoSpaceDN w:val="0"/>
              <w:spacing w:after="0" w:line="360" w:lineRule="auto"/>
              <w:ind w:firstLine="480" w:firstLineChars="200"/>
              <w:rPr>
                <w:rFonts w:ascii="Times New Roman" w:hAnsi="Times New Roman"/>
                <w:color w:val="auto"/>
                <w:kern w:val="0"/>
                <w:szCs w:val="21"/>
                <w:highlight w:val="none"/>
              </w:rPr>
            </w:pPr>
            <w:r>
              <w:rPr>
                <w:rFonts w:ascii="Times New Roman" w:hAnsi="Times New Roman"/>
                <w:color w:val="auto"/>
                <w:sz w:val="24"/>
                <w:highlight w:val="none"/>
              </w:rPr>
              <w:t>综上，本项目不需开展专项评价</w:t>
            </w:r>
            <w:r>
              <w:rPr>
                <w:rFonts w:hint="eastAsia" w:ascii="Times New Roman" w:hAnsi="Times New Roman"/>
                <w:color w:val="auto"/>
                <w:sz w:val="24"/>
                <w:highlight w:val="none"/>
              </w:rPr>
              <w:t>。</w:t>
            </w:r>
          </w:p>
        </w:tc>
      </w:tr>
      <w:tr w14:paraId="704E81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973" w:hRule="atLeast"/>
          <w:jc w:val="center"/>
        </w:trPr>
        <w:tc>
          <w:tcPr>
            <w:tcW w:w="807" w:type="dxa"/>
            <w:tcMar>
              <w:top w:w="16" w:type="dxa"/>
              <w:left w:w="16" w:type="dxa"/>
              <w:right w:w="16" w:type="dxa"/>
            </w:tcMar>
            <w:vAlign w:val="center"/>
          </w:tcPr>
          <w:p w14:paraId="500931A1">
            <w:pPr>
              <w:autoSpaceDE w:val="0"/>
              <w:autoSpaceDN w:val="0"/>
              <w:adjustRightInd w:val="0"/>
              <w:snapToGrid w:val="0"/>
              <w:spacing w:after="0"/>
              <w:jc w:val="center"/>
              <w:rPr>
                <w:rFonts w:ascii="Times New Roman" w:hAnsi="Times New Roman"/>
                <w:color w:val="auto"/>
                <w:kern w:val="0"/>
                <w:sz w:val="24"/>
                <w:highlight w:val="none"/>
              </w:rPr>
            </w:pPr>
            <w:r>
              <w:rPr>
                <w:rFonts w:ascii="Times New Roman" w:hAnsi="Times New Roman"/>
                <w:color w:val="auto"/>
                <w:sz w:val="24"/>
                <w:highlight w:val="none"/>
              </w:rPr>
              <w:t>规划情况</w:t>
            </w:r>
          </w:p>
        </w:tc>
        <w:tc>
          <w:tcPr>
            <w:tcW w:w="8058" w:type="dxa"/>
            <w:gridSpan w:val="5"/>
            <w:tcMar>
              <w:top w:w="16" w:type="dxa"/>
              <w:left w:w="16" w:type="dxa"/>
              <w:right w:w="16" w:type="dxa"/>
            </w:tcMar>
            <w:vAlign w:val="center"/>
          </w:tcPr>
          <w:p w14:paraId="44E821A3">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规划名称：《淮南潘谢矿区总体开发规划》</w:t>
            </w:r>
          </w:p>
          <w:p w14:paraId="741D20E5">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审批机关：国家发展和改革委员会</w:t>
            </w:r>
          </w:p>
          <w:p w14:paraId="365B6BF3">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审批文件名称：《国家发展改革委关于淮南潘谢矿区开发规划的批复》；</w:t>
            </w:r>
          </w:p>
          <w:p w14:paraId="1A77D0F5">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kern w:val="0"/>
                <w:sz w:val="24"/>
                <w:highlight w:val="none"/>
              </w:rPr>
              <w:t>审查文号</w:t>
            </w:r>
            <w:r>
              <w:rPr>
                <w:rFonts w:ascii="Times New Roman" w:hAnsi="Times New Roman"/>
                <w:color w:val="auto"/>
                <w:kern w:val="0"/>
                <w:sz w:val="24"/>
                <w:highlight w:val="none"/>
              </w:rPr>
              <w:t>：</w:t>
            </w:r>
            <w:r>
              <w:rPr>
                <w:rFonts w:hint="eastAsia" w:ascii="Times New Roman" w:hAnsi="Times New Roman"/>
                <w:color w:val="auto"/>
                <w:kern w:val="0"/>
                <w:sz w:val="24"/>
                <w:highlight w:val="none"/>
              </w:rPr>
              <w:t>发改能源</w:t>
            </w:r>
            <w:r>
              <w:rPr>
                <w:rFonts w:ascii="Times New Roman" w:hAnsi="Times New Roman"/>
                <w:color w:val="auto"/>
                <w:kern w:val="0"/>
                <w:sz w:val="24"/>
                <w:highlight w:val="none"/>
              </w:rPr>
              <w:t>〔200</w:t>
            </w:r>
            <w:r>
              <w:rPr>
                <w:rFonts w:hint="eastAsia" w:ascii="Times New Roman" w:hAnsi="Times New Roman"/>
                <w:color w:val="auto"/>
                <w:kern w:val="0"/>
                <w:sz w:val="24"/>
                <w:highlight w:val="none"/>
              </w:rPr>
              <w:t>4</w:t>
            </w:r>
            <w:r>
              <w:rPr>
                <w:rFonts w:ascii="Times New Roman" w:hAnsi="Times New Roman"/>
                <w:color w:val="auto"/>
                <w:kern w:val="0"/>
                <w:sz w:val="24"/>
                <w:highlight w:val="none"/>
              </w:rPr>
              <w:t>〕</w:t>
            </w:r>
            <w:r>
              <w:rPr>
                <w:rFonts w:hint="eastAsia" w:ascii="Times New Roman" w:hAnsi="Times New Roman"/>
                <w:color w:val="auto"/>
                <w:kern w:val="0"/>
                <w:sz w:val="24"/>
                <w:highlight w:val="none"/>
              </w:rPr>
              <w:t>2301号</w:t>
            </w:r>
          </w:p>
        </w:tc>
      </w:tr>
      <w:tr w14:paraId="0235E6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70" w:hRule="atLeast"/>
          <w:jc w:val="center"/>
        </w:trPr>
        <w:tc>
          <w:tcPr>
            <w:tcW w:w="807" w:type="dxa"/>
            <w:tcMar>
              <w:top w:w="16" w:type="dxa"/>
              <w:left w:w="16" w:type="dxa"/>
              <w:right w:w="16" w:type="dxa"/>
            </w:tcMar>
            <w:vAlign w:val="center"/>
          </w:tcPr>
          <w:p w14:paraId="7600F40C">
            <w:pPr>
              <w:autoSpaceDE w:val="0"/>
              <w:autoSpaceDN w:val="0"/>
              <w:adjustRightInd w:val="0"/>
              <w:snapToGrid w:val="0"/>
              <w:spacing w:after="0"/>
              <w:jc w:val="center"/>
              <w:rPr>
                <w:rFonts w:ascii="Times New Roman" w:hAnsi="Times New Roman"/>
                <w:color w:val="auto"/>
                <w:kern w:val="0"/>
                <w:sz w:val="24"/>
                <w:highlight w:val="none"/>
              </w:rPr>
            </w:pPr>
            <w:r>
              <w:rPr>
                <w:rFonts w:ascii="Times New Roman" w:hAnsi="Times New Roman"/>
                <w:color w:val="auto"/>
                <w:sz w:val="24"/>
                <w:highlight w:val="none"/>
              </w:rPr>
              <w:t>规划环境影响评价情况</w:t>
            </w:r>
          </w:p>
        </w:tc>
        <w:tc>
          <w:tcPr>
            <w:tcW w:w="8058" w:type="dxa"/>
            <w:gridSpan w:val="5"/>
            <w:tcMar>
              <w:top w:w="16" w:type="dxa"/>
              <w:left w:w="16" w:type="dxa"/>
              <w:right w:w="16" w:type="dxa"/>
            </w:tcMar>
            <w:vAlign w:val="center"/>
          </w:tcPr>
          <w:p w14:paraId="71E6F80A">
            <w:pPr>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规划环评名称：《淮南潘谢矿区总体开发规划环境影响报告书》</w:t>
            </w:r>
          </w:p>
          <w:p w14:paraId="1F88FA27">
            <w:pPr>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审查机关：原国家环境保护总局</w:t>
            </w:r>
          </w:p>
          <w:p w14:paraId="46CC968B">
            <w:pPr>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审查文件名称：关于印发《淮南潘谢矿区总体开发规划环境影响报告书》审查意见的通知</w:t>
            </w:r>
          </w:p>
          <w:p w14:paraId="4BD26B19">
            <w:pPr>
              <w:pStyle w:val="32"/>
              <w:spacing w:after="0" w:line="360" w:lineRule="auto"/>
              <w:ind w:firstLine="480" w:firstLineChars="200"/>
              <w:jc w:val="both"/>
              <w:rPr>
                <w:rFonts w:ascii="Times New Roman" w:hAnsi="Times New Roman"/>
                <w:color w:val="auto"/>
                <w:kern w:val="0"/>
                <w:highlight w:val="none"/>
              </w:rPr>
            </w:pPr>
            <w:r>
              <w:rPr>
                <w:rFonts w:ascii="Times New Roman" w:hAnsi="Times New Roman"/>
                <w:color w:val="auto"/>
                <w:kern w:val="0"/>
                <w:highlight w:val="none"/>
              </w:rPr>
              <w:t>审批文号：环函〔2006〕86号</w:t>
            </w:r>
          </w:p>
        </w:tc>
      </w:tr>
      <w:tr w14:paraId="17297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07" w:type="dxa"/>
            <w:tcMar>
              <w:top w:w="16" w:type="dxa"/>
              <w:left w:w="16" w:type="dxa"/>
              <w:right w:w="16" w:type="dxa"/>
            </w:tcMar>
            <w:vAlign w:val="center"/>
          </w:tcPr>
          <w:p w14:paraId="3E27C9EF">
            <w:pPr>
              <w:autoSpaceDE w:val="0"/>
              <w:autoSpaceDN w:val="0"/>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规划及</w:t>
            </w:r>
            <w:r>
              <w:rPr>
                <w:rFonts w:ascii="Times New Roman" w:hAnsi="Times New Roman"/>
                <w:color w:val="auto"/>
                <w:sz w:val="24"/>
                <w:highlight w:val="none"/>
              </w:rPr>
              <w:t>规划环境影响评价</w:t>
            </w:r>
            <w:r>
              <w:rPr>
                <w:rFonts w:ascii="Times New Roman" w:hAnsi="Times New Roman"/>
                <w:color w:val="auto"/>
                <w:kern w:val="0"/>
                <w:sz w:val="24"/>
                <w:highlight w:val="none"/>
              </w:rPr>
              <w:t>符合性分析</w:t>
            </w:r>
          </w:p>
        </w:tc>
        <w:tc>
          <w:tcPr>
            <w:tcW w:w="8058" w:type="dxa"/>
            <w:gridSpan w:val="5"/>
            <w:tcMar>
              <w:top w:w="16" w:type="dxa"/>
              <w:left w:w="16" w:type="dxa"/>
              <w:right w:w="16" w:type="dxa"/>
            </w:tcMar>
            <w:vAlign w:val="center"/>
          </w:tcPr>
          <w:p w14:paraId="15F9CEFB">
            <w:pPr>
              <w:autoSpaceDE w:val="0"/>
              <w:autoSpaceDN w:val="0"/>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（1）规划符合性分析</w:t>
            </w:r>
          </w:p>
          <w:p w14:paraId="71B2EEB7">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项目位于安徽省淮南市潘集区贺疃镇，</w:t>
            </w:r>
            <w:r>
              <w:rPr>
                <w:rFonts w:hint="eastAsia" w:ascii="Times New Roman" w:hAnsi="Times New Roman"/>
                <w:color w:val="auto"/>
                <w:kern w:val="0"/>
                <w:sz w:val="24"/>
                <w:highlight w:val="none"/>
              </w:rPr>
              <w:t>对照《淮南潘谢矿区总体开发规划》，淮南潘谢矿区总共划分为17个井田和1个后备区，矿区建设总规模为6115万吨/年，其中新建矿井包括张集二期（即区，300万吨/年）丁集（500万吨/年）、顾桥（500万吨/年）、顾北（300万吨/年）、（240万吨/年）、潘四西（150万吨/年）、望峰岗（300万吨/年）、朱集（400万吨/年）；改扩建矿开潘一由300万吨/年扩建到600万吨/年、潘三由300万吨/年扩建到500万吨/年、谢桥由400万吨/年扩建到800万吨/年、张集由400万吨/年扩建到700万吨/年；现有生产矿井有潘东（210万吨/年）、新庄孜（270万吨/年）、谢一（90万吨/年）、谢李（210万吨/年）、孔李（120万吨/年），本项目隶属于淮南潘谢矿区中朱集煤矿范围，项目属于煤炭资源地质勘查项目。</w:t>
            </w:r>
          </w:p>
          <w:p w14:paraId="3D01C442">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因此，该项目建设符合《淮南潘谢矿区总体开发规划》；符合《国家发展改革委关于淮南潘谢矿区开发规划的批复》（发改能源〔2004〕2301号）。</w:t>
            </w:r>
          </w:p>
          <w:p w14:paraId="2195B1C1">
            <w:pPr>
              <w:pStyle w:val="31"/>
              <w:numPr>
                <w:ilvl w:val="0"/>
                <w:numId w:val="0"/>
              </w:numPr>
              <w:adjustRightInd/>
              <w:spacing w:after="0" w:line="360" w:lineRule="auto"/>
              <w:ind w:firstLine="482" w:firstLineChars="200"/>
              <w:jc w:val="both"/>
              <w:rPr>
                <w:rFonts w:ascii="Times New Roman" w:hAnsi="Times New Roman"/>
                <w:b/>
                <w:bCs/>
                <w:color w:val="auto"/>
                <w:highlight w:val="none"/>
              </w:rPr>
            </w:pPr>
            <w:r>
              <w:rPr>
                <w:rFonts w:ascii="Times New Roman" w:hAnsi="Times New Roman" w:eastAsia="宋体" w:cs="Times New Roman"/>
                <w:b/>
                <w:bCs/>
                <w:color w:val="auto"/>
                <w:sz w:val="24"/>
                <w:szCs w:val="24"/>
                <w:lang w:val="en-US" w:eastAsia="zh-CN" w:bidi="ar-SA"/>
              </w:rPr>
              <w:t>（2）</w:t>
            </w:r>
            <w:r>
              <w:rPr>
                <w:rFonts w:ascii="Times New Roman" w:hAnsi="Times New Roman"/>
                <w:b/>
                <w:bCs/>
                <w:color w:val="auto"/>
                <w:highlight w:val="none"/>
              </w:rPr>
              <w:t>规划环境影响评价符合性分析</w:t>
            </w:r>
          </w:p>
          <w:p w14:paraId="19BEB072">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本项目与《淮南潘谢矿区总体开发规划环境影响报告书》审查意见符合性分析如下：</w:t>
            </w:r>
          </w:p>
          <w:p w14:paraId="51884AE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表1-2  本项目与《淮南潘谢矿区总体开发规划环境影响报告书》审查意见符合性分析一览表</w:t>
            </w:r>
          </w:p>
          <w:tbl>
            <w:tblPr>
              <w:tblStyle w:val="22"/>
              <w:tblW w:w="49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3"/>
              <w:gridCol w:w="4214"/>
              <w:gridCol w:w="2338"/>
              <w:gridCol w:w="761"/>
            </w:tblGrid>
            <w:tr w14:paraId="34DC3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32" w:type="dxa"/>
                  <w:vAlign w:val="center"/>
                </w:tcPr>
                <w:p w14:paraId="0AB6C298">
                  <w:pPr>
                    <w:widowControl/>
                    <w:spacing w:after="0" w:line="240" w:lineRule="auto"/>
                    <w:jc w:val="center"/>
                    <w:rPr>
                      <w:rFonts w:ascii="Times New Roman" w:hAnsi="Times New Roman"/>
                      <w:b/>
                      <w:bCs/>
                      <w:color w:val="auto"/>
                      <w:szCs w:val="21"/>
                      <w:highlight w:val="none"/>
                    </w:rPr>
                  </w:pPr>
                  <w:r>
                    <w:rPr>
                      <w:rFonts w:ascii="Times New Roman" w:hAnsi="Times New Roman"/>
                      <w:b/>
                      <w:bCs/>
                      <w:color w:val="auto"/>
                      <w:szCs w:val="21"/>
                      <w:highlight w:val="none"/>
                    </w:rPr>
                    <w:t>序号</w:t>
                  </w:r>
                </w:p>
              </w:tc>
              <w:tc>
                <w:tcPr>
                  <w:tcW w:w="4295" w:type="dxa"/>
                  <w:vAlign w:val="center"/>
                </w:tcPr>
                <w:p w14:paraId="7D9155A5">
                  <w:pPr>
                    <w:widowControl/>
                    <w:spacing w:after="0" w:line="240" w:lineRule="auto"/>
                    <w:jc w:val="center"/>
                    <w:rPr>
                      <w:rFonts w:ascii="Times New Roman" w:hAnsi="Times New Roman"/>
                      <w:b/>
                      <w:bCs/>
                      <w:color w:val="auto"/>
                      <w:szCs w:val="21"/>
                      <w:highlight w:val="none"/>
                    </w:rPr>
                  </w:pPr>
                  <w:r>
                    <w:rPr>
                      <w:rFonts w:ascii="Times New Roman" w:hAnsi="Times New Roman"/>
                      <w:b/>
                      <w:bCs/>
                      <w:color w:val="auto"/>
                      <w:szCs w:val="21"/>
                      <w:highlight w:val="none"/>
                    </w:rPr>
                    <w:t>审查意见</w:t>
                  </w:r>
                </w:p>
              </w:tc>
              <w:tc>
                <w:tcPr>
                  <w:tcW w:w="2370" w:type="dxa"/>
                  <w:vAlign w:val="center"/>
                </w:tcPr>
                <w:p w14:paraId="5ED1F5B0">
                  <w:pPr>
                    <w:widowControl/>
                    <w:spacing w:after="0" w:line="240" w:lineRule="auto"/>
                    <w:jc w:val="center"/>
                    <w:rPr>
                      <w:rFonts w:ascii="Times New Roman" w:hAnsi="Times New Roman"/>
                      <w:b/>
                      <w:bCs/>
                      <w:color w:val="auto"/>
                      <w:szCs w:val="21"/>
                      <w:highlight w:val="none"/>
                    </w:rPr>
                  </w:pPr>
                  <w:r>
                    <w:rPr>
                      <w:rFonts w:ascii="Times New Roman" w:hAnsi="Times New Roman"/>
                      <w:b/>
                      <w:bCs/>
                      <w:color w:val="auto"/>
                      <w:szCs w:val="21"/>
                      <w:highlight w:val="none"/>
                    </w:rPr>
                    <w:t>项目建设情况</w:t>
                  </w:r>
                </w:p>
              </w:tc>
              <w:tc>
                <w:tcPr>
                  <w:tcW w:w="774" w:type="dxa"/>
                  <w:vAlign w:val="center"/>
                </w:tcPr>
                <w:p w14:paraId="5FAFC026">
                  <w:pPr>
                    <w:widowControl/>
                    <w:spacing w:after="0" w:line="240" w:lineRule="auto"/>
                    <w:jc w:val="center"/>
                    <w:rPr>
                      <w:rFonts w:ascii="Times New Roman" w:hAnsi="Times New Roman"/>
                      <w:b/>
                      <w:bCs/>
                      <w:color w:val="auto"/>
                      <w:szCs w:val="21"/>
                      <w:highlight w:val="none"/>
                    </w:rPr>
                  </w:pPr>
                  <w:r>
                    <w:rPr>
                      <w:rFonts w:ascii="Times New Roman" w:hAnsi="Times New Roman"/>
                      <w:b/>
                      <w:bCs/>
                      <w:color w:val="auto"/>
                      <w:szCs w:val="21"/>
                      <w:highlight w:val="none"/>
                    </w:rPr>
                    <w:t>符合</w:t>
                  </w:r>
                </w:p>
                <w:p w14:paraId="4637B555">
                  <w:pPr>
                    <w:widowControl/>
                    <w:spacing w:after="0" w:line="240" w:lineRule="auto"/>
                    <w:jc w:val="center"/>
                    <w:rPr>
                      <w:rFonts w:ascii="Times New Roman" w:hAnsi="Times New Roman"/>
                      <w:b/>
                      <w:bCs/>
                      <w:color w:val="auto"/>
                      <w:szCs w:val="21"/>
                      <w:highlight w:val="none"/>
                    </w:rPr>
                  </w:pPr>
                  <w:r>
                    <w:rPr>
                      <w:rFonts w:ascii="Times New Roman" w:hAnsi="Times New Roman"/>
                      <w:b/>
                      <w:bCs/>
                      <w:color w:val="auto"/>
                      <w:szCs w:val="21"/>
                      <w:highlight w:val="none"/>
                    </w:rPr>
                    <w:t>性分析</w:t>
                  </w:r>
                </w:p>
              </w:tc>
            </w:tr>
            <w:tr w14:paraId="1DD66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32" w:type="dxa"/>
                  <w:vAlign w:val="center"/>
                </w:tcPr>
                <w:p w14:paraId="6CF4D7A0">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1</w:t>
                  </w:r>
                </w:p>
              </w:tc>
              <w:tc>
                <w:tcPr>
                  <w:tcW w:w="4295" w:type="dxa"/>
                  <w:vAlign w:val="center"/>
                </w:tcPr>
                <w:p w14:paraId="121B3237">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一、淮南潘谢矿区煤炭资源极为丰富，资源储量达285亿吨，且深部还有可靠的煤炭资源。充分利用该矿区的资源、区位和市场优势</w:t>
                  </w:r>
                  <w:r>
                    <w:rPr>
                      <w:rFonts w:hint="eastAsia" w:ascii="Times New Roman" w:hAnsi="Times New Roman"/>
                      <w:color w:val="auto"/>
                      <w:szCs w:val="21"/>
                      <w:highlight w:val="none"/>
                    </w:rPr>
                    <w:t>，</w:t>
                  </w:r>
                  <w:r>
                    <w:rPr>
                      <w:rFonts w:ascii="Times New Roman" w:hAnsi="Times New Roman"/>
                      <w:color w:val="auto"/>
                      <w:szCs w:val="21"/>
                      <w:highlight w:val="none"/>
                    </w:rPr>
                    <w:t>依托齐全的基础配套设施，加大煤炭开发力度和就地转化能力，以</w:t>
                  </w:r>
                  <w:r>
                    <w:rPr>
                      <w:rFonts w:hint="eastAsia" w:ascii="Times New Roman" w:hAnsi="Times New Roman"/>
                      <w:color w:val="auto"/>
                      <w:szCs w:val="21"/>
                      <w:highlight w:val="none"/>
                      <w:lang w:eastAsia="zh-CN"/>
                    </w:rPr>
                    <w:t>“</w:t>
                  </w:r>
                  <w:r>
                    <w:rPr>
                      <w:rFonts w:ascii="Times New Roman" w:hAnsi="Times New Roman"/>
                      <w:color w:val="auto"/>
                      <w:szCs w:val="21"/>
                      <w:highlight w:val="none"/>
                    </w:rPr>
                    <w:t>发展先进生产力，保护生命，保护资源，保护环境</w:t>
                  </w:r>
                  <w:r>
                    <w:rPr>
                      <w:rFonts w:hint="eastAsia" w:ascii="Times New Roman" w:hAnsi="Times New Roman"/>
                      <w:color w:val="auto"/>
                      <w:szCs w:val="21"/>
                      <w:highlight w:val="none"/>
                      <w:lang w:eastAsia="zh-CN"/>
                    </w:rPr>
                    <w:t>”</w:t>
                  </w:r>
                  <w:r>
                    <w:rPr>
                      <w:rFonts w:ascii="Times New Roman" w:hAnsi="Times New Roman"/>
                      <w:color w:val="auto"/>
                      <w:szCs w:val="21"/>
                      <w:highlight w:val="none"/>
                    </w:rPr>
                    <w:t>的理念将矿区建设成为华东地区重要的大型煤电基地，对于促进区域经济、社会、环境、资源的协调发展具有重要意义。</w:t>
                  </w:r>
                </w:p>
              </w:tc>
              <w:tc>
                <w:tcPr>
                  <w:tcW w:w="2370" w:type="dxa"/>
                  <w:vAlign w:val="center"/>
                </w:tcPr>
                <w:p w14:paraId="61C522A9">
                  <w:pPr>
                    <w:widowControl/>
                    <w:spacing w:after="0" w:line="240" w:lineRule="auto"/>
                    <w:rPr>
                      <w:rFonts w:ascii="Times New Roman" w:hAnsi="Times New Roman"/>
                      <w:color w:val="auto"/>
                      <w:szCs w:val="21"/>
                      <w:highlight w:val="none"/>
                    </w:rPr>
                  </w:pPr>
                  <w:r>
                    <w:rPr>
                      <w:rFonts w:hint="eastAsia" w:ascii="Times New Roman" w:hAnsi="Times New Roman"/>
                      <w:color w:val="auto"/>
                      <w:highlight w:val="none"/>
                    </w:rPr>
                    <w:t>本项目属于</w:t>
                  </w:r>
                  <w:r>
                    <w:rPr>
                      <w:rFonts w:ascii="Times New Roman" w:hAnsi="Times New Roman"/>
                      <w:color w:val="auto"/>
                      <w:highlight w:val="none"/>
                    </w:rPr>
                    <w:t>固体矿产地质勘查项目</w:t>
                  </w:r>
                  <w:r>
                    <w:rPr>
                      <w:rFonts w:hint="eastAsia" w:ascii="Times New Roman" w:hAnsi="Times New Roman"/>
                      <w:color w:val="auto"/>
                      <w:highlight w:val="none"/>
                    </w:rPr>
                    <w:t>，为煤炭开采的配套工程</w:t>
                  </w:r>
                  <w:r>
                    <w:rPr>
                      <w:rFonts w:hint="eastAsia" w:ascii="Times New Roman" w:hAnsi="Times New Roman"/>
                      <w:color w:val="auto"/>
                      <w:szCs w:val="21"/>
                      <w:highlight w:val="none"/>
                    </w:rPr>
                    <w:t>。</w:t>
                  </w:r>
                </w:p>
              </w:tc>
              <w:tc>
                <w:tcPr>
                  <w:tcW w:w="774" w:type="dxa"/>
                  <w:vAlign w:val="center"/>
                </w:tcPr>
                <w:p w14:paraId="201449C6">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符合</w:t>
                  </w:r>
                </w:p>
              </w:tc>
            </w:tr>
            <w:tr w14:paraId="1CBB9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32" w:type="dxa"/>
                  <w:vAlign w:val="center"/>
                </w:tcPr>
                <w:p w14:paraId="120398D0">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2</w:t>
                  </w:r>
                </w:p>
              </w:tc>
              <w:tc>
                <w:tcPr>
                  <w:tcW w:w="4295" w:type="dxa"/>
                  <w:vAlign w:val="center"/>
                </w:tcPr>
                <w:p w14:paraId="24EC2E21">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二、规划在发展定位、规模、产业结构、市场需求、配套条件方面</w:t>
                  </w:r>
                  <w:r>
                    <w:rPr>
                      <w:rFonts w:hint="eastAsia" w:ascii="Times New Roman" w:hAnsi="Times New Roman"/>
                      <w:color w:val="auto"/>
                      <w:szCs w:val="21"/>
                      <w:highlight w:val="none"/>
                    </w:rPr>
                    <w:t>，</w:t>
                  </w:r>
                  <w:r>
                    <w:rPr>
                      <w:rFonts w:ascii="Times New Roman" w:hAnsi="Times New Roman"/>
                      <w:color w:val="auto"/>
                      <w:szCs w:val="21"/>
                      <w:highlight w:val="none"/>
                    </w:rPr>
                    <w:t>与国家能源战略、国家13个大型煤炭基地规划、安徽省省委、省政府在全面建设小康社会起步阶段提出的</w:t>
                  </w:r>
                  <w:r>
                    <w:rPr>
                      <w:rFonts w:hint="eastAsia" w:ascii="Times New Roman" w:hAnsi="Times New Roman"/>
                      <w:color w:val="auto"/>
                      <w:szCs w:val="21"/>
                      <w:highlight w:val="none"/>
                      <w:lang w:eastAsia="zh-CN"/>
                    </w:rPr>
                    <w:t>“</w:t>
                  </w:r>
                  <w:r>
                    <w:rPr>
                      <w:rFonts w:ascii="Times New Roman" w:hAnsi="Times New Roman"/>
                      <w:color w:val="auto"/>
                      <w:szCs w:val="21"/>
                      <w:highlight w:val="none"/>
                    </w:rPr>
                    <w:t>861</w:t>
                  </w:r>
                  <w:r>
                    <w:rPr>
                      <w:rFonts w:hint="eastAsia" w:ascii="Times New Roman" w:hAnsi="Times New Roman"/>
                      <w:color w:val="auto"/>
                      <w:szCs w:val="21"/>
                      <w:highlight w:val="none"/>
                      <w:lang w:eastAsia="zh-CN"/>
                    </w:rPr>
                    <w:t>”</w:t>
                  </w:r>
                  <w:r>
                    <w:rPr>
                      <w:rFonts w:ascii="Times New Roman" w:hAnsi="Times New Roman"/>
                      <w:color w:val="auto"/>
                      <w:szCs w:val="21"/>
                      <w:highlight w:val="none"/>
                    </w:rPr>
                    <w:t>行动计划的要求相符。基本反映了国家经济发展需求和资源合理配置精神。规划在发展布局、环境保护、水资源利用、土地资源利用等方面，能够与淮南市城市建设总体规划、安徽省国土资源可持续开发利用规划、安徽省生态省建设总体规划纲要、淮南市生态城市建设规划等相衔接，总体上具备较强的协调性。</w:t>
                  </w:r>
                </w:p>
              </w:tc>
              <w:tc>
                <w:tcPr>
                  <w:tcW w:w="2370" w:type="dxa"/>
                  <w:vAlign w:val="center"/>
                </w:tcPr>
                <w:p w14:paraId="3C292BB5">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项目建设地点位于</w:t>
                  </w:r>
                  <w:r>
                    <w:rPr>
                      <w:rFonts w:ascii="Times New Roman" w:hAnsi="Times New Roman"/>
                      <w:color w:val="auto"/>
                      <w:highlight w:val="none"/>
                    </w:rPr>
                    <w:t>安徽省淮南市潘集区贺疃镇境内，本</w:t>
                  </w:r>
                  <w:r>
                    <w:rPr>
                      <w:rFonts w:ascii="Times New Roman" w:hAnsi="Times New Roman"/>
                      <w:color w:val="auto"/>
                      <w:szCs w:val="21"/>
                      <w:highlight w:val="none"/>
                    </w:rPr>
                    <w:t>项目属于固体矿产地质勘查项目，临时用地面积为</w:t>
                  </w:r>
                  <w:r>
                    <w:rPr>
                      <w:rFonts w:hint="eastAsia" w:ascii="Times New Roman" w:hAnsi="Times New Roman"/>
                      <w:color w:val="auto"/>
                      <w:szCs w:val="21"/>
                      <w:highlight w:val="none"/>
                      <w:lang w:eastAsia="zh-CN"/>
                    </w:rPr>
                    <w:t>31378</w:t>
                  </w:r>
                  <w:r>
                    <w:rPr>
                      <w:rFonts w:ascii="Times New Roman" w:hAnsi="Times New Roman"/>
                      <w:color w:val="auto"/>
                      <w:szCs w:val="21"/>
                      <w:highlight w:val="none"/>
                    </w:rPr>
                    <w:t>m</w:t>
                  </w:r>
                  <w:r>
                    <w:rPr>
                      <w:rFonts w:ascii="Times New Roman" w:hAnsi="Times New Roman"/>
                      <w:color w:val="auto"/>
                      <w:szCs w:val="21"/>
                      <w:highlight w:val="none"/>
                      <w:vertAlign w:val="superscript"/>
                    </w:rPr>
                    <w:t>2</w:t>
                  </w:r>
                  <w:r>
                    <w:rPr>
                      <w:rFonts w:ascii="Times New Roman" w:hAnsi="Times New Roman"/>
                      <w:color w:val="auto"/>
                      <w:szCs w:val="21"/>
                      <w:highlight w:val="none"/>
                    </w:rPr>
                    <w:t>，</w:t>
                  </w:r>
                  <w:r>
                    <w:rPr>
                      <w:rFonts w:hint="eastAsia" w:ascii="Times New Roman" w:hAnsi="Times New Roman"/>
                      <w:color w:val="auto"/>
                      <w:szCs w:val="21"/>
                      <w:highlight w:val="none"/>
                      <w:lang w:val="en-US" w:eastAsia="zh-CN"/>
                    </w:rPr>
                    <w:t>项目19个钻井分3个批次施工，单批次</w:t>
                  </w:r>
                  <w:r>
                    <w:rPr>
                      <w:rFonts w:hint="eastAsia" w:ascii="Times New Roman" w:hAnsi="Times New Roman"/>
                      <w:color w:val="auto"/>
                      <w:highlight w:val="none"/>
                    </w:rPr>
                    <w:t>井场用地时长预计约</w:t>
                  </w:r>
                  <w:r>
                    <w:rPr>
                      <w:rFonts w:hint="eastAsia" w:ascii="Times New Roman" w:hAnsi="Times New Roman"/>
                      <w:color w:val="auto"/>
                      <w:highlight w:val="none"/>
                      <w:lang w:val="en-US" w:eastAsia="zh-CN"/>
                    </w:rPr>
                    <w:t>3</w:t>
                  </w:r>
                  <w:r>
                    <w:rPr>
                      <w:rFonts w:hint="eastAsia" w:ascii="Times New Roman" w:hAnsi="Times New Roman"/>
                      <w:color w:val="auto"/>
                      <w:highlight w:val="none"/>
                    </w:rPr>
                    <w:t>个月</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总工期预计约9个月。</w:t>
                  </w:r>
                  <w:r>
                    <w:rPr>
                      <w:rFonts w:hint="eastAsia"/>
                      <w:color w:val="auto"/>
                      <w:highlight w:val="none"/>
                    </w:rPr>
                    <w:t>已办理临时用地手续</w:t>
                  </w:r>
                  <w:r>
                    <w:rPr>
                      <w:rFonts w:hint="eastAsia" w:ascii="Times New Roman" w:hAnsi="Times New Roman"/>
                      <w:color w:val="auto"/>
                      <w:highlight w:val="none"/>
                    </w:rPr>
                    <w:t>。</w:t>
                  </w:r>
                </w:p>
              </w:tc>
              <w:tc>
                <w:tcPr>
                  <w:tcW w:w="774" w:type="dxa"/>
                  <w:vAlign w:val="center"/>
                </w:tcPr>
                <w:p w14:paraId="784AD6FC">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符合</w:t>
                  </w:r>
                </w:p>
              </w:tc>
            </w:tr>
            <w:tr w14:paraId="7CCEE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32" w:type="dxa"/>
                  <w:vAlign w:val="center"/>
                </w:tcPr>
                <w:p w14:paraId="5AA158B5">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3</w:t>
                  </w:r>
                </w:p>
              </w:tc>
              <w:tc>
                <w:tcPr>
                  <w:tcW w:w="4295" w:type="dxa"/>
                  <w:vAlign w:val="center"/>
                </w:tcPr>
                <w:p w14:paraId="2BF16F69">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四、规划提出的大气和地表水环境质量指标符合环境保护规划目标要求。规划对采煤沉陷造成的居民搬迁安置提出了可行的解决办法，地表沉陷治理的综合措施和沉陷水域的生态恢复措施合理可行，总体上符合国家有关要求，有利于区域的稳定发展，将促进当地和谐社会的建设。</w:t>
                  </w:r>
                </w:p>
              </w:tc>
              <w:tc>
                <w:tcPr>
                  <w:tcW w:w="2370" w:type="dxa"/>
                  <w:vAlign w:val="center"/>
                </w:tcPr>
                <w:p w14:paraId="188290B9">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本项目针对可能产生的环境影响提出了针对性的处置措施，项目实施区域未涉及居民搬迁安置问题，采取的生态恢复措施可行</w:t>
                  </w:r>
                  <w:r>
                    <w:rPr>
                      <w:rFonts w:hint="eastAsia" w:ascii="Times New Roman" w:hAnsi="Times New Roman"/>
                      <w:color w:val="auto"/>
                      <w:szCs w:val="21"/>
                      <w:highlight w:val="none"/>
                    </w:rPr>
                    <w:t>。</w:t>
                  </w:r>
                </w:p>
              </w:tc>
              <w:tc>
                <w:tcPr>
                  <w:tcW w:w="774" w:type="dxa"/>
                  <w:vAlign w:val="center"/>
                </w:tcPr>
                <w:p w14:paraId="4636CE6F">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符合</w:t>
                  </w:r>
                </w:p>
              </w:tc>
            </w:tr>
            <w:tr w14:paraId="0021D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32" w:type="dxa"/>
                  <w:vAlign w:val="center"/>
                </w:tcPr>
                <w:p w14:paraId="18E41C67">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4</w:t>
                  </w:r>
                </w:p>
              </w:tc>
              <w:tc>
                <w:tcPr>
                  <w:tcW w:w="4295" w:type="dxa"/>
                  <w:vAlign w:val="center"/>
                </w:tcPr>
                <w:p w14:paraId="56740061">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七、随着规划的实施，沉陷区面积必将扩大，而且下沉深度也会进一步增加，应按照《淮南市采煤沉陷治理条例》中的有关规定，制定合理可行的治理复垦计划，并与城乡统筹的有关水利规划相衔接，落实资金、设计、施工要求等内容，治理后的土地应该首先满足恢复耕地和生态的需要。积水导致无法耕种的耕地区域，要通过抽排积水维持农田面积，恢复农田平整度和农田水利设施，保证耕地质量。沉陷未积水耕地应进行土地区划，按农田标准平整，确保复垦面积，保证农民妥善安置。季节性积水土地 应采用</w:t>
                  </w:r>
                  <w:r>
                    <w:rPr>
                      <w:rFonts w:hint="eastAsia" w:ascii="Times New Roman" w:hAnsi="Times New Roman"/>
                      <w:color w:val="auto"/>
                      <w:szCs w:val="21"/>
                      <w:highlight w:val="none"/>
                      <w:lang w:eastAsia="zh-CN"/>
                    </w:rPr>
                    <w:t>“</w:t>
                  </w:r>
                  <w:r>
                    <w:rPr>
                      <w:rFonts w:ascii="Times New Roman" w:hAnsi="Times New Roman"/>
                      <w:color w:val="auto"/>
                      <w:szCs w:val="21"/>
                      <w:highlight w:val="none"/>
                    </w:rPr>
                    <w:t>挖深垫浅</w:t>
                  </w:r>
                  <w:r>
                    <w:rPr>
                      <w:rFonts w:hint="eastAsia" w:ascii="Times New Roman" w:hAnsi="Times New Roman"/>
                      <w:color w:val="auto"/>
                      <w:szCs w:val="21"/>
                      <w:highlight w:val="none"/>
                      <w:lang w:eastAsia="zh-CN"/>
                    </w:rPr>
                    <w:t>”</w:t>
                  </w:r>
                  <w:r>
                    <w:rPr>
                      <w:rFonts w:ascii="Times New Roman" w:hAnsi="Times New Roman"/>
                      <w:color w:val="auto"/>
                      <w:szCs w:val="21"/>
                      <w:highlight w:val="none"/>
                    </w:rPr>
                    <w:t>方式恢复为耕地。尚未稳定的沉陷区,须对受破坏的排灌渠道、道路进行临时修复，将沉陷对农业生产的影响减少到最低程度。</w:t>
                  </w:r>
                </w:p>
              </w:tc>
              <w:tc>
                <w:tcPr>
                  <w:tcW w:w="2370" w:type="dxa"/>
                  <w:vAlign w:val="center"/>
                </w:tcPr>
                <w:p w14:paraId="0F2D29F0">
                  <w:pPr>
                    <w:widowControl/>
                    <w:spacing w:after="0" w:line="240" w:lineRule="auto"/>
                    <w:jc w:val="left"/>
                    <w:rPr>
                      <w:rFonts w:ascii="Times New Roman" w:hAnsi="Times New Roman"/>
                      <w:color w:val="auto"/>
                      <w:szCs w:val="21"/>
                      <w:highlight w:val="none"/>
                    </w:rPr>
                  </w:pPr>
                  <w:r>
                    <w:rPr>
                      <w:rFonts w:ascii="Times New Roman" w:hAnsi="Times New Roman"/>
                      <w:color w:val="auto"/>
                      <w:szCs w:val="21"/>
                      <w:highlight w:val="none"/>
                    </w:rPr>
                    <w:t>项目建设地点位于</w:t>
                  </w:r>
                  <w:r>
                    <w:rPr>
                      <w:rFonts w:ascii="Times New Roman" w:hAnsi="Times New Roman"/>
                      <w:color w:val="auto"/>
                      <w:highlight w:val="none"/>
                    </w:rPr>
                    <w:t>安徽省淮南市潘集区贺疃镇，</w:t>
                  </w:r>
                  <w:r>
                    <w:rPr>
                      <w:rFonts w:ascii="Times New Roman" w:hAnsi="Times New Roman"/>
                      <w:color w:val="auto"/>
                      <w:kern w:val="0"/>
                      <w:szCs w:val="21"/>
                      <w:highlight w:val="none"/>
                    </w:rPr>
                    <w:t>本项目</w:t>
                  </w:r>
                  <w:r>
                    <w:rPr>
                      <w:rFonts w:hint="eastAsia" w:ascii="Times New Roman" w:hAnsi="Times New Roman"/>
                      <w:color w:val="auto"/>
                      <w:kern w:val="0"/>
                      <w:szCs w:val="21"/>
                      <w:highlight w:val="none"/>
                    </w:rPr>
                    <w:t>盾构机施工巷道地面钻孔探查主要是为后续瓦斯抽放巷盾构机安全、高效推进，</w:t>
                  </w:r>
                  <w:r>
                    <w:rPr>
                      <w:rFonts w:ascii="Times New Roman" w:hAnsi="Times New Roman"/>
                      <w:color w:val="auto"/>
                      <w:highlight w:val="none"/>
                    </w:rPr>
                    <w:t>属于固体矿产地质勘查项目，临时用地面积为</w:t>
                  </w:r>
                  <w:r>
                    <w:rPr>
                      <w:rFonts w:hint="eastAsia" w:ascii="Times New Roman" w:hAnsi="Times New Roman"/>
                      <w:color w:val="auto"/>
                      <w:highlight w:val="none"/>
                      <w:lang w:eastAsia="zh-CN"/>
                    </w:rPr>
                    <w:t>31378</w:t>
                  </w:r>
                  <w:r>
                    <w:rPr>
                      <w:rFonts w:ascii="Times New Roman" w:hAnsi="Times New Roman"/>
                      <w:color w:val="auto"/>
                      <w:highlight w:val="none"/>
                    </w:rPr>
                    <w:t>m</w:t>
                  </w:r>
                  <w:r>
                    <w:rPr>
                      <w:rFonts w:ascii="Times New Roman" w:hAnsi="Times New Roman"/>
                      <w:color w:val="auto"/>
                      <w:highlight w:val="none"/>
                      <w:vertAlign w:val="superscript"/>
                    </w:rPr>
                    <w:t>2</w:t>
                  </w:r>
                  <w:r>
                    <w:rPr>
                      <w:rFonts w:ascii="Times New Roman" w:hAnsi="Times New Roman"/>
                      <w:color w:val="auto"/>
                      <w:highlight w:val="none"/>
                    </w:rPr>
                    <w:t>，</w:t>
                  </w:r>
                  <w:r>
                    <w:rPr>
                      <w:rFonts w:hint="eastAsia" w:ascii="Times New Roman" w:hAnsi="Times New Roman"/>
                      <w:color w:val="auto"/>
                      <w:highlight w:val="none"/>
                    </w:rPr>
                    <w:t>项目用地时长预计约</w:t>
                  </w:r>
                  <w:r>
                    <w:rPr>
                      <w:rFonts w:hint="eastAsia" w:ascii="Times New Roman" w:hAnsi="Times New Roman"/>
                      <w:color w:val="auto"/>
                      <w:highlight w:val="none"/>
                      <w:lang w:val="en-US" w:eastAsia="zh-CN"/>
                    </w:rPr>
                    <w:t>9</w:t>
                  </w:r>
                  <w:r>
                    <w:rPr>
                      <w:rFonts w:hint="eastAsia" w:ascii="Times New Roman" w:hAnsi="Times New Roman"/>
                      <w:color w:val="auto"/>
                      <w:highlight w:val="none"/>
                    </w:rPr>
                    <w:t>个月，</w:t>
                  </w:r>
                  <w:r>
                    <w:rPr>
                      <w:rFonts w:hint="eastAsia"/>
                      <w:color w:val="auto"/>
                      <w:highlight w:val="none"/>
                    </w:rPr>
                    <w:t>已办理临时用地手续</w:t>
                  </w:r>
                  <w:r>
                    <w:rPr>
                      <w:rFonts w:ascii="Times New Roman" w:hAnsi="Times New Roman"/>
                      <w:color w:val="auto"/>
                      <w:highlight w:val="none"/>
                    </w:rPr>
                    <w:t>。</w:t>
                  </w:r>
                </w:p>
              </w:tc>
              <w:tc>
                <w:tcPr>
                  <w:tcW w:w="774" w:type="dxa"/>
                  <w:vAlign w:val="center"/>
                </w:tcPr>
                <w:p w14:paraId="2305E0CC">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符合</w:t>
                  </w:r>
                </w:p>
              </w:tc>
            </w:tr>
          </w:tbl>
          <w:p w14:paraId="3FD93972">
            <w:pPr>
              <w:pStyle w:val="32"/>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综上所述，本项目建设满足《淮南潘谢矿区总体开发规划环境影响报告书审查意见的通知》（环函〔2006〕86号）要求。</w:t>
            </w:r>
          </w:p>
        </w:tc>
      </w:tr>
      <w:tr w14:paraId="01364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07" w:type="dxa"/>
            <w:tcMar>
              <w:top w:w="16" w:type="dxa"/>
              <w:left w:w="16" w:type="dxa"/>
              <w:right w:w="16" w:type="dxa"/>
            </w:tcMar>
            <w:vAlign w:val="center"/>
          </w:tcPr>
          <w:p w14:paraId="556CF555">
            <w:pPr>
              <w:autoSpaceDE w:val="0"/>
              <w:autoSpaceDN w:val="0"/>
              <w:adjustRightInd w:val="0"/>
              <w:snapToGrid w:val="0"/>
              <w:spacing w:after="0"/>
              <w:jc w:val="center"/>
              <w:rPr>
                <w:rFonts w:ascii="Times New Roman" w:hAnsi="Times New Roman"/>
                <w:color w:val="auto"/>
                <w:kern w:val="0"/>
                <w:sz w:val="24"/>
                <w:highlight w:val="none"/>
              </w:rPr>
            </w:pPr>
            <w:bookmarkStart w:id="4" w:name="_Hlk56690880"/>
            <w:r>
              <w:rPr>
                <w:rFonts w:ascii="Times New Roman" w:hAnsi="Times New Roman"/>
                <w:color w:val="auto"/>
                <w:kern w:val="0"/>
                <w:sz w:val="24"/>
                <w:highlight w:val="none"/>
              </w:rPr>
              <w:t>其他符合性分析</w:t>
            </w:r>
          </w:p>
        </w:tc>
        <w:tc>
          <w:tcPr>
            <w:tcW w:w="8058" w:type="dxa"/>
            <w:gridSpan w:val="5"/>
            <w:tcMar>
              <w:top w:w="16" w:type="dxa"/>
              <w:left w:w="16" w:type="dxa"/>
              <w:right w:w="16" w:type="dxa"/>
            </w:tcMar>
            <w:vAlign w:val="center"/>
          </w:tcPr>
          <w:p w14:paraId="6A6326C5">
            <w:pPr>
              <w:spacing w:after="0" w:line="360" w:lineRule="auto"/>
              <w:ind w:firstLine="482" w:firstLineChars="200"/>
              <w:rPr>
                <w:rFonts w:ascii="Times New Roman" w:hAnsi="Times New Roman"/>
                <w:b/>
                <w:bCs/>
                <w:color w:val="auto"/>
                <w:kern w:val="0"/>
                <w:sz w:val="24"/>
                <w:highlight w:val="none"/>
              </w:rPr>
            </w:pPr>
            <w:r>
              <w:rPr>
                <w:rFonts w:ascii="Times New Roman" w:hAnsi="Times New Roman"/>
                <w:b/>
                <w:bCs/>
                <w:color w:val="auto"/>
                <w:kern w:val="0"/>
                <w:sz w:val="24"/>
                <w:highlight w:val="none"/>
              </w:rPr>
              <w:t>1、产业政策符合性</w:t>
            </w:r>
          </w:p>
          <w:p w14:paraId="3C85C0A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color w:val="auto"/>
                <w:sz w:val="24"/>
                <w:highlight w:val="none"/>
              </w:rPr>
            </w:pPr>
            <w:r>
              <w:rPr>
                <w:rFonts w:ascii="Times New Roman" w:hAnsi="Times New Roman"/>
                <w:color w:val="auto"/>
                <w:sz w:val="24"/>
                <w:highlight w:val="none"/>
              </w:rPr>
              <w:t>本项目实施是为了盾构施工前的</w:t>
            </w:r>
            <w:r>
              <w:rPr>
                <w:rFonts w:hint="eastAsia" w:ascii="Times New Roman" w:hAnsi="Times New Roman"/>
                <w:color w:val="auto"/>
                <w:sz w:val="24"/>
                <w:highlight w:val="none"/>
                <w:lang w:eastAsia="zh-CN"/>
              </w:rPr>
              <w:t>“</w:t>
            </w:r>
            <w:r>
              <w:rPr>
                <w:rFonts w:ascii="Times New Roman" w:hAnsi="Times New Roman"/>
                <w:color w:val="auto"/>
                <w:sz w:val="24"/>
                <w:highlight w:val="none"/>
              </w:rPr>
              <w:t>地质精准探查前置作业</w:t>
            </w:r>
            <w:r>
              <w:rPr>
                <w:rFonts w:hint="eastAsia" w:ascii="Times New Roman" w:hAnsi="Times New Roman"/>
                <w:color w:val="auto"/>
                <w:sz w:val="24"/>
                <w:highlight w:val="none"/>
                <w:lang w:eastAsia="zh-CN"/>
              </w:rPr>
              <w:t>”</w:t>
            </w:r>
            <w:r>
              <w:rPr>
                <w:rFonts w:ascii="Times New Roman" w:hAnsi="Times New Roman"/>
                <w:color w:val="auto"/>
                <w:sz w:val="24"/>
                <w:highlight w:val="none"/>
              </w:rPr>
              <w:t>，通过钻孔获取</w:t>
            </w:r>
            <w:r>
              <w:rPr>
                <w:rFonts w:hint="eastAsia" w:ascii="Times New Roman" w:hAnsi="Times New Roman"/>
                <w:color w:val="auto"/>
                <w:sz w:val="24"/>
                <w:highlight w:val="none"/>
                <w:lang w:eastAsia="zh-CN"/>
              </w:rPr>
              <w:t>“</w:t>
            </w:r>
            <w:r>
              <w:rPr>
                <w:rFonts w:ascii="Times New Roman" w:hAnsi="Times New Roman"/>
                <w:color w:val="auto"/>
                <w:sz w:val="24"/>
                <w:highlight w:val="none"/>
              </w:rPr>
              <w:t>煤（岩）层-构造-水文</w:t>
            </w:r>
            <w:r>
              <w:rPr>
                <w:rFonts w:hint="eastAsia" w:ascii="Times New Roman" w:hAnsi="Times New Roman"/>
                <w:color w:val="auto"/>
                <w:sz w:val="24"/>
                <w:highlight w:val="none"/>
                <w:lang w:eastAsia="zh-CN"/>
              </w:rPr>
              <w:t>”</w:t>
            </w:r>
            <w:r>
              <w:rPr>
                <w:rFonts w:ascii="Times New Roman" w:hAnsi="Times New Roman"/>
                <w:color w:val="auto"/>
                <w:sz w:val="24"/>
                <w:highlight w:val="none"/>
              </w:rPr>
              <w:t>三维地质数据，从源头上规避施工风险、优化施工方案，确保瓦斯抽放巷盾构机安全、高效推进，同时为煤矿后续生产提供可靠的地质支撑。因此，项目属于《产业结构调整指导目录</w:t>
            </w:r>
            <w:r>
              <w:rPr>
                <w:rFonts w:hint="eastAsia" w:ascii="Times New Roman" w:hAnsi="Times New Roman"/>
                <w:color w:val="auto"/>
                <w:sz w:val="24"/>
                <w:highlight w:val="none"/>
              </w:rPr>
              <w:t>（</w:t>
            </w:r>
            <w:r>
              <w:rPr>
                <w:rFonts w:ascii="Times New Roman" w:hAnsi="Times New Roman"/>
                <w:color w:val="auto"/>
                <w:sz w:val="24"/>
                <w:highlight w:val="none"/>
              </w:rPr>
              <w:t>2024年本</w:t>
            </w:r>
            <w:r>
              <w:rPr>
                <w:rFonts w:hint="eastAsia" w:ascii="Times New Roman" w:hAnsi="Times New Roman"/>
                <w:color w:val="auto"/>
                <w:sz w:val="24"/>
                <w:highlight w:val="none"/>
              </w:rPr>
              <w:t>）</w:t>
            </w:r>
            <w:r>
              <w:rPr>
                <w:rFonts w:ascii="Times New Roman" w:hAnsi="Times New Roman"/>
                <w:color w:val="auto"/>
                <w:sz w:val="24"/>
                <w:highlight w:val="none"/>
              </w:rPr>
              <w:t>》第一类鼓励类，即第三项</w:t>
            </w:r>
            <w:r>
              <w:rPr>
                <w:rFonts w:hint="eastAsia" w:ascii="Times New Roman" w:hAnsi="Times New Roman"/>
                <w:color w:val="auto"/>
                <w:sz w:val="24"/>
                <w:highlight w:val="none"/>
                <w:lang w:eastAsia="zh-CN"/>
              </w:rPr>
              <w:t>“</w:t>
            </w:r>
            <w:r>
              <w:rPr>
                <w:rFonts w:ascii="Times New Roman" w:hAnsi="Times New Roman"/>
                <w:color w:val="auto"/>
                <w:sz w:val="24"/>
                <w:highlight w:val="none"/>
              </w:rPr>
              <w:t>煤炭</w:t>
            </w:r>
            <w:r>
              <w:rPr>
                <w:rFonts w:hint="eastAsia" w:ascii="Times New Roman" w:hAnsi="Times New Roman"/>
                <w:color w:val="auto"/>
                <w:sz w:val="24"/>
                <w:highlight w:val="none"/>
                <w:lang w:eastAsia="zh-CN"/>
              </w:rPr>
              <w:t>”</w:t>
            </w:r>
            <w:r>
              <w:rPr>
                <w:rFonts w:ascii="Times New Roman" w:hAnsi="Times New Roman"/>
                <w:color w:val="auto"/>
                <w:sz w:val="24"/>
                <w:highlight w:val="none"/>
              </w:rPr>
              <w:t>中</w:t>
            </w:r>
            <w:r>
              <w:rPr>
                <w:rFonts w:hint="eastAsia" w:ascii="Times New Roman" w:hAnsi="Times New Roman"/>
                <w:color w:val="auto"/>
                <w:sz w:val="24"/>
                <w:highlight w:val="none"/>
                <w:lang w:eastAsia="zh-CN"/>
              </w:rPr>
              <w:t>“</w:t>
            </w:r>
            <w:r>
              <w:rPr>
                <w:rFonts w:ascii="Times New Roman" w:hAnsi="Times New Roman"/>
                <w:color w:val="auto"/>
                <w:sz w:val="24"/>
                <w:highlight w:val="none"/>
              </w:rPr>
              <w:t>矿井灾害</w:t>
            </w:r>
            <w:r>
              <w:rPr>
                <w:rFonts w:hint="eastAsia" w:ascii="Times New Roman" w:hAnsi="Times New Roman"/>
                <w:color w:val="auto"/>
                <w:sz w:val="24"/>
                <w:highlight w:val="none"/>
              </w:rPr>
              <w:t>（</w:t>
            </w:r>
            <w:r>
              <w:rPr>
                <w:rFonts w:ascii="Times New Roman" w:hAnsi="Times New Roman"/>
                <w:color w:val="auto"/>
                <w:sz w:val="24"/>
                <w:highlight w:val="none"/>
              </w:rPr>
              <w:t>瓦斯、煤尘、矿井水、火、围岩、地温、冲击地压等</w:t>
            </w:r>
            <w:r>
              <w:rPr>
                <w:rFonts w:hint="eastAsia" w:ascii="Times New Roman" w:hAnsi="Times New Roman"/>
                <w:color w:val="auto"/>
                <w:sz w:val="24"/>
                <w:highlight w:val="none"/>
              </w:rPr>
              <w:t>）</w:t>
            </w:r>
            <w:r>
              <w:rPr>
                <w:rFonts w:ascii="Times New Roman" w:hAnsi="Times New Roman"/>
                <w:color w:val="auto"/>
                <w:sz w:val="24"/>
                <w:highlight w:val="none"/>
              </w:rPr>
              <w:t>防治</w:t>
            </w:r>
            <w:r>
              <w:rPr>
                <w:rFonts w:hint="eastAsia" w:ascii="Times New Roman" w:hAnsi="Times New Roman"/>
                <w:color w:val="auto"/>
                <w:sz w:val="24"/>
                <w:highlight w:val="none"/>
                <w:lang w:eastAsia="zh-CN"/>
              </w:rPr>
              <w:t>”</w:t>
            </w:r>
            <w:r>
              <w:rPr>
                <w:rFonts w:ascii="Times New Roman" w:hAnsi="Times New Roman"/>
                <w:color w:val="auto"/>
                <w:sz w:val="24"/>
                <w:highlight w:val="none"/>
              </w:rPr>
              <w:t>范畴。因此，项目符合国家产业政策要求，属于鼓励类。对照《安徽省工业产业结构调整指导目录（2007年版）》，本项目属于</w:t>
            </w:r>
            <w:r>
              <w:rPr>
                <w:rFonts w:hint="eastAsia" w:ascii="Times New Roman" w:hAnsi="Times New Roman"/>
                <w:color w:val="auto"/>
                <w:sz w:val="24"/>
                <w:highlight w:val="none"/>
                <w:lang w:eastAsia="zh-CN"/>
              </w:rPr>
              <w:t>“</w:t>
            </w:r>
            <w:r>
              <w:rPr>
                <w:rFonts w:ascii="Times New Roman" w:hAnsi="Times New Roman"/>
                <w:color w:val="auto"/>
                <w:sz w:val="24"/>
                <w:highlight w:val="none"/>
              </w:rPr>
              <w:t>鼓励类中的一、煤炭1、煤田地质及地球物理勘探</w:t>
            </w:r>
            <w:r>
              <w:rPr>
                <w:rFonts w:hint="eastAsia" w:ascii="Times New Roman" w:hAnsi="Times New Roman"/>
                <w:color w:val="auto"/>
                <w:sz w:val="24"/>
                <w:highlight w:val="none"/>
                <w:lang w:eastAsia="zh-CN"/>
              </w:rPr>
              <w:t>”</w:t>
            </w:r>
            <w:r>
              <w:rPr>
                <w:rFonts w:ascii="Times New Roman" w:hAnsi="Times New Roman"/>
                <w:color w:val="auto"/>
                <w:sz w:val="24"/>
                <w:highlight w:val="none"/>
              </w:rPr>
              <w:t>，本项目为鼓励类，项目符合国家和地方产业政策要求。</w:t>
            </w:r>
          </w:p>
          <w:p w14:paraId="28835A1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color w:val="auto"/>
                <w:kern w:val="0"/>
                <w:sz w:val="24"/>
                <w:highlight w:val="none"/>
              </w:rPr>
            </w:pPr>
            <w:r>
              <w:rPr>
                <w:rFonts w:ascii="Times New Roman" w:hAnsi="Times New Roman"/>
                <w:color w:val="auto"/>
                <w:sz w:val="24"/>
                <w:highlight w:val="none"/>
              </w:rPr>
              <w:t>项目已经在潘集区发展和改革委员会备案，项目编码：</w:t>
            </w:r>
            <w:r>
              <w:rPr>
                <w:rFonts w:hint="eastAsia" w:ascii="Times New Roman" w:hAnsi="Times New Roman"/>
                <w:color w:val="auto"/>
                <w:sz w:val="24"/>
                <w:highlight w:val="none"/>
              </w:rPr>
              <w:t>2606-340406-04-01-971157</w:t>
            </w:r>
            <w:r>
              <w:rPr>
                <w:rFonts w:ascii="Times New Roman" w:hAnsi="Times New Roman"/>
                <w:color w:val="auto"/>
                <w:sz w:val="24"/>
                <w:highlight w:val="none"/>
              </w:rPr>
              <w:t>，因此，项目建设符合国家及地方的产业政策。</w:t>
            </w:r>
          </w:p>
          <w:p w14:paraId="1B85B58A">
            <w:pPr>
              <w:spacing w:after="0"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2</w:t>
            </w:r>
            <w:r>
              <w:rPr>
                <w:rFonts w:ascii="Times New Roman" w:hAnsi="Times New Roman"/>
                <w:b/>
                <w:bCs/>
                <w:color w:val="auto"/>
                <w:sz w:val="24"/>
                <w:highlight w:val="none"/>
              </w:rPr>
              <w:t>、与</w:t>
            </w:r>
            <w:r>
              <w:rPr>
                <w:rFonts w:hint="eastAsia" w:ascii="Times New Roman" w:hAnsi="Times New Roman"/>
                <w:b/>
                <w:bCs/>
                <w:color w:val="auto"/>
                <w:sz w:val="24"/>
                <w:highlight w:val="none"/>
                <w:lang w:eastAsia="zh-CN"/>
              </w:rPr>
              <w:t>“</w:t>
            </w:r>
            <w:r>
              <w:rPr>
                <w:rFonts w:ascii="Times New Roman" w:hAnsi="Times New Roman"/>
                <w:b/>
                <w:bCs/>
                <w:color w:val="auto"/>
                <w:sz w:val="24"/>
                <w:highlight w:val="none"/>
              </w:rPr>
              <w:t>三区三线</w:t>
            </w:r>
            <w:r>
              <w:rPr>
                <w:rFonts w:hint="eastAsia" w:ascii="Times New Roman" w:hAnsi="Times New Roman"/>
                <w:b/>
                <w:bCs/>
                <w:color w:val="auto"/>
                <w:sz w:val="24"/>
                <w:highlight w:val="none"/>
                <w:lang w:eastAsia="zh-CN"/>
              </w:rPr>
              <w:t>”</w:t>
            </w:r>
            <w:r>
              <w:rPr>
                <w:rFonts w:ascii="Times New Roman" w:hAnsi="Times New Roman"/>
                <w:b/>
                <w:bCs/>
                <w:color w:val="auto"/>
                <w:sz w:val="24"/>
                <w:highlight w:val="none"/>
              </w:rPr>
              <w:t>相符性分析</w:t>
            </w:r>
          </w:p>
          <w:p w14:paraId="18F54152">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本项目涉及的</w:t>
            </w:r>
            <w:r>
              <w:rPr>
                <w:rFonts w:hint="eastAsia" w:ascii="Times New Roman" w:hAnsi="Times New Roman"/>
                <w:color w:val="auto"/>
                <w:sz w:val="24"/>
                <w:highlight w:val="none"/>
                <w:lang w:val="en-US" w:eastAsia="zh-CN"/>
              </w:rPr>
              <w:t>19</w:t>
            </w:r>
            <w:r>
              <w:rPr>
                <w:rFonts w:hint="eastAsia" w:ascii="Times New Roman" w:hAnsi="Times New Roman"/>
                <w:color w:val="auto"/>
                <w:sz w:val="24"/>
                <w:highlight w:val="none"/>
              </w:rPr>
              <w:t>个井场</w:t>
            </w:r>
            <w:r>
              <w:rPr>
                <w:rFonts w:ascii="Times New Roman" w:hAnsi="Times New Roman"/>
                <w:color w:val="auto"/>
                <w:sz w:val="24"/>
                <w:highlight w:val="none"/>
              </w:rPr>
              <w:t>均为临时用地，</w:t>
            </w:r>
            <w:r>
              <w:rPr>
                <w:rFonts w:hint="eastAsia" w:ascii="Times New Roman" w:hAnsi="Times New Roman"/>
                <w:color w:val="auto"/>
                <w:sz w:val="24"/>
                <w:highlight w:val="none"/>
              </w:rPr>
              <w:t>用地时长</w:t>
            </w:r>
            <w:r>
              <w:rPr>
                <w:rFonts w:hint="eastAsia" w:ascii="Times New Roman" w:hAnsi="Times New Roman"/>
                <w:color w:val="auto"/>
                <w:sz w:val="24"/>
                <w:highlight w:val="none"/>
                <w:lang w:val="en-US" w:eastAsia="zh-CN"/>
              </w:rPr>
              <w:t>总计</w:t>
            </w:r>
            <w:r>
              <w:rPr>
                <w:rFonts w:hint="eastAsia" w:ascii="Times New Roman" w:hAnsi="Times New Roman"/>
                <w:color w:val="auto"/>
                <w:sz w:val="24"/>
                <w:highlight w:val="none"/>
              </w:rPr>
              <w:t>约</w:t>
            </w:r>
            <w:r>
              <w:rPr>
                <w:rFonts w:hint="eastAsia" w:ascii="Times New Roman" w:hAnsi="Times New Roman"/>
                <w:color w:val="auto"/>
                <w:sz w:val="24"/>
                <w:highlight w:val="none"/>
                <w:lang w:val="en-US" w:eastAsia="zh-CN"/>
              </w:rPr>
              <w:t>9</w:t>
            </w:r>
            <w:r>
              <w:rPr>
                <w:rFonts w:hint="eastAsia" w:ascii="Times New Roman" w:hAnsi="Times New Roman"/>
                <w:color w:val="auto"/>
                <w:sz w:val="24"/>
                <w:highlight w:val="none"/>
              </w:rPr>
              <w:t>个月</w:t>
            </w:r>
            <w:r>
              <w:rPr>
                <w:rFonts w:ascii="Times New Roman" w:hAnsi="Times New Roman"/>
                <w:color w:val="auto"/>
                <w:sz w:val="24"/>
                <w:highlight w:val="none"/>
              </w:rPr>
              <w:t>，施工结束后全部恢复原貌，完成复垦。本项目</w:t>
            </w:r>
            <w:r>
              <w:rPr>
                <w:rFonts w:hint="eastAsia" w:ascii="Times New Roman" w:hAnsi="Times New Roman"/>
                <w:color w:val="auto"/>
                <w:sz w:val="24"/>
                <w:highlight w:val="none"/>
                <w:lang w:val="en-US" w:eastAsia="zh-CN"/>
              </w:rPr>
              <w:t>19</w:t>
            </w:r>
            <w:r>
              <w:rPr>
                <w:rFonts w:hint="eastAsia" w:ascii="Times New Roman" w:hAnsi="Times New Roman"/>
                <w:color w:val="auto"/>
                <w:sz w:val="24"/>
                <w:highlight w:val="none"/>
              </w:rPr>
              <w:t>个井场均</w:t>
            </w:r>
            <w:r>
              <w:rPr>
                <w:rFonts w:ascii="Times New Roman" w:hAnsi="Times New Roman"/>
                <w:color w:val="auto"/>
                <w:sz w:val="24"/>
                <w:highlight w:val="none"/>
              </w:rPr>
              <w:t>涉及基本农田</w:t>
            </w:r>
            <w:r>
              <w:rPr>
                <w:rFonts w:hint="eastAsia" w:ascii="Times New Roman" w:hAnsi="Times New Roman"/>
                <w:color w:val="auto"/>
                <w:sz w:val="24"/>
                <w:highlight w:val="none"/>
              </w:rPr>
              <w:t>，总占用面积约</w:t>
            </w:r>
            <w:r>
              <w:rPr>
                <w:rFonts w:hint="eastAsia" w:ascii="Times New Roman" w:hAnsi="Times New Roman"/>
                <w:color w:val="auto"/>
                <w:sz w:val="24"/>
                <w:highlight w:val="none"/>
                <w:lang w:eastAsia="zh-CN"/>
              </w:rPr>
              <w:t>31378</w:t>
            </w:r>
            <w:r>
              <w:rPr>
                <w:rFonts w:ascii="Times New Roman" w:hAnsi="Times New Roman"/>
                <w:color w:val="auto"/>
                <w:sz w:val="24"/>
                <w:highlight w:val="none"/>
              </w:rPr>
              <w:t>m</w:t>
            </w:r>
            <w:r>
              <w:rPr>
                <w:rFonts w:ascii="Times New Roman" w:hAnsi="Times New Roman"/>
                <w:color w:val="auto"/>
                <w:sz w:val="24"/>
                <w:highlight w:val="none"/>
                <w:vertAlign w:val="superscript"/>
              </w:rPr>
              <w:t>2</w:t>
            </w:r>
            <w:r>
              <w:rPr>
                <w:rFonts w:ascii="Times New Roman" w:hAnsi="Times New Roman"/>
                <w:color w:val="auto"/>
                <w:sz w:val="24"/>
                <w:highlight w:val="none"/>
              </w:rPr>
              <w:t>，但</w:t>
            </w:r>
            <w:r>
              <w:rPr>
                <w:rFonts w:hint="eastAsia" w:ascii="Times New Roman" w:hAnsi="Times New Roman"/>
                <w:color w:val="auto"/>
                <w:sz w:val="24"/>
                <w:highlight w:val="none"/>
              </w:rPr>
              <w:t>均</w:t>
            </w:r>
            <w:r>
              <w:rPr>
                <w:rFonts w:ascii="Times New Roman" w:hAnsi="Times New Roman"/>
                <w:color w:val="auto"/>
                <w:sz w:val="24"/>
                <w:highlight w:val="none"/>
              </w:rPr>
              <w:t>不是长期永久占用，本项目施工前需进行表土剥离工作，将表土放在专门的表土堆放区，表土堆放区应设置拦挡、苫盖等措施，同时本项目已编制完成复垦方案，施工结束后按照复垦方案对临时占地进行复垦，剥离的表土回填，恢复原有生态环境功能</w:t>
            </w:r>
            <w:r>
              <w:rPr>
                <w:rFonts w:hint="eastAsia" w:ascii="Times New Roman" w:hAnsi="Times New Roman"/>
                <w:color w:val="auto"/>
                <w:sz w:val="24"/>
                <w:highlight w:val="none"/>
              </w:rPr>
              <w:t>。对照淮南市三区三线图，项目不占生态保护红线</w:t>
            </w:r>
            <w:r>
              <w:rPr>
                <w:rFonts w:ascii="Times New Roman" w:hAnsi="Times New Roman"/>
                <w:color w:val="auto"/>
                <w:sz w:val="24"/>
                <w:highlight w:val="none"/>
              </w:rPr>
              <w:t>，项目临时用地套核</w:t>
            </w:r>
            <w:r>
              <w:rPr>
                <w:rFonts w:hint="eastAsia" w:ascii="Times New Roman" w:hAnsi="Times New Roman"/>
                <w:color w:val="auto"/>
                <w:sz w:val="24"/>
                <w:highlight w:val="none"/>
                <w:lang w:eastAsia="zh-CN"/>
              </w:rPr>
              <w:t>“</w:t>
            </w:r>
            <w:r>
              <w:rPr>
                <w:rFonts w:ascii="Times New Roman" w:hAnsi="Times New Roman"/>
                <w:color w:val="auto"/>
                <w:sz w:val="24"/>
                <w:highlight w:val="none"/>
              </w:rPr>
              <w:t>三区三线</w:t>
            </w:r>
            <w:r>
              <w:rPr>
                <w:rFonts w:hint="eastAsia" w:ascii="Times New Roman" w:hAnsi="Times New Roman"/>
                <w:color w:val="auto"/>
                <w:sz w:val="24"/>
                <w:highlight w:val="none"/>
                <w:lang w:eastAsia="zh-CN"/>
              </w:rPr>
              <w:t>”</w:t>
            </w:r>
            <w:r>
              <w:rPr>
                <w:rFonts w:ascii="Times New Roman" w:hAnsi="Times New Roman"/>
                <w:color w:val="auto"/>
                <w:sz w:val="24"/>
                <w:highlight w:val="none"/>
              </w:rPr>
              <w:t>成果图见附图</w:t>
            </w:r>
            <w:r>
              <w:rPr>
                <w:rFonts w:hint="eastAsia" w:ascii="Times New Roman" w:hAnsi="Times New Roman"/>
                <w:color w:val="auto"/>
                <w:sz w:val="24"/>
                <w:highlight w:val="none"/>
              </w:rPr>
              <w:t>4</w:t>
            </w:r>
            <w:r>
              <w:rPr>
                <w:rFonts w:ascii="Times New Roman" w:hAnsi="Times New Roman"/>
                <w:color w:val="auto"/>
                <w:sz w:val="24"/>
                <w:highlight w:val="none"/>
              </w:rPr>
              <w:t>。</w:t>
            </w:r>
          </w:p>
          <w:p w14:paraId="5BCC40EE">
            <w:pPr>
              <w:spacing w:after="0"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3</w:t>
            </w:r>
            <w:r>
              <w:rPr>
                <w:rFonts w:ascii="Times New Roman" w:hAnsi="Times New Roman"/>
                <w:b/>
                <w:bCs/>
                <w:color w:val="auto"/>
                <w:sz w:val="24"/>
                <w:highlight w:val="none"/>
              </w:rPr>
              <w:t>、生态分区管控单元相符性分析</w:t>
            </w:r>
          </w:p>
          <w:p w14:paraId="08E06ED1">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根据安徽省生态环境厅《关于印发安徽省</w:t>
            </w:r>
            <w:r>
              <w:rPr>
                <w:rFonts w:hint="eastAsia" w:ascii="Times New Roman" w:hAnsi="Times New Roman"/>
                <w:color w:val="auto"/>
                <w:sz w:val="24"/>
                <w:highlight w:val="none"/>
                <w:lang w:eastAsia="zh-CN"/>
              </w:rPr>
              <w:t>“</w:t>
            </w:r>
            <w:r>
              <w:rPr>
                <w:rFonts w:ascii="Times New Roman" w:hAnsi="Times New Roman"/>
                <w:color w:val="auto"/>
                <w:sz w:val="24"/>
                <w:highlight w:val="none"/>
              </w:rPr>
              <w:t>三线一单</w:t>
            </w:r>
            <w:r>
              <w:rPr>
                <w:rFonts w:hint="eastAsia" w:ascii="Times New Roman" w:hAnsi="Times New Roman"/>
                <w:color w:val="auto"/>
                <w:sz w:val="24"/>
                <w:highlight w:val="none"/>
                <w:lang w:eastAsia="zh-CN"/>
              </w:rPr>
              <w:t>”</w:t>
            </w:r>
            <w:r>
              <w:rPr>
                <w:rFonts w:ascii="Times New Roman" w:hAnsi="Times New Roman"/>
                <w:color w:val="auto"/>
                <w:sz w:val="24"/>
                <w:highlight w:val="none"/>
              </w:rPr>
              <w:t>生态环境分区管控管理办法》皖环发〔</w:t>
            </w:r>
            <w:r>
              <w:rPr>
                <w:rFonts w:hint="eastAsia" w:ascii="Times New Roman" w:hAnsi="Times New Roman"/>
                <w:color w:val="auto"/>
                <w:sz w:val="24"/>
                <w:highlight w:val="none"/>
              </w:rPr>
              <w:t>2022</w:t>
            </w:r>
            <w:r>
              <w:rPr>
                <w:rFonts w:ascii="Times New Roman" w:hAnsi="Times New Roman"/>
                <w:color w:val="auto"/>
                <w:sz w:val="24"/>
                <w:highlight w:val="none"/>
              </w:rPr>
              <w:t>〕5号文要求：基于生态保护红线、环境质量底线、资源利用上线，依据现有法律法规、政策标准和管理要求等，衔接区域发展战略和生态功能定位，坚持目标导向和问题导向，从空间布局约束、污染物排放管控、环境风险防控和资源利用效率等方面明确生态环境准入要求。</w:t>
            </w:r>
          </w:p>
          <w:p w14:paraId="47EE18B6">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（1）生态</w:t>
            </w:r>
            <w:r>
              <w:rPr>
                <w:rFonts w:hint="eastAsia" w:ascii="Times New Roman" w:hAnsi="Times New Roman"/>
                <w:color w:val="auto"/>
                <w:sz w:val="24"/>
                <w:highlight w:val="none"/>
              </w:rPr>
              <w:t>保护</w:t>
            </w:r>
            <w:r>
              <w:rPr>
                <w:rFonts w:ascii="Times New Roman" w:hAnsi="Times New Roman"/>
                <w:color w:val="auto"/>
                <w:sz w:val="24"/>
                <w:highlight w:val="none"/>
              </w:rPr>
              <w:t>红线</w:t>
            </w:r>
          </w:p>
          <w:p w14:paraId="3BD10536">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根据《淮南市</w:t>
            </w:r>
            <w:r>
              <w:rPr>
                <w:rFonts w:hint="eastAsia" w:ascii="Times New Roman" w:hAnsi="Times New Roman"/>
                <w:color w:val="auto"/>
                <w:sz w:val="24"/>
                <w:highlight w:val="none"/>
                <w:lang w:eastAsia="zh-CN"/>
              </w:rPr>
              <w:t>“</w:t>
            </w:r>
            <w:r>
              <w:rPr>
                <w:rFonts w:ascii="Times New Roman" w:hAnsi="Times New Roman"/>
                <w:color w:val="auto"/>
                <w:sz w:val="24"/>
                <w:highlight w:val="none"/>
              </w:rPr>
              <w:t>三线一单</w:t>
            </w:r>
            <w:r>
              <w:rPr>
                <w:rFonts w:hint="eastAsia" w:ascii="Times New Roman" w:hAnsi="Times New Roman"/>
                <w:color w:val="auto"/>
                <w:sz w:val="24"/>
                <w:highlight w:val="none"/>
                <w:lang w:eastAsia="zh-CN"/>
              </w:rPr>
              <w:t>”</w:t>
            </w:r>
            <w:r>
              <w:rPr>
                <w:rFonts w:ascii="Times New Roman" w:hAnsi="Times New Roman"/>
                <w:color w:val="auto"/>
                <w:sz w:val="24"/>
                <w:highlight w:val="none"/>
              </w:rPr>
              <w:t>文件》，</w:t>
            </w:r>
            <w:r>
              <w:rPr>
                <w:rFonts w:hint="eastAsia" w:ascii="Times New Roman" w:hAnsi="Times New Roman"/>
                <w:color w:val="auto"/>
                <w:sz w:val="24"/>
                <w:highlight w:val="none"/>
              </w:rPr>
              <w:t>本项目评价区域不涉及生态保护红线</w:t>
            </w:r>
            <w:r>
              <w:rPr>
                <w:rFonts w:ascii="Times New Roman" w:hAnsi="Times New Roman"/>
                <w:color w:val="auto"/>
                <w:sz w:val="24"/>
                <w:highlight w:val="none"/>
              </w:rPr>
              <w:t>。</w:t>
            </w:r>
            <w:r>
              <w:rPr>
                <w:rFonts w:ascii="Times New Roman" w:hAnsi="Times New Roman"/>
                <w:color w:val="auto"/>
                <w:kern w:val="0"/>
                <w:sz w:val="24"/>
                <w:highlight w:val="none"/>
              </w:rPr>
              <w:t>本项目位于</w:t>
            </w:r>
            <w:r>
              <w:rPr>
                <w:rFonts w:ascii="Times New Roman" w:hAnsi="Times New Roman"/>
                <w:color w:val="auto"/>
                <w:sz w:val="24"/>
                <w:highlight w:val="none"/>
              </w:rPr>
              <w:t>安徽省淮南市潘集区贺疃镇境内，</w:t>
            </w:r>
            <w:r>
              <w:rPr>
                <w:rFonts w:hint="eastAsia" w:ascii="Times New Roman" w:hAnsi="Times New Roman"/>
                <w:color w:val="auto"/>
                <w:sz w:val="24"/>
                <w:highlight w:val="none"/>
              </w:rPr>
              <w:t>202</w:t>
            </w:r>
            <w:r>
              <w:rPr>
                <w:rFonts w:hint="eastAsia" w:ascii="Times New Roman" w:hAnsi="Times New Roman"/>
                <w:color w:val="auto"/>
                <w:sz w:val="24"/>
                <w:highlight w:val="none"/>
                <w:lang w:val="en-US" w:eastAsia="zh-CN"/>
              </w:rPr>
              <w:t>6</w:t>
            </w:r>
            <w:r>
              <w:rPr>
                <w:rFonts w:hint="eastAsia" w:ascii="Times New Roman" w:hAnsi="Times New Roman"/>
                <w:color w:val="auto"/>
                <w:sz w:val="24"/>
                <w:highlight w:val="none"/>
              </w:rPr>
              <w:t>年1</w:t>
            </w:r>
            <w:r>
              <w:rPr>
                <w:rFonts w:hint="eastAsia" w:ascii="Times New Roman" w:hAnsi="Times New Roman"/>
                <w:color w:val="auto"/>
                <w:sz w:val="24"/>
                <w:highlight w:val="none"/>
                <w:lang w:val="en-US" w:eastAsia="zh-CN"/>
              </w:rPr>
              <w:t>0</w:t>
            </w:r>
            <w:r>
              <w:rPr>
                <w:rFonts w:hint="eastAsia" w:ascii="Times New Roman" w:hAnsi="Times New Roman"/>
                <w:color w:val="auto"/>
                <w:sz w:val="24"/>
                <w:highlight w:val="none"/>
              </w:rPr>
              <w:t>月</w:t>
            </w:r>
            <w:r>
              <w:rPr>
                <w:rFonts w:hint="eastAsia" w:ascii="Times New Roman" w:hAnsi="Times New Roman"/>
                <w:color w:val="auto"/>
                <w:sz w:val="24"/>
                <w:highlight w:val="none"/>
                <w:lang w:val="en-US" w:eastAsia="zh-CN"/>
              </w:rPr>
              <w:t>13</w:t>
            </w:r>
            <w:r>
              <w:rPr>
                <w:rFonts w:hint="eastAsia" w:ascii="Times New Roman" w:hAnsi="Times New Roman"/>
                <w:color w:val="auto"/>
                <w:sz w:val="24"/>
                <w:highlight w:val="none"/>
              </w:rPr>
              <w:t>日</w:t>
            </w:r>
            <w:r>
              <w:rPr>
                <w:rFonts w:ascii="Times New Roman" w:hAnsi="Times New Roman"/>
                <w:color w:val="auto"/>
                <w:sz w:val="24"/>
                <w:highlight w:val="none"/>
              </w:rPr>
              <w:t>，淮南市自然资源和规划局潘集分局出具了本项目临时用地初审意见。项目涉及的</w:t>
            </w:r>
            <w:r>
              <w:rPr>
                <w:rFonts w:hint="eastAsia" w:ascii="Times New Roman" w:hAnsi="Times New Roman"/>
                <w:color w:val="auto"/>
                <w:sz w:val="24"/>
                <w:highlight w:val="none"/>
                <w:lang w:val="en-US" w:eastAsia="zh-CN"/>
              </w:rPr>
              <w:t>19</w:t>
            </w:r>
            <w:r>
              <w:rPr>
                <w:rFonts w:hint="eastAsia" w:ascii="Times New Roman" w:hAnsi="Times New Roman"/>
                <w:color w:val="auto"/>
                <w:sz w:val="24"/>
                <w:highlight w:val="none"/>
              </w:rPr>
              <w:t>个井场</w:t>
            </w:r>
            <w:r>
              <w:rPr>
                <w:rFonts w:ascii="Times New Roman" w:hAnsi="Times New Roman"/>
                <w:color w:val="auto"/>
                <w:sz w:val="24"/>
                <w:highlight w:val="none"/>
              </w:rPr>
              <w:t>均为临时用地，</w:t>
            </w:r>
            <w:r>
              <w:rPr>
                <w:rFonts w:hint="eastAsia" w:ascii="Times New Roman" w:hAnsi="Times New Roman"/>
                <w:color w:val="auto"/>
                <w:sz w:val="24"/>
                <w:highlight w:val="none"/>
              </w:rPr>
              <w:t>用地时长预计约</w:t>
            </w:r>
            <w:r>
              <w:rPr>
                <w:rFonts w:hint="eastAsia" w:ascii="Times New Roman" w:hAnsi="Times New Roman"/>
                <w:color w:val="auto"/>
                <w:sz w:val="24"/>
                <w:highlight w:val="none"/>
                <w:lang w:val="en-US" w:eastAsia="zh-CN"/>
              </w:rPr>
              <w:t>9</w:t>
            </w:r>
            <w:r>
              <w:rPr>
                <w:rFonts w:hint="eastAsia" w:ascii="Times New Roman" w:hAnsi="Times New Roman"/>
                <w:color w:val="auto"/>
                <w:sz w:val="24"/>
                <w:highlight w:val="none"/>
              </w:rPr>
              <w:t>个月</w:t>
            </w:r>
            <w:r>
              <w:rPr>
                <w:rFonts w:ascii="Times New Roman" w:hAnsi="Times New Roman"/>
                <w:color w:val="auto"/>
                <w:sz w:val="24"/>
                <w:highlight w:val="none"/>
              </w:rPr>
              <w:t>，施工结束后全部恢复原貌，完成复垦。</w:t>
            </w:r>
            <w:r>
              <w:rPr>
                <w:rFonts w:ascii="Times New Roman" w:hAnsi="Times New Roman"/>
                <w:color w:val="auto"/>
                <w:kern w:val="0"/>
                <w:sz w:val="24"/>
                <w:highlight w:val="none"/>
              </w:rPr>
              <w:t>通过与《淮南市生态保护红线分布图》进行对比，本项目所在区域不在淮南市生态保护红线范围内，选址周边其他无自然保护区、风景名胜区、世界文化和自然遗产地、森林公园、地质公园、重要湿地等敏感点存在，因此符合生态保护红线要求，本项目在生态保护红线中的位置图见报告附图</w:t>
            </w:r>
            <w:r>
              <w:rPr>
                <w:rFonts w:hint="eastAsia" w:ascii="Times New Roman" w:hAnsi="Times New Roman"/>
                <w:color w:val="auto"/>
                <w:kern w:val="0"/>
                <w:sz w:val="24"/>
                <w:highlight w:val="none"/>
              </w:rPr>
              <w:t>5</w:t>
            </w:r>
            <w:r>
              <w:rPr>
                <w:rFonts w:ascii="Times New Roman" w:hAnsi="Times New Roman"/>
                <w:color w:val="auto"/>
                <w:kern w:val="0"/>
                <w:sz w:val="24"/>
                <w:highlight w:val="none"/>
              </w:rPr>
              <w:t>。</w:t>
            </w:r>
          </w:p>
          <w:p w14:paraId="23D7B795">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（2）分区管控要求</w:t>
            </w:r>
          </w:p>
          <w:p w14:paraId="54BA38C4">
            <w:pPr>
              <w:autoSpaceDE w:val="0"/>
              <w:autoSpaceDN w:val="0"/>
              <w:adjustRightInd w:val="0"/>
              <w:snapToGrid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①水环境管控分区管控要求</w:t>
            </w:r>
          </w:p>
          <w:p w14:paraId="54E8DADC">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对照《淮南市水环境分区管控图》，本项目所在区域属于一般管控区，项目在淮南市水环境分区图中的位置图见报告附图</w:t>
            </w:r>
            <w:r>
              <w:rPr>
                <w:rFonts w:hint="eastAsia" w:ascii="Times New Roman" w:hAnsi="Times New Roman"/>
                <w:color w:val="auto"/>
                <w:kern w:val="0"/>
                <w:sz w:val="24"/>
                <w:highlight w:val="none"/>
              </w:rPr>
              <w:t>6</w:t>
            </w:r>
            <w:r>
              <w:rPr>
                <w:rFonts w:ascii="Times New Roman" w:hAnsi="Times New Roman"/>
                <w:color w:val="auto"/>
                <w:kern w:val="0"/>
                <w:sz w:val="24"/>
                <w:highlight w:val="none"/>
              </w:rPr>
              <w:t>。一般管控区分区管控要求如下：依据</w:t>
            </w:r>
            <w:r>
              <w:rPr>
                <w:rFonts w:ascii="宋体" w:hAnsi="宋体" w:eastAsia="宋体" w:cs="宋体"/>
                <w:color w:val="auto"/>
                <w:sz w:val="24"/>
                <w:szCs w:val="24"/>
              </w:rPr>
              <w:t>《中华人民共和国生态环境法典》</w:t>
            </w:r>
            <w:r>
              <w:rPr>
                <w:rFonts w:ascii="Times New Roman" w:hAnsi="Times New Roman"/>
                <w:color w:val="auto"/>
                <w:kern w:val="0"/>
                <w:sz w:val="24"/>
                <w:highlight w:val="none"/>
              </w:rPr>
              <w:t>《水污染防治行动计划》《安徽省水污染防治工作方案》及各市水污染防治工作方案对一般管控区实施管控；依据《安徽省淮河流域水污染防治条例》对淮河流域实施管控。本项目施工期无废水外排，项目区不设置员工食宿，员工食宿依托附近村庄，生活污水经化粪池处理后定期清掏用于当地农作物施肥。项目实施钻井仅为施工期，每个井场需要对车辆冲洗，配套建设容积</w:t>
            </w:r>
            <w:r>
              <w:rPr>
                <w:rFonts w:hint="eastAsia" w:ascii="Times New Roman" w:hAnsi="Times New Roman"/>
                <w:color w:val="auto"/>
                <w:kern w:val="0"/>
                <w:sz w:val="24"/>
                <w:highlight w:val="none"/>
              </w:rPr>
              <w:t>8</w:t>
            </w:r>
            <w:r>
              <w:rPr>
                <w:rFonts w:ascii="Times New Roman" w:hAnsi="Times New Roman"/>
                <w:color w:val="auto"/>
                <w:kern w:val="0"/>
                <w:sz w:val="24"/>
                <w:highlight w:val="none"/>
              </w:rPr>
              <w:t>m</w:t>
            </w:r>
            <w:r>
              <w:rPr>
                <w:rFonts w:ascii="Times New Roman" w:hAnsi="Times New Roman"/>
                <w:color w:val="auto"/>
                <w:kern w:val="0"/>
                <w:sz w:val="24"/>
                <w:highlight w:val="none"/>
                <w:vertAlign w:val="superscript"/>
              </w:rPr>
              <w:t>3</w:t>
            </w:r>
            <w:r>
              <w:rPr>
                <w:rFonts w:ascii="Times New Roman" w:hAnsi="Times New Roman"/>
                <w:color w:val="auto"/>
                <w:kern w:val="0"/>
                <w:sz w:val="24"/>
                <w:highlight w:val="none"/>
              </w:rPr>
              <w:t>循环沉淀池，车辆清洗废水经沉淀池沉淀后循环使用，不外排；每个井场钻探废水设置设</w:t>
            </w:r>
            <w:r>
              <w:rPr>
                <w:rFonts w:hint="eastAsia" w:ascii="Times New Roman" w:hAnsi="Times New Roman"/>
                <w:color w:val="auto"/>
                <w:kern w:val="0"/>
                <w:sz w:val="24"/>
                <w:highlight w:val="none"/>
                <w:lang w:val="en-US" w:eastAsia="zh-CN"/>
              </w:rPr>
              <w:t>2</w:t>
            </w:r>
            <w:r>
              <w:rPr>
                <w:rFonts w:ascii="Times New Roman" w:hAnsi="Times New Roman"/>
                <w:color w:val="auto"/>
                <w:kern w:val="0"/>
                <w:sz w:val="24"/>
                <w:highlight w:val="none"/>
              </w:rPr>
              <w:t>个</w:t>
            </w:r>
            <w:r>
              <w:rPr>
                <w:rFonts w:hint="eastAsia" w:ascii="Times New Roman" w:hAnsi="Times New Roman"/>
                <w:color w:val="auto"/>
                <w:kern w:val="0"/>
                <w:sz w:val="24"/>
                <w:highlight w:val="none"/>
              </w:rPr>
              <w:t>泥浆池</w:t>
            </w:r>
            <w:r>
              <w:rPr>
                <w:rFonts w:ascii="Times New Roman" w:hAnsi="Times New Roman"/>
                <w:color w:val="auto"/>
                <w:kern w:val="0"/>
                <w:sz w:val="24"/>
                <w:highlight w:val="none"/>
              </w:rPr>
              <w:t>，容积</w:t>
            </w:r>
            <w:r>
              <w:rPr>
                <w:rFonts w:hint="eastAsia" w:ascii="Times New Roman" w:hAnsi="Times New Roman"/>
                <w:color w:val="auto"/>
                <w:kern w:val="0"/>
                <w:sz w:val="24"/>
                <w:highlight w:val="none"/>
                <w:lang w:val="en-US" w:eastAsia="zh-CN"/>
              </w:rPr>
              <w:t>24</w:t>
            </w:r>
            <w:r>
              <w:rPr>
                <w:rFonts w:ascii="Times New Roman" w:hAnsi="Times New Roman"/>
                <w:color w:val="auto"/>
                <w:kern w:val="0"/>
                <w:sz w:val="24"/>
                <w:highlight w:val="none"/>
              </w:rPr>
              <w:t>m</w:t>
            </w:r>
            <w:r>
              <w:rPr>
                <w:rFonts w:ascii="Times New Roman" w:hAnsi="Times New Roman"/>
                <w:color w:val="auto"/>
                <w:kern w:val="0"/>
                <w:sz w:val="24"/>
                <w:highlight w:val="none"/>
                <w:vertAlign w:val="superscript"/>
              </w:rPr>
              <w:t>3</w:t>
            </w:r>
            <w:r>
              <w:rPr>
                <w:rFonts w:hint="eastAsia" w:ascii="Times New Roman" w:hAnsi="Times New Roman"/>
                <w:color w:val="auto"/>
                <w:kern w:val="0"/>
                <w:sz w:val="24"/>
                <w:highlight w:val="none"/>
                <w:vertAlign w:val="baseline"/>
                <w:lang w:eastAsia="zh-CN"/>
              </w:rPr>
              <w:t>，</w:t>
            </w:r>
            <w:r>
              <w:rPr>
                <w:rFonts w:hint="eastAsia" w:ascii="Times New Roman" w:hAnsi="Times New Roman"/>
                <w:color w:val="auto"/>
                <w:kern w:val="0"/>
                <w:sz w:val="24"/>
                <w:highlight w:val="none"/>
                <w:vertAlign w:val="baseline"/>
                <w:lang w:val="en-US" w:eastAsia="zh-CN"/>
              </w:rPr>
              <w:t>总容积48m</w:t>
            </w:r>
            <w:r>
              <w:rPr>
                <w:rFonts w:hint="eastAsia" w:ascii="Times New Roman" w:hAnsi="Times New Roman"/>
                <w:color w:val="auto"/>
                <w:kern w:val="0"/>
                <w:sz w:val="24"/>
                <w:highlight w:val="none"/>
                <w:vertAlign w:val="superscript"/>
                <w:lang w:val="en-US" w:eastAsia="zh-CN"/>
              </w:rPr>
              <w:t>3</w:t>
            </w:r>
            <w:r>
              <w:rPr>
                <w:rFonts w:ascii="Times New Roman" w:hAnsi="Times New Roman"/>
                <w:color w:val="auto"/>
                <w:kern w:val="0"/>
                <w:sz w:val="24"/>
                <w:highlight w:val="none"/>
              </w:rPr>
              <w:t>，设置设1个</w:t>
            </w:r>
            <w:r>
              <w:rPr>
                <w:rFonts w:hint="eastAsia" w:ascii="Times New Roman" w:hAnsi="Times New Roman"/>
                <w:color w:val="auto"/>
                <w:kern w:val="0"/>
                <w:sz w:val="24"/>
                <w:highlight w:val="none"/>
                <w:lang w:val="en-US" w:eastAsia="zh-CN"/>
              </w:rPr>
              <w:t>废浆池</w:t>
            </w:r>
            <w:r>
              <w:rPr>
                <w:rFonts w:ascii="Times New Roman" w:hAnsi="Times New Roman"/>
                <w:color w:val="auto"/>
                <w:kern w:val="0"/>
                <w:sz w:val="24"/>
                <w:highlight w:val="none"/>
              </w:rPr>
              <w:t>，容积</w:t>
            </w:r>
            <w:r>
              <w:rPr>
                <w:rFonts w:hint="eastAsia" w:ascii="Times New Roman" w:hAnsi="Times New Roman"/>
                <w:color w:val="auto"/>
                <w:kern w:val="0"/>
                <w:sz w:val="24"/>
                <w:highlight w:val="none"/>
                <w:lang w:val="en-US" w:eastAsia="zh-CN"/>
              </w:rPr>
              <w:t>5</w:t>
            </w:r>
            <w:r>
              <w:rPr>
                <w:rFonts w:hint="eastAsia" w:ascii="Times New Roman" w:hAnsi="Times New Roman"/>
                <w:color w:val="auto"/>
                <w:kern w:val="0"/>
                <w:sz w:val="24"/>
                <w:highlight w:val="none"/>
              </w:rPr>
              <w:t>6</w:t>
            </w:r>
            <w:r>
              <w:rPr>
                <w:rFonts w:ascii="Times New Roman" w:hAnsi="Times New Roman"/>
                <w:color w:val="auto"/>
                <w:kern w:val="0"/>
                <w:sz w:val="24"/>
                <w:highlight w:val="none"/>
              </w:rPr>
              <w:t>m</w:t>
            </w:r>
            <w:r>
              <w:rPr>
                <w:rFonts w:ascii="Times New Roman" w:hAnsi="Times New Roman"/>
                <w:color w:val="auto"/>
                <w:kern w:val="0"/>
                <w:sz w:val="24"/>
                <w:highlight w:val="none"/>
                <w:vertAlign w:val="superscript"/>
              </w:rPr>
              <w:t>3</w:t>
            </w:r>
            <w:r>
              <w:rPr>
                <w:rFonts w:ascii="Times New Roman" w:hAnsi="Times New Roman"/>
                <w:color w:val="auto"/>
                <w:kern w:val="0"/>
                <w:sz w:val="24"/>
                <w:highlight w:val="none"/>
              </w:rPr>
              <w:t>，钻探废水经沉淀后回用于钻探</w:t>
            </w:r>
            <w:r>
              <w:rPr>
                <w:rFonts w:hint="eastAsia" w:ascii="Times New Roman" w:hAnsi="Times New Roman"/>
                <w:color w:val="auto"/>
                <w:kern w:val="0"/>
                <w:sz w:val="24"/>
                <w:highlight w:val="none"/>
              </w:rPr>
              <w:t>工序，</w:t>
            </w:r>
            <w:r>
              <w:rPr>
                <w:rFonts w:ascii="Times New Roman" w:hAnsi="Times New Roman"/>
                <w:color w:val="auto"/>
                <w:kern w:val="0"/>
                <w:sz w:val="24"/>
                <w:highlight w:val="none"/>
              </w:rPr>
              <w:t>不直接排入地表水环境，</w:t>
            </w:r>
            <w:r>
              <w:rPr>
                <w:rFonts w:ascii="宋体" w:hAnsi="宋体" w:eastAsia="宋体" w:cs="宋体"/>
                <w:color w:val="auto"/>
                <w:sz w:val="24"/>
                <w:szCs w:val="24"/>
              </w:rPr>
              <w:t>符合</w:t>
            </w:r>
            <w:r>
              <w:rPr>
                <w:rStyle w:val="25"/>
                <w:rFonts w:ascii="宋体" w:hAnsi="宋体" w:eastAsia="宋体" w:cs="宋体"/>
                <w:b w:val="0"/>
                <w:bCs/>
                <w:color w:val="auto"/>
                <w:sz w:val="24"/>
                <w:szCs w:val="24"/>
              </w:rPr>
              <w:t>《中华人民共和国生态环境法典》</w:t>
            </w:r>
            <w:r>
              <w:rPr>
                <w:rFonts w:ascii="宋体" w:hAnsi="宋体" w:eastAsia="宋体" w:cs="宋体"/>
                <w:color w:val="auto"/>
                <w:sz w:val="24"/>
                <w:szCs w:val="24"/>
              </w:rPr>
              <w:t>《水污染防治行动计划》《安徽省水污染防治工作方案》以及《安徽省淮河流域水污染防治条例》中要求，符合水环境分区管控要求。</w:t>
            </w:r>
          </w:p>
          <w:p w14:paraId="317B2104">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②大气环境分区管控要求</w:t>
            </w:r>
          </w:p>
          <w:p w14:paraId="10F0998F">
            <w:pPr>
              <w:autoSpaceDE w:val="0"/>
              <w:autoSpaceDN w:val="0"/>
              <w:spacing w:after="0" w:line="360" w:lineRule="auto"/>
              <w:ind w:firstLine="480" w:firstLineChars="200"/>
              <w:rPr>
                <w:rFonts w:ascii="Times New Roman" w:hAnsi="Times New Roman"/>
                <w:color w:val="auto"/>
                <w:sz w:val="24"/>
                <w:highlight w:val="none"/>
              </w:rPr>
            </w:pPr>
            <w:r>
              <w:rPr>
                <w:rFonts w:ascii="Times New Roman" w:hAnsi="Times New Roman"/>
                <w:color w:val="auto"/>
                <w:kern w:val="0"/>
                <w:sz w:val="24"/>
                <w:highlight w:val="none"/>
              </w:rPr>
              <w:t>对照《淮南市大气环境分区管控图》，本项目所在区域属于大气环境一般管控区，项目在淮南市大气环境分区图中的位置图见报告附图</w:t>
            </w:r>
            <w:r>
              <w:rPr>
                <w:rFonts w:hint="eastAsia" w:ascii="Times New Roman" w:hAnsi="Times New Roman"/>
                <w:color w:val="auto"/>
                <w:kern w:val="0"/>
                <w:sz w:val="24"/>
                <w:highlight w:val="none"/>
              </w:rPr>
              <w:t>7</w:t>
            </w:r>
            <w:r>
              <w:rPr>
                <w:rFonts w:ascii="Times New Roman" w:hAnsi="Times New Roman"/>
                <w:color w:val="auto"/>
                <w:kern w:val="0"/>
                <w:sz w:val="24"/>
                <w:highlight w:val="none"/>
              </w:rPr>
              <w:t>。</w:t>
            </w:r>
            <w:r>
              <w:rPr>
                <w:rFonts w:ascii="宋体" w:hAnsi="宋体" w:eastAsia="宋体" w:cs="宋体"/>
                <w:b w:val="0"/>
                <w:bCs w:val="0"/>
                <w:color w:val="auto"/>
                <w:sz w:val="24"/>
                <w:szCs w:val="24"/>
              </w:rPr>
              <w:t>依据</w:t>
            </w:r>
            <w:r>
              <w:rPr>
                <w:rStyle w:val="25"/>
                <w:rFonts w:ascii="宋体" w:hAnsi="宋体" w:eastAsia="宋体" w:cs="宋体"/>
                <w:b w:val="0"/>
                <w:bCs w:val="0"/>
                <w:color w:val="auto"/>
                <w:sz w:val="24"/>
                <w:szCs w:val="24"/>
              </w:rPr>
              <w:t>《中华人民共和国生态环境法典》</w:t>
            </w:r>
            <w:r>
              <w:rPr>
                <w:rFonts w:ascii="宋体" w:hAnsi="宋体" w:eastAsia="宋体" w:cs="宋体"/>
                <w:b w:val="0"/>
                <w:bCs w:val="0"/>
                <w:color w:val="auto"/>
                <w:sz w:val="24"/>
                <w:szCs w:val="24"/>
              </w:rPr>
              <w:t>、《大气污染防治行动计划》、《安徽省大气污染防治行动计划实施方案》等法律法规和规章对一般管控区实施管控。</w:t>
            </w:r>
            <w:r>
              <w:rPr>
                <w:rFonts w:ascii="Times New Roman" w:hAnsi="Times New Roman"/>
                <w:color w:val="auto"/>
                <w:kern w:val="0"/>
                <w:sz w:val="24"/>
                <w:highlight w:val="none"/>
              </w:rPr>
              <w:t>上年度PM</w:t>
            </w:r>
            <w:r>
              <w:rPr>
                <w:rFonts w:ascii="Times New Roman" w:hAnsi="Times New Roman"/>
                <w:color w:val="auto"/>
                <w:kern w:val="0"/>
                <w:sz w:val="24"/>
                <w:highlight w:val="none"/>
                <w:vertAlign w:val="subscript"/>
              </w:rPr>
              <w:t>2.5</w:t>
            </w:r>
            <w:r>
              <w:rPr>
                <w:rFonts w:ascii="Times New Roman" w:hAnsi="Times New Roman"/>
                <w:color w:val="auto"/>
                <w:kern w:val="0"/>
                <w:sz w:val="24"/>
                <w:highlight w:val="none"/>
              </w:rPr>
              <w:t>不达标城市新建、改建和扩建项目大气污染物实施</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倍量替代</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，执行特别排放标准的行业实施提标升级改造。本项目仅施工期产生少量颗粒物，通过洒水抑尘等方式减小</w:t>
            </w:r>
            <w:r>
              <w:rPr>
                <w:rFonts w:hint="eastAsia" w:ascii="Times New Roman" w:hAnsi="Times New Roman"/>
                <w:color w:val="auto"/>
                <w:kern w:val="0"/>
                <w:sz w:val="24"/>
                <w:highlight w:val="none"/>
              </w:rPr>
              <w:t>颗粒物</w:t>
            </w:r>
            <w:r>
              <w:rPr>
                <w:rFonts w:ascii="Times New Roman" w:hAnsi="Times New Roman"/>
                <w:color w:val="auto"/>
                <w:kern w:val="0"/>
                <w:sz w:val="24"/>
                <w:highlight w:val="none"/>
              </w:rPr>
              <w:t>影响，符合分区管控要求。</w:t>
            </w:r>
          </w:p>
          <w:p w14:paraId="3689695D">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③土壤环境分区管控要求</w:t>
            </w:r>
          </w:p>
          <w:p w14:paraId="6C9BDB4F">
            <w:pPr>
              <w:autoSpaceDE w:val="0"/>
              <w:autoSpaceDN w:val="0"/>
              <w:spacing w:after="0" w:line="360" w:lineRule="auto"/>
              <w:ind w:firstLine="480" w:firstLineChars="200"/>
              <w:rPr>
                <w:rFonts w:ascii="Times New Roman" w:hAnsi="Times New Roman"/>
                <w:color w:val="auto"/>
                <w:sz w:val="24"/>
                <w:highlight w:val="none"/>
              </w:rPr>
            </w:pPr>
            <w:r>
              <w:rPr>
                <w:rFonts w:ascii="Times New Roman" w:hAnsi="Times New Roman"/>
                <w:color w:val="auto"/>
                <w:kern w:val="0"/>
                <w:sz w:val="24"/>
                <w:highlight w:val="none"/>
              </w:rPr>
              <w:t>对照《淮南市土壤环境分区管控图》，本项目属于土壤环境优先保护区，项目在淮南市土壤污染风险分区图中的位置图见报告附图</w:t>
            </w:r>
            <w:r>
              <w:rPr>
                <w:rFonts w:hint="eastAsia" w:ascii="Times New Roman" w:hAnsi="Times New Roman"/>
                <w:color w:val="auto"/>
                <w:kern w:val="0"/>
                <w:sz w:val="24"/>
                <w:highlight w:val="none"/>
              </w:rPr>
              <w:t>8</w:t>
            </w:r>
            <w:r>
              <w:rPr>
                <w:rFonts w:ascii="Times New Roman" w:hAnsi="Times New Roman"/>
                <w:color w:val="auto"/>
                <w:kern w:val="0"/>
                <w:sz w:val="24"/>
                <w:highlight w:val="none"/>
              </w:rPr>
              <w:t>。</w:t>
            </w:r>
            <w:r>
              <w:rPr>
                <w:rFonts w:ascii="宋体" w:hAnsi="宋体" w:eastAsia="宋体" w:cs="宋体"/>
                <w:b w:val="0"/>
                <w:bCs w:val="0"/>
                <w:color w:val="auto"/>
                <w:sz w:val="24"/>
                <w:szCs w:val="24"/>
              </w:rPr>
              <w:t>依据</w:t>
            </w:r>
            <w:r>
              <w:rPr>
                <w:rStyle w:val="25"/>
                <w:rFonts w:ascii="宋体" w:hAnsi="宋体" w:eastAsia="宋体" w:cs="宋体"/>
                <w:b w:val="0"/>
                <w:bCs w:val="0"/>
                <w:color w:val="auto"/>
                <w:sz w:val="24"/>
                <w:szCs w:val="24"/>
              </w:rPr>
              <w:t>《中华人民共和国生态环境法典》</w:t>
            </w:r>
            <w:r>
              <w:rPr>
                <w:rFonts w:ascii="宋体" w:hAnsi="宋体" w:eastAsia="宋体" w:cs="宋体"/>
                <w:b w:val="0"/>
                <w:bCs w:val="0"/>
                <w:color w:val="auto"/>
                <w:sz w:val="24"/>
                <w:szCs w:val="24"/>
              </w:rPr>
              <w:t>、《土壤污染防治行动计划》</w:t>
            </w:r>
            <w:r>
              <w:rPr>
                <w:rFonts w:hint="eastAsia" w:ascii="宋体" w:hAnsi="宋体" w:eastAsia="宋体" w:cs="宋体"/>
                <w:b w:val="0"/>
                <w:bCs w:val="0"/>
                <w:color w:val="auto"/>
                <w:sz w:val="24"/>
                <w:szCs w:val="24"/>
                <w:lang w:eastAsia="zh-CN"/>
              </w:rPr>
              <w:t>、</w:t>
            </w:r>
            <w:r>
              <w:rPr>
                <w:rFonts w:ascii="宋体" w:hAnsi="宋体" w:eastAsia="宋体" w:cs="宋体"/>
                <w:b w:val="0"/>
                <w:bCs w:val="0"/>
                <w:color w:val="auto"/>
                <w:sz w:val="24"/>
                <w:szCs w:val="24"/>
              </w:rPr>
              <w:t>《安徽省土壤污染防治工作方案》《安徽省</w:t>
            </w:r>
            <w:r>
              <w:rPr>
                <w:rFonts w:hint="eastAsia" w:ascii="宋体" w:hAnsi="宋体" w:eastAsia="宋体" w:cs="宋体"/>
                <w:b w:val="0"/>
                <w:bCs w:val="0"/>
                <w:color w:val="auto"/>
                <w:sz w:val="24"/>
                <w:szCs w:val="24"/>
                <w:lang w:eastAsia="zh-CN"/>
              </w:rPr>
              <w:t>“</w:t>
            </w:r>
            <w:r>
              <w:rPr>
                <w:rFonts w:ascii="宋体" w:hAnsi="宋体" w:eastAsia="宋体" w:cs="宋体"/>
                <w:b w:val="0"/>
                <w:bCs w:val="0"/>
                <w:color w:val="auto"/>
                <w:sz w:val="24"/>
                <w:szCs w:val="24"/>
              </w:rPr>
              <w:t>十四五</w:t>
            </w:r>
            <w:r>
              <w:rPr>
                <w:rFonts w:hint="eastAsia" w:ascii="宋体" w:hAnsi="宋体" w:eastAsia="宋体" w:cs="宋体"/>
                <w:b w:val="0"/>
                <w:bCs w:val="0"/>
                <w:color w:val="auto"/>
                <w:sz w:val="24"/>
                <w:szCs w:val="24"/>
                <w:lang w:eastAsia="zh-CN"/>
              </w:rPr>
              <w:t>”</w:t>
            </w:r>
            <w:r>
              <w:rPr>
                <w:rFonts w:ascii="宋体" w:hAnsi="宋体" w:eastAsia="宋体" w:cs="宋体"/>
                <w:b w:val="0"/>
                <w:bCs w:val="0"/>
                <w:color w:val="auto"/>
                <w:sz w:val="24"/>
                <w:szCs w:val="24"/>
              </w:rPr>
              <w:t>生态环境保护规划》等要求及各市土壤污染防治工作方案对土壤环境优先保护区管控</w:t>
            </w:r>
            <w:r>
              <w:rPr>
                <w:rFonts w:ascii="Times New Roman" w:hAnsi="Times New Roman"/>
                <w:color w:val="auto"/>
                <w:kern w:val="0"/>
                <w:sz w:val="24"/>
                <w:highlight w:val="none"/>
              </w:rPr>
              <w:t>。本项目施工时使用的泥浆添加剂不含有毒有害成分，固井用</w:t>
            </w:r>
            <w:r>
              <w:rPr>
                <w:rFonts w:hint="eastAsia" w:ascii="Times New Roman" w:hAnsi="Times New Roman"/>
                <w:color w:val="auto"/>
                <w:kern w:val="0"/>
                <w:sz w:val="24"/>
                <w:highlight w:val="none"/>
              </w:rPr>
              <w:t>商品混凝土</w:t>
            </w:r>
            <w:r>
              <w:rPr>
                <w:rFonts w:ascii="Times New Roman" w:hAnsi="Times New Roman"/>
                <w:color w:val="auto"/>
                <w:kern w:val="0"/>
                <w:sz w:val="24"/>
                <w:highlight w:val="none"/>
              </w:rPr>
              <w:t>为普通/复合硅酸盐水泥，质量符合国家标准，因此不存在土壤污染风险，符合分区管控措施。</w:t>
            </w:r>
          </w:p>
          <w:p w14:paraId="45963EDB">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（3）环境质量底线</w:t>
            </w:r>
          </w:p>
          <w:p w14:paraId="00438C04">
            <w:pPr>
              <w:pStyle w:val="35"/>
              <w:adjustRightInd/>
              <w:snapToGrid/>
              <w:spacing w:after="0"/>
              <w:ind w:firstLine="480"/>
              <w:jc w:val="both"/>
              <w:rPr>
                <w:bCs w:val="0"/>
                <w:color w:val="auto"/>
                <w:sz w:val="24"/>
                <w:szCs w:val="24"/>
                <w:highlight w:val="none"/>
              </w:rPr>
            </w:pPr>
            <w:r>
              <w:rPr>
                <w:bCs w:val="0"/>
                <w:color w:val="auto"/>
                <w:sz w:val="24"/>
                <w:szCs w:val="24"/>
                <w:highlight w:val="none"/>
              </w:rPr>
              <w:t>①环境空气质量</w:t>
            </w:r>
          </w:p>
          <w:p w14:paraId="44C117E0">
            <w:pPr>
              <w:pStyle w:val="35"/>
              <w:adjustRightInd/>
              <w:snapToGrid/>
              <w:spacing w:after="0"/>
              <w:ind w:firstLine="480"/>
              <w:jc w:val="both"/>
              <w:rPr>
                <w:rFonts w:hint="eastAsia"/>
                <w:bCs w:val="0"/>
                <w:color w:val="auto"/>
                <w:sz w:val="24"/>
                <w:szCs w:val="24"/>
                <w:highlight w:val="none"/>
                <w:lang w:eastAsia="zh-CN"/>
              </w:rPr>
            </w:pPr>
            <w:r>
              <w:rPr>
                <w:bCs w:val="0"/>
                <w:color w:val="auto"/>
                <w:sz w:val="24"/>
                <w:szCs w:val="24"/>
                <w:highlight w:val="none"/>
              </w:rPr>
              <w:t>根据淮南市生态环境局发布的《202</w:t>
            </w:r>
            <w:r>
              <w:rPr>
                <w:rFonts w:hint="eastAsia"/>
                <w:bCs w:val="0"/>
                <w:color w:val="auto"/>
                <w:sz w:val="24"/>
                <w:szCs w:val="24"/>
                <w:highlight w:val="none"/>
                <w:lang w:val="en-US" w:eastAsia="zh-CN"/>
              </w:rPr>
              <w:t>5</w:t>
            </w:r>
            <w:r>
              <w:rPr>
                <w:bCs w:val="0"/>
                <w:color w:val="auto"/>
                <w:sz w:val="24"/>
                <w:szCs w:val="24"/>
                <w:highlight w:val="none"/>
              </w:rPr>
              <w:t>年淮南市生态环境质量状况公报》，淮南市市区环境空气中的主要污染物二氧化硫（SO</w:t>
            </w:r>
            <w:r>
              <w:rPr>
                <w:bCs w:val="0"/>
                <w:color w:val="auto"/>
                <w:sz w:val="24"/>
                <w:szCs w:val="24"/>
                <w:highlight w:val="none"/>
                <w:vertAlign w:val="subscript"/>
              </w:rPr>
              <w:t>2</w:t>
            </w:r>
            <w:r>
              <w:rPr>
                <w:bCs w:val="0"/>
                <w:color w:val="auto"/>
                <w:sz w:val="24"/>
                <w:szCs w:val="24"/>
                <w:highlight w:val="none"/>
              </w:rPr>
              <w:t>）年均浓度、二氧化氮（NO</w:t>
            </w:r>
            <w:r>
              <w:rPr>
                <w:bCs w:val="0"/>
                <w:color w:val="auto"/>
                <w:sz w:val="24"/>
                <w:szCs w:val="24"/>
                <w:highlight w:val="none"/>
                <w:vertAlign w:val="subscript"/>
              </w:rPr>
              <w:t>2</w:t>
            </w:r>
            <w:r>
              <w:rPr>
                <w:bCs w:val="0"/>
                <w:color w:val="auto"/>
                <w:sz w:val="24"/>
                <w:szCs w:val="24"/>
                <w:highlight w:val="none"/>
              </w:rPr>
              <w:t>）年均浓度、可吸入颗粒物（PM</w:t>
            </w:r>
            <w:r>
              <w:rPr>
                <w:bCs w:val="0"/>
                <w:color w:val="auto"/>
                <w:sz w:val="24"/>
                <w:szCs w:val="24"/>
                <w:highlight w:val="none"/>
                <w:vertAlign w:val="subscript"/>
              </w:rPr>
              <w:t>10</w:t>
            </w:r>
            <w:r>
              <w:rPr>
                <w:bCs w:val="0"/>
                <w:color w:val="auto"/>
                <w:sz w:val="24"/>
                <w:szCs w:val="24"/>
                <w:highlight w:val="none"/>
              </w:rPr>
              <w:t>）年均浓度、细颗粒物（PM</w:t>
            </w:r>
            <w:r>
              <w:rPr>
                <w:bCs w:val="0"/>
                <w:color w:val="auto"/>
                <w:sz w:val="24"/>
                <w:szCs w:val="24"/>
                <w:highlight w:val="none"/>
                <w:vertAlign w:val="subscript"/>
              </w:rPr>
              <w:t>2.5</w:t>
            </w:r>
            <w:r>
              <w:rPr>
                <w:bCs w:val="0"/>
                <w:color w:val="auto"/>
                <w:sz w:val="24"/>
                <w:szCs w:val="24"/>
                <w:highlight w:val="none"/>
              </w:rPr>
              <w:t>）年均浓度、一氧化碳（CO）日均值第95百分位浓度、臭氧（O</w:t>
            </w:r>
            <w:r>
              <w:rPr>
                <w:bCs w:val="0"/>
                <w:color w:val="auto"/>
                <w:sz w:val="24"/>
                <w:szCs w:val="24"/>
                <w:highlight w:val="none"/>
                <w:vertAlign w:val="subscript"/>
              </w:rPr>
              <w:t>3</w:t>
            </w:r>
            <w:r>
              <w:rPr>
                <w:bCs w:val="0"/>
                <w:color w:val="auto"/>
                <w:sz w:val="24"/>
                <w:szCs w:val="24"/>
                <w:highlight w:val="none"/>
              </w:rPr>
              <w:t>）日最大8小时平均第90百分位浓度分别为7微克/立方米、1</w:t>
            </w:r>
            <w:r>
              <w:rPr>
                <w:rFonts w:hint="eastAsia"/>
                <w:bCs w:val="0"/>
                <w:color w:val="auto"/>
                <w:sz w:val="24"/>
                <w:szCs w:val="24"/>
                <w:highlight w:val="none"/>
                <w:lang w:val="en-US" w:eastAsia="zh-CN"/>
              </w:rPr>
              <w:t>8</w:t>
            </w:r>
            <w:r>
              <w:rPr>
                <w:bCs w:val="0"/>
                <w:color w:val="auto"/>
                <w:sz w:val="24"/>
                <w:szCs w:val="24"/>
                <w:highlight w:val="none"/>
              </w:rPr>
              <w:t>微克/立方米、6</w:t>
            </w:r>
            <w:r>
              <w:rPr>
                <w:rFonts w:hint="eastAsia"/>
                <w:bCs w:val="0"/>
                <w:color w:val="auto"/>
                <w:sz w:val="24"/>
                <w:szCs w:val="24"/>
                <w:highlight w:val="none"/>
                <w:lang w:val="en-US" w:eastAsia="zh-CN"/>
              </w:rPr>
              <w:t>1</w:t>
            </w:r>
            <w:r>
              <w:rPr>
                <w:bCs w:val="0"/>
                <w:color w:val="auto"/>
                <w:sz w:val="24"/>
                <w:szCs w:val="24"/>
                <w:highlight w:val="none"/>
              </w:rPr>
              <w:t>微克/立方米、</w:t>
            </w:r>
            <w:r>
              <w:rPr>
                <w:rFonts w:hint="eastAsia"/>
                <w:bCs w:val="0"/>
                <w:color w:val="auto"/>
                <w:sz w:val="24"/>
                <w:szCs w:val="24"/>
                <w:highlight w:val="none"/>
                <w:lang w:val="en-US" w:eastAsia="zh-CN"/>
              </w:rPr>
              <w:t>37.1</w:t>
            </w:r>
            <w:r>
              <w:rPr>
                <w:bCs w:val="0"/>
                <w:color w:val="auto"/>
                <w:sz w:val="24"/>
                <w:szCs w:val="24"/>
                <w:highlight w:val="none"/>
              </w:rPr>
              <w:t>微克/立方米、0.8毫克/立方米和1</w:t>
            </w:r>
            <w:r>
              <w:rPr>
                <w:rFonts w:hint="eastAsia"/>
                <w:bCs w:val="0"/>
                <w:color w:val="auto"/>
                <w:sz w:val="24"/>
                <w:szCs w:val="24"/>
                <w:highlight w:val="none"/>
                <w:lang w:val="en-US" w:eastAsia="zh-CN"/>
              </w:rPr>
              <w:t>49</w:t>
            </w:r>
            <w:r>
              <w:rPr>
                <w:bCs w:val="0"/>
                <w:color w:val="auto"/>
                <w:sz w:val="24"/>
                <w:szCs w:val="24"/>
                <w:highlight w:val="none"/>
              </w:rPr>
              <w:t>微克/立方米</w:t>
            </w:r>
            <w:r>
              <w:rPr>
                <w:rFonts w:hint="eastAsia"/>
                <w:bCs w:val="0"/>
                <w:color w:val="auto"/>
                <w:sz w:val="24"/>
                <w:szCs w:val="24"/>
                <w:highlight w:val="none"/>
                <w:lang w:eastAsia="zh-CN"/>
              </w:rPr>
              <w:t>。</w:t>
            </w:r>
            <w:r>
              <w:rPr>
                <w:bCs w:val="0"/>
                <w:color w:val="auto"/>
                <w:sz w:val="24"/>
                <w:szCs w:val="24"/>
                <w:highlight w:val="none"/>
              </w:rPr>
              <w:t>按照现行《环境空气质量标准》（GB3095</w:t>
            </w:r>
            <w:r>
              <w:rPr>
                <w:bCs w:val="0"/>
                <w:color w:val="auto"/>
                <w:sz w:val="24"/>
                <w:szCs w:val="24"/>
                <w:highlight w:val="none"/>
              </w:rPr>
              <w:noBreakHyphen/>
            </w:r>
            <w:r>
              <w:rPr>
                <w:bCs w:val="0"/>
                <w:color w:val="auto"/>
                <w:sz w:val="24"/>
                <w:szCs w:val="24"/>
                <w:highlight w:val="none"/>
              </w:rPr>
              <w:t>2026）评价，该标准自2026年3月1日起实施，2026</w:t>
            </w:r>
            <w:r>
              <w:rPr>
                <w:bCs w:val="0"/>
                <w:color w:val="auto"/>
                <w:sz w:val="24"/>
                <w:szCs w:val="24"/>
                <w:highlight w:val="none"/>
              </w:rPr>
              <w:noBreakHyphen/>
            </w:r>
            <w:r>
              <w:rPr>
                <w:bCs w:val="0"/>
                <w:color w:val="auto"/>
                <w:sz w:val="24"/>
                <w:szCs w:val="24"/>
                <w:highlight w:val="none"/>
              </w:rPr>
              <w:t>2030年执行过渡阶段二级浓度限值。SO</w:t>
            </w:r>
            <w:r>
              <w:rPr>
                <w:rFonts w:hint="eastAsia"/>
                <w:bCs w:val="0"/>
                <w:color w:val="auto"/>
                <w:sz w:val="24"/>
                <w:szCs w:val="24"/>
                <w:highlight w:val="none"/>
                <w:vertAlign w:val="subscript"/>
                <w:lang w:val="en-US" w:eastAsia="zh-CN"/>
              </w:rPr>
              <w:t>2</w:t>
            </w:r>
            <w:r>
              <w:rPr>
                <w:bCs w:val="0"/>
                <w:color w:val="auto"/>
                <w:sz w:val="24"/>
                <w:szCs w:val="24"/>
                <w:highlight w:val="none"/>
              </w:rPr>
              <w:t>、NO</w:t>
            </w:r>
            <w:r>
              <w:rPr>
                <w:rFonts w:hint="eastAsia"/>
                <w:bCs w:val="0"/>
                <w:color w:val="auto"/>
                <w:sz w:val="24"/>
                <w:szCs w:val="24"/>
                <w:highlight w:val="none"/>
                <w:vertAlign w:val="subscript"/>
                <w:lang w:val="en-US" w:eastAsia="zh-CN"/>
              </w:rPr>
              <w:t>2</w:t>
            </w:r>
            <w:r>
              <w:rPr>
                <w:bCs w:val="0"/>
                <w:color w:val="auto"/>
                <w:sz w:val="24"/>
                <w:szCs w:val="24"/>
                <w:highlight w:val="none"/>
              </w:rPr>
              <w:t>、CO、O</w:t>
            </w:r>
            <w:r>
              <w:rPr>
                <w:rFonts w:hint="eastAsia"/>
                <w:bCs w:val="0"/>
                <w:color w:val="auto"/>
                <w:sz w:val="24"/>
                <w:szCs w:val="24"/>
                <w:highlight w:val="none"/>
                <w:vertAlign w:val="subscript"/>
                <w:lang w:val="en-US" w:eastAsia="zh-CN"/>
              </w:rPr>
              <w:t>3</w:t>
            </w:r>
            <w:r>
              <w:rPr>
                <w:bCs w:val="0"/>
                <w:color w:val="auto"/>
                <w:sz w:val="24"/>
                <w:szCs w:val="24"/>
                <w:highlight w:val="none"/>
              </w:rPr>
              <w:t>浓度满足过渡阶段二级标准；PM</w:t>
            </w:r>
            <w:r>
              <w:rPr>
                <w:rFonts w:hint="eastAsia"/>
                <w:bCs w:val="0"/>
                <w:color w:val="auto"/>
                <w:sz w:val="24"/>
                <w:szCs w:val="24"/>
                <w:highlight w:val="none"/>
                <w:vertAlign w:val="subscript"/>
                <w:lang w:val="en-US" w:eastAsia="zh-CN"/>
              </w:rPr>
              <w:t>10</w:t>
            </w:r>
            <w:r>
              <w:rPr>
                <w:bCs w:val="0"/>
                <w:color w:val="auto"/>
                <w:sz w:val="24"/>
                <w:szCs w:val="24"/>
                <w:highlight w:val="none"/>
              </w:rPr>
              <w:t>、PM</w:t>
            </w:r>
            <w:r>
              <w:rPr>
                <w:rFonts w:hint="eastAsia"/>
                <w:bCs w:val="0"/>
                <w:color w:val="auto"/>
                <w:sz w:val="24"/>
                <w:szCs w:val="24"/>
                <w:highlight w:val="none"/>
                <w:vertAlign w:val="subscript"/>
                <w:lang w:val="en-US" w:eastAsia="zh-CN"/>
              </w:rPr>
              <w:t>2.5</w:t>
            </w:r>
            <w:r>
              <w:rPr>
                <w:bCs w:val="0"/>
                <w:color w:val="auto"/>
                <w:sz w:val="24"/>
                <w:szCs w:val="24"/>
                <w:highlight w:val="none"/>
              </w:rPr>
              <w:t>年均浓度超过GB3095</w:t>
            </w:r>
            <w:r>
              <w:rPr>
                <w:bCs w:val="0"/>
                <w:color w:val="auto"/>
                <w:sz w:val="24"/>
                <w:szCs w:val="24"/>
                <w:highlight w:val="none"/>
              </w:rPr>
              <w:noBreakHyphen/>
            </w:r>
            <w:r>
              <w:rPr>
                <w:bCs w:val="0"/>
                <w:color w:val="auto"/>
                <w:sz w:val="24"/>
                <w:szCs w:val="24"/>
                <w:highlight w:val="none"/>
              </w:rPr>
              <w:t>2026过渡阶段二级限值，判定项目所在区域为环境空气质量不达标区。</w:t>
            </w:r>
          </w:p>
          <w:p w14:paraId="4CFC9893">
            <w:pPr>
              <w:pStyle w:val="35"/>
              <w:adjustRightInd/>
              <w:snapToGrid/>
              <w:spacing w:after="0"/>
              <w:ind w:firstLine="480"/>
              <w:jc w:val="both"/>
              <w:rPr>
                <w:bCs w:val="0"/>
                <w:color w:val="auto"/>
                <w:sz w:val="24"/>
                <w:szCs w:val="24"/>
                <w:highlight w:val="none"/>
              </w:rPr>
            </w:pPr>
            <w:r>
              <w:rPr>
                <w:bCs w:val="0"/>
                <w:color w:val="auto"/>
                <w:sz w:val="24"/>
                <w:szCs w:val="24"/>
                <w:highlight w:val="none"/>
              </w:rPr>
              <w:t>项目仅施工期废气，主要有施工扬尘</w:t>
            </w:r>
            <w:r>
              <w:rPr>
                <w:rFonts w:hint="eastAsia"/>
                <w:bCs w:val="0"/>
                <w:color w:val="auto"/>
                <w:sz w:val="24"/>
                <w:szCs w:val="24"/>
                <w:highlight w:val="none"/>
              </w:rPr>
              <w:t>、</w:t>
            </w:r>
            <w:r>
              <w:rPr>
                <w:bCs w:val="0"/>
                <w:color w:val="auto"/>
                <w:sz w:val="24"/>
                <w:szCs w:val="24"/>
                <w:highlight w:val="none"/>
              </w:rPr>
              <w:t>车辆和施工机械尾气</w:t>
            </w:r>
            <w:r>
              <w:rPr>
                <w:rFonts w:hint="eastAsia"/>
                <w:bCs w:val="0"/>
                <w:color w:val="auto"/>
                <w:sz w:val="24"/>
                <w:szCs w:val="24"/>
                <w:highlight w:val="none"/>
              </w:rPr>
              <w:t>，</w:t>
            </w:r>
            <w:r>
              <w:rPr>
                <w:bCs w:val="0"/>
                <w:color w:val="auto"/>
                <w:sz w:val="24"/>
                <w:szCs w:val="24"/>
                <w:highlight w:val="none"/>
              </w:rPr>
              <w:t>通过洒水抑尘等方式减小</w:t>
            </w:r>
            <w:r>
              <w:rPr>
                <w:rFonts w:hint="eastAsia"/>
                <w:bCs w:val="0"/>
                <w:color w:val="auto"/>
                <w:sz w:val="24"/>
                <w:szCs w:val="24"/>
                <w:highlight w:val="none"/>
              </w:rPr>
              <w:t>扬尘</w:t>
            </w:r>
            <w:r>
              <w:rPr>
                <w:bCs w:val="0"/>
                <w:color w:val="auto"/>
                <w:sz w:val="24"/>
                <w:szCs w:val="24"/>
                <w:highlight w:val="none"/>
              </w:rPr>
              <w:t>影响</w:t>
            </w:r>
            <w:r>
              <w:rPr>
                <w:rFonts w:hint="eastAsia"/>
                <w:bCs w:val="0"/>
                <w:color w:val="auto"/>
                <w:sz w:val="24"/>
                <w:szCs w:val="24"/>
                <w:highlight w:val="none"/>
              </w:rPr>
              <w:t>，</w:t>
            </w:r>
            <w:r>
              <w:rPr>
                <w:bCs w:val="0"/>
                <w:color w:val="auto"/>
                <w:sz w:val="24"/>
                <w:szCs w:val="24"/>
                <w:highlight w:val="none"/>
              </w:rPr>
              <w:t>本项目在采用相应的污染防治措施后各污染物均能达标排放，对周围环境影响较小，本项目的建设不会恶化区域环境质量功能，不会触碰区域环境质量底线。</w:t>
            </w:r>
          </w:p>
          <w:p w14:paraId="306912AF">
            <w:pPr>
              <w:pStyle w:val="35"/>
              <w:adjustRightInd/>
              <w:snapToGrid/>
              <w:spacing w:after="0"/>
              <w:ind w:firstLine="480"/>
              <w:jc w:val="both"/>
              <w:rPr>
                <w:bCs w:val="0"/>
                <w:color w:val="auto"/>
                <w:sz w:val="24"/>
                <w:szCs w:val="24"/>
                <w:highlight w:val="none"/>
              </w:rPr>
            </w:pPr>
            <w:r>
              <w:rPr>
                <w:bCs w:val="0"/>
                <w:color w:val="auto"/>
                <w:sz w:val="24"/>
                <w:szCs w:val="24"/>
                <w:highlight w:val="none"/>
              </w:rPr>
              <w:t>②地表水环境</w:t>
            </w:r>
          </w:p>
          <w:p w14:paraId="708521A8">
            <w:pPr>
              <w:pStyle w:val="35"/>
              <w:adjustRightInd/>
              <w:snapToGrid/>
              <w:spacing w:after="0"/>
              <w:ind w:firstLine="480"/>
              <w:jc w:val="both"/>
              <w:rPr>
                <w:bCs w:val="0"/>
                <w:color w:val="auto"/>
                <w:sz w:val="24"/>
                <w:szCs w:val="24"/>
                <w:highlight w:val="none"/>
              </w:rPr>
            </w:pPr>
            <w:r>
              <w:rPr>
                <w:bCs w:val="0"/>
                <w:color w:val="auto"/>
                <w:sz w:val="24"/>
                <w:szCs w:val="24"/>
                <w:highlight w:val="none"/>
              </w:rPr>
              <w:t>根据淮南市生态环境局发布的《202</w:t>
            </w:r>
            <w:r>
              <w:rPr>
                <w:rFonts w:hint="eastAsia"/>
                <w:bCs w:val="0"/>
                <w:color w:val="auto"/>
                <w:sz w:val="24"/>
                <w:szCs w:val="24"/>
                <w:highlight w:val="none"/>
                <w:lang w:val="en-US" w:eastAsia="zh-CN"/>
              </w:rPr>
              <w:t>5</w:t>
            </w:r>
            <w:r>
              <w:rPr>
                <w:bCs w:val="0"/>
                <w:color w:val="auto"/>
                <w:sz w:val="24"/>
                <w:szCs w:val="24"/>
                <w:highlight w:val="none"/>
              </w:rPr>
              <w:t>年淮南市生态环境质量状况公报》，2025年淮南市地表水24个监测断面中优良水质比例为95.8%，比上年上升4.1个百分点，Ⅳ类水质比例4.2%，总体水质状况优。</w:t>
            </w:r>
          </w:p>
          <w:p w14:paraId="0D5BF9FA">
            <w:pPr>
              <w:pStyle w:val="35"/>
              <w:adjustRightInd/>
              <w:snapToGrid/>
              <w:spacing w:after="0"/>
              <w:ind w:firstLine="480"/>
              <w:jc w:val="both"/>
              <w:rPr>
                <w:bCs w:val="0"/>
                <w:color w:val="auto"/>
                <w:sz w:val="24"/>
                <w:szCs w:val="24"/>
                <w:highlight w:val="none"/>
              </w:rPr>
            </w:pPr>
            <w:r>
              <w:rPr>
                <w:bCs w:val="0"/>
                <w:color w:val="auto"/>
                <w:sz w:val="24"/>
                <w:szCs w:val="24"/>
                <w:highlight w:val="none"/>
              </w:rPr>
              <w:t>河流：全市辖区内淮河干流水质状况为优；东淝河、西淝河、永幸河、陡涧河水质状况为优；架河、泥河、万小河、瓦西干渠、丁家沟和便民沟水质状况为良好。上述20个监测断面优良水质比例为100%，与去年持平；袁庄水厂、东部城区水源地、西淝河闸下、窑口大桥和白洋淀渡口断面水质均有所好转（Ⅲ类→Ⅱ类），其余断面水质保持稳定</w:t>
            </w:r>
            <w:r>
              <w:rPr>
                <w:rFonts w:hint="eastAsia"/>
                <w:bCs w:val="0"/>
                <w:color w:val="auto"/>
                <w:sz w:val="24"/>
                <w:szCs w:val="24"/>
                <w:highlight w:val="none"/>
                <w:lang w:eastAsia="zh-CN"/>
              </w:rPr>
              <w:t>。</w:t>
            </w:r>
            <w:r>
              <w:rPr>
                <w:bCs w:val="0"/>
                <w:color w:val="auto"/>
                <w:sz w:val="24"/>
                <w:szCs w:val="24"/>
                <w:highlight w:val="none"/>
              </w:rPr>
              <w:t>本项目施工期无废水外排，项目区不设置员工食宿，员工食宿依托附近村庄，生活污水经化粪池处理后定期清掏用于当地农作物施肥。项目实施钻井仅为施工期，每个井场需要对车辆冲洗</w:t>
            </w:r>
            <w:r>
              <w:rPr>
                <w:rFonts w:hint="eastAsia"/>
                <w:bCs w:val="0"/>
                <w:color w:val="auto"/>
                <w:sz w:val="24"/>
                <w:szCs w:val="24"/>
                <w:highlight w:val="none"/>
              </w:rPr>
              <w:t>，</w:t>
            </w:r>
            <w:r>
              <w:rPr>
                <w:bCs w:val="0"/>
                <w:color w:val="auto"/>
                <w:sz w:val="24"/>
                <w:szCs w:val="24"/>
                <w:highlight w:val="none"/>
              </w:rPr>
              <w:t>车辆清洗废水经沉淀池沉淀后循环使用，不外排；每个井场钻探废水经沉淀后回用于钻探</w:t>
            </w:r>
            <w:r>
              <w:rPr>
                <w:rFonts w:hint="eastAsia"/>
                <w:bCs w:val="0"/>
                <w:color w:val="auto"/>
                <w:sz w:val="24"/>
                <w:szCs w:val="24"/>
                <w:highlight w:val="none"/>
              </w:rPr>
              <w:t>工序，</w:t>
            </w:r>
            <w:r>
              <w:rPr>
                <w:bCs w:val="0"/>
                <w:color w:val="auto"/>
                <w:sz w:val="24"/>
                <w:szCs w:val="24"/>
                <w:highlight w:val="none"/>
              </w:rPr>
              <w:t>不直接排入地表水环境</w:t>
            </w:r>
            <w:r>
              <w:rPr>
                <w:rFonts w:hint="eastAsia"/>
                <w:bCs w:val="0"/>
                <w:color w:val="auto"/>
                <w:sz w:val="24"/>
                <w:szCs w:val="24"/>
                <w:highlight w:val="none"/>
              </w:rPr>
              <w:t>。</w:t>
            </w:r>
          </w:p>
          <w:p w14:paraId="2F1FEB2D">
            <w:pPr>
              <w:pStyle w:val="35"/>
              <w:adjustRightInd/>
              <w:snapToGrid/>
              <w:spacing w:after="0"/>
              <w:ind w:firstLine="480"/>
              <w:jc w:val="both"/>
              <w:rPr>
                <w:bCs w:val="0"/>
                <w:color w:val="auto"/>
                <w:sz w:val="24"/>
                <w:szCs w:val="24"/>
                <w:highlight w:val="none"/>
              </w:rPr>
            </w:pPr>
            <w:r>
              <w:rPr>
                <w:bCs w:val="0"/>
                <w:color w:val="auto"/>
                <w:sz w:val="24"/>
                <w:szCs w:val="24"/>
                <w:highlight w:val="none"/>
              </w:rPr>
              <w:t>综上所述，项目废气</w:t>
            </w:r>
            <w:r>
              <w:rPr>
                <w:rFonts w:hint="eastAsia"/>
                <w:bCs w:val="0"/>
                <w:color w:val="auto"/>
                <w:sz w:val="24"/>
                <w:szCs w:val="24"/>
                <w:highlight w:val="none"/>
              </w:rPr>
              <w:t>、</w:t>
            </w:r>
            <w:r>
              <w:rPr>
                <w:bCs w:val="0"/>
                <w:color w:val="auto"/>
                <w:sz w:val="24"/>
                <w:szCs w:val="24"/>
                <w:highlight w:val="none"/>
              </w:rPr>
              <w:t>废水在采取报告表提出的治理措施后，能够达到相应的标准要求，对周边环境影响较小。因此本项目符合环境质量底线要求。</w:t>
            </w:r>
          </w:p>
          <w:p w14:paraId="6B029900">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（4）资源利用上线</w:t>
            </w:r>
          </w:p>
          <w:p w14:paraId="7594C2E4">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项目</w:t>
            </w:r>
            <w:r>
              <w:rPr>
                <w:rFonts w:hint="eastAsia" w:ascii="Times New Roman" w:hAnsi="Times New Roman"/>
                <w:color w:val="auto"/>
                <w:kern w:val="0"/>
                <w:sz w:val="24"/>
                <w:highlight w:val="none"/>
              </w:rPr>
              <w:t>施工用水依托井场周边村庄，采用罐车拉运生产用水，生活用水为桶装纯净水</w:t>
            </w:r>
            <w:r>
              <w:rPr>
                <w:rFonts w:ascii="Times New Roman" w:hAnsi="Times New Roman"/>
                <w:color w:val="auto"/>
                <w:kern w:val="0"/>
                <w:sz w:val="24"/>
                <w:highlight w:val="none"/>
              </w:rPr>
              <w:t>，</w:t>
            </w:r>
            <w:r>
              <w:rPr>
                <w:rFonts w:hint="eastAsia" w:ascii="Times New Roman" w:hAnsi="Times New Roman"/>
                <w:color w:val="auto"/>
                <w:kern w:val="0"/>
                <w:sz w:val="24"/>
                <w:highlight w:val="none"/>
              </w:rPr>
              <w:t>用电依托当地供电系统</w:t>
            </w:r>
            <w:r>
              <w:rPr>
                <w:rFonts w:ascii="Times New Roman" w:hAnsi="Times New Roman"/>
                <w:color w:val="auto"/>
                <w:kern w:val="0"/>
                <w:sz w:val="24"/>
                <w:highlight w:val="none"/>
              </w:rPr>
              <w:t>，项目不会突破当地资源利用上线；符合当地规划要求，亦不会达到资源利用上线。</w:t>
            </w:r>
          </w:p>
          <w:p w14:paraId="2C633A37">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（5）生态环境准入清单</w:t>
            </w:r>
          </w:p>
          <w:p w14:paraId="3D4A6344">
            <w:pPr>
              <w:pStyle w:val="9"/>
              <w:snapToGrid/>
              <w:spacing w:before="0" w:after="0" w:line="360" w:lineRule="auto"/>
              <w:ind w:right="0" w:rightChars="0" w:firstLine="480" w:firstLineChars="200"/>
              <w:rPr>
                <w:rFonts w:ascii="Times New Roman" w:hAnsi="Times New Roman"/>
                <w:color w:val="auto"/>
                <w:highlight w:val="none"/>
              </w:rPr>
            </w:pPr>
            <w:r>
              <w:rPr>
                <w:rFonts w:ascii="Times New Roman" w:hAnsi="Times New Roman"/>
                <w:color w:val="auto"/>
                <w:sz w:val="24"/>
                <w:szCs w:val="24"/>
                <w:highlight w:val="none"/>
              </w:rPr>
              <w:t>本项目位于淮南市</w:t>
            </w:r>
            <w:r>
              <w:rPr>
                <w:rFonts w:hint="eastAsia" w:ascii="Times New Roman" w:hAnsi="Times New Roman"/>
                <w:color w:val="auto"/>
                <w:sz w:val="24"/>
                <w:szCs w:val="24"/>
                <w:highlight w:val="none"/>
              </w:rPr>
              <w:t>潘集区贺疃镇</w:t>
            </w:r>
            <w:r>
              <w:rPr>
                <w:rFonts w:ascii="Times New Roman" w:hAnsi="Times New Roman"/>
                <w:color w:val="auto"/>
                <w:sz w:val="24"/>
                <w:szCs w:val="24"/>
                <w:highlight w:val="none"/>
              </w:rPr>
              <w:t>境内，经与安徽省</w:t>
            </w:r>
            <w:r>
              <w:rPr>
                <w:rFonts w:hint="eastAsia" w:ascii="Times New Roman" w:hAnsi="Times New Roman"/>
                <w:color w:val="auto"/>
                <w:sz w:val="24"/>
                <w:szCs w:val="24"/>
                <w:highlight w:val="none"/>
                <w:lang w:eastAsia="zh-CN"/>
              </w:rPr>
              <w:t>“</w:t>
            </w:r>
            <w:r>
              <w:rPr>
                <w:rFonts w:ascii="Times New Roman" w:hAnsi="Times New Roman"/>
                <w:color w:val="auto"/>
                <w:sz w:val="24"/>
                <w:szCs w:val="24"/>
                <w:highlight w:val="none"/>
              </w:rPr>
              <w:t>三线一单</w:t>
            </w:r>
            <w:r>
              <w:rPr>
                <w:rFonts w:hint="eastAsia" w:ascii="Times New Roman" w:hAnsi="Times New Roman"/>
                <w:color w:val="auto"/>
                <w:sz w:val="24"/>
                <w:szCs w:val="24"/>
                <w:highlight w:val="none"/>
                <w:lang w:eastAsia="zh-CN"/>
              </w:rPr>
              <w:t>”</w:t>
            </w:r>
            <w:r>
              <w:rPr>
                <w:rFonts w:ascii="Times New Roman" w:hAnsi="Times New Roman"/>
                <w:color w:val="auto"/>
                <w:sz w:val="24"/>
                <w:szCs w:val="24"/>
                <w:highlight w:val="none"/>
              </w:rPr>
              <w:t>公众服务平台查询分析可知，本项目</w:t>
            </w:r>
            <w:r>
              <w:rPr>
                <w:rFonts w:hint="eastAsia" w:ascii="Times New Roman" w:hAnsi="Times New Roman"/>
                <w:color w:val="auto"/>
                <w:sz w:val="24"/>
                <w:szCs w:val="24"/>
                <w:highlight w:val="none"/>
              </w:rPr>
              <w:t>1</w:t>
            </w:r>
            <w:r>
              <w:rPr>
                <w:rFonts w:hint="eastAsia" w:ascii="Times New Roman" w:hAnsi="Times New Roman"/>
                <w:color w:val="auto"/>
                <w:sz w:val="24"/>
                <w:szCs w:val="24"/>
                <w:highlight w:val="none"/>
                <w:lang w:val="en-US" w:eastAsia="zh-CN"/>
              </w:rPr>
              <w:t>9</w:t>
            </w:r>
            <w:r>
              <w:rPr>
                <w:rFonts w:hint="eastAsia" w:ascii="Times New Roman" w:hAnsi="Times New Roman"/>
                <w:color w:val="auto"/>
                <w:sz w:val="24"/>
                <w:szCs w:val="24"/>
                <w:highlight w:val="none"/>
              </w:rPr>
              <w:t>个井场均</w:t>
            </w:r>
            <w:r>
              <w:rPr>
                <w:rFonts w:ascii="Times New Roman" w:hAnsi="Times New Roman"/>
                <w:color w:val="auto"/>
                <w:sz w:val="24"/>
                <w:szCs w:val="24"/>
                <w:highlight w:val="none"/>
              </w:rPr>
              <w:t>与1个环境管控单元存在交叠（环境管控单元编码ZH34040630004），其中优先保护类0个，重点管控类0个，一般管控类1个，属于一般管控单元</w:t>
            </w:r>
            <w:r>
              <w:rPr>
                <w:rFonts w:hint="eastAsia" w:ascii="Times New Roman" w:hAnsi="Times New Roman"/>
                <w:color w:val="auto"/>
                <w:sz w:val="24"/>
                <w:szCs w:val="24"/>
                <w:highlight w:val="none"/>
              </w:rPr>
              <w:t>5，具体见下图。</w:t>
            </w:r>
          </w:p>
        </w:tc>
      </w:tr>
      <w:bookmarkEnd w:id="4"/>
    </w:tbl>
    <w:p w14:paraId="20DEE271">
      <w:pPr>
        <w:autoSpaceDE w:val="0"/>
        <w:autoSpaceDN w:val="0"/>
        <w:adjustRightInd w:val="0"/>
        <w:snapToGrid w:val="0"/>
        <w:jc w:val="center"/>
        <w:rPr>
          <w:rFonts w:ascii="Times New Roman" w:hAnsi="Times New Roman"/>
          <w:color w:val="auto"/>
          <w:kern w:val="0"/>
          <w:sz w:val="24"/>
          <w:highlight w:val="none"/>
        </w:rPr>
        <w:sectPr>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tbl>
      <w:tblPr>
        <w:tblStyle w:val="22"/>
        <w:tblW w:w="134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17"/>
        <w:gridCol w:w="12451"/>
      </w:tblGrid>
      <w:tr w14:paraId="1A54DA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059" w:hRule="atLeast"/>
          <w:jc w:val="center"/>
        </w:trPr>
        <w:tc>
          <w:tcPr>
            <w:tcW w:w="1017" w:type="dxa"/>
            <w:tcMar>
              <w:top w:w="16" w:type="dxa"/>
              <w:left w:w="16" w:type="dxa"/>
              <w:right w:w="16" w:type="dxa"/>
            </w:tcMar>
            <w:vAlign w:val="center"/>
          </w:tcPr>
          <w:p w14:paraId="73F3ADBF">
            <w:pPr>
              <w:autoSpaceDE w:val="0"/>
              <w:autoSpaceDN w:val="0"/>
              <w:adjustRightInd w:val="0"/>
              <w:snapToGrid w:val="0"/>
              <w:jc w:val="center"/>
              <w:rPr>
                <w:rFonts w:ascii="Times New Roman" w:hAnsi="Times New Roman"/>
                <w:color w:val="auto"/>
                <w:kern w:val="0"/>
                <w:sz w:val="24"/>
                <w:highlight w:val="none"/>
              </w:rPr>
            </w:pPr>
          </w:p>
        </w:tc>
        <w:tc>
          <w:tcPr>
            <w:tcW w:w="12451" w:type="dxa"/>
            <w:tcMar>
              <w:top w:w="16" w:type="dxa"/>
              <w:left w:w="16" w:type="dxa"/>
              <w:right w:w="16" w:type="dxa"/>
            </w:tcMar>
            <w:vAlign w:val="center"/>
          </w:tcPr>
          <w:p w14:paraId="32BA8AD3">
            <w:pPr>
              <w:spacing w:after="0" w:line="240" w:lineRule="auto"/>
              <w:jc w:val="center"/>
              <w:rPr>
                <w:rFonts w:ascii="Times New Roman" w:hAnsi="Times New Roman"/>
                <w:b/>
                <w:color w:val="auto"/>
                <w:szCs w:val="21"/>
                <w:highlight w:val="none"/>
              </w:rPr>
            </w:pPr>
            <w:r>
              <w:rPr>
                <w:color w:val="auto"/>
                <w:highlight w:val="none"/>
              </w:rPr>
              <w:pict>
                <v:shape id="_x0000_s1026" o:spid="_x0000_s1026" o:spt="62" type="#_x0000_t62" style="position:absolute;left:0pt;margin-left:318.25pt;margin-top:63.45pt;height:47.6pt;width:71.1pt;z-index:251663360;v-text-anchor:middle;mso-width-relative:page;mso-height-relative:page;" filled="f" stroked="t" coordsize="21600,21600" o:gfxdata="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Del&#10;9A3aAAAACwEAAA8AAAAAAAAAAQAgAAAAIgAAAGRycy9kb3ducmV2LnhtbFBLAQIUABQAAAAIAIdO&#10;4kDRJxzYzAIAAHcFAAAOAAAAAAAAAAEAIAAAACkBAABkcnMvZTJvRG9jLnhtbFBLBQYAAAAABgAG&#10;AFkBAABnBgAAAAA=&#10;" adj="-6380,34646,14400">
                  <v:path/>
                  <v:fill on="f" focussize="0,0"/>
                  <v:stroke weight="1pt" color="#000000" joinstyle="miter"/>
                  <v:imagedata o:title=""/>
                  <o:lock v:ext="edit"/>
                  <v:textbox>
                    <w:txbxContent>
                      <w:p w14:paraId="035E574C">
                        <w:pPr>
                          <w:rPr>
                            <w:color w:val="000000" w:themeColor="text1"/>
                          </w:rPr>
                        </w:pPr>
                        <w:r>
                          <w:rPr>
                            <w:rFonts w:hint="eastAsia"/>
                            <w:color w:val="000000" w:themeColor="text1"/>
                          </w:rPr>
                          <w:t>本项目位置</w:t>
                        </w:r>
                      </w:p>
                    </w:txbxContent>
                  </v:textbox>
                </v:shape>
              </w:pict>
            </w:r>
            <w:r>
              <w:rPr>
                <w:color w:val="auto"/>
              </w:rPr>
              <w:drawing>
                <wp:inline distT="0" distB="0" distL="114300" distR="114300">
                  <wp:extent cx="7880985" cy="4015105"/>
                  <wp:effectExtent l="0" t="0" r="5715" b="1079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0"/>
                          <a:stretch>
                            <a:fillRect/>
                          </a:stretch>
                        </pic:blipFill>
                        <pic:spPr>
                          <a:xfrm>
                            <a:off x="0" y="0"/>
                            <a:ext cx="7880985" cy="4015105"/>
                          </a:xfrm>
                          <a:prstGeom prst="rect">
                            <a:avLst/>
                          </a:prstGeom>
                          <a:noFill/>
                          <a:ln>
                            <a:noFill/>
                          </a:ln>
                        </pic:spPr>
                      </pic:pic>
                    </a:graphicData>
                  </a:graphic>
                </wp:inline>
              </w:drawing>
            </w:r>
          </w:p>
          <w:p w14:paraId="29337596">
            <w:pPr>
              <w:spacing w:after="0" w:line="360" w:lineRule="auto"/>
              <w:jc w:val="center"/>
              <w:rPr>
                <w:rFonts w:ascii="Times New Roman" w:hAnsi="Times New Roman"/>
                <w:b/>
                <w:color w:val="auto"/>
                <w:szCs w:val="21"/>
                <w:highlight w:val="none"/>
              </w:rPr>
            </w:pPr>
            <w:r>
              <w:rPr>
                <w:rFonts w:hint="eastAsia" w:ascii="Times New Roman" w:hAnsi="Times New Roman"/>
                <w:b/>
                <w:color w:val="auto"/>
                <w:szCs w:val="21"/>
                <w:highlight w:val="none"/>
              </w:rPr>
              <w:t>图1-1  三线一单管控图</w:t>
            </w:r>
          </w:p>
          <w:p w14:paraId="0F5C40E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表1-</w:t>
            </w:r>
            <w:r>
              <w:rPr>
                <w:rFonts w:hint="eastAsia" w:ascii="Times New Roman" w:hAnsi="Times New Roman"/>
                <w:b/>
                <w:color w:val="auto"/>
                <w:szCs w:val="21"/>
                <w:highlight w:val="none"/>
              </w:rPr>
              <w:t>3</w:t>
            </w:r>
            <w:r>
              <w:rPr>
                <w:rFonts w:ascii="Times New Roman" w:hAnsi="Times New Roman"/>
                <w:b/>
                <w:color w:val="auto"/>
                <w:szCs w:val="21"/>
                <w:highlight w:val="none"/>
              </w:rPr>
              <w:t>环境准入负面清单分析对照</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980"/>
              <w:gridCol w:w="830"/>
              <w:gridCol w:w="660"/>
              <w:gridCol w:w="3900"/>
              <w:gridCol w:w="4124"/>
              <w:gridCol w:w="503"/>
            </w:tblGrid>
            <w:tr w14:paraId="634F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1" w:type="dxa"/>
                  <w:vAlign w:val="center"/>
                </w:tcPr>
                <w:p w14:paraId="517F3234">
                  <w:pPr>
                    <w:spacing w:after="0" w:line="240" w:lineRule="auto"/>
                    <w:jc w:val="center"/>
                    <w:rPr>
                      <w:rFonts w:ascii="Times New Roman" w:hAnsi="Times New Roman"/>
                      <w:b/>
                      <w:bCs/>
                      <w:color w:val="auto"/>
                      <w:szCs w:val="21"/>
                      <w:highlight w:val="none"/>
                      <w:lang w:val="zh-CN"/>
                    </w:rPr>
                  </w:pPr>
                  <w:r>
                    <w:rPr>
                      <w:rFonts w:hint="eastAsia" w:ascii="Times New Roman" w:hAnsi="Times New Roman"/>
                      <w:b/>
                      <w:bCs/>
                      <w:color w:val="auto"/>
                      <w:szCs w:val="21"/>
                      <w:highlight w:val="none"/>
                      <w:lang w:val="zh-CN"/>
                    </w:rPr>
                    <w:t>环境管控单元编码</w:t>
                  </w:r>
                </w:p>
              </w:tc>
              <w:tc>
                <w:tcPr>
                  <w:tcW w:w="980" w:type="dxa"/>
                  <w:vAlign w:val="center"/>
                </w:tcPr>
                <w:p w14:paraId="00B2F858">
                  <w:pPr>
                    <w:spacing w:after="0" w:line="240" w:lineRule="auto"/>
                    <w:jc w:val="center"/>
                    <w:rPr>
                      <w:rFonts w:ascii="Times New Roman" w:hAnsi="Times New Roman"/>
                      <w:b/>
                      <w:bCs/>
                      <w:color w:val="auto"/>
                      <w:szCs w:val="21"/>
                      <w:highlight w:val="none"/>
                      <w:lang w:val="zh-CN"/>
                    </w:rPr>
                  </w:pPr>
                  <w:r>
                    <w:rPr>
                      <w:rFonts w:hint="eastAsia" w:ascii="Times New Roman" w:hAnsi="Times New Roman"/>
                      <w:b/>
                      <w:bCs/>
                      <w:color w:val="auto"/>
                      <w:szCs w:val="21"/>
                      <w:highlight w:val="none"/>
                      <w:lang w:val="zh-CN"/>
                    </w:rPr>
                    <w:t>环境管控单元名称</w:t>
                  </w:r>
                </w:p>
              </w:tc>
              <w:tc>
                <w:tcPr>
                  <w:tcW w:w="830" w:type="dxa"/>
                  <w:vAlign w:val="center"/>
                </w:tcPr>
                <w:p w14:paraId="225425A5">
                  <w:pPr>
                    <w:spacing w:after="0" w:line="240" w:lineRule="auto"/>
                    <w:jc w:val="center"/>
                    <w:rPr>
                      <w:rFonts w:ascii="Times New Roman" w:hAnsi="Times New Roman"/>
                      <w:b/>
                      <w:bCs/>
                      <w:color w:val="auto"/>
                      <w:szCs w:val="21"/>
                      <w:highlight w:val="none"/>
                      <w:lang w:val="zh-CN"/>
                    </w:rPr>
                  </w:pPr>
                  <w:r>
                    <w:rPr>
                      <w:rFonts w:hint="eastAsia" w:ascii="Times New Roman" w:hAnsi="Times New Roman"/>
                      <w:b/>
                      <w:bCs/>
                      <w:color w:val="auto"/>
                      <w:szCs w:val="21"/>
                      <w:highlight w:val="none"/>
                      <w:lang w:val="zh-CN"/>
                    </w:rPr>
                    <w:t>环境管控单元分类</w:t>
                  </w:r>
                </w:p>
              </w:tc>
              <w:tc>
                <w:tcPr>
                  <w:tcW w:w="660" w:type="dxa"/>
                  <w:vAlign w:val="center"/>
                </w:tcPr>
                <w:p w14:paraId="0A8A87F7">
                  <w:pPr>
                    <w:spacing w:after="0" w:line="240" w:lineRule="auto"/>
                    <w:jc w:val="center"/>
                    <w:rPr>
                      <w:rFonts w:ascii="Times New Roman" w:hAnsi="Times New Roman"/>
                      <w:b/>
                      <w:bCs/>
                      <w:color w:val="auto"/>
                      <w:szCs w:val="21"/>
                      <w:highlight w:val="none"/>
                    </w:rPr>
                  </w:pPr>
                  <w:r>
                    <w:rPr>
                      <w:rFonts w:hint="eastAsia" w:ascii="Times New Roman" w:hAnsi="Times New Roman"/>
                      <w:b/>
                      <w:bCs/>
                      <w:color w:val="auto"/>
                      <w:szCs w:val="21"/>
                      <w:highlight w:val="none"/>
                    </w:rPr>
                    <w:t>管控类别</w:t>
                  </w:r>
                </w:p>
              </w:tc>
              <w:tc>
                <w:tcPr>
                  <w:tcW w:w="3900" w:type="dxa"/>
                  <w:vAlign w:val="center"/>
                </w:tcPr>
                <w:p w14:paraId="28AAEEDF">
                  <w:pPr>
                    <w:spacing w:after="0" w:line="240" w:lineRule="auto"/>
                    <w:jc w:val="center"/>
                    <w:rPr>
                      <w:rFonts w:ascii="Times New Roman" w:hAnsi="Times New Roman"/>
                      <w:b/>
                      <w:bCs/>
                      <w:color w:val="auto"/>
                      <w:szCs w:val="21"/>
                      <w:highlight w:val="none"/>
                      <w:lang w:val="zh-CN"/>
                    </w:rPr>
                  </w:pPr>
                  <w:r>
                    <w:rPr>
                      <w:rFonts w:hint="eastAsia" w:ascii="Times New Roman" w:hAnsi="Times New Roman"/>
                      <w:b/>
                      <w:bCs/>
                      <w:color w:val="auto"/>
                      <w:szCs w:val="21"/>
                      <w:highlight w:val="none"/>
                      <w:lang w:val="zh-CN"/>
                    </w:rPr>
                    <w:t>管控要求</w:t>
                  </w:r>
                </w:p>
              </w:tc>
              <w:tc>
                <w:tcPr>
                  <w:tcW w:w="4124" w:type="dxa"/>
                  <w:vAlign w:val="center"/>
                </w:tcPr>
                <w:p w14:paraId="1D04A074">
                  <w:pPr>
                    <w:spacing w:after="0" w:line="240" w:lineRule="auto"/>
                    <w:jc w:val="center"/>
                    <w:rPr>
                      <w:rFonts w:ascii="Times New Roman" w:hAnsi="Times New Roman"/>
                      <w:b/>
                      <w:bCs/>
                      <w:color w:val="auto"/>
                      <w:szCs w:val="21"/>
                      <w:highlight w:val="none"/>
                      <w:lang w:val="zh-CN"/>
                    </w:rPr>
                  </w:pPr>
                  <w:r>
                    <w:rPr>
                      <w:rFonts w:hint="eastAsia" w:ascii="Times New Roman" w:hAnsi="Times New Roman"/>
                      <w:b/>
                      <w:bCs/>
                      <w:color w:val="auto"/>
                      <w:szCs w:val="21"/>
                      <w:highlight w:val="none"/>
                      <w:lang w:val="zh-CN"/>
                    </w:rPr>
                    <w:t>本项目情况</w:t>
                  </w:r>
                </w:p>
              </w:tc>
              <w:tc>
                <w:tcPr>
                  <w:tcW w:w="503" w:type="dxa"/>
                  <w:vAlign w:val="center"/>
                </w:tcPr>
                <w:p w14:paraId="78049CE1">
                  <w:pPr>
                    <w:spacing w:after="0" w:line="240" w:lineRule="auto"/>
                    <w:jc w:val="center"/>
                    <w:rPr>
                      <w:rFonts w:ascii="Times New Roman" w:hAnsi="Times New Roman"/>
                      <w:b/>
                      <w:bCs/>
                      <w:color w:val="auto"/>
                      <w:szCs w:val="21"/>
                      <w:highlight w:val="none"/>
                      <w:lang w:val="zh-CN"/>
                    </w:rPr>
                  </w:pPr>
                  <w:r>
                    <w:rPr>
                      <w:rFonts w:hint="eastAsia" w:ascii="Times New Roman" w:hAnsi="Times New Roman"/>
                      <w:b/>
                      <w:bCs/>
                      <w:color w:val="auto"/>
                      <w:szCs w:val="21"/>
                      <w:highlight w:val="none"/>
                      <w:lang w:val="zh-CN"/>
                    </w:rPr>
                    <w:t>符合性分析</w:t>
                  </w:r>
                </w:p>
              </w:tc>
            </w:tr>
            <w:tr w14:paraId="22EB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1" w:type="dxa"/>
                  <w:vMerge w:val="restart"/>
                  <w:vAlign w:val="center"/>
                </w:tcPr>
                <w:p w14:paraId="41E8D222">
                  <w:pPr>
                    <w:spacing w:after="0" w:line="240" w:lineRule="auto"/>
                    <w:jc w:val="center"/>
                    <w:rPr>
                      <w:rFonts w:ascii="Times New Roman" w:hAnsi="Times New Roman"/>
                      <w:color w:val="auto"/>
                      <w:szCs w:val="21"/>
                      <w:highlight w:val="none"/>
                      <w:lang w:val="zh-CN"/>
                    </w:rPr>
                  </w:pPr>
                  <w:r>
                    <w:rPr>
                      <w:rFonts w:hint="eastAsia" w:ascii="Times New Roman" w:hAnsi="Times New Roman"/>
                      <w:color w:val="auto"/>
                      <w:szCs w:val="21"/>
                      <w:highlight w:val="none"/>
                      <w:lang w:val="zh-CN"/>
                    </w:rPr>
                    <w:t>ZH340</w:t>
                  </w:r>
                  <w:r>
                    <w:rPr>
                      <w:rFonts w:hint="eastAsia" w:ascii="Times New Roman" w:hAnsi="Times New Roman"/>
                      <w:color w:val="auto"/>
                      <w:szCs w:val="21"/>
                      <w:highlight w:val="none"/>
                    </w:rPr>
                    <w:t>406</w:t>
                  </w:r>
                  <w:r>
                    <w:rPr>
                      <w:rFonts w:hint="eastAsia" w:ascii="Times New Roman" w:hAnsi="Times New Roman"/>
                      <w:color w:val="auto"/>
                      <w:szCs w:val="21"/>
                      <w:highlight w:val="none"/>
                      <w:lang w:val="zh-CN"/>
                    </w:rPr>
                    <w:t>3000</w:t>
                  </w:r>
                  <w:r>
                    <w:rPr>
                      <w:rFonts w:hint="eastAsia" w:ascii="Times New Roman" w:hAnsi="Times New Roman"/>
                      <w:color w:val="auto"/>
                      <w:szCs w:val="21"/>
                      <w:highlight w:val="none"/>
                    </w:rPr>
                    <w:t>4</w:t>
                  </w:r>
                </w:p>
              </w:tc>
              <w:tc>
                <w:tcPr>
                  <w:tcW w:w="980" w:type="dxa"/>
                  <w:vMerge w:val="restart"/>
                  <w:vAlign w:val="center"/>
                </w:tcPr>
                <w:p w14:paraId="6C1BF13B">
                  <w:pPr>
                    <w:spacing w:after="0" w:line="240" w:lineRule="auto"/>
                    <w:jc w:val="center"/>
                    <w:rPr>
                      <w:rFonts w:ascii="Times New Roman" w:hAnsi="Times New Roman"/>
                      <w:color w:val="auto"/>
                      <w:szCs w:val="21"/>
                      <w:highlight w:val="none"/>
                      <w:lang w:val="zh-CN"/>
                    </w:rPr>
                  </w:pPr>
                  <w:r>
                    <w:rPr>
                      <w:rFonts w:hint="eastAsia" w:ascii="Times New Roman" w:hAnsi="Times New Roman"/>
                      <w:color w:val="auto"/>
                      <w:szCs w:val="21"/>
                      <w:highlight w:val="none"/>
                      <w:lang w:val="zh-CN"/>
                    </w:rPr>
                    <w:t>一般管控单元</w:t>
                  </w:r>
                  <w:r>
                    <w:rPr>
                      <w:rFonts w:hint="eastAsia" w:ascii="Times New Roman" w:hAnsi="Times New Roman"/>
                      <w:color w:val="auto"/>
                      <w:szCs w:val="21"/>
                      <w:highlight w:val="none"/>
                    </w:rPr>
                    <w:t>5</w:t>
                  </w:r>
                </w:p>
              </w:tc>
              <w:tc>
                <w:tcPr>
                  <w:tcW w:w="830" w:type="dxa"/>
                  <w:vMerge w:val="restart"/>
                  <w:vAlign w:val="center"/>
                </w:tcPr>
                <w:p w14:paraId="106A6D5B">
                  <w:pPr>
                    <w:spacing w:after="0" w:line="240" w:lineRule="auto"/>
                    <w:jc w:val="center"/>
                    <w:rPr>
                      <w:rFonts w:ascii="Times New Roman" w:hAnsi="Times New Roman"/>
                      <w:color w:val="auto"/>
                      <w:szCs w:val="21"/>
                      <w:highlight w:val="none"/>
                      <w:lang w:val="zh-CN"/>
                    </w:rPr>
                  </w:pPr>
                  <w:r>
                    <w:rPr>
                      <w:rFonts w:hint="eastAsia" w:ascii="Times New Roman" w:hAnsi="Times New Roman"/>
                      <w:color w:val="auto"/>
                      <w:szCs w:val="21"/>
                      <w:highlight w:val="none"/>
                      <w:lang w:val="zh-CN"/>
                    </w:rPr>
                    <w:t>一般管控单元</w:t>
                  </w:r>
                </w:p>
              </w:tc>
              <w:tc>
                <w:tcPr>
                  <w:tcW w:w="660" w:type="dxa"/>
                  <w:vAlign w:val="center"/>
                </w:tcPr>
                <w:p w14:paraId="46661238">
                  <w:pPr>
                    <w:spacing w:after="0" w:line="240" w:lineRule="auto"/>
                    <w:jc w:val="center"/>
                    <w:rPr>
                      <w:rFonts w:ascii="Times New Roman" w:hAnsi="Times New Roman"/>
                      <w:color w:val="auto"/>
                      <w:szCs w:val="21"/>
                      <w:highlight w:val="none"/>
                      <w:lang w:val="zh-CN"/>
                    </w:rPr>
                  </w:pPr>
                  <w:r>
                    <w:rPr>
                      <w:rFonts w:hint="eastAsia" w:ascii="Times New Roman" w:hAnsi="Times New Roman"/>
                      <w:color w:val="auto"/>
                      <w:szCs w:val="21"/>
                      <w:highlight w:val="none"/>
                      <w:lang w:val="zh-CN"/>
                    </w:rPr>
                    <w:t>空间布局约束</w:t>
                  </w:r>
                </w:p>
              </w:tc>
              <w:tc>
                <w:tcPr>
                  <w:tcW w:w="3900" w:type="dxa"/>
                  <w:vAlign w:val="center"/>
                </w:tcPr>
                <w:p w14:paraId="2206FB48">
                  <w:pPr>
                    <w:spacing w:after="0" w:line="240" w:lineRule="auto"/>
                    <w:jc w:val="center"/>
                    <w:rPr>
                      <w:rFonts w:ascii="Times New Roman" w:hAnsi="Times New Roman"/>
                      <w:color w:val="auto"/>
                      <w:szCs w:val="21"/>
                      <w:highlight w:val="none"/>
                      <w:lang w:val="zh-CN"/>
                    </w:rPr>
                  </w:pPr>
                  <w:r>
                    <w:rPr>
                      <w:rFonts w:hint="eastAsia" w:ascii="Times New Roman" w:hAnsi="Times New Roman"/>
                      <w:color w:val="auto"/>
                      <w:szCs w:val="21"/>
                      <w:highlight w:val="none"/>
                      <w:lang w:val="zh-CN"/>
                    </w:rPr>
                    <w:t>1、禁止任何单位和个人在基本农田保护区内建窑、建房、建坟、挖砂、采石、采矿、取土、堆放固体废弃物或者进行其他破坏基本农田的活动；2、在永久基本农田集中区域，不得规划新建可能造成土壤污染的建设项目；3、实行耕地保护补偿激励制度，具体按照国家和省有关规定执行。加大优先保护类耕地保护力度，综合采取占补数量和质量平衡、高标准农田建设、周边污染企业搬迁整治等措施；4、优先保护类耕地集中区域现有可能造成土壤污染的相关行业企业应当按照有关规定采取措施，防止对耕地造成污染。</w:t>
                  </w:r>
                </w:p>
              </w:tc>
              <w:tc>
                <w:tcPr>
                  <w:tcW w:w="4124" w:type="dxa"/>
                  <w:vAlign w:val="center"/>
                </w:tcPr>
                <w:p w14:paraId="4C53E73B">
                  <w:pPr>
                    <w:keepNext w:val="0"/>
                    <w:keepLines w:val="0"/>
                    <w:widowControl/>
                    <w:suppressLineNumbers w:val="0"/>
                    <w:jc w:val="left"/>
                    <w:rPr>
                      <w:color w:val="auto"/>
                      <w:sz w:val="21"/>
                      <w:szCs w:val="21"/>
                      <w:highlight w:val="none"/>
                    </w:rPr>
                  </w:pPr>
                  <w:r>
                    <w:rPr>
                      <w:rFonts w:hint="eastAsia"/>
                      <w:color w:val="auto"/>
                      <w:sz w:val="21"/>
                      <w:szCs w:val="21"/>
                      <w:highlight w:val="none"/>
                    </w:rPr>
                    <w:t>1、根据淮南市生态保护红线图，本项目评价区域不涉及生态保护红线</w:t>
                  </w:r>
                  <w:r>
                    <w:rPr>
                      <w:rFonts w:hint="eastAsia"/>
                      <w:color w:val="auto"/>
                      <w:sz w:val="21"/>
                      <w:szCs w:val="21"/>
                      <w:highlight w:val="none"/>
                      <w:lang w:val="zh-CN"/>
                    </w:rPr>
                    <w:t>；</w:t>
                  </w:r>
                  <w:r>
                    <w:rPr>
                      <w:rFonts w:hint="eastAsia"/>
                      <w:color w:val="auto"/>
                      <w:sz w:val="21"/>
                      <w:szCs w:val="21"/>
                      <w:highlight w:val="none"/>
                    </w:rPr>
                    <w:t>2、</w:t>
                  </w:r>
                  <w:r>
                    <w:rPr>
                      <w:color w:val="auto"/>
                      <w:sz w:val="21"/>
                      <w:szCs w:val="21"/>
                      <w:highlight w:val="none"/>
                    </w:rPr>
                    <w:t>本项目</w:t>
                  </w:r>
                  <w:r>
                    <w:rPr>
                      <w:rFonts w:hint="eastAsia"/>
                      <w:color w:val="auto"/>
                      <w:sz w:val="21"/>
                      <w:szCs w:val="21"/>
                      <w:highlight w:val="none"/>
                      <w:lang w:val="en-US" w:eastAsia="zh-CN"/>
                    </w:rPr>
                    <w:t>19</w:t>
                  </w:r>
                  <w:r>
                    <w:rPr>
                      <w:rFonts w:hint="eastAsia"/>
                      <w:color w:val="auto"/>
                      <w:sz w:val="21"/>
                      <w:szCs w:val="21"/>
                      <w:highlight w:val="none"/>
                    </w:rPr>
                    <w:t>个井场</w:t>
                  </w:r>
                  <w:r>
                    <w:rPr>
                      <w:rFonts w:hint="eastAsia" w:ascii="Times New Roman" w:hAnsi="Times New Roman" w:eastAsia="宋体" w:cs="Times New Roman"/>
                      <w:color w:val="auto"/>
                      <w:kern w:val="2"/>
                      <w:sz w:val="21"/>
                      <w:szCs w:val="21"/>
                      <w:highlight w:val="none"/>
                      <w:lang w:val="en-US" w:eastAsia="zh-CN" w:bidi="ar-SA"/>
                    </w:rPr>
                    <w:t>均</w:t>
                  </w:r>
                  <w:r>
                    <w:rPr>
                      <w:rFonts w:ascii="Times New Roman" w:hAnsi="Times New Roman" w:eastAsia="宋体" w:cs="Times New Roman"/>
                      <w:color w:val="auto"/>
                      <w:kern w:val="2"/>
                      <w:sz w:val="21"/>
                      <w:szCs w:val="21"/>
                      <w:highlight w:val="none"/>
                      <w:lang w:val="en-US" w:eastAsia="zh-CN" w:bidi="ar-SA"/>
                    </w:rPr>
                    <w:t>涉及基本农田</w:t>
                  </w:r>
                  <w:r>
                    <w:rPr>
                      <w:rFonts w:hint="eastAsia" w:ascii="Times New Roman" w:hAnsi="Times New Roman" w:eastAsia="宋体" w:cs="Times New Roman"/>
                      <w:color w:val="auto"/>
                      <w:kern w:val="2"/>
                      <w:sz w:val="21"/>
                      <w:szCs w:val="21"/>
                      <w:highlight w:val="none"/>
                      <w:lang w:val="en-US" w:eastAsia="zh-CN" w:bidi="ar-SA"/>
                    </w:rPr>
                    <w:t>，总占用面积约31378</w:t>
                  </w:r>
                  <w:r>
                    <w:rPr>
                      <w:rFonts w:ascii="Times New Roman" w:hAnsi="Times New Roman" w:eastAsia="宋体" w:cs="Times New Roman"/>
                      <w:color w:val="auto"/>
                      <w:kern w:val="2"/>
                      <w:sz w:val="21"/>
                      <w:szCs w:val="21"/>
                      <w:highlight w:val="none"/>
                      <w:lang w:val="en-US" w:eastAsia="zh-CN" w:bidi="ar-SA"/>
                    </w:rPr>
                    <w:t>m</w:t>
                  </w:r>
                  <w:r>
                    <w:rPr>
                      <w:rFonts w:ascii="Times New Roman" w:hAnsi="Times New Roman" w:eastAsia="宋体" w:cs="Times New Roman"/>
                      <w:color w:val="auto"/>
                      <w:kern w:val="2"/>
                      <w:sz w:val="21"/>
                      <w:szCs w:val="21"/>
                      <w:highlight w:val="none"/>
                      <w:vertAlign w:val="superscript"/>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，其中农用地31345</w:t>
                  </w:r>
                  <w:r>
                    <w:rPr>
                      <w:rFonts w:ascii="Times New Roman" w:hAnsi="Times New Roman" w:eastAsia="宋体" w:cs="Times New Roman"/>
                      <w:color w:val="auto"/>
                      <w:kern w:val="2"/>
                      <w:sz w:val="21"/>
                      <w:szCs w:val="21"/>
                      <w:highlight w:val="none"/>
                      <w:lang w:val="en-US" w:eastAsia="zh-CN" w:bidi="ar-SA"/>
                    </w:rPr>
                    <w:t>m</w:t>
                  </w:r>
                  <w:r>
                    <w:rPr>
                      <w:rFonts w:ascii="Times New Roman" w:hAnsi="Times New Roman" w:eastAsia="宋体" w:cs="Times New Roman"/>
                      <w:color w:val="auto"/>
                      <w:kern w:val="2"/>
                      <w:sz w:val="21"/>
                      <w:szCs w:val="21"/>
                      <w:highlight w:val="none"/>
                      <w:vertAlign w:val="superscript"/>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（耕地30267</w:t>
                  </w:r>
                  <w:r>
                    <w:rPr>
                      <w:rFonts w:ascii="Times New Roman" w:hAnsi="Times New Roman" w:eastAsia="宋体" w:cs="Times New Roman"/>
                      <w:color w:val="auto"/>
                      <w:kern w:val="2"/>
                      <w:sz w:val="21"/>
                      <w:szCs w:val="21"/>
                      <w:highlight w:val="none"/>
                      <w:lang w:val="en-US" w:eastAsia="zh-CN" w:bidi="ar-SA"/>
                    </w:rPr>
                    <w:t>m</w:t>
                  </w:r>
                  <w:r>
                    <w:rPr>
                      <w:rFonts w:ascii="Times New Roman" w:hAnsi="Times New Roman" w:eastAsia="宋体" w:cs="Times New Roman"/>
                      <w:color w:val="auto"/>
                      <w:kern w:val="2"/>
                      <w:sz w:val="21"/>
                      <w:szCs w:val="21"/>
                      <w:highlight w:val="none"/>
                      <w:vertAlign w:val="superscript"/>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，占用永久基本农田3017</w:t>
                  </w:r>
                  <w:r>
                    <w:rPr>
                      <w:rFonts w:hint="eastAsia"/>
                      <w:color w:val="auto"/>
                      <w:sz w:val="21"/>
                      <w:szCs w:val="21"/>
                      <w:highlight w:val="none"/>
                      <w:lang w:val="en-US" w:eastAsia="zh-CN"/>
                    </w:rPr>
                    <w:t>8</w:t>
                  </w:r>
                  <w:r>
                    <w:rPr>
                      <w:color w:val="auto"/>
                      <w:sz w:val="21"/>
                      <w:szCs w:val="21"/>
                      <w:highlight w:val="none"/>
                      <w:lang w:val="en-US" w:eastAsia="zh-CN"/>
                    </w:rPr>
                    <w:t>m</w:t>
                  </w:r>
                  <w:r>
                    <w:rPr>
                      <w:color w:val="auto"/>
                      <w:sz w:val="21"/>
                      <w:szCs w:val="21"/>
                      <w:highlight w:val="none"/>
                      <w:vertAlign w:val="superscript"/>
                      <w:lang w:val="en-US" w:eastAsia="zh-CN"/>
                    </w:rPr>
                    <w:t>2</w:t>
                  </w:r>
                  <w:r>
                    <w:rPr>
                      <w:rFonts w:hint="eastAsia"/>
                      <w:color w:val="auto"/>
                      <w:sz w:val="21"/>
                      <w:szCs w:val="21"/>
                      <w:highlight w:val="none"/>
                      <w:vertAlign w:val="baseline"/>
                      <w:lang w:val="en-US" w:eastAsia="zh-CN"/>
                    </w:rPr>
                    <w:t>）</w:t>
                  </w:r>
                  <w:r>
                    <w:rPr>
                      <w:color w:val="auto"/>
                      <w:sz w:val="21"/>
                      <w:szCs w:val="21"/>
                      <w:highlight w:val="none"/>
                    </w:rPr>
                    <w:t>，</w:t>
                  </w:r>
                  <w:r>
                    <w:rPr>
                      <w:rFonts w:hint="eastAsia"/>
                      <w:color w:val="auto"/>
                      <w:sz w:val="21"/>
                      <w:szCs w:val="21"/>
                      <w:highlight w:val="none"/>
                      <w:lang w:val="en-US" w:eastAsia="zh-CN"/>
                    </w:rPr>
                    <w:t>建设用地33m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w:t>
                  </w:r>
                  <w:r>
                    <w:rPr>
                      <w:color w:val="auto"/>
                      <w:sz w:val="21"/>
                      <w:szCs w:val="21"/>
                      <w:highlight w:val="none"/>
                    </w:rPr>
                    <w:t>但</w:t>
                  </w:r>
                  <w:r>
                    <w:rPr>
                      <w:rFonts w:hint="eastAsia"/>
                      <w:color w:val="auto"/>
                      <w:sz w:val="21"/>
                      <w:szCs w:val="21"/>
                      <w:highlight w:val="none"/>
                    </w:rPr>
                    <w:t>均</w:t>
                  </w:r>
                  <w:r>
                    <w:rPr>
                      <w:color w:val="auto"/>
                      <w:sz w:val="21"/>
                      <w:szCs w:val="21"/>
                      <w:highlight w:val="none"/>
                    </w:rPr>
                    <w:t>不是长期永久占用，本项目施工前需进行表土剥离工作，将表土放在专门的表土堆放区，表土堆放区应设置拦挡、苫盖等措施，同时本项目已编制完成复垦方案，施工结束后按照复垦方案对临时占地进行复垦，剥离的表土回填，恢复原有生态环境功能</w:t>
                  </w:r>
                  <w:r>
                    <w:rPr>
                      <w:rFonts w:hint="eastAsia"/>
                      <w:color w:val="auto"/>
                      <w:sz w:val="21"/>
                      <w:szCs w:val="21"/>
                      <w:highlight w:val="none"/>
                      <w:lang w:val="zh-CN"/>
                    </w:rPr>
                    <w:t>；</w:t>
                  </w:r>
                  <w:r>
                    <w:rPr>
                      <w:rFonts w:hint="eastAsia"/>
                      <w:color w:val="auto"/>
                      <w:sz w:val="21"/>
                      <w:szCs w:val="21"/>
                      <w:highlight w:val="none"/>
                    </w:rPr>
                    <w:t>3、</w:t>
                  </w:r>
                  <w:r>
                    <w:rPr>
                      <w:rFonts w:hint="eastAsia"/>
                      <w:color w:val="auto"/>
                      <w:sz w:val="21"/>
                      <w:szCs w:val="21"/>
                      <w:highlight w:val="none"/>
                      <w:lang w:val="zh-CN"/>
                    </w:rPr>
                    <w:t>已按照临时用地相关政策要求编制完成复垦方案并取得了淮南市自然资源和规划局潘集分局出具了本项目临时用地初审意见。</w:t>
                  </w:r>
                  <w:r>
                    <w:rPr>
                      <w:rFonts w:hint="eastAsia"/>
                      <w:color w:val="auto"/>
                      <w:sz w:val="21"/>
                      <w:szCs w:val="21"/>
                      <w:highlight w:val="none"/>
                    </w:rPr>
                    <w:t>4、</w:t>
                  </w:r>
                  <w:r>
                    <w:rPr>
                      <w:rFonts w:hint="eastAsia"/>
                      <w:color w:val="auto"/>
                      <w:sz w:val="21"/>
                      <w:szCs w:val="21"/>
                      <w:highlight w:val="none"/>
                      <w:lang w:val="zh-CN"/>
                    </w:rPr>
                    <w:t>本项目施工完成后将按照已批复的土地复垦方案进行土地复垦，及时恢复种植条件。</w:t>
                  </w:r>
                </w:p>
              </w:tc>
              <w:tc>
                <w:tcPr>
                  <w:tcW w:w="503" w:type="dxa"/>
                  <w:vAlign w:val="center"/>
                </w:tcPr>
                <w:p w14:paraId="0437FB6D">
                  <w:pPr>
                    <w:pStyle w:val="55"/>
                    <w:spacing w:after="0" w:line="240" w:lineRule="auto"/>
                    <w:ind w:firstLine="0" w:firstLineChars="0"/>
                    <w:jc w:val="center"/>
                    <w:rPr>
                      <w:color w:val="auto"/>
                      <w:sz w:val="21"/>
                      <w:szCs w:val="21"/>
                      <w:highlight w:val="none"/>
                    </w:rPr>
                  </w:pPr>
                  <w:r>
                    <w:rPr>
                      <w:rFonts w:hint="eastAsia"/>
                      <w:color w:val="auto"/>
                      <w:sz w:val="21"/>
                      <w:szCs w:val="21"/>
                      <w:highlight w:val="none"/>
                    </w:rPr>
                    <w:t>符合</w:t>
                  </w:r>
                </w:p>
              </w:tc>
            </w:tr>
            <w:tr w14:paraId="6A6F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11" w:type="dxa"/>
                  <w:vMerge w:val="continue"/>
                  <w:vAlign w:val="center"/>
                </w:tcPr>
                <w:p w14:paraId="3F1C15E2">
                  <w:pPr>
                    <w:spacing w:after="0" w:line="240" w:lineRule="auto"/>
                    <w:jc w:val="center"/>
                    <w:rPr>
                      <w:rFonts w:ascii="Times New Roman" w:hAnsi="Times New Roman"/>
                      <w:color w:val="auto"/>
                      <w:szCs w:val="21"/>
                      <w:highlight w:val="none"/>
                    </w:rPr>
                  </w:pPr>
                </w:p>
              </w:tc>
              <w:tc>
                <w:tcPr>
                  <w:tcW w:w="980" w:type="dxa"/>
                  <w:vMerge w:val="continue"/>
                  <w:vAlign w:val="center"/>
                </w:tcPr>
                <w:p w14:paraId="5C27BD80">
                  <w:pPr>
                    <w:spacing w:after="0" w:line="240" w:lineRule="auto"/>
                    <w:jc w:val="center"/>
                    <w:rPr>
                      <w:rFonts w:ascii="Times New Roman" w:hAnsi="Times New Roman"/>
                      <w:color w:val="auto"/>
                      <w:szCs w:val="21"/>
                      <w:highlight w:val="none"/>
                      <w:lang w:val="zh-CN"/>
                    </w:rPr>
                  </w:pPr>
                </w:p>
              </w:tc>
              <w:tc>
                <w:tcPr>
                  <w:tcW w:w="830" w:type="dxa"/>
                  <w:vMerge w:val="continue"/>
                  <w:vAlign w:val="center"/>
                </w:tcPr>
                <w:p w14:paraId="4DC1C55E">
                  <w:pPr>
                    <w:spacing w:after="0" w:line="240" w:lineRule="auto"/>
                    <w:jc w:val="center"/>
                    <w:rPr>
                      <w:rFonts w:ascii="Times New Roman" w:hAnsi="Times New Roman"/>
                      <w:color w:val="auto"/>
                      <w:szCs w:val="21"/>
                      <w:highlight w:val="none"/>
                      <w:lang w:val="zh-CN"/>
                    </w:rPr>
                  </w:pPr>
                </w:p>
              </w:tc>
              <w:tc>
                <w:tcPr>
                  <w:tcW w:w="660" w:type="dxa"/>
                  <w:vAlign w:val="center"/>
                </w:tcPr>
                <w:p w14:paraId="22F4529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污染物排放管控</w:t>
                  </w:r>
                </w:p>
              </w:tc>
              <w:tc>
                <w:tcPr>
                  <w:tcW w:w="3900" w:type="dxa"/>
                  <w:vAlign w:val="center"/>
                </w:tcPr>
                <w:p w14:paraId="38689481">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w:t>
                  </w:r>
                </w:p>
              </w:tc>
              <w:tc>
                <w:tcPr>
                  <w:tcW w:w="4124" w:type="dxa"/>
                  <w:vAlign w:val="center"/>
                </w:tcPr>
                <w:p w14:paraId="38B919FA">
                  <w:pPr>
                    <w:pStyle w:val="55"/>
                    <w:spacing w:after="0" w:line="240" w:lineRule="auto"/>
                    <w:ind w:firstLine="0" w:firstLineChars="0"/>
                    <w:jc w:val="center"/>
                    <w:rPr>
                      <w:color w:val="auto"/>
                      <w:sz w:val="21"/>
                      <w:szCs w:val="21"/>
                      <w:highlight w:val="none"/>
                    </w:rPr>
                  </w:pPr>
                  <w:r>
                    <w:rPr>
                      <w:rFonts w:hint="eastAsia"/>
                      <w:color w:val="auto"/>
                      <w:sz w:val="21"/>
                      <w:szCs w:val="21"/>
                      <w:highlight w:val="none"/>
                    </w:rPr>
                    <w:t>/</w:t>
                  </w:r>
                </w:p>
              </w:tc>
              <w:tc>
                <w:tcPr>
                  <w:tcW w:w="503" w:type="dxa"/>
                  <w:vAlign w:val="center"/>
                </w:tcPr>
                <w:p w14:paraId="096CF698">
                  <w:pPr>
                    <w:pStyle w:val="55"/>
                    <w:spacing w:after="0" w:line="240" w:lineRule="auto"/>
                    <w:ind w:firstLine="0" w:firstLineChars="0"/>
                    <w:jc w:val="center"/>
                    <w:rPr>
                      <w:color w:val="auto"/>
                      <w:sz w:val="21"/>
                      <w:szCs w:val="21"/>
                      <w:highlight w:val="none"/>
                    </w:rPr>
                  </w:pPr>
                  <w:r>
                    <w:rPr>
                      <w:rFonts w:hint="eastAsia"/>
                      <w:color w:val="auto"/>
                      <w:sz w:val="21"/>
                      <w:szCs w:val="21"/>
                      <w:highlight w:val="none"/>
                    </w:rPr>
                    <w:t>/</w:t>
                  </w:r>
                </w:p>
              </w:tc>
            </w:tr>
            <w:tr w14:paraId="18AA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0" w:hRule="atLeast"/>
                <w:jc w:val="center"/>
              </w:trPr>
              <w:tc>
                <w:tcPr>
                  <w:tcW w:w="1111" w:type="dxa"/>
                  <w:vMerge w:val="continue"/>
                  <w:vAlign w:val="center"/>
                </w:tcPr>
                <w:p w14:paraId="21BA93EA">
                  <w:pPr>
                    <w:spacing w:after="0" w:line="240" w:lineRule="auto"/>
                    <w:jc w:val="center"/>
                    <w:rPr>
                      <w:rFonts w:ascii="Times New Roman" w:hAnsi="Times New Roman"/>
                      <w:color w:val="auto"/>
                      <w:szCs w:val="21"/>
                      <w:highlight w:val="none"/>
                    </w:rPr>
                  </w:pPr>
                </w:p>
              </w:tc>
              <w:tc>
                <w:tcPr>
                  <w:tcW w:w="980" w:type="dxa"/>
                  <w:vMerge w:val="continue"/>
                  <w:vAlign w:val="center"/>
                </w:tcPr>
                <w:p w14:paraId="3022C97E">
                  <w:pPr>
                    <w:spacing w:after="0" w:line="240" w:lineRule="auto"/>
                    <w:jc w:val="center"/>
                    <w:rPr>
                      <w:rFonts w:ascii="Times New Roman" w:hAnsi="Times New Roman"/>
                      <w:color w:val="auto"/>
                      <w:szCs w:val="21"/>
                      <w:highlight w:val="none"/>
                      <w:lang w:val="zh-CN"/>
                    </w:rPr>
                  </w:pPr>
                </w:p>
              </w:tc>
              <w:tc>
                <w:tcPr>
                  <w:tcW w:w="830" w:type="dxa"/>
                  <w:vMerge w:val="continue"/>
                  <w:vAlign w:val="center"/>
                </w:tcPr>
                <w:p w14:paraId="43728289">
                  <w:pPr>
                    <w:spacing w:after="0" w:line="240" w:lineRule="auto"/>
                    <w:jc w:val="center"/>
                    <w:rPr>
                      <w:rFonts w:ascii="Times New Roman" w:hAnsi="Times New Roman"/>
                      <w:color w:val="auto"/>
                      <w:szCs w:val="21"/>
                      <w:highlight w:val="none"/>
                      <w:lang w:val="zh-CN"/>
                    </w:rPr>
                  </w:pPr>
                </w:p>
              </w:tc>
              <w:tc>
                <w:tcPr>
                  <w:tcW w:w="660" w:type="dxa"/>
                  <w:vAlign w:val="center"/>
                </w:tcPr>
                <w:p w14:paraId="642895AC">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资源开发效率要求</w:t>
                  </w:r>
                </w:p>
              </w:tc>
              <w:tc>
                <w:tcPr>
                  <w:tcW w:w="3900" w:type="dxa"/>
                  <w:vAlign w:val="center"/>
                </w:tcPr>
                <w:p w14:paraId="050F7DAF">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1、上年度PM</w:t>
                  </w:r>
                  <w:r>
                    <w:rPr>
                      <w:rFonts w:hint="eastAsia" w:ascii="Times New Roman" w:hAnsi="Times New Roman"/>
                      <w:color w:val="auto"/>
                      <w:szCs w:val="21"/>
                      <w:highlight w:val="none"/>
                      <w:vertAlign w:val="subscript"/>
                    </w:rPr>
                    <w:t>2.5</w:t>
                  </w:r>
                  <w:r>
                    <w:rPr>
                      <w:rFonts w:hint="eastAsia" w:ascii="Times New Roman" w:hAnsi="Times New Roman"/>
                      <w:color w:val="auto"/>
                      <w:szCs w:val="21"/>
                      <w:highlight w:val="none"/>
                    </w:rPr>
                    <w:t>不达标城市新建、改建和扩建项目大气污染物实施</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倍量替代</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执行特别排放标准的行业实施提标升级改造；2、资源利用部分落实《安徽省煤炭消费减量替代工作方案（2018-2020年）》要求；3、水环境部分依据《中华人民共和国生态环境法典》《水污染防治行动计划》《安徽省水污染防治工作方案》及各市水污染防治工作方案对一般管控区实施管控；4、土壤环境部分依据《</w:t>
                  </w:r>
                  <w:r>
                    <w:rPr>
                      <w:rFonts w:hint="eastAsia"/>
                      <w:color w:val="auto"/>
                      <w:sz w:val="21"/>
                      <w:szCs w:val="21"/>
                      <w:highlight w:val="none"/>
                    </w:rPr>
                    <w:t>中华人民共和国生态环境法典</w:t>
                  </w:r>
                  <w:r>
                    <w:rPr>
                      <w:rFonts w:hint="eastAsia" w:ascii="Times New Roman" w:hAnsi="Times New Roman"/>
                      <w:color w:val="auto"/>
                      <w:szCs w:val="21"/>
                      <w:highlight w:val="none"/>
                    </w:rPr>
                    <w:t>》《土壤污染防治行动计划》《安徽省土壤污染防治工作方案》等要求及各市土壤污染防治工作方案对一般管控区实施管控。</w:t>
                  </w:r>
                </w:p>
              </w:tc>
              <w:tc>
                <w:tcPr>
                  <w:tcW w:w="4124" w:type="dxa"/>
                  <w:vAlign w:val="center"/>
                </w:tcPr>
                <w:p w14:paraId="0B161A95">
                  <w:pPr>
                    <w:pStyle w:val="55"/>
                    <w:spacing w:after="0" w:line="240" w:lineRule="auto"/>
                    <w:ind w:firstLine="0" w:firstLineChars="0"/>
                    <w:jc w:val="center"/>
                    <w:rPr>
                      <w:color w:val="auto"/>
                      <w:sz w:val="21"/>
                      <w:szCs w:val="21"/>
                      <w:highlight w:val="none"/>
                    </w:rPr>
                  </w:pPr>
                  <w:r>
                    <w:rPr>
                      <w:rFonts w:hint="eastAsia"/>
                      <w:color w:val="auto"/>
                      <w:sz w:val="21"/>
                      <w:szCs w:val="21"/>
                      <w:highlight w:val="none"/>
                    </w:rPr>
                    <w:t>1、项目位于淮南市潘集区，所在评价区域为不达标区，本项目仅施工期废气，施工期影响主要为施工扬尘、机械尾气等。通过加强施工机械、车辆管理，进行物料覆盖，对施工道路进行固化、洒水处理等措施，施工期结束后环境污染立即消失对大气环境影响较小；2、本项目属于M7475地质勘查技术服务，不涉及煤炭资源使用；3、项目水环境严格按照《中华人民共和国生态环境法典》《水污染防治行动计划》《安徽省水污染防治工作方案》要求落实；4、项目土壤环境严格按照《中华人民共和国生态环境法典》《土壤污染防治行动计划》《安徽省土壤污染防治工作方案》等要求落实。</w:t>
                  </w:r>
                </w:p>
              </w:tc>
              <w:tc>
                <w:tcPr>
                  <w:tcW w:w="503" w:type="dxa"/>
                  <w:vAlign w:val="center"/>
                </w:tcPr>
                <w:p w14:paraId="78363931">
                  <w:pPr>
                    <w:pStyle w:val="55"/>
                    <w:spacing w:after="0" w:line="240" w:lineRule="auto"/>
                    <w:ind w:firstLine="0" w:firstLineChars="0"/>
                    <w:jc w:val="center"/>
                    <w:rPr>
                      <w:color w:val="auto"/>
                      <w:sz w:val="21"/>
                      <w:szCs w:val="21"/>
                      <w:highlight w:val="none"/>
                    </w:rPr>
                  </w:pPr>
                  <w:r>
                    <w:rPr>
                      <w:rFonts w:hint="eastAsia"/>
                      <w:color w:val="auto"/>
                      <w:sz w:val="21"/>
                      <w:szCs w:val="21"/>
                      <w:highlight w:val="none"/>
                    </w:rPr>
                    <w:t>符合</w:t>
                  </w:r>
                </w:p>
              </w:tc>
            </w:tr>
          </w:tbl>
          <w:p w14:paraId="23AD7B2E">
            <w:pPr>
              <w:spacing w:line="360" w:lineRule="auto"/>
              <w:ind w:firstLine="420" w:firstLineChars="200"/>
              <w:rPr>
                <w:color w:val="auto"/>
                <w:highlight w:val="none"/>
              </w:rPr>
            </w:pPr>
          </w:p>
        </w:tc>
      </w:tr>
    </w:tbl>
    <w:p w14:paraId="45C6527C">
      <w:pPr>
        <w:autoSpaceDE w:val="0"/>
        <w:autoSpaceDN w:val="0"/>
        <w:adjustRightInd w:val="0"/>
        <w:snapToGrid w:val="0"/>
        <w:jc w:val="center"/>
        <w:rPr>
          <w:rFonts w:ascii="Times New Roman" w:hAnsi="Times New Roman"/>
          <w:color w:val="auto"/>
          <w:kern w:val="0"/>
          <w:sz w:val="24"/>
          <w:highlight w:val="none"/>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2"/>
        <w:tblW w:w="887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70"/>
        <w:gridCol w:w="8206"/>
      </w:tblGrid>
      <w:tr w14:paraId="28F354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670" w:type="dxa"/>
            <w:tcMar>
              <w:top w:w="16" w:type="dxa"/>
              <w:left w:w="16" w:type="dxa"/>
              <w:right w:w="16" w:type="dxa"/>
            </w:tcMar>
            <w:vAlign w:val="center"/>
          </w:tcPr>
          <w:p w14:paraId="4E14C3C5">
            <w:pPr>
              <w:autoSpaceDE w:val="0"/>
              <w:autoSpaceDN w:val="0"/>
              <w:adjustRightInd w:val="0"/>
              <w:snapToGrid w:val="0"/>
              <w:jc w:val="center"/>
              <w:rPr>
                <w:rFonts w:ascii="Times New Roman" w:hAnsi="Times New Roman"/>
                <w:color w:val="auto"/>
                <w:kern w:val="0"/>
                <w:sz w:val="24"/>
                <w:highlight w:val="none"/>
              </w:rPr>
            </w:pPr>
          </w:p>
        </w:tc>
        <w:tc>
          <w:tcPr>
            <w:tcW w:w="8206" w:type="dxa"/>
            <w:tcMar>
              <w:top w:w="16" w:type="dxa"/>
              <w:left w:w="16" w:type="dxa"/>
              <w:right w:w="16" w:type="dxa"/>
            </w:tcMar>
            <w:vAlign w:val="center"/>
          </w:tcPr>
          <w:p w14:paraId="3DC07639">
            <w:pPr>
              <w:pStyle w:val="9"/>
              <w:snapToGrid/>
              <w:spacing w:before="0" w:after="0" w:line="360" w:lineRule="auto"/>
              <w:ind w:right="0"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对照《市场准入负面清单（202</w:t>
            </w:r>
            <w:r>
              <w:rPr>
                <w:rFonts w:hint="eastAsia" w:ascii="Times New Roman" w:hAnsi="Times New Roman"/>
                <w:color w:val="auto"/>
                <w:sz w:val="24"/>
                <w:szCs w:val="24"/>
                <w:highlight w:val="none"/>
              </w:rPr>
              <w:t>5</w:t>
            </w:r>
            <w:r>
              <w:rPr>
                <w:rFonts w:ascii="Times New Roman" w:hAnsi="Times New Roman"/>
                <w:color w:val="auto"/>
                <w:sz w:val="24"/>
                <w:szCs w:val="24"/>
                <w:highlight w:val="none"/>
              </w:rPr>
              <w:t>年版）》（发改体改规〔2025〕466号）相关文件的相符性进行分析，经对照分析，本项目不属于负面清单中所禁止或限制类的项目，符合相关准入要求。</w:t>
            </w:r>
          </w:p>
          <w:p w14:paraId="6FEF1F4F">
            <w:pPr>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表1-</w:t>
            </w:r>
            <w:r>
              <w:rPr>
                <w:rFonts w:hint="eastAsia" w:ascii="Times New Roman" w:hAnsi="Times New Roman"/>
                <w:b/>
                <w:color w:val="auto"/>
                <w:szCs w:val="21"/>
                <w:highlight w:val="none"/>
              </w:rPr>
              <w:t xml:space="preserve">4 </w:t>
            </w:r>
            <w:r>
              <w:rPr>
                <w:rFonts w:ascii="Times New Roman" w:hAnsi="Times New Roman"/>
                <w:b/>
                <w:color w:val="auto"/>
                <w:szCs w:val="21"/>
                <w:highlight w:val="none"/>
              </w:rPr>
              <w:t xml:space="preserve"> 环境准入负面清单分析对照表</w:t>
            </w:r>
          </w:p>
          <w:tbl>
            <w:tblPr>
              <w:tblStyle w:val="22"/>
              <w:tblW w:w="495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8"/>
              <w:gridCol w:w="4275"/>
              <w:gridCol w:w="3023"/>
            </w:tblGrid>
            <w:tr w14:paraId="6EB80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84" w:type="dxa"/>
                  <w:vAlign w:val="center"/>
                </w:tcPr>
                <w:p w14:paraId="5BB9C546">
                  <w:pPr>
                    <w:pStyle w:val="37"/>
                    <w:spacing w:before="0" w:after="0" w:line="240" w:lineRule="auto"/>
                    <w:rPr>
                      <w:rFonts w:cs="Times New Roman"/>
                      <w:b/>
                      <w:bCs/>
                      <w:color w:val="auto"/>
                      <w:sz w:val="21"/>
                      <w:highlight w:val="none"/>
                    </w:rPr>
                  </w:pPr>
                  <w:r>
                    <w:rPr>
                      <w:rFonts w:cs="Times New Roman"/>
                      <w:b/>
                      <w:bCs/>
                      <w:color w:val="auto"/>
                      <w:sz w:val="21"/>
                      <w:highlight w:val="none"/>
                    </w:rPr>
                    <w:t>序号</w:t>
                  </w:r>
                </w:p>
              </w:tc>
              <w:tc>
                <w:tcPr>
                  <w:tcW w:w="4320" w:type="dxa"/>
                  <w:vAlign w:val="center"/>
                </w:tcPr>
                <w:p w14:paraId="47843DE1">
                  <w:pPr>
                    <w:pStyle w:val="37"/>
                    <w:spacing w:before="0" w:after="0" w:line="240" w:lineRule="auto"/>
                    <w:rPr>
                      <w:rFonts w:cs="Times New Roman"/>
                      <w:b/>
                      <w:bCs/>
                      <w:color w:val="auto"/>
                      <w:sz w:val="21"/>
                      <w:highlight w:val="none"/>
                    </w:rPr>
                  </w:pPr>
                  <w:r>
                    <w:rPr>
                      <w:rFonts w:cs="Times New Roman"/>
                      <w:b/>
                      <w:bCs/>
                      <w:color w:val="auto"/>
                      <w:sz w:val="21"/>
                      <w:highlight w:val="none"/>
                    </w:rPr>
                    <w:t>文件</w:t>
                  </w:r>
                </w:p>
              </w:tc>
              <w:tc>
                <w:tcPr>
                  <w:tcW w:w="3054" w:type="dxa"/>
                  <w:vAlign w:val="center"/>
                </w:tcPr>
                <w:p w14:paraId="34AEEF83">
                  <w:pPr>
                    <w:pStyle w:val="37"/>
                    <w:spacing w:before="0" w:after="0" w:line="240" w:lineRule="auto"/>
                    <w:rPr>
                      <w:rFonts w:cs="Times New Roman"/>
                      <w:b/>
                      <w:bCs/>
                      <w:color w:val="auto"/>
                      <w:sz w:val="21"/>
                      <w:highlight w:val="none"/>
                    </w:rPr>
                  </w:pPr>
                  <w:r>
                    <w:rPr>
                      <w:rFonts w:cs="Times New Roman"/>
                      <w:b/>
                      <w:bCs/>
                      <w:color w:val="auto"/>
                      <w:sz w:val="21"/>
                      <w:highlight w:val="none"/>
                    </w:rPr>
                    <w:t>相符性分析</w:t>
                  </w:r>
                </w:p>
              </w:tc>
            </w:tr>
            <w:tr w14:paraId="3EB4A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84" w:type="dxa"/>
                  <w:vAlign w:val="center"/>
                </w:tcPr>
                <w:p w14:paraId="3AAA33BE">
                  <w:pPr>
                    <w:pStyle w:val="37"/>
                    <w:spacing w:before="0" w:after="0" w:line="240" w:lineRule="auto"/>
                    <w:rPr>
                      <w:rFonts w:cs="Times New Roman"/>
                      <w:color w:val="auto"/>
                      <w:sz w:val="21"/>
                      <w:highlight w:val="none"/>
                    </w:rPr>
                  </w:pPr>
                  <w:r>
                    <w:rPr>
                      <w:rFonts w:cs="Times New Roman"/>
                      <w:color w:val="auto"/>
                      <w:sz w:val="21"/>
                      <w:highlight w:val="none"/>
                    </w:rPr>
                    <w:t>1</w:t>
                  </w:r>
                </w:p>
              </w:tc>
              <w:tc>
                <w:tcPr>
                  <w:tcW w:w="4320" w:type="dxa"/>
                  <w:vAlign w:val="center"/>
                </w:tcPr>
                <w:p w14:paraId="6BF38B88">
                  <w:pPr>
                    <w:pStyle w:val="37"/>
                    <w:spacing w:before="0" w:after="0" w:line="240" w:lineRule="auto"/>
                    <w:rPr>
                      <w:rFonts w:cs="Times New Roman"/>
                      <w:color w:val="auto"/>
                      <w:sz w:val="21"/>
                      <w:highlight w:val="none"/>
                    </w:rPr>
                  </w:pPr>
                  <w:r>
                    <w:rPr>
                      <w:rFonts w:cs="Times New Roman"/>
                      <w:color w:val="auto"/>
                      <w:sz w:val="21"/>
                      <w:highlight w:val="none"/>
                    </w:rPr>
                    <w:t>《市场准入负面清单》（202</w:t>
                  </w:r>
                  <w:r>
                    <w:rPr>
                      <w:rFonts w:hint="eastAsia" w:cs="Times New Roman"/>
                      <w:color w:val="auto"/>
                      <w:sz w:val="21"/>
                      <w:highlight w:val="none"/>
                    </w:rPr>
                    <w:t>5</w:t>
                  </w:r>
                  <w:r>
                    <w:rPr>
                      <w:rFonts w:cs="Times New Roman"/>
                      <w:color w:val="auto"/>
                      <w:sz w:val="21"/>
                      <w:highlight w:val="none"/>
                    </w:rPr>
                    <w:t>年版）</w:t>
                  </w:r>
                </w:p>
              </w:tc>
              <w:tc>
                <w:tcPr>
                  <w:tcW w:w="3054" w:type="dxa"/>
                  <w:vAlign w:val="center"/>
                </w:tcPr>
                <w:p w14:paraId="22A51A50">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不属于禁止准入类项目</w:t>
                  </w:r>
                </w:p>
              </w:tc>
            </w:tr>
            <w:tr w14:paraId="69CDD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84" w:type="dxa"/>
                  <w:vAlign w:val="center"/>
                </w:tcPr>
                <w:p w14:paraId="26D1B152">
                  <w:pPr>
                    <w:pStyle w:val="37"/>
                    <w:spacing w:before="0" w:after="0" w:line="240" w:lineRule="auto"/>
                    <w:rPr>
                      <w:rFonts w:cs="Times New Roman"/>
                      <w:color w:val="auto"/>
                      <w:sz w:val="21"/>
                      <w:highlight w:val="none"/>
                    </w:rPr>
                  </w:pPr>
                  <w:r>
                    <w:rPr>
                      <w:rFonts w:cs="Times New Roman"/>
                      <w:color w:val="auto"/>
                      <w:sz w:val="21"/>
                      <w:highlight w:val="none"/>
                    </w:rPr>
                    <w:t>2</w:t>
                  </w:r>
                </w:p>
              </w:tc>
              <w:tc>
                <w:tcPr>
                  <w:tcW w:w="4320" w:type="dxa"/>
                  <w:vAlign w:val="center"/>
                </w:tcPr>
                <w:p w14:paraId="2C3AC49C">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《产业结构调整指导目录（2024年本）》</w:t>
                  </w:r>
                </w:p>
              </w:tc>
              <w:tc>
                <w:tcPr>
                  <w:tcW w:w="3054" w:type="dxa"/>
                  <w:vAlign w:val="center"/>
                </w:tcPr>
                <w:p w14:paraId="1AD08105">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不属于限制类和淘汰类项目</w:t>
                  </w:r>
                </w:p>
              </w:tc>
            </w:tr>
            <w:tr w14:paraId="0F540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84" w:type="dxa"/>
                  <w:vAlign w:val="center"/>
                </w:tcPr>
                <w:p w14:paraId="078E8B02">
                  <w:pPr>
                    <w:pStyle w:val="37"/>
                    <w:spacing w:before="0" w:after="0" w:line="240" w:lineRule="auto"/>
                    <w:rPr>
                      <w:rFonts w:cs="Times New Roman"/>
                      <w:color w:val="auto"/>
                      <w:sz w:val="21"/>
                      <w:highlight w:val="none"/>
                    </w:rPr>
                  </w:pPr>
                  <w:r>
                    <w:rPr>
                      <w:rFonts w:cs="Times New Roman"/>
                      <w:color w:val="auto"/>
                      <w:sz w:val="21"/>
                      <w:highlight w:val="none"/>
                    </w:rPr>
                    <w:t>3</w:t>
                  </w:r>
                </w:p>
              </w:tc>
              <w:tc>
                <w:tcPr>
                  <w:tcW w:w="4320" w:type="dxa"/>
                  <w:vAlign w:val="center"/>
                </w:tcPr>
                <w:p w14:paraId="3E4679CE">
                  <w:pPr>
                    <w:widowControl/>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《自然资源要素支撑产业高质量发展指导目录（2024年本）》</w:t>
                  </w:r>
                </w:p>
              </w:tc>
              <w:tc>
                <w:tcPr>
                  <w:tcW w:w="3054" w:type="dxa"/>
                  <w:vAlign w:val="center"/>
                </w:tcPr>
                <w:p w14:paraId="6D2A3385">
                  <w:pPr>
                    <w:widowControl/>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不属于限制和禁止用地</w:t>
                  </w:r>
                </w:p>
              </w:tc>
            </w:tr>
          </w:tbl>
          <w:p w14:paraId="0004DB2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color w:val="auto"/>
                <w:sz w:val="24"/>
                <w:highlight w:val="none"/>
              </w:rPr>
            </w:pPr>
            <w:r>
              <w:rPr>
                <w:rFonts w:ascii="Times New Roman" w:hAnsi="Times New Roman"/>
                <w:color w:val="auto"/>
                <w:sz w:val="24"/>
                <w:highlight w:val="none"/>
              </w:rPr>
              <w:t>综上，本项目符合《关于以改善环境质量为核心加强环境影响评价管理的通知》（环环评〔20</w:t>
            </w:r>
            <w:r>
              <w:rPr>
                <w:rFonts w:hint="eastAsia" w:ascii="Times New Roman" w:hAnsi="Times New Roman"/>
                <w:color w:val="auto"/>
                <w:sz w:val="24"/>
                <w:highlight w:val="none"/>
              </w:rPr>
              <w:t>16</w:t>
            </w:r>
            <w:r>
              <w:rPr>
                <w:rFonts w:ascii="Times New Roman" w:hAnsi="Times New Roman"/>
                <w:color w:val="auto"/>
                <w:sz w:val="24"/>
                <w:highlight w:val="none"/>
              </w:rPr>
              <w:t>〕150号）中</w:t>
            </w:r>
            <w:r>
              <w:rPr>
                <w:rFonts w:hint="eastAsia" w:ascii="Times New Roman" w:hAnsi="Times New Roman"/>
                <w:color w:val="auto"/>
                <w:sz w:val="24"/>
                <w:highlight w:val="none"/>
                <w:lang w:eastAsia="zh-CN"/>
              </w:rPr>
              <w:t>“</w:t>
            </w:r>
            <w:r>
              <w:rPr>
                <w:rFonts w:ascii="Times New Roman" w:hAnsi="Times New Roman"/>
                <w:color w:val="auto"/>
                <w:sz w:val="24"/>
                <w:highlight w:val="none"/>
              </w:rPr>
              <w:t>三线一单</w:t>
            </w:r>
            <w:r>
              <w:rPr>
                <w:rFonts w:hint="eastAsia" w:ascii="Times New Roman" w:hAnsi="Times New Roman"/>
                <w:color w:val="auto"/>
                <w:sz w:val="24"/>
                <w:highlight w:val="none"/>
                <w:lang w:eastAsia="zh-CN"/>
              </w:rPr>
              <w:t>”</w:t>
            </w:r>
            <w:r>
              <w:rPr>
                <w:rFonts w:ascii="Times New Roman" w:hAnsi="Times New Roman"/>
                <w:color w:val="auto"/>
                <w:sz w:val="24"/>
                <w:highlight w:val="none"/>
              </w:rPr>
              <w:t>相关要求。</w:t>
            </w:r>
          </w:p>
          <w:p w14:paraId="502FE741">
            <w:pPr>
              <w:spacing w:after="0"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4</w:t>
            </w:r>
            <w:r>
              <w:rPr>
                <w:rFonts w:ascii="Times New Roman" w:hAnsi="Times New Roman"/>
                <w:b/>
                <w:bCs/>
                <w:color w:val="auto"/>
                <w:sz w:val="24"/>
                <w:highlight w:val="none"/>
              </w:rPr>
              <w:t>、与《安徽省淮河流域水污染防治条例》符合性分析</w:t>
            </w:r>
          </w:p>
          <w:p w14:paraId="45FDEA7D">
            <w:pPr>
              <w:pStyle w:val="20"/>
              <w:spacing w:before="0" w:beforeAutospacing="0" w:after="0" w:afterAutospacing="0" w:line="360" w:lineRule="auto"/>
              <w:ind w:firstLine="480" w:firstLineChars="200"/>
              <w:jc w:val="both"/>
              <w:rPr>
                <w:rFonts w:ascii="Times New Roman" w:hAnsi="Times New Roman"/>
                <w:color w:val="auto"/>
                <w:szCs w:val="24"/>
                <w:highlight w:val="none"/>
              </w:rPr>
            </w:pPr>
            <w:r>
              <w:rPr>
                <w:rFonts w:ascii="Times New Roman" w:hAnsi="Times New Roman"/>
                <w:color w:val="auto"/>
                <w:szCs w:val="24"/>
                <w:highlight w:val="none"/>
              </w:rPr>
              <w:t>根据《</w:t>
            </w:r>
            <w:r>
              <w:rPr>
                <w:rFonts w:ascii="Times New Roman" w:hAnsi="Times New Roman"/>
                <w:bCs/>
                <w:color w:val="auto"/>
                <w:szCs w:val="24"/>
                <w:highlight w:val="none"/>
              </w:rPr>
              <w:t>安徽省淮河流域水污染防治条例</w:t>
            </w:r>
            <w:r>
              <w:rPr>
                <w:rFonts w:ascii="Times New Roman" w:hAnsi="Times New Roman"/>
                <w:color w:val="auto"/>
                <w:szCs w:val="24"/>
                <w:highlight w:val="none"/>
              </w:rPr>
              <w:t>》中相关内容，禁止在淮河流域新建化学制浆造纸企业。禁止在淮河流域新建制革、化工、印染、电镀、酿造等污染严重的小型企业。严格限制在淮河流域新建前款所列大中型项目或者其他污染严重的项目；建设该类项目的，必须事先征得有关省人民政府环境保护行政主管部门的同意，并报国务院环境保护行政主管部门备案。禁止和严格限制的产业、产品名录，由国务院环境保护行政主管部门商国务院有关行业主管部门拟订，经领导小组审核同意，报国务院批准后公布施行。</w:t>
            </w:r>
          </w:p>
          <w:p w14:paraId="630AC6A9">
            <w:pPr>
              <w:pStyle w:val="31"/>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综上分析，项目建设地点位于安徽省淮南市潘集区贺疃镇境内，本项目</w:t>
            </w:r>
            <w:r>
              <w:rPr>
                <w:rFonts w:hint="eastAsia" w:ascii="Times New Roman" w:hAnsi="Times New Roman"/>
                <w:color w:val="auto"/>
                <w:highlight w:val="none"/>
              </w:rPr>
              <w:t>主要是为后续瓦斯抽放巷盾构机安全、高效推进</w:t>
            </w:r>
            <w:r>
              <w:rPr>
                <w:rFonts w:ascii="Times New Roman" w:hAnsi="Times New Roman"/>
                <w:color w:val="auto"/>
                <w:highlight w:val="none"/>
              </w:rPr>
              <w:t>，属于矿井掘进前的关键地质探查工程项目，临时用地面积为</w:t>
            </w:r>
            <w:r>
              <w:rPr>
                <w:rFonts w:hint="eastAsia" w:ascii="Times New Roman" w:hAnsi="Times New Roman"/>
                <w:color w:val="auto"/>
                <w:highlight w:val="none"/>
                <w:lang w:eastAsia="zh-CN"/>
              </w:rPr>
              <w:t>31378</w:t>
            </w:r>
            <w:r>
              <w:rPr>
                <w:rFonts w:ascii="Times New Roman" w:hAnsi="Times New Roman"/>
                <w:color w:val="auto"/>
                <w:highlight w:val="none"/>
              </w:rPr>
              <w:t>m</w:t>
            </w:r>
            <w:r>
              <w:rPr>
                <w:rFonts w:ascii="Times New Roman" w:hAnsi="Times New Roman"/>
                <w:color w:val="auto"/>
                <w:highlight w:val="none"/>
                <w:vertAlign w:val="superscript"/>
              </w:rPr>
              <w:t>2</w:t>
            </w:r>
            <w:r>
              <w:rPr>
                <w:rFonts w:ascii="Times New Roman" w:hAnsi="Times New Roman"/>
                <w:color w:val="auto"/>
                <w:highlight w:val="none"/>
              </w:rPr>
              <w:t>，用地时间预计为</w:t>
            </w:r>
            <w:r>
              <w:rPr>
                <w:rFonts w:hint="eastAsia" w:ascii="Times New Roman" w:hAnsi="Times New Roman"/>
                <w:color w:val="auto"/>
                <w:highlight w:val="none"/>
                <w:lang w:val="en-US" w:eastAsia="zh-CN"/>
              </w:rPr>
              <w:t>9</w:t>
            </w:r>
            <w:r>
              <w:rPr>
                <w:rFonts w:hint="eastAsia" w:ascii="Times New Roman" w:hAnsi="Times New Roman"/>
                <w:color w:val="auto"/>
                <w:highlight w:val="none"/>
              </w:rPr>
              <w:t>月</w:t>
            </w:r>
            <w:r>
              <w:rPr>
                <w:rFonts w:ascii="Times New Roman" w:hAnsi="Times New Roman"/>
                <w:color w:val="auto"/>
                <w:highlight w:val="none"/>
              </w:rPr>
              <w:t>。中安联合煤化有限责任公司办理了项目临时用地相关手续。项目租用安徽省淮南市潘集区贺疃镇境内的土地作为本项目的临时建设用地</w:t>
            </w:r>
            <w:r>
              <w:rPr>
                <w:rFonts w:hint="eastAsia" w:ascii="Times New Roman" w:hAnsi="Times New Roman"/>
                <w:color w:val="auto"/>
                <w:highlight w:val="none"/>
              </w:rPr>
              <w:t>，</w:t>
            </w:r>
            <w:r>
              <w:rPr>
                <w:rFonts w:hint="eastAsia" w:ascii="Times New Roman" w:hAnsi="Times New Roman"/>
                <w:color w:val="auto"/>
                <w:highlight w:val="none"/>
                <w:lang w:eastAsia="zh-CN"/>
              </w:rPr>
              <w:t>2026年10月13日</w:t>
            </w:r>
            <w:r>
              <w:rPr>
                <w:rFonts w:ascii="Times New Roman" w:hAnsi="Times New Roman"/>
                <w:color w:val="auto"/>
                <w:highlight w:val="none"/>
              </w:rPr>
              <w:t>，淮南市自然资源和规划局潘集分局出具了本项目临时用地初审意见。项目距离淮河岸线</w:t>
            </w:r>
            <w:r>
              <w:rPr>
                <w:rFonts w:hint="eastAsia" w:ascii="Times New Roman" w:hAnsi="Times New Roman"/>
                <w:color w:val="auto"/>
                <w:highlight w:val="none"/>
                <w:lang w:val="en-US" w:eastAsia="zh-CN"/>
              </w:rPr>
              <w:t>2.846</w:t>
            </w:r>
            <w:r>
              <w:rPr>
                <w:rFonts w:ascii="Times New Roman" w:hAnsi="Times New Roman"/>
                <w:color w:val="auto"/>
                <w:highlight w:val="none"/>
              </w:rPr>
              <w:t>km，不在淮河岸线1公里范围内。项目属于中华人民共和国国家发展和改革委员会颁布的《产业结构调整指导目录》</w:t>
            </w:r>
            <w:r>
              <w:rPr>
                <w:rFonts w:hint="eastAsia" w:ascii="Times New Roman" w:hAnsi="Times New Roman"/>
                <w:color w:val="auto"/>
                <w:highlight w:val="none"/>
              </w:rPr>
              <w:t>（</w:t>
            </w:r>
            <w:r>
              <w:rPr>
                <w:rFonts w:ascii="Times New Roman" w:hAnsi="Times New Roman"/>
                <w:color w:val="auto"/>
                <w:highlight w:val="none"/>
              </w:rPr>
              <w:t>20</w:t>
            </w:r>
            <w:r>
              <w:rPr>
                <w:rFonts w:hint="eastAsia" w:ascii="Times New Roman" w:hAnsi="Times New Roman"/>
                <w:color w:val="auto"/>
                <w:highlight w:val="none"/>
              </w:rPr>
              <w:t>24</w:t>
            </w:r>
            <w:r>
              <w:rPr>
                <w:rFonts w:ascii="Times New Roman" w:hAnsi="Times New Roman"/>
                <w:color w:val="auto"/>
                <w:highlight w:val="none"/>
              </w:rPr>
              <w:t>年本</w:t>
            </w:r>
            <w:r>
              <w:rPr>
                <w:rFonts w:hint="eastAsia" w:ascii="Times New Roman" w:hAnsi="Times New Roman"/>
                <w:color w:val="auto"/>
                <w:highlight w:val="none"/>
              </w:rPr>
              <w:t>）</w:t>
            </w:r>
            <w:r>
              <w:rPr>
                <w:rFonts w:ascii="Times New Roman" w:hAnsi="Times New Roman"/>
                <w:color w:val="auto"/>
                <w:highlight w:val="none"/>
              </w:rPr>
              <w:t>中</w:t>
            </w:r>
            <w:r>
              <w:rPr>
                <w:rFonts w:hint="eastAsia"/>
                <w:color w:val="auto"/>
                <w:lang w:val="en-US" w:eastAsia="zh-CN"/>
              </w:rPr>
              <w:t>鼓励类</w:t>
            </w:r>
            <w:r>
              <w:rPr>
                <w:rFonts w:ascii="Times New Roman" w:hAnsi="Times New Roman"/>
                <w:color w:val="auto"/>
                <w:highlight w:val="none"/>
              </w:rPr>
              <w:t>；不属于环境保护部发布《环境保护综合目录（20</w:t>
            </w:r>
            <w:r>
              <w:rPr>
                <w:rFonts w:hint="eastAsia" w:ascii="Times New Roman" w:hAnsi="Times New Roman"/>
                <w:color w:val="auto"/>
                <w:highlight w:val="none"/>
              </w:rPr>
              <w:t>21</w:t>
            </w:r>
            <w:r>
              <w:rPr>
                <w:rFonts w:ascii="Times New Roman" w:hAnsi="Times New Roman"/>
                <w:color w:val="auto"/>
                <w:highlight w:val="none"/>
              </w:rPr>
              <w:t>年版）》中高污染、高环境风险产品。</w:t>
            </w:r>
            <w:r>
              <w:rPr>
                <w:rFonts w:ascii="宋体" w:hAnsi="宋体" w:eastAsia="宋体" w:cs="宋体"/>
                <w:color w:val="auto"/>
                <w:sz w:val="24"/>
                <w:szCs w:val="24"/>
              </w:rPr>
              <w:t>项目符合</w:t>
            </w:r>
            <w:r>
              <w:rPr>
                <w:rStyle w:val="25"/>
                <w:rFonts w:ascii="宋体" w:hAnsi="宋体" w:eastAsia="宋体" w:cs="宋体"/>
                <w:b w:val="0"/>
                <w:bCs/>
                <w:color w:val="auto"/>
                <w:sz w:val="24"/>
                <w:szCs w:val="24"/>
              </w:rPr>
              <w:t>《中华人民共和国生态环境法典》</w:t>
            </w:r>
            <w:r>
              <w:rPr>
                <w:rFonts w:ascii="宋体" w:hAnsi="宋体" w:eastAsia="宋体" w:cs="宋体"/>
                <w:color w:val="auto"/>
                <w:sz w:val="24"/>
                <w:szCs w:val="24"/>
              </w:rPr>
              <w:t>及《安徽省淮河流域水污染防治条例》中的相关要求</w:t>
            </w:r>
            <w:r>
              <w:rPr>
                <w:rFonts w:ascii="Times New Roman" w:hAnsi="Times New Roman"/>
                <w:color w:val="auto"/>
                <w:highlight w:val="none"/>
              </w:rPr>
              <w:t>。</w:t>
            </w:r>
          </w:p>
          <w:p w14:paraId="080B6A0F">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5</w:t>
            </w:r>
            <w:r>
              <w:rPr>
                <w:rFonts w:ascii="Times New Roman" w:hAnsi="Times New Roman"/>
                <w:b/>
                <w:bCs/>
                <w:color w:val="auto"/>
                <w:highlight w:val="none"/>
              </w:rPr>
              <w:t>、与《基本农田保护条例》符合性分析</w:t>
            </w:r>
          </w:p>
          <w:p w14:paraId="7DB1CC1A">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基本农田保护条例》（国务院第257号）中第十五条提到，基本农田保护区经依法划定后，任何单位和个人不得改变或者占用。国家能源、交通、水利、军事设施等重点建设项目选址确实无法避开基本农田，需要占用基本农田，涉及用地转用或者征收土地的，必须经国务院批准。</w:t>
            </w:r>
            <w:r>
              <w:rPr>
                <w:rFonts w:hint="eastAsia" w:ascii="Times New Roman" w:hAnsi="Times New Roman"/>
                <w:color w:val="auto"/>
                <w:highlight w:val="none"/>
              </w:rPr>
              <w:t>其中第十六条规定：经国务院批准占用基本农田的，当地人民政府应当按照国务院的批准文件修改土地利用总体规划，并补充划入数量和质量相当的基本农田。占用单位应当按照占多少、垦多少的原则，负责开垦与所占基本农田的数量与质量相当的耕地;没有条件开垦或者开垦的耕地不符合要求的，应当按照省、自治区、直辖市的规定缴纳耕地开垦费，专款用于开垦新的耕地。</w:t>
            </w:r>
            <w:r>
              <w:rPr>
                <w:rFonts w:ascii="Times New Roman" w:hAnsi="Times New Roman"/>
                <w:color w:val="auto"/>
                <w:highlight w:val="none"/>
              </w:rPr>
              <w:t>占用基本农田的单位应当按照县级以上地方人民政府的要求，将所占用基本农田耕作层的土壤用于新开垦耕地劣质地或者其他耕地的土壤改良。</w:t>
            </w:r>
          </w:p>
          <w:p w14:paraId="1F1406B0">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FF0000"/>
                <w:highlight w:val="none"/>
              </w:rPr>
              <w:t>本项目临时用地面积为</w:t>
            </w:r>
            <w:r>
              <w:rPr>
                <w:rFonts w:hint="eastAsia" w:ascii="Times New Roman" w:hAnsi="Times New Roman"/>
                <w:color w:val="FF0000"/>
                <w:highlight w:val="none"/>
                <w:lang w:eastAsia="zh-CN"/>
              </w:rPr>
              <w:t>31378</w:t>
            </w:r>
            <w:r>
              <w:rPr>
                <w:rFonts w:hint="eastAsia" w:ascii="Times New Roman" w:hAnsi="Times New Roman"/>
                <w:color w:val="FF0000"/>
                <w:highlight w:val="none"/>
              </w:rPr>
              <w:t>m</w:t>
            </w:r>
            <w:r>
              <w:rPr>
                <w:rFonts w:hint="eastAsia" w:ascii="Times New Roman" w:hAnsi="Times New Roman"/>
                <w:color w:val="FF0000"/>
                <w:highlight w:val="none"/>
                <w:vertAlign w:val="superscript"/>
              </w:rPr>
              <w:t>2</w:t>
            </w:r>
            <w:r>
              <w:rPr>
                <w:rFonts w:hint="eastAsia" w:ascii="Times New Roman" w:hAnsi="Times New Roman"/>
                <w:color w:val="FF0000"/>
                <w:highlight w:val="none"/>
              </w:rPr>
              <w:t>，其中农用地31345m</w:t>
            </w:r>
            <w:r>
              <w:rPr>
                <w:rFonts w:hint="eastAsia" w:ascii="Times New Roman" w:hAnsi="Times New Roman"/>
                <w:color w:val="FF0000"/>
                <w:highlight w:val="none"/>
                <w:vertAlign w:val="superscript"/>
              </w:rPr>
              <w:t>2</w:t>
            </w:r>
            <w:r>
              <w:rPr>
                <w:rFonts w:hint="eastAsia" w:ascii="Times New Roman" w:hAnsi="Times New Roman"/>
                <w:color w:val="FF0000"/>
                <w:highlight w:val="none"/>
              </w:rPr>
              <w:t>（耕地30267m</w:t>
            </w:r>
            <w:r>
              <w:rPr>
                <w:rFonts w:hint="eastAsia" w:ascii="Times New Roman" w:hAnsi="Times New Roman"/>
                <w:color w:val="FF0000"/>
                <w:highlight w:val="none"/>
                <w:vertAlign w:val="superscript"/>
              </w:rPr>
              <w:t>2</w:t>
            </w:r>
            <w:r>
              <w:rPr>
                <w:rFonts w:hint="eastAsia" w:ascii="Times New Roman" w:hAnsi="Times New Roman"/>
                <w:color w:val="FF0000"/>
                <w:highlight w:val="none"/>
              </w:rPr>
              <w:t>，占用永久基本农田30178m</w:t>
            </w:r>
            <w:r>
              <w:rPr>
                <w:rFonts w:hint="eastAsia" w:ascii="Times New Roman" w:hAnsi="Times New Roman"/>
                <w:color w:val="FF0000"/>
                <w:highlight w:val="none"/>
                <w:vertAlign w:val="superscript"/>
              </w:rPr>
              <w:t>2</w:t>
            </w:r>
            <w:r>
              <w:rPr>
                <w:rFonts w:hint="eastAsia" w:ascii="Times New Roman" w:hAnsi="Times New Roman"/>
                <w:color w:val="FF0000"/>
                <w:highlight w:val="none"/>
              </w:rPr>
              <w:t>)，建设用地33m</w:t>
            </w:r>
            <w:r>
              <w:rPr>
                <w:rFonts w:hint="eastAsia" w:ascii="Times New Roman" w:hAnsi="Times New Roman"/>
                <w:color w:val="FF0000"/>
                <w:highlight w:val="none"/>
                <w:vertAlign w:val="superscript"/>
              </w:rPr>
              <w:t>2</w:t>
            </w:r>
            <w:r>
              <w:rPr>
                <w:rFonts w:hint="eastAsia" w:ascii="Times New Roman" w:hAnsi="Times New Roman"/>
                <w:color w:val="FF0000"/>
                <w:highlight w:val="none"/>
              </w:rPr>
              <w:t>，</w:t>
            </w:r>
            <w:r>
              <w:rPr>
                <w:rFonts w:hint="eastAsia" w:ascii="Times New Roman" w:hAnsi="Times New Roman"/>
                <w:color w:val="auto"/>
                <w:highlight w:val="none"/>
              </w:rPr>
              <w:t>占地不涉及生态保护红线。本项目为煤矿开采过程中一项辅助性工程，根据井田布局及开采需要，项目施工无法避让基本农田。建设单位已按照相关要求取得淮南市自然资源和规划局潘集分局出具的本项目临时用地初审意见，用地时长预计约</w:t>
            </w:r>
            <w:r>
              <w:rPr>
                <w:rFonts w:hint="eastAsia" w:ascii="Times New Roman" w:hAnsi="Times New Roman"/>
                <w:color w:val="auto"/>
                <w:highlight w:val="none"/>
                <w:lang w:val="en-US" w:eastAsia="zh-CN"/>
              </w:rPr>
              <w:t>9</w:t>
            </w:r>
            <w:r>
              <w:rPr>
                <w:rFonts w:hint="eastAsia" w:ascii="Times New Roman" w:hAnsi="Times New Roman"/>
                <w:color w:val="auto"/>
                <w:highlight w:val="none"/>
              </w:rPr>
              <w:t>个月。</w:t>
            </w:r>
          </w:p>
          <w:p w14:paraId="3EF55F83">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auto"/>
                <w:highlight w:val="none"/>
              </w:rPr>
              <w:t>临时用地使用前，建设单位剥离表土用于复垦覆土。因占用土地以耕地为主、复垦方向亦为耕地，为保障复垦质量，剥离表土经机械运输后集中堆存。堆放期间为防控水土流失、保护土壤肥力，采取以下措施：周边设置袋装土临时拦挡；堆积时尽量压实并覆盖土工布，减少降雨冲刷；周边修建临时排水沟，疏导周边雨水。施工后期拆除袋装土，尽快将表土用于覆土，缩短堆放时间。土壤改良采取增施有机肥、复合肥及翻耕措施：复垦区连续二年每年增施有机质含量≥30%的有机肥，同步连续二年增施复合肥，补充微量营养元素、提升土壤养分；无法剥离表土的地块，有机肥与复合肥用量加倍。翻耕可疏松土壤、加厚耕层，改善土壤水热气状况及营养条件，熟化土壤、提升有效肥力。</w:t>
            </w:r>
          </w:p>
          <w:p w14:paraId="144EEB5A">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auto"/>
                <w:highlight w:val="none"/>
              </w:rPr>
              <w:t>在采取上述措施后，可以满足《基本农田保护条例》相关要求。</w:t>
            </w:r>
          </w:p>
          <w:p w14:paraId="7919A982">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6</w:t>
            </w:r>
            <w:r>
              <w:rPr>
                <w:rFonts w:ascii="Times New Roman" w:hAnsi="Times New Roman"/>
                <w:b/>
                <w:bCs/>
                <w:color w:val="auto"/>
                <w:highlight w:val="none"/>
              </w:rPr>
              <w:t>、</w:t>
            </w:r>
            <w:r>
              <w:rPr>
                <w:rFonts w:hint="eastAsia" w:ascii="Times New Roman" w:hAnsi="Times New Roman"/>
                <w:b/>
                <w:bCs/>
                <w:color w:val="auto"/>
                <w:highlight w:val="none"/>
              </w:rPr>
              <w:t>与《关于加强和改进永久基本农田保护工作的通知》（自然资规</w:t>
            </w:r>
            <w:r>
              <w:rPr>
                <w:rFonts w:ascii="Times New Roman" w:hAnsi="Times New Roman"/>
                <w:b/>
                <w:bCs/>
                <w:color w:val="auto"/>
                <w:highlight w:val="none"/>
              </w:rPr>
              <w:t>〔20</w:t>
            </w:r>
            <w:r>
              <w:rPr>
                <w:rFonts w:hint="eastAsia" w:ascii="Times New Roman" w:hAnsi="Times New Roman"/>
                <w:b/>
                <w:bCs/>
                <w:color w:val="auto"/>
                <w:highlight w:val="none"/>
              </w:rPr>
              <w:t>19</w:t>
            </w:r>
            <w:r>
              <w:rPr>
                <w:rFonts w:ascii="Times New Roman" w:hAnsi="Times New Roman"/>
                <w:b/>
                <w:bCs/>
                <w:color w:val="auto"/>
                <w:highlight w:val="none"/>
              </w:rPr>
              <w:t>〕</w:t>
            </w:r>
            <w:r>
              <w:rPr>
                <w:rFonts w:hint="eastAsia" w:ascii="Times New Roman" w:hAnsi="Times New Roman"/>
                <w:b/>
                <w:bCs/>
                <w:color w:val="auto"/>
                <w:highlight w:val="none"/>
              </w:rPr>
              <w:t>1号）符合性分析</w:t>
            </w:r>
          </w:p>
          <w:p w14:paraId="4E264239">
            <w:pPr>
              <w:pStyle w:val="31"/>
              <w:adjustRightInd/>
              <w:spacing w:after="0" w:line="360" w:lineRule="auto"/>
              <w:ind w:firstLine="480" w:firstLineChars="200"/>
              <w:jc w:val="both"/>
              <w:rPr>
                <w:rFonts w:hint="eastAsia" w:ascii="Times New Roman" w:hAnsi="Times New Roman" w:eastAsia="宋体"/>
                <w:color w:val="auto"/>
                <w:highlight w:val="none"/>
                <w:lang w:eastAsia="zh-CN"/>
              </w:rPr>
            </w:pPr>
            <w:r>
              <w:rPr>
                <w:rFonts w:hint="eastAsia" w:ascii="Times New Roman" w:hAnsi="Times New Roman"/>
                <w:color w:val="auto"/>
                <w:highlight w:val="none"/>
              </w:rPr>
              <w:t>根据</w:t>
            </w:r>
            <w:r>
              <w:rPr>
                <w:rFonts w:ascii="Times New Roman" w:hAnsi="Times New Roman"/>
                <w:color w:val="auto"/>
                <w:highlight w:val="none"/>
              </w:rPr>
              <w:t>自然资源部、农业农村部印发《关于加强和改进永久基本农田保护工作的通知》（自然资规〔20</w:t>
            </w:r>
            <w:r>
              <w:rPr>
                <w:rFonts w:hint="eastAsia" w:ascii="Times New Roman" w:hAnsi="Times New Roman"/>
                <w:color w:val="auto"/>
                <w:highlight w:val="none"/>
              </w:rPr>
              <w:t>19</w:t>
            </w:r>
            <w:r>
              <w:rPr>
                <w:rFonts w:ascii="Times New Roman" w:hAnsi="Times New Roman"/>
                <w:color w:val="auto"/>
                <w:highlight w:val="none"/>
              </w:rPr>
              <w:t>〕</w:t>
            </w:r>
            <w:r>
              <w:rPr>
                <w:rFonts w:hint="eastAsia" w:ascii="Times New Roman" w:hAnsi="Times New Roman"/>
                <w:color w:val="auto"/>
                <w:highlight w:val="none"/>
              </w:rPr>
              <w:t>1号</w:t>
            </w:r>
            <w:r>
              <w:rPr>
                <w:rFonts w:ascii="Times New Roman" w:hAnsi="Times New Roman"/>
                <w:color w:val="auto"/>
                <w:highlight w:val="none"/>
              </w:rPr>
              <w:t>）中相关规定，</w:t>
            </w:r>
            <w:r>
              <w:rPr>
                <w:rFonts w:hint="eastAsia" w:ascii="Times New Roman" w:hAnsi="Times New Roman"/>
                <w:color w:val="auto"/>
                <w:highlight w:val="none"/>
                <w:lang w:eastAsia="zh-CN"/>
              </w:rPr>
              <w:t>“</w:t>
            </w:r>
            <w:r>
              <w:rPr>
                <w:rFonts w:ascii="Times New Roman" w:hAnsi="Times New Roman"/>
                <w:color w:val="auto"/>
                <w:highlight w:val="none"/>
              </w:rPr>
              <w:t>临时用地一般不得占用永久基本农田，建设项目施工和地质勘查需要临时用地、选址确实难以避让永久基本农田的，在不修建永久性建（构）筑物、经复垦能恢复原种植条件的前提下，土地使用者按法定程序申请临时用地并编制土地复垦方案，经县级自然资源主管部门批准可临时占用，并在市级自然资源主管部门备案，一般不超过两年。同时，通过耕地耕作层土壤剥离再利用等工程技术措施，减少对耕作层的破坏。临时用地到期后土地使用者应及时复垦恢复原种植条件，自然资源主管部门会同农业农村等相关主管部门开展土地复垦验收，验收合格的，继续按照永久基本农田保护和管理；验收不合格的，责令土地使用者进行整改，经整改仍不合格的，按照《土地复垦条例》规定由自然资源主管部门使用缴纳的土地复垦费代为组织复垦，并由自然资源主管部门会同农业农村等相关主管部门开展土地复垦验收。自然资源主管部门要切实履行职责，对在临时用地上修建永久性建（构）筑物或其他造成无法恢复原种植条件的行为依法进行处理；市级自然资源主管部门负责临时用地使用情况的监督管理，通过日常检查、年度卫片执法检查等，及时发现并纠正临时用地中存在的问题。</w:t>
            </w:r>
            <w:r>
              <w:rPr>
                <w:rFonts w:hint="eastAsia" w:ascii="Times New Roman" w:hAnsi="Times New Roman"/>
                <w:color w:val="auto"/>
                <w:highlight w:val="none"/>
                <w:lang w:eastAsia="zh-CN"/>
              </w:rPr>
              <w:t>”</w:t>
            </w:r>
          </w:p>
          <w:p w14:paraId="534F1BFF">
            <w:pPr>
              <w:pStyle w:val="31"/>
              <w:adjustRightInd/>
              <w:spacing w:after="0" w:line="360" w:lineRule="auto"/>
              <w:ind w:firstLine="480" w:firstLineChars="200"/>
              <w:jc w:val="both"/>
              <w:rPr>
                <w:rFonts w:hint="default" w:ascii="Times New Roman" w:hAnsi="Times New Roman" w:eastAsia="宋体"/>
                <w:color w:val="auto"/>
                <w:highlight w:val="none"/>
                <w:lang w:val="en-US" w:eastAsia="zh-CN"/>
              </w:rPr>
            </w:pPr>
            <w:r>
              <w:rPr>
                <w:rFonts w:hint="eastAsia" w:ascii="Times New Roman" w:hAnsi="Times New Roman"/>
                <w:color w:val="auto"/>
                <w:highlight w:val="none"/>
              </w:rPr>
              <w:t>本项目主要是为后续瓦斯抽放巷盾构机安全、高效推进，</w:t>
            </w:r>
            <w:r>
              <w:rPr>
                <w:rFonts w:ascii="Times New Roman" w:hAnsi="Times New Roman"/>
                <w:color w:val="auto"/>
                <w:highlight w:val="none"/>
              </w:rPr>
              <w:t>属于地质勘查技术服务项目，</w:t>
            </w:r>
            <w:r>
              <w:rPr>
                <w:rFonts w:ascii="Times New Roman" w:hAnsi="Times New Roman"/>
                <w:color w:val="FF0000"/>
                <w:highlight w:val="none"/>
              </w:rPr>
              <w:t>临时用地面积为</w:t>
            </w:r>
            <w:r>
              <w:rPr>
                <w:rFonts w:hint="eastAsia" w:ascii="Times New Roman" w:hAnsi="Times New Roman"/>
                <w:color w:val="FF0000"/>
                <w:highlight w:val="none"/>
                <w:lang w:val="en-US" w:eastAsia="zh-CN"/>
              </w:rPr>
              <w:t>31378</w:t>
            </w:r>
            <w:r>
              <w:rPr>
                <w:rFonts w:ascii="Times New Roman" w:hAnsi="Times New Roman"/>
                <w:color w:val="FF0000"/>
                <w:highlight w:val="none"/>
              </w:rPr>
              <w:t>m</w:t>
            </w:r>
            <w:r>
              <w:rPr>
                <w:rFonts w:ascii="Times New Roman" w:hAnsi="Times New Roman"/>
                <w:color w:val="FF0000"/>
                <w:highlight w:val="none"/>
                <w:vertAlign w:val="superscript"/>
              </w:rPr>
              <w:t>2</w:t>
            </w:r>
            <w:r>
              <w:rPr>
                <w:rStyle w:val="27"/>
                <w:rFonts w:hint="eastAsia" w:ascii="Times New Roman" w:hAnsi="Times New Roman"/>
                <w:color w:val="FF0000"/>
                <w:szCs w:val="20"/>
                <w:highlight w:val="none"/>
                <w:lang w:eastAsia="zh-CN"/>
              </w:rPr>
              <w:t>，</w:t>
            </w:r>
            <w:r>
              <w:rPr>
                <w:rFonts w:hint="eastAsia" w:ascii="Times New Roman" w:hAnsi="Times New Roman" w:eastAsia="宋体" w:cs="Times New Roman"/>
                <w:color w:val="FF0000"/>
                <w:highlight w:val="none"/>
                <w:lang w:eastAsia="zh-CN"/>
              </w:rPr>
              <w:t>其中农用地</w:t>
            </w:r>
            <w:r>
              <w:rPr>
                <w:rFonts w:hint="eastAsia" w:ascii="Times New Roman" w:hAnsi="Times New Roman" w:cs="Times New Roman"/>
                <w:color w:val="FF0000"/>
                <w:highlight w:val="none"/>
                <w:lang w:val="en-US" w:eastAsia="zh-CN"/>
              </w:rPr>
              <w:t>31345</w:t>
            </w:r>
            <w:r>
              <w:rPr>
                <w:rFonts w:hint="eastAsia" w:ascii="Times New Roman" w:hAnsi="Times New Roman" w:eastAsia="宋体" w:cs="Times New Roman"/>
                <w:color w:val="FF0000"/>
                <w:highlight w:val="none"/>
                <w:lang w:val="en-US" w:eastAsia="zh-CN"/>
              </w:rPr>
              <w:t>m</w:t>
            </w:r>
            <w:r>
              <w:rPr>
                <w:rFonts w:hint="eastAsia" w:ascii="Times New Roman" w:hAnsi="Times New Roman" w:eastAsia="宋体" w:cs="Times New Roman"/>
                <w:color w:val="FF0000"/>
                <w:highlight w:val="none"/>
                <w:vertAlign w:val="superscript"/>
                <w:lang w:val="en-US" w:eastAsia="zh-CN"/>
              </w:rPr>
              <w:t>2</w:t>
            </w:r>
            <w:r>
              <w:rPr>
                <w:rFonts w:hint="eastAsia" w:ascii="Times New Roman" w:hAnsi="Times New Roman" w:eastAsia="宋体" w:cs="Times New Roman"/>
                <w:color w:val="FF0000"/>
                <w:highlight w:val="none"/>
                <w:vertAlign w:val="baseline"/>
                <w:lang w:val="en-US" w:eastAsia="zh-CN"/>
              </w:rPr>
              <w:t>（</w:t>
            </w:r>
            <w:r>
              <w:rPr>
                <w:rFonts w:hint="eastAsia" w:ascii="Times New Roman" w:hAnsi="Times New Roman" w:eastAsia="宋体" w:cs="Times New Roman"/>
                <w:color w:val="FF0000"/>
                <w:highlight w:val="none"/>
                <w:lang w:eastAsia="zh-CN"/>
              </w:rPr>
              <w:t>耕地</w:t>
            </w:r>
            <w:r>
              <w:rPr>
                <w:rFonts w:hint="eastAsia" w:ascii="Times New Roman" w:hAnsi="Times New Roman" w:cs="Times New Roman"/>
                <w:color w:val="FF0000"/>
                <w:highlight w:val="none"/>
                <w:lang w:val="en-US" w:eastAsia="zh-CN"/>
              </w:rPr>
              <w:t>30267</w:t>
            </w:r>
            <w:r>
              <w:rPr>
                <w:rFonts w:hint="eastAsia" w:ascii="Times New Roman" w:hAnsi="Times New Roman" w:eastAsia="宋体" w:cs="Times New Roman"/>
                <w:color w:val="FF0000"/>
                <w:highlight w:val="none"/>
                <w:lang w:val="en-US" w:eastAsia="zh-CN"/>
              </w:rPr>
              <w:t>m</w:t>
            </w:r>
            <w:r>
              <w:rPr>
                <w:rFonts w:hint="eastAsia" w:ascii="Times New Roman" w:hAnsi="Times New Roman" w:eastAsia="宋体" w:cs="Times New Roman"/>
                <w:color w:val="FF0000"/>
                <w:highlight w:val="none"/>
                <w:vertAlign w:val="superscript"/>
                <w:lang w:val="en-US" w:eastAsia="zh-CN"/>
              </w:rPr>
              <w:t>2</w:t>
            </w:r>
            <w:r>
              <w:rPr>
                <w:rFonts w:hint="eastAsia" w:ascii="Times New Roman" w:hAnsi="Times New Roman" w:eastAsia="宋体" w:cs="Times New Roman"/>
                <w:color w:val="FF0000"/>
                <w:highlight w:val="none"/>
                <w:lang w:eastAsia="zh-CN"/>
              </w:rPr>
              <w:t>，占用已划定永久基本农田</w:t>
            </w:r>
            <w:r>
              <w:rPr>
                <w:rFonts w:hint="eastAsia" w:ascii="Times New Roman" w:hAnsi="Times New Roman" w:cs="Times New Roman"/>
                <w:color w:val="FF0000"/>
                <w:highlight w:val="none"/>
                <w:lang w:val="en-US" w:eastAsia="zh-CN"/>
              </w:rPr>
              <w:t>30178</w:t>
            </w:r>
            <w:r>
              <w:rPr>
                <w:rFonts w:hint="eastAsia" w:ascii="Times New Roman" w:hAnsi="Times New Roman" w:eastAsia="宋体" w:cs="Times New Roman"/>
                <w:color w:val="FF0000"/>
                <w:highlight w:val="none"/>
                <w:lang w:val="en-US" w:eastAsia="zh-CN"/>
              </w:rPr>
              <w:t>m</w:t>
            </w:r>
            <w:r>
              <w:rPr>
                <w:rFonts w:hint="eastAsia" w:ascii="Times New Roman" w:hAnsi="Times New Roman" w:eastAsia="宋体" w:cs="Times New Roman"/>
                <w:color w:val="FF0000"/>
                <w:highlight w:val="none"/>
                <w:vertAlign w:val="superscript"/>
                <w:lang w:val="en-US" w:eastAsia="zh-CN"/>
              </w:rPr>
              <w:t>2</w:t>
            </w:r>
            <w:r>
              <w:rPr>
                <w:rFonts w:hint="eastAsia" w:ascii="Times New Roman" w:hAnsi="Times New Roman" w:eastAsia="宋体" w:cs="Times New Roman"/>
                <w:color w:val="FF0000"/>
                <w:highlight w:val="none"/>
                <w:vertAlign w:val="baseline"/>
                <w:lang w:val="en-US" w:eastAsia="zh-CN"/>
              </w:rPr>
              <w:t>，</w:t>
            </w:r>
            <w:r>
              <w:rPr>
                <w:rFonts w:hint="eastAsia" w:ascii="Times New Roman" w:hAnsi="Times New Roman" w:cs="Times New Roman"/>
                <w:color w:val="FF0000"/>
                <w:highlight w:val="none"/>
                <w:lang w:val="en-US" w:eastAsia="zh-CN"/>
              </w:rPr>
              <w:t>建设用地33m</w:t>
            </w:r>
            <w:r>
              <w:rPr>
                <w:rFonts w:hint="eastAsia" w:ascii="Times New Roman" w:hAnsi="Times New Roman" w:cs="Times New Roman"/>
                <w:color w:val="FF0000"/>
                <w:highlight w:val="none"/>
                <w:vertAlign w:val="superscript"/>
                <w:lang w:val="en-US" w:eastAsia="zh-CN"/>
              </w:rPr>
              <w:t>2</w:t>
            </w:r>
            <w:r>
              <w:rPr>
                <w:rFonts w:hint="eastAsia" w:ascii="Times New Roman" w:hAnsi="Times New Roman" w:eastAsia="宋体" w:cs="Times New Roman"/>
                <w:color w:val="FF0000"/>
                <w:highlight w:val="none"/>
                <w:vertAlign w:val="baseline"/>
                <w:lang w:val="en-US" w:eastAsia="zh-CN"/>
              </w:rPr>
              <w:t>）</w:t>
            </w:r>
            <w:r>
              <w:rPr>
                <w:rFonts w:hint="eastAsia" w:ascii="Times New Roman" w:hAnsi="Times New Roman" w:eastAsia="宋体" w:cs="Times New Roman"/>
                <w:color w:val="FF0000"/>
                <w:highlight w:val="none"/>
              </w:rPr>
              <w:t>，</w:t>
            </w:r>
            <w:r>
              <w:rPr>
                <w:rFonts w:hint="eastAsia" w:ascii="Times New Roman" w:hAnsi="Times New Roman"/>
                <w:color w:val="auto"/>
                <w:highlight w:val="none"/>
              </w:rPr>
              <w:t>用地时长预计约</w:t>
            </w:r>
            <w:r>
              <w:rPr>
                <w:rFonts w:hint="eastAsia" w:ascii="Times New Roman" w:hAnsi="Times New Roman"/>
                <w:color w:val="auto"/>
                <w:highlight w:val="none"/>
                <w:lang w:val="en-US" w:eastAsia="zh-CN"/>
              </w:rPr>
              <w:t>9</w:t>
            </w:r>
            <w:r>
              <w:rPr>
                <w:rFonts w:hint="eastAsia" w:ascii="Times New Roman" w:hAnsi="Times New Roman"/>
                <w:color w:val="auto"/>
                <w:highlight w:val="none"/>
              </w:rPr>
              <w:t>个月，中安联合煤化有限责任公司办理</w:t>
            </w:r>
            <w:r>
              <w:rPr>
                <w:rFonts w:hint="eastAsia" w:ascii="Times New Roman" w:hAnsi="Times New Roman"/>
                <w:color w:val="auto"/>
                <w:highlight w:val="none"/>
                <w:lang w:eastAsia="zh-CN"/>
              </w:rPr>
              <w:t>了</w:t>
            </w:r>
            <w:r>
              <w:rPr>
                <w:rFonts w:hint="eastAsia" w:ascii="Times New Roman" w:hAnsi="Times New Roman"/>
                <w:color w:val="auto"/>
                <w:highlight w:val="none"/>
              </w:rPr>
              <w:t>项目临时用地相关手续</w:t>
            </w:r>
            <w:r>
              <w:rPr>
                <w:rFonts w:hint="eastAsia" w:ascii="Times New Roman" w:hAnsi="Times New Roman"/>
                <w:color w:val="auto"/>
                <w:highlight w:val="none"/>
                <w:lang w:eastAsia="zh-CN"/>
              </w:rPr>
              <w:t>，2026年10月13日</w:t>
            </w:r>
            <w:r>
              <w:rPr>
                <w:rFonts w:hint="eastAsia" w:ascii="Times New Roman" w:hAnsi="Times New Roman"/>
                <w:color w:val="auto"/>
                <w:highlight w:val="none"/>
              </w:rPr>
              <w:t>，淮南市自然资源和规划局潘集分局出具了本项目临时用地初审意见</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具体见附件4。</w:t>
            </w:r>
          </w:p>
          <w:p w14:paraId="3906BCED">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7、与《永久基本农田保护红线管理办法》相符性分析</w:t>
            </w:r>
          </w:p>
          <w:p w14:paraId="475DE0E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hint="eastAsia" w:ascii="Times New Roman" w:hAnsi="Times New Roman"/>
                <w:b/>
                <w:color w:val="auto"/>
                <w:szCs w:val="21"/>
                <w:highlight w:val="none"/>
              </w:rPr>
              <w:t>表1-5  本项目与《永久基本农田保护红线管理办法》相符性分析</w:t>
            </w:r>
          </w:p>
          <w:tbl>
            <w:tblPr>
              <w:tblStyle w:val="23"/>
              <w:tblW w:w="8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1"/>
              <w:gridCol w:w="3443"/>
              <w:gridCol w:w="878"/>
            </w:tblGrid>
            <w:tr w14:paraId="3DFF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1" w:type="dxa"/>
                  <w:vAlign w:val="center"/>
                </w:tcPr>
                <w:p w14:paraId="0BD0E5C1">
                  <w:pPr>
                    <w:pStyle w:val="31"/>
                    <w:adjustRightInd/>
                    <w:spacing w:after="0" w:line="240" w:lineRule="auto"/>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管理办法</w:t>
                  </w:r>
                </w:p>
              </w:tc>
              <w:tc>
                <w:tcPr>
                  <w:tcW w:w="3443" w:type="dxa"/>
                  <w:vAlign w:val="center"/>
                </w:tcPr>
                <w:p w14:paraId="6F972DA6">
                  <w:pPr>
                    <w:pStyle w:val="31"/>
                    <w:adjustRightInd/>
                    <w:spacing w:after="0" w:line="240" w:lineRule="auto"/>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本项目</w:t>
                  </w:r>
                </w:p>
              </w:tc>
              <w:tc>
                <w:tcPr>
                  <w:tcW w:w="878" w:type="dxa"/>
                  <w:vAlign w:val="center"/>
                </w:tcPr>
                <w:p w14:paraId="64DEA8C9">
                  <w:pPr>
                    <w:pStyle w:val="31"/>
                    <w:adjustRightInd/>
                    <w:spacing w:after="0" w:line="240" w:lineRule="auto"/>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符合性分析</w:t>
                  </w:r>
                </w:p>
              </w:tc>
            </w:tr>
            <w:tr w14:paraId="4654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1" w:type="dxa"/>
                  <w:vAlign w:val="center"/>
                </w:tcPr>
                <w:p w14:paraId="21F14BAB">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第六条 禁止占用永久基本农田挖湖造景，建设绿化带，种植草皮等用于绿化装饰的植物，堆放固体废弃物，填埋垃圾，以及法律法规禁止的其他行为。</w:t>
                  </w:r>
                </w:p>
              </w:tc>
              <w:tc>
                <w:tcPr>
                  <w:tcW w:w="3443" w:type="dxa"/>
                  <w:vMerge w:val="restart"/>
                  <w:vAlign w:val="center"/>
                </w:tcPr>
                <w:p w14:paraId="7361C575">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highlight w:val="none"/>
                    </w:rPr>
                    <w:t>本项目主要是为后续瓦斯抽放巷盾构机安全、高效推进。建设单位</w:t>
                  </w:r>
                  <w:r>
                    <w:rPr>
                      <w:rFonts w:hint="eastAsia" w:ascii="Times New Roman" w:hAnsi="Times New Roman"/>
                      <w:color w:val="auto"/>
                      <w:sz w:val="21"/>
                      <w:szCs w:val="21"/>
                      <w:highlight w:val="none"/>
                      <w:lang w:val="zh-CN"/>
                    </w:rPr>
                    <w:t>已按照临时用地相关政策要求编制完成复垦方案并取得了淮南市自然资源和规划局潘集分局出具了本项目临时用地初审意见。本项目施工完成后将按照已批复的土地复垦方案进行土地复垦，及时恢复种植条件。</w:t>
                  </w:r>
                </w:p>
              </w:tc>
              <w:tc>
                <w:tcPr>
                  <w:tcW w:w="878" w:type="dxa"/>
                  <w:vAlign w:val="center"/>
                </w:tcPr>
                <w:p w14:paraId="24D386CC">
                  <w:pPr>
                    <w:pStyle w:val="31"/>
                    <w:adjustRightInd/>
                    <w:spacing w:after="0" w:line="240" w:lineRule="auto"/>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14:paraId="615E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1" w:type="dxa"/>
                </w:tcPr>
                <w:p w14:paraId="714EF7C6">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第二十二条 全国矿产资源规划明确的战略性矿产，以及地热、矿泉水等不造成永久基本农田损毁的非战略性矿产，允许在永久基本农田上设立矿业权。在永久基本农田划定前已经设立的非战略性矿产矿业权，允许在原矿业权范围内办理延续变更等登记手续，已取得探矿权申请探矿权转采矿权的，允许在落实保护性开采措施前提下，采取井下方式开采。</w:t>
                  </w:r>
                </w:p>
              </w:tc>
              <w:tc>
                <w:tcPr>
                  <w:tcW w:w="3443" w:type="dxa"/>
                  <w:vMerge w:val="continue"/>
                </w:tcPr>
                <w:p w14:paraId="7A00C9E1">
                  <w:pPr>
                    <w:pStyle w:val="31"/>
                    <w:adjustRightInd/>
                    <w:spacing w:after="0" w:line="240" w:lineRule="auto"/>
                    <w:jc w:val="both"/>
                    <w:rPr>
                      <w:rFonts w:ascii="Times New Roman" w:hAnsi="Times New Roman"/>
                      <w:color w:val="auto"/>
                      <w:sz w:val="21"/>
                      <w:szCs w:val="21"/>
                      <w:highlight w:val="none"/>
                    </w:rPr>
                  </w:pPr>
                </w:p>
              </w:tc>
              <w:tc>
                <w:tcPr>
                  <w:tcW w:w="878" w:type="dxa"/>
                  <w:vAlign w:val="center"/>
                </w:tcPr>
                <w:p w14:paraId="1AC6CBC4">
                  <w:pPr>
                    <w:pStyle w:val="31"/>
                    <w:adjustRightInd/>
                    <w:spacing w:after="0" w:line="240" w:lineRule="auto"/>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bl>
          <w:p w14:paraId="1E764D90">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8、与《安徽省基本农田保护条例》相符性分析</w:t>
            </w:r>
          </w:p>
          <w:p w14:paraId="7087C14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hint="eastAsia" w:ascii="Times New Roman" w:hAnsi="Times New Roman"/>
                <w:b/>
                <w:color w:val="auto"/>
                <w:szCs w:val="21"/>
                <w:highlight w:val="none"/>
              </w:rPr>
              <w:t>表1-6  本项目与《安徽省基本农田保护条例》相符性分析</w:t>
            </w:r>
          </w:p>
          <w:tbl>
            <w:tblPr>
              <w:tblStyle w:val="23"/>
              <w:tblW w:w="8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2"/>
              <w:gridCol w:w="1782"/>
              <w:gridCol w:w="878"/>
            </w:tblGrid>
            <w:tr w14:paraId="7168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2" w:type="dxa"/>
                  <w:vAlign w:val="center"/>
                </w:tcPr>
                <w:p w14:paraId="155DD513">
                  <w:pPr>
                    <w:pStyle w:val="31"/>
                    <w:adjustRightInd/>
                    <w:spacing w:after="0" w:line="240" w:lineRule="auto"/>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保护条例</w:t>
                  </w:r>
                </w:p>
              </w:tc>
              <w:tc>
                <w:tcPr>
                  <w:tcW w:w="1782" w:type="dxa"/>
                  <w:vAlign w:val="center"/>
                </w:tcPr>
                <w:p w14:paraId="50DF0DDA">
                  <w:pPr>
                    <w:pStyle w:val="31"/>
                    <w:adjustRightInd/>
                    <w:spacing w:after="0" w:line="240" w:lineRule="auto"/>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本项目</w:t>
                  </w:r>
                </w:p>
              </w:tc>
              <w:tc>
                <w:tcPr>
                  <w:tcW w:w="878" w:type="dxa"/>
                  <w:vAlign w:val="center"/>
                </w:tcPr>
                <w:p w14:paraId="5F7935DA">
                  <w:pPr>
                    <w:pStyle w:val="31"/>
                    <w:adjustRightInd/>
                    <w:spacing w:after="0" w:line="240" w:lineRule="auto"/>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符合性分析</w:t>
                  </w:r>
                </w:p>
              </w:tc>
            </w:tr>
            <w:tr w14:paraId="6A54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22" w:type="dxa"/>
                  <w:vAlign w:val="center"/>
                </w:tcPr>
                <w:p w14:paraId="76EC2A0C">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第十五条 基本农田保护区内禁止下列行为：</w:t>
                  </w:r>
                </w:p>
                <w:p w14:paraId="4E86AAD6">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（一）擅自将耕地改为非耕地；</w:t>
                  </w:r>
                </w:p>
                <w:p w14:paraId="33E7D57A">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（二）闲置、荒芜耕地；</w:t>
                  </w:r>
                </w:p>
                <w:p w14:paraId="4F51BAA0">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（三）建窑、建房、建坟；</w:t>
                  </w:r>
                </w:p>
                <w:p w14:paraId="3626D2D2">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（四）擅自挖沙、采石、采矿、取土；</w:t>
                  </w:r>
                </w:p>
                <w:p w14:paraId="40D1330B">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（五）排放污染性的废水、废气，堆放固体废弃物；</w:t>
                  </w:r>
                </w:p>
                <w:p w14:paraId="5C43522F">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（六）向基本农田提供不符合国家有关标准的肥料、农药；</w:t>
                  </w:r>
                </w:p>
                <w:p w14:paraId="0B7E65AF">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（七）毁坏水利排灌设施；</w:t>
                  </w:r>
                </w:p>
                <w:p w14:paraId="0D61AFA9">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（八）擅自砍伐农田防护林和水土保持林；</w:t>
                  </w:r>
                </w:p>
                <w:p w14:paraId="615D06BF">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（九）破坏或擅自改变基本农田保护区标志；</w:t>
                  </w:r>
                </w:p>
                <w:p w14:paraId="08EC8CDC">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（十）其他破坏基本农田的行为。</w:t>
                  </w:r>
                </w:p>
              </w:tc>
              <w:tc>
                <w:tcPr>
                  <w:tcW w:w="1782" w:type="dxa"/>
                  <w:vMerge w:val="restart"/>
                  <w:vAlign w:val="center"/>
                </w:tcPr>
                <w:p w14:paraId="68F6B808">
                  <w:pPr>
                    <w:pStyle w:val="31"/>
                    <w:adjustRightInd/>
                    <w:spacing w:after="0" w:line="240" w:lineRule="auto"/>
                    <w:jc w:val="both"/>
                    <w:rPr>
                      <w:rFonts w:ascii="Times New Roman" w:hAnsi="Times New Roman"/>
                      <w:color w:val="auto"/>
                      <w:sz w:val="21"/>
                      <w:szCs w:val="21"/>
                      <w:highlight w:val="none"/>
                    </w:rPr>
                  </w:pPr>
                  <w:r>
                    <w:rPr>
                      <w:rFonts w:hint="eastAsia" w:ascii="Times New Roman" w:hAnsi="Times New Roman"/>
                      <w:color w:val="auto"/>
                      <w:sz w:val="21"/>
                      <w:szCs w:val="21"/>
                      <w:highlight w:val="none"/>
                    </w:rPr>
                    <w:t>本项目主要是为后续瓦斯抽放巷盾构机安全、高效推进。建设单位</w:t>
                  </w:r>
                  <w:r>
                    <w:rPr>
                      <w:rFonts w:hint="eastAsia" w:ascii="Times New Roman" w:hAnsi="Times New Roman"/>
                      <w:color w:val="auto"/>
                      <w:sz w:val="21"/>
                      <w:szCs w:val="21"/>
                      <w:highlight w:val="none"/>
                      <w:lang w:val="zh-CN"/>
                    </w:rPr>
                    <w:t>已按照临时用地相关政策要求编制完成复垦方案并取得了淮南市自然资源和规划局潘集分局出具了本项目临时用地初审意见。本项目施工完成后将按照已批复的土地复垦方案进行土地复垦，及时恢复种植条件。</w:t>
                  </w:r>
                </w:p>
              </w:tc>
              <w:tc>
                <w:tcPr>
                  <w:tcW w:w="878" w:type="dxa"/>
                  <w:vAlign w:val="center"/>
                </w:tcPr>
                <w:p w14:paraId="773157C3">
                  <w:pPr>
                    <w:pStyle w:val="31"/>
                    <w:adjustRightInd/>
                    <w:spacing w:after="0" w:line="240" w:lineRule="auto"/>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14:paraId="7EFE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2" w:type="dxa"/>
                </w:tcPr>
                <w:p w14:paraId="3CF7E6F4">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第十七条开采地下资源或者从事其他生产建设活动，造成基本农田塌陷、毁坏的单位或个人，必须按照土地复垦有关规定负责整治或支付复垦费用，并对造成的损失给予补偿。</w:t>
                  </w:r>
                </w:p>
              </w:tc>
              <w:tc>
                <w:tcPr>
                  <w:tcW w:w="1782" w:type="dxa"/>
                  <w:vMerge w:val="continue"/>
                </w:tcPr>
                <w:p w14:paraId="1BF76F08">
                  <w:pPr>
                    <w:pStyle w:val="31"/>
                    <w:adjustRightInd/>
                    <w:spacing w:after="0" w:line="240" w:lineRule="auto"/>
                    <w:jc w:val="both"/>
                    <w:rPr>
                      <w:rFonts w:ascii="Times New Roman" w:hAnsi="Times New Roman"/>
                      <w:color w:val="auto"/>
                      <w:sz w:val="21"/>
                      <w:szCs w:val="21"/>
                      <w:highlight w:val="none"/>
                    </w:rPr>
                  </w:pPr>
                </w:p>
              </w:tc>
              <w:tc>
                <w:tcPr>
                  <w:tcW w:w="878" w:type="dxa"/>
                  <w:vAlign w:val="center"/>
                </w:tcPr>
                <w:p w14:paraId="1FD4AD31">
                  <w:pPr>
                    <w:pStyle w:val="31"/>
                    <w:adjustRightInd/>
                    <w:spacing w:after="0" w:line="240" w:lineRule="auto"/>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r w14:paraId="10BD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2" w:type="dxa"/>
                </w:tcPr>
                <w:p w14:paraId="735015D5">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第十九条经依法批准占用基本农田保护区耕地的单位或个人，除依照国家有关规定缴纳有关税费外，必须按照</w:t>
                  </w:r>
                  <w:r>
                    <w:rPr>
                      <w:rFonts w:hint="eastAsia" w:ascii="Times New Roman" w:hAnsi="Times New Roman"/>
                      <w:color w:val="auto"/>
                      <w:sz w:val="21"/>
                      <w:szCs w:val="21"/>
                      <w:highlight w:val="none"/>
                      <w:lang w:eastAsia="zh-CN"/>
                    </w:rPr>
                    <w:t>“</w:t>
                  </w:r>
                  <w:r>
                    <w:rPr>
                      <w:rFonts w:ascii="Times New Roman" w:hAnsi="Times New Roman"/>
                      <w:color w:val="auto"/>
                      <w:sz w:val="21"/>
                      <w:szCs w:val="21"/>
                      <w:highlight w:val="none"/>
                    </w:rPr>
                    <w:t>占多少、垦多少</w:t>
                  </w:r>
                  <w:r>
                    <w:rPr>
                      <w:rFonts w:hint="eastAsia" w:ascii="Times New Roman" w:hAnsi="Times New Roman"/>
                      <w:color w:val="auto"/>
                      <w:sz w:val="21"/>
                      <w:szCs w:val="21"/>
                      <w:highlight w:val="none"/>
                      <w:lang w:eastAsia="zh-CN"/>
                    </w:rPr>
                    <w:t>”</w:t>
                  </w:r>
                  <w:r>
                    <w:rPr>
                      <w:rFonts w:ascii="Times New Roman" w:hAnsi="Times New Roman"/>
                      <w:color w:val="auto"/>
                      <w:sz w:val="21"/>
                      <w:szCs w:val="21"/>
                      <w:highlight w:val="none"/>
                    </w:rPr>
                    <w:t>的原则，负责开垦与所占耕地的数量、质量相当的新耕地；没有条件开垦或开垦的耕地不符合要求的，应按下列标准一次性缴纳或补足占用基本农田保护区耕地开垦费：</w:t>
                  </w:r>
                </w:p>
                <w:p w14:paraId="32BE4F48">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（一）占用一级基本农田的，为征地补偿、补助费用总额的2倍；</w:t>
                  </w:r>
                </w:p>
                <w:p w14:paraId="70623FD6">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（二）占用二级基本农田的，为征地补偿、补助费用总额的1倍；</w:t>
                  </w:r>
                </w:p>
                <w:p w14:paraId="1542C953">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（三）占用三级基本农田的，为征地补偿、补助费用总额的0.5倍；</w:t>
                  </w:r>
                </w:p>
                <w:p w14:paraId="18CBCD5B">
                  <w:pPr>
                    <w:pStyle w:val="31"/>
                    <w:adjustRightInd/>
                    <w:spacing w:after="0" w:line="240" w:lineRule="auto"/>
                    <w:jc w:val="both"/>
                    <w:rPr>
                      <w:rFonts w:ascii="Times New Roman" w:hAnsi="Times New Roman"/>
                      <w:color w:val="auto"/>
                      <w:sz w:val="21"/>
                      <w:szCs w:val="21"/>
                      <w:highlight w:val="none"/>
                    </w:rPr>
                  </w:pPr>
                  <w:r>
                    <w:rPr>
                      <w:rFonts w:ascii="Times New Roman" w:hAnsi="Times New Roman"/>
                      <w:color w:val="auto"/>
                      <w:sz w:val="21"/>
                      <w:szCs w:val="21"/>
                      <w:highlight w:val="none"/>
                    </w:rPr>
                    <w:t>占用蔬菜生产基地内的菜地，已按照国家有关规定缴纳新菜地开发建设基金的，不再缴纳占用基本农田保护区耕地开垦费。</w:t>
                  </w:r>
                </w:p>
              </w:tc>
              <w:tc>
                <w:tcPr>
                  <w:tcW w:w="1782" w:type="dxa"/>
                  <w:vMerge w:val="continue"/>
                </w:tcPr>
                <w:p w14:paraId="26AFCF27">
                  <w:pPr>
                    <w:pStyle w:val="31"/>
                    <w:adjustRightInd/>
                    <w:spacing w:after="0" w:line="240" w:lineRule="auto"/>
                    <w:jc w:val="both"/>
                    <w:rPr>
                      <w:rFonts w:ascii="Times New Roman" w:hAnsi="Times New Roman"/>
                      <w:color w:val="auto"/>
                      <w:sz w:val="21"/>
                      <w:szCs w:val="21"/>
                      <w:highlight w:val="none"/>
                    </w:rPr>
                  </w:pPr>
                </w:p>
              </w:tc>
              <w:tc>
                <w:tcPr>
                  <w:tcW w:w="878" w:type="dxa"/>
                  <w:vAlign w:val="center"/>
                </w:tcPr>
                <w:p w14:paraId="15752D9D">
                  <w:pPr>
                    <w:pStyle w:val="31"/>
                    <w:adjustRightInd/>
                    <w:spacing w:after="0" w:line="240" w:lineRule="auto"/>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符合</w:t>
                  </w:r>
                </w:p>
              </w:tc>
            </w:tr>
          </w:tbl>
          <w:p w14:paraId="38502026">
            <w:pPr>
              <w:pStyle w:val="31"/>
              <w:adjustRightInd/>
              <w:spacing w:after="0" w:line="360" w:lineRule="auto"/>
              <w:ind w:firstLine="482" w:firstLineChars="200"/>
              <w:jc w:val="both"/>
              <w:rPr>
                <w:rFonts w:ascii="Times New Roman" w:hAnsi="Times New Roman"/>
                <w:color w:val="auto"/>
                <w:highlight w:val="none"/>
              </w:rPr>
            </w:pPr>
            <w:r>
              <w:rPr>
                <w:rFonts w:hint="eastAsia" w:ascii="Times New Roman" w:hAnsi="Times New Roman"/>
                <w:b/>
                <w:bCs/>
                <w:color w:val="auto"/>
                <w:highlight w:val="none"/>
              </w:rPr>
              <w:t>9</w:t>
            </w:r>
            <w:r>
              <w:rPr>
                <w:rFonts w:ascii="Times New Roman" w:hAnsi="Times New Roman"/>
                <w:b/>
                <w:bCs/>
                <w:color w:val="auto"/>
                <w:highlight w:val="none"/>
              </w:rPr>
              <w:t>、项目选址合理性分析</w:t>
            </w:r>
          </w:p>
          <w:p w14:paraId="39B8749F">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本项目为煤矿盾构机探查钻孔辅助工程，选址需严格匹配井田勘探点位布局及施工工艺要求，经综合论证，选址无法进行比选避让。本项目要求勘探点位精准，盾构机探查钻孔需严格对应煤矿井下采掘规划的关键地质勘查节点；施工条件适配性需满足设备进场、钻孔作业空间及临时物料堆放等基础要求，选址地块需地势平坦、无地下管线及构筑物干扰，且距离煤矿现有运输通道较近，可降低设备转运及施工运输对周边环境的扰动。</w:t>
            </w:r>
          </w:p>
          <w:p w14:paraId="11765966">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本项目临时工程包含钻井作业区、表土剥离堆存、</w:t>
            </w:r>
            <w:r>
              <w:rPr>
                <w:rFonts w:hint="eastAsia" w:ascii="Times New Roman" w:hAnsi="Times New Roman"/>
                <w:color w:val="auto"/>
                <w:sz w:val="24"/>
                <w:highlight w:val="none"/>
                <w:lang w:eastAsia="zh-CN"/>
              </w:rPr>
              <w:t>岩芯堆放区</w:t>
            </w:r>
            <w:r>
              <w:rPr>
                <w:rFonts w:hint="eastAsia" w:ascii="Times New Roman" w:hAnsi="Times New Roman"/>
                <w:color w:val="auto"/>
                <w:sz w:val="24"/>
                <w:highlight w:val="none"/>
              </w:rPr>
              <w:t>、危废暂存间等功能区，井场临时用地合计</w:t>
            </w:r>
            <w:r>
              <w:rPr>
                <w:rFonts w:hint="eastAsia" w:ascii="Times New Roman" w:hAnsi="Times New Roman"/>
                <w:color w:val="auto"/>
                <w:sz w:val="24"/>
                <w:highlight w:val="none"/>
                <w:lang w:eastAsia="zh-CN"/>
              </w:rPr>
              <w:t>28268</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，临时道路用地</w:t>
            </w:r>
            <w:r>
              <w:rPr>
                <w:rFonts w:hint="eastAsia" w:ascii="Times New Roman" w:hAnsi="Times New Roman"/>
                <w:color w:val="auto"/>
                <w:sz w:val="24"/>
                <w:highlight w:val="none"/>
                <w:lang w:eastAsia="zh-CN"/>
              </w:rPr>
              <w:t>3110</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，总临时用地</w:t>
            </w:r>
            <w:r>
              <w:rPr>
                <w:rFonts w:hint="eastAsia" w:ascii="Times New Roman" w:hAnsi="Times New Roman"/>
                <w:color w:val="auto"/>
                <w:sz w:val="24"/>
                <w:highlight w:val="none"/>
                <w:lang w:val="en-US" w:eastAsia="zh-CN"/>
              </w:rPr>
              <w:t>31378</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，所有临时建筑物均采用可拆卸回收材料，池体按</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防渗+防溢</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建设，临时道路简易硬化便于后期复垦。表土堆放区位于井场边缘远离作业区处，</w:t>
            </w:r>
            <w:r>
              <w:rPr>
                <w:rFonts w:hint="eastAsia" w:ascii="Times New Roman" w:hAnsi="Times New Roman"/>
                <w:color w:val="auto"/>
                <w:sz w:val="24"/>
                <w:highlight w:val="none"/>
                <w:lang w:val="en-US" w:eastAsia="zh-CN"/>
              </w:rPr>
              <w:t>19</w:t>
            </w:r>
            <w:r>
              <w:rPr>
                <w:rFonts w:hint="eastAsia" w:ascii="Times New Roman" w:hAnsi="Times New Roman"/>
                <w:color w:val="auto"/>
                <w:sz w:val="24"/>
                <w:highlight w:val="none"/>
              </w:rPr>
              <w:t>个井场合计面积</w:t>
            </w:r>
            <w:r>
              <w:rPr>
                <w:rFonts w:hint="eastAsia" w:ascii="Times New Roman" w:hAnsi="Times New Roman"/>
                <w:color w:val="auto"/>
                <w:sz w:val="24"/>
                <w:highlight w:val="none"/>
                <w:lang w:val="en-US" w:eastAsia="zh-CN"/>
              </w:rPr>
              <w:t>4873</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，可容纳全部剥离表土，堆放高度＜1.8m，表土堆放周边修建临时排水沟，以阻挡周边雨水；</w:t>
            </w:r>
            <w:r>
              <w:rPr>
                <w:rFonts w:hint="eastAsia" w:ascii="Times New Roman" w:hAnsi="Times New Roman"/>
                <w:color w:val="auto"/>
                <w:sz w:val="24"/>
                <w:highlight w:val="none"/>
                <w:lang w:eastAsia="zh-CN"/>
              </w:rPr>
              <w:t>岩芯堆放区</w:t>
            </w:r>
            <w:r>
              <w:rPr>
                <w:rFonts w:hint="eastAsia" w:ascii="Times New Roman" w:hAnsi="Times New Roman"/>
                <w:color w:val="auto"/>
                <w:sz w:val="24"/>
                <w:highlight w:val="none"/>
              </w:rPr>
              <w:t>（单个10m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），满足岩芯碎屑临时存放；</w:t>
            </w:r>
            <w:r>
              <w:rPr>
                <w:rFonts w:hint="eastAsia" w:ascii="Times New Roman" w:hAnsi="Times New Roman"/>
                <w:color w:val="auto"/>
                <w:sz w:val="24"/>
                <w:highlight w:val="none"/>
                <w:lang w:val="en-US" w:eastAsia="zh-CN"/>
              </w:rPr>
              <w:t>管材堆放区</w:t>
            </w:r>
            <w:r>
              <w:rPr>
                <w:rFonts w:hint="eastAsia" w:ascii="Times New Roman" w:hAnsi="Times New Roman"/>
                <w:color w:val="auto"/>
                <w:sz w:val="24"/>
                <w:highlight w:val="none"/>
              </w:rPr>
              <w:t>靠近临时道路及入口（单个约为11m</w:t>
            </w:r>
            <w:r>
              <w:rPr>
                <w:rFonts w:hint="eastAsia" w:ascii="Times New Roman" w:hAnsi="Times New Roman"/>
                <w:color w:val="auto"/>
                <w:sz w:val="24"/>
                <w:highlight w:val="none"/>
                <w:vertAlign w:val="superscript"/>
              </w:rPr>
              <w:t>2</w:t>
            </w:r>
            <w:r>
              <w:rPr>
                <w:rFonts w:hint="eastAsia" w:ascii="Times New Roman" w:hAnsi="Times New Roman"/>
                <w:color w:val="auto"/>
                <w:sz w:val="24"/>
                <w:highlight w:val="none"/>
              </w:rPr>
              <w:t>），用于原辅材料存储。临时工程各功能区与施工流程匹配且布局紧凑、无残留污染，便于后期复垦，选址具备合理性。</w:t>
            </w:r>
          </w:p>
          <w:p w14:paraId="6F446BA4">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项目近距离环境保护目标为周边500m内村庄居民点及农田生态系统。对居民点，明确作业时段（避开夜间22：00-次日6：00），通过设置围挡、洒水降尘等控制扬尘和噪声；对农田，按</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谁损毁，谁复垦</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原则，施工前剥离耕作层土壤并防护，施工后回填改良，恢复农业耕作功能。项目区及周边范围内无自然保护区、风景名胜区、世界文化和自然遗产、饮用水水源保护区等法定敏感区域；无医疗卫生、文化教育、科研、行政办公等特殊功能区域，无文物保护单位及具有特殊历史、文化、科学、民族意义的保护地，不存在重大环境制约因素。</w:t>
            </w:r>
          </w:p>
          <w:p w14:paraId="092FE91E">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auto"/>
                <w:highlight w:val="none"/>
              </w:rPr>
              <w:t>综上，本项目选址因客观条件无法比选避让，环境影响可通过针对性措施有效控制，配套复垦方案保障生态恢复，选址合理可行。</w:t>
            </w:r>
          </w:p>
          <w:p w14:paraId="2F24BAB0">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10</w:t>
            </w:r>
            <w:r>
              <w:rPr>
                <w:rFonts w:ascii="Times New Roman" w:hAnsi="Times New Roman"/>
                <w:b/>
                <w:bCs/>
                <w:color w:val="auto"/>
                <w:highlight w:val="none"/>
              </w:rPr>
              <w:t>、与《淮南市扬尘污染防治条例》符合性分析</w:t>
            </w:r>
          </w:p>
          <w:p w14:paraId="140EE33E">
            <w:pPr>
              <w:autoSpaceDE w:val="0"/>
              <w:autoSpaceDN w:val="0"/>
              <w:adjustRightInd w:val="0"/>
              <w:snapToGrid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淮南市扬尘污染防治条例要求，施工单位应当制定并落实具体的施工扬尘污染防治实施方案，在施工现场出入口公示扬尘污染防治措施、责任主体及责任人、环保监督员、扬尘监管主管部门等有关信息，接受社会和公众监督。施工现场设置密闭硬质围挡，出入口、主要道路和场区应当硬化，设置车辆出入冲洗和污水收集设施，车辆冲洗干净后方可驶出；产生的建筑垃圾和渣土，采用封闭方式清运，不能及时清运的，应当采取覆盖防尘布、防尘网等措施；本项目建设过程中严格按照《淮南市扬尘污染防治条例》相关要求执行，文明施工、绿色施工。项目建设符合淮南市扬尘污染防治条例要求。</w:t>
            </w:r>
          </w:p>
          <w:p w14:paraId="411A5DD6">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11、与《深入打好重污染天气消除、臭氧污染防治和柴油货车污染治理攻坚战行动方案》的通知符合性分析</w:t>
            </w:r>
          </w:p>
          <w:p w14:paraId="0986BDA4">
            <w:pPr>
              <w:spacing w:after="0" w:line="360" w:lineRule="auto"/>
              <w:ind w:firstLine="480" w:firstLineChars="200"/>
              <w:rPr>
                <w:rFonts w:hint="eastAsia" w:ascii="Times New Roman" w:hAnsi="Times New Roman" w:eastAsia="宋体"/>
                <w:color w:val="auto"/>
                <w:kern w:val="0"/>
                <w:sz w:val="24"/>
                <w:highlight w:val="none"/>
                <w:lang w:eastAsia="zh-CN"/>
              </w:rPr>
            </w:pPr>
            <w:r>
              <w:rPr>
                <w:rFonts w:hint="eastAsia" w:ascii="Times New Roman" w:hAnsi="Times New Roman"/>
                <w:color w:val="auto"/>
                <w:kern w:val="0"/>
                <w:sz w:val="24"/>
                <w:highlight w:val="none"/>
              </w:rPr>
              <w:t>根据《深入打好重污染天气消除、臭氧污染防治和柴油货车污染治理攻坚战行动方案》的通知（环大气</w:t>
            </w:r>
            <w:r>
              <w:rPr>
                <w:rFonts w:ascii="Times New Roman" w:hAnsi="Times New Roman"/>
                <w:b/>
                <w:bCs/>
                <w:color w:val="auto"/>
                <w:sz w:val="24"/>
                <w:highlight w:val="none"/>
              </w:rPr>
              <w:t>〔</w:t>
            </w:r>
            <w:r>
              <w:rPr>
                <w:rFonts w:hint="eastAsia" w:ascii="Times New Roman" w:hAnsi="Times New Roman"/>
                <w:color w:val="auto"/>
                <w:kern w:val="0"/>
                <w:sz w:val="24"/>
                <w:highlight w:val="none"/>
              </w:rPr>
              <w:t>2022</w:t>
            </w:r>
            <w:r>
              <w:rPr>
                <w:rFonts w:ascii="Times New Roman" w:hAnsi="Times New Roman"/>
                <w:b/>
                <w:bCs/>
                <w:color w:val="auto"/>
                <w:sz w:val="24"/>
                <w:highlight w:val="none"/>
              </w:rPr>
              <w:t>〕</w:t>
            </w:r>
            <w:r>
              <w:rPr>
                <w:rFonts w:hint="eastAsia" w:ascii="Times New Roman" w:hAnsi="Times New Roman"/>
                <w:color w:val="auto"/>
                <w:kern w:val="0"/>
                <w:sz w:val="24"/>
                <w:highlight w:val="none"/>
              </w:rPr>
              <w:t>68号）中相关规定：</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统筹大气污染防治与</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双碳</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目标要求，开展大气减污降碳协同增效行动，将标志性战役任务措施与降碳措施一体谋划、一体推进优化调整产业、能源、运输结构，从源头减少大气污染物和碳排放促进产业绿色转型升级，坚决遏制高耗能、高排放、低水平项目盲目发展，开展传统产业集群升级改造。推动能源清洁低碳转型，开展分散、低效煤炭综合治理。构建绿色交通运输体系，加快推进</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公转铁</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公转水</w:t>
            </w:r>
            <w:r>
              <w:rPr>
                <w:rFonts w:hint="eastAsia" w:ascii="Times New Roman" w:hAnsi="Times New Roman"/>
                <w:color w:val="auto"/>
                <w:kern w:val="0"/>
                <w:sz w:val="24"/>
                <w:highlight w:val="none"/>
                <w:lang w:eastAsia="zh-CN"/>
              </w:rPr>
              <w:t>”</w:t>
            </w:r>
            <w:r>
              <w:rPr>
                <w:rFonts w:ascii="Times New Roman" w:hAnsi="Times New Roman"/>
                <w:color w:val="auto"/>
                <w:kern w:val="0"/>
                <w:sz w:val="24"/>
                <w:highlight w:val="none"/>
              </w:rPr>
              <w:t>，提高机动车船和非道路移动机械绿色低碳水平。强化挥发性有机物</w:t>
            </w:r>
            <w:r>
              <w:rPr>
                <w:rFonts w:hint="eastAsia" w:ascii="Times New Roman" w:hAnsi="Times New Roman"/>
                <w:color w:val="auto"/>
                <w:kern w:val="0"/>
                <w:sz w:val="24"/>
                <w:highlight w:val="none"/>
              </w:rPr>
              <w:t>（</w:t>
            </w:r>
            <w:r>
              <w:rPr>
                <w:rFonts w:ascii="Times New Roman" w:hAnsi="Times New Roman"/>
                <w:color w:val="auto"/>
                <w:kern w:val="0"/>
                <w:sz w:val="24"/>
                <w:highlight w:val="none"/>
              </w:rPr>
              <w:t>VOCs</w:t>
            </w:r>
            <w:r>
              <w:rPr>
                <w:rFonts w:hint="eastAsia" w:ascii="Times New Roman" w:hAnsi="Times New Roman"/>
                <w:color w:val="auto"/>
                <w:kern w:val="0"/>
                <w:sz w:val="24"/>
                <w:highlight w:val="none"/>
              </w:rPr>
              <w:t>）</w:t>
            </w:r>
            <w:r>
              <w:rPr>
                <w:rFonts w:ascii="Times New Roman" w:hAnsi="Times New Roman"/>
                <w:color w:val="auto"/>
                <w:kern w:val="0"/>
                <w:sz w:val="24"/>
                <w:highlight w:val="none"/>
              </w:rPr>
              <w:t>、氨氧化物等多污染物协同减排，以石化、化工、涂装、制药、包装印刷和油品储运销等为重点，加强VOCs源头、过程、末端全流程治理</w:t>
            </w:r>
            <w:r>
              <w:rPr>
                <w:rFonts w:hint="eastAsia" w:ascii="Times New Roman" w:hAnsi="Times New Roman"/>
                <w:color w:val="auto"/>
                <w:kern w:val="0"/>
                <w:sz w:val="24"/>
                <w:highlight w:val="none"/>
              </w:rPr>
              <w:t>；</w:t>
            </w:r>
            <w:r>
              <w:rPr>
                <w:rFonts w:ascii="Times New Roman" w:hAnsi="Times New Roman"/>
                <w:color w:val="auto"/>
                <w:kern w:val="0"/>
                <w:sz w:val="24"/>
                <w:highlight w:val="none"/>
              </w:rPr>
              <w:t>持续推进钢铁行业超低排放改造，出台焦化、水泥行业超低排放改造方案</w:t>
            </w:r>
            <w:r>
              <w:rPr>
                <w:rFonts w:hint="eastAsia" w:ascii="Times New Roman" w:hAnsi="Times New Roman"/>
                <w:color w:val="auto"/>
                <w:kern w:val="0"/>
                <w:sz w:val="24"/>
                <w:highlight w:val="none"/>
              </w:rPr>
              <w:t>；</w:t>
            </w:r>
            <w:r>
              <w:rPr>
                <w:rFonts w:ascii="Times New Roman" w:hAnsi="Times New Roman"/>
                <w:color w:val="auto"/>
                <w:kern w:val="0"/>
                <w:sz w:val="24"/>
                <w:highlight w:val="none"/>
              </w:rPr>
              <w:t>开展低效治理设施全面提升改造工程，严把治理工程质量，多措并举治理低价中标乱象，对工程质量低劣、环保设施运营管理水平低甚至存在弄虚作假行为的企业、环保公司和运维机构加大联合惩戒力度。统筹做好大气污染防治过程中安全防范工作。</w:t>
            </w:r>
            <w:r>
              <w:rPr>
                <w:rFonts w:hint="eastAsia" w:ascii="Times New Roman" w:hAnsi="Times New Roman"/>
                <w:color w:val="auto"/>
                <w:kern w:val="0"/>
                <w:sz w:val="24"/>
                <w:highlight w:val="none"/>
                <w:lang w:eastAsia="zh-CN"/>
              </w:rPr>
              <w:t>”</w:t>
            </w:r>
          </w:p>
          <w:p w14:paraId="6E914E22">
            <w:pPr>
              <w:spacing w:after="0" w:line="360" w:lineRule="auto"/>
              <w:ind w:firstLine="480" w:firstLineChars="200"/>
              <w:rPr>
                <w:rFonts w:hint="eastAsia" w:ascii="Times New Roman" w:hAnsi="Times New Roman"/>
                <w:b/>
                <w:bCs/>
                <w:color w:val="auto"/>
                <w:kern w:val="0"/>
                <w:sz w:val="24"/>
                <w:highlight w:val="none"/>
                <w:lang w:val="en-US" w:eastAsia="zh-CN"/>
              </w:rPr>
            </w:pPr>
            <w:r>
              <w:rPr>
                <w:rFonts w:ascii="Times New Roman" w:hAnsi="Times New Roman"/>
                <w:color w:val="auto"/>
                <w:kern w:val="0"/>
                <w:sz w:val="24"/>
                <w:highlight w:val="none"/>
              </w:rPr>
              <w:t>本项目为</w:t>
            </w:r>
            <w:r>
              <w:rPr>
                <w:rFonts w:hint="eastAsia" w:ascii="Times New Roman" w:hAnsi="Times New Roman"/>
                <w:color w:val="auto"/>
                <w:kern w:val="0"/>
                <w:sz w:val="24"/>
                <w:highlight w:val="none"/>
              </w:rPr>
              <w:t>盾构机探查钻孔项目</w:t>
            </w:r>
            <w:r>
              <w:rPr>
                <w:rFonts w:ascii="Times New Roman" w:hAnsi="Times New Roman"/>
                <w:color w:val="auto"/>
                <w:kern w:val="0"/>
                <w:sz w:val="24"/>
                <w:highlight w:val="none"/>
              </w:rPr>
              <w:t>，属于煤炭产业前期地质勘查环节，不涉及工业生产、交通运输及VOCs等污染物排放环节，其建设是为后续煤炭资源绿色开发提供基础支撑，契合《深入打好重污染天气消除、臭氧污染防治和柴油货车污染治理攻坚战行动方案》中优化产业能源结构、推动能源清洁低碳转型、从源头减少大气污染物和碳排放的要求，且不涉及方案中重点管控的高耗能高排放领域及污染环节，符合该行动方案的通知要求。</w:t>
            </w:r>
          </w:p>
          <w:p w14:paraId="47997470">
            <w:pPr>
              <w:spacing w:after="0" w:line="360" w:lineRule="auto"/>
              <w:ind w:firstLine="482" w:firstLineChars="200"/>
              <w:rPr>
                <w:rFonts w:hint="eastAsia" w:ascii="Times New Roman" w:hAnsi="Times New Roman"/>
                <w:b/>
                <w:bCs/>
                <w:color w:val="auto"/>
                <w:kern w:val="0"/>
                <w:sz w:val="24"/>
                <w:highlight w:val="none"/>
                <w:lang w:val="en-US" w:eastAsia="zh-CN"/>
              </w:rPr>
            </w:pPr>
            <w:r>
              <w:rPr>
                <w:rFonts w:hint="eastAsia" w:ascii="Times New Roman" w:hAnsi="Times New Roman"/>
                <w:b/>
                <w:bCs/>
                <w:color w:val="auto"/>
                <w:kern w:val="0"/>
                <w:sz w:val="24"/>
                <w:highlight w:val="none"/>
                <w:lang w:val="en-US" w:eastAsia="zh-CN"/>
              </w:rPr>
              <w:t>12、与《淮南市“十四五”生态环境保护规划》符合性分析</w:t>
            </w:r>
          </w:p>
          <w:p w14:paraId="3E4B1092">
            <w:pPr>
              <w:spacing w:after="0" w:line="360" w:lineRule="auto"/>
              <w:ind w:firstLine="480" w:firstLineChars="200"/>
              <w:rPr>
                <w:rFonts w:hint="default" w:ascii="Times New Roman" w:hAnsi="Times New Roman"/>
                <w:color w:val="auto"/>
                <w:kern w:val="0"/>
                <w:sz w:val="24"/>
                <w:highlight w:val="none"/>
                <w:lang w:val="en-US" w:eastAsia="zh-CN"/>
              </w:rPr>
            </w:pPr>
            <w:r>
              <w:rPr>
                <w:rFonts w:hint="default" w:ascii="Times New Roman" w:hAnsi="Times New Roman"/>
                <w:color w:val="auto"/>
                <w:kern w:val="0"/>
                <w:sz w:val="24"/>
                <w:highlight w:val="none"/>
                <w:lang w:val="en-US" w:eastAsia="zh-CN"/>
              </w:rPr>
              <w:t>根据《淮南市</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十四五</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生态环境保护规划》中与本项目密切相关的要求主要包含以下内容：一是煤炭产业绿色转型，明确提出打造国家煤炭绿色开发利用基地，支持煤炭安全高效开采及配套辅助工程建设，要求优化产业结构，推动煤炭产业与生态保护协同发展；二是污染防治攻坚，深入推进蓝天、碧水、净土保卫战，其中大气污染防治要求严格管控施工扬尘（落实</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六个百分之百</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 xml:space="preserve"> 防控措施）和移动源尾气排放，水污染防治强调</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三水统筹</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，严控废水外排，鼓励水资源循环利用，土壤与固废污染防治要求规范固体废物分类处置，强化施工期土壤保护；三是生态保护与修复，明确</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谁损毁、谁修复</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原则，要求临时用地施工前剥离表土并专项防护，施工后及时开展复垦，恢复原有土地功能，同时严守生态保护红线，落实</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三线一单</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分区管控，避免占用敏感生态区域。</w:t>
            </w:r>
          </w:p>
          <w:p w14:paraId="119E16D1">
            <w:pPr>
              <w:spacing w:after="0" w:line="360" w:lineRule="auto"/>
              <w:ind w:firstLine="480" w:firstLineChars="200"/>
              <w:rPr>
                <w:rFonts w:hint="default" w:ascii="Times New Roman" w:hAnsi="Times New Roman"/>
                <w:color w:val="auto"/>
                <w:kern w:val="0"/>
                <w:sz w:val="24"/>
                <w:highlight w:val="none"/>
                <w:lang w:val="en-US" w:eastAsia="zh-CN"/>
              </w:rPr>
            </w:pPr>
            <w:r>
              <w:rPr>
                <w:rFonts w:hint="default" w:ascii="Times New Roman" w:hAnsi="Times New Roman"/>
                <w:color w:val="auto"/>
                <w:kern w:val="0"/>
                <w:sz w:val="24"/>
                <w:highlight w:val="none"/>
                <w:lang w:val="en-US" w:eastAsia="zh-CN"/>
              </w:rPr>
              <w:t>项目属于国家鼓励类的矿产资源地质勘查项目，通过精准探查地质数据为煤矿安全高效开采规避风险；项目严格落实扬尘</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六个百分之百</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管控、施工机械尾气达标排放，钻井废水、车辆清洗废水循环回用，生活污水经化粪池处理后农肥利用，无废水外排，钻井泥浆、岩芯碎屑等固废资源化利用，废润滑油等危废规范暂存处置；项目临时用地不占用生态保护红线，施工前剥离表土并采取拦挡、苫盖等防护措施，施工后12个月内完成表土回填、增施有机肥等复垦工作，恢复耕地功能，严格履行</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谁损毁、谁修复</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的复垦责任。</w:t>
            </w:r>
          </w:p>
          <w:p w14:paraId="57681B9F">
            <w:pPr>
              <w:spacing w:after="0" w:line="360" w:lineRule="auto"/>
              <w:ind w:firstLine="480" w:firstLineChars="200"/>
              <w:rPr>
                <w:rFonts w:hint="default" w:ascii="Times New Roman" w:hAnsi="Times New Roman"/>
                <w:color w:val="auto"/>
                <w:kern w:val="0"/>
                <w:sz w:val="24"/>
                <w:highlight w:val="none"/>
                <w:lang w:val="en-US" w:eastAsia="zh-CN"/>
              </w:rPr>
            </w:pPr>
            <w:r>
              <w:rPr>
                <w:rFonts w:hint="default" w:ascii="Times New Roman" w:hAnsi="Times New Roman"/>
                <w:color w:val="auto"/>
                <w:kern w:val="0"/>
                <w:sz w:val="24"/>
                <w:highlight w:val="none"/>
                <w:lang w:val="en-US" w:eastAsia="zh-CN"/>
              </w:rPr>
              <w:t>综上，本项目的建设内容、环保措施符合《淮南市</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十四五</w:t>
            </w:r>
            <w:r>
              <w:rPr>
                <w:rFonts w:hint="eastAsia" w:ascii="Times New Roman" w:hAnsi="Times New Roman"/>
                <w:color w:val="auto"/>
                <w:kern w:val="0"/>
                <w:sz w:val="24"/>
                <w:highlight w:val="none"/>
                <w:lang w:val="en-US" w:eastAsia="zh-CN"/>
              </w:rPr>
              <w:t>”</w:t>
            </w:r>
            <w:r>
              <w:rPr>
                <w:rFonts w:hint="default" w:ascii="Times New Roman" w:hAnsi="Times New Roman"/>
                <w:color w:val="auto"/>
                <w:kern w:val="0"/>
                <w:sz w:val="24"/>
                <w:highlight w:val="none"/>
                <w:lang w:val="en-US" w:eastAsia="zh-CN"/>
              </w:rPr>
              <w:t>生态环境保护规划》相关规定。</w:t>
            </w:r>
          </w:p>
        </w:tc>
      </w:tr>
    </w:tbl>
    <w:p w14:paraId="47403391">
      <w:pPr>
        <w:spacing w:line="360" w:lineRule="auto"/>
        <w:outlineLvl w:val="0"/>
        <w:rPr>
          <w:rFonts w:ascii="Times New Roman" w:hAnsi="Times New Roman" w:eastAsia="黑体"/>
          <w:color w:val="auto"/>
          <w:sz w:val="30"/>
          <w:highlight w:val="none"/>
        </w:rPr>
        <w:sectPr>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p w14:paraId="6622D6AC">
      <w:pPr>
        <w:pStyle w:val="20"/>
        <w:pageBreakBefore/>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bookmarkStart w:id="5" w:name="_Toc11614"/>
      <w:r>
        <w:rPr>
          <w:rFonts w:hint="eastAsia" w:ascii="Times New Roman" w:hAnsi="Times New Roman" w:eastAsia="黑体"/>
          <w:snapToGrid w:val="0"/>
          <w:color w:val="auto"/>
          <w:sz w:val="30"/>
          <w:szCs w:val="30"/>
          <w:highlight w:val="none"/>
        </w:rPr>
        <w:t>二、</w:t>
      </w:r>
      <w:r>
        <w:rPr>
          <w:rFonts w:ascii="Times New Roman" w:hAnsi="Times New Roman" w:eastAsia="黑体"/>
          <w:snapToGrid w:val="0"/>
          <w:color w:val="auto"/>
          <w:sz w:val="30"/>
          <w:szCs w:val="30"/>
          <w:highlight w:val="none"/>
        </w:rPr>
        <w:t>建设内容</w:t>
      </w:r>
      <w:bookmarkEnd w:id="5"/>
    </w:p>
    <w:tbl>
      <w:tblPr>
        <w:tblStyle w:val="22"/>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068"/>
      </w:tblGrid>
      <w:tr w14:paraId="304923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12" w:hRule="atLeast"/>
          <w:jc w:val="center"/>
        </w:trPr>
        <w:tc>
          <w:tcPr>
            <w:tcW w:w="454" w:type="dxa"/>
            <w:vAlign w:val="center"/>
          </w:tcPr>
          <w:p w14:paraId="009105ED">
            <w:pPr>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地理位置</w:t>
            </w:r>
          </w:p>
        </w:tc>
        <w:tc>
          <w:tcPr>
            <w:tcW w:w="8068" w:type="dxa"/>
            <w:vAlign w:val="center"/>
          </w:tcPr>
          <w:p w14:paraId="1CE714F3">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项目位于安徽省淮南市潘集区贺疃镇境内，项目地理位置图见附图1。</w:t>
            </w:r>
          </w:p>
        </w:tc>
      </w:tr>
      <w:tr w14:paraId="736863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dxa"/>
            <w:vAlign w:val="center"/>
          </w:tcPr>
          <w:p w14:paraId="3D8587FB">
            <w:pPr>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项目组成及规模</w:t>
            </w:r>
          </w:p>
        </w:tc>
        <w:tc>
          <w:tcPr>
            <w:tcW w:w="8068" w:type="dxa"/>
            <w:vAlign w:val="center"/>
          </w:tcPr>
          <w:p w14:paraId="1A47F1FE">
            <w:pPr>
              <w:spacing w:after="0" w:line="360" w:lineRule="auto"/>
              <w:ind w:firstLine="482" w:firstLineChars="200"/>
              <w:rPr>
                <w:rFonts w:ascii="Times New Roman" w:hAnsi="Times New Roman"/>
                <w:b/>
                <w:color w:val="auto"/>
                <w:sz w:val="24"/>
                <w:highlight w:val="none"/>
              </w:rPr>
            </w:pPr>
            <w:r>
              <w:rPr>
                <w:rFonts w:ascii="Times New Roman" w:hAnsi="Times New Roman"/>
                <w:b/>
                <w:color w:val="auto"/>
                <w:sz w:val="24"/>
                <w:highlight w:val="none"/>
              </w:rPr>
              <w:t>1、项目建设背景</w:t>
            </w:r>
          </w:p>
          <w:p w14:paraId="5E53518E">
            <w:pPr>
              <w:tabs>
                <w:tab w:val="left" w:pos="4815"/>
              </w:tabs>
              <w:spacing w:after="0" w:line="360" w:lineRule="auto"/>
              <w:ind w:firstLine="480" w:firstLineChars="200"/>
              <w:rPr>
                <w:rFonts w:hint="eastAsia" w:ascii="Times New Roman" w:hAnsi="Times New Roman"/>
                <w:bCs/>
                <w:color w:val="auto"/>
                <w:sz w:val="24"/>
                <w:highlight w:val="none"/>
              </w:rPr>
            </w:pPr>
            <w:r>
              <w:rPr>
                <w:rFonts w:hint="eastAsia" w:ascii="Times New Roman" w:hAnsi="Times New Roman"/>
                <w:bCs/>
                <w:color w:val="auto"/>
                <w:sz w:val="24"/>
                <w:highlight w:val="none"/>
              </w:rPr>
              <w:t>根据朱集西煤矿2026年度工程计划及采掘接替安排，矿井规划对东翼11煤轨道大巷+东部区域轨道+东部区域回风巷采用盾构机开展巷道掘进作业。盾构掘进工艺对巷道前方煤层、岩层、地质构造、水文地质条件的探查精度要求很高。区域推测发育12层可采煤层，但煤层赋存稳定性、顶底板岩性特征均需要钻探实物予以验证；区域新生界松散层厚度350～400m，发育四个含水层与三个隔水层，基岩段二叠系上、下石盒子组及山西组砂岩裂隙水为煤层主要含水来源，煤系砂岩富水性受裂隙发育不均一影响，空间差异较大。如果前期地质条件探查不清，盾构施工过程中极易遭遇隐伏断层、岩层破碎带、含水层突水等重大安全隐患。</w:t>
            </w:r>
          </w:p>
          <w:p w14:paraId="1A52F1D6">
            <w:pPr>
              <w:tabs>
                <w:tab w:val="left" w:pos="4815"/>
              </w:tabs>
              <w:spacing w:after="0" w:line="360" w:lineRule="auto"/>
              <w:ind w:firstLine="480" w:firstLineChars="200"/>
              <w:rPr>
                <w:rFonts w:hint="eastAsia" w:ascii="Times New Roman" w:hAnsi="Times New Roman"/>
                <w:bCs/>
                <w:color w:val="auto"/>
                <w:sz w:val="24"/>
                <w:highlight w:val="none"/>
              </w:rPr>
            </w:pPr>
            <w:r>
              <w:rPr>
                <w:rFonts w:hint="eastAsia" w:ascii="Times New Roman" w:hAnsi="Times New Roman"/>
                <w:bCs/>
                <w:color w:val="auto"/>
                <w:sz w:val="24"/>
                <w:highlight w:val="none"/>
              </w:rPr>
              <w:t>整个盾构机地面探查工程共计设计19个钻孔，总设计工程量19117m，钻孔终孔深度均以穿过11</w:t>
            </w:r>
            <w:r>
              <w:rPr>
                <w:rFonts w:hint="eastAsia" w:ascii="Times New Roman" w:hAnsi="Times New Roman"/>
                <w:bCs/>
                <w:color w:val="auto"/>
                <w:sz w:val="24"/>
                <w:highlight w:val="none"/>
                <w:lang w:val="en-US" w:eastAsia="zh-CN"/>
              </w:rPr>
              <w:t>-</w:t>
            </w:r>
            <w:r>
              <w:rPr>
                <w:rFonts w:hint="eastAsia" w:ascii="Times New Roman" w:hAnsi="Times New Roman"/>
                <w:bCs/>
                <w:color w:val="auto"/>
                <w:sz w:val="24"/>
                <w:highlight w:val="none"/>
              </w:rPr>
              <w:t>1煤为标准，各钻孔自17煤至终孔实施全取芯。通过地面钻探手段获取</w:t>
            </w:r>
            <w:r>
              <w:rPr>
                <w:rFonts w:hint="eastAsia" w:ascii="Times New Roman" w:hAnsi="Times New Roman"/>
                <w:bCs/>
                <w:color w:val="auto"/>
                <w:sz w:val="24"/>
                <w:highlight w:val="none"/>
                <w:lang w:eastAsia="zh-CN"/>
              </w:rPr>
              <w:t>“</w:t>
            </w:r>
            <w:r>
              <w:rPr>
                <w:rFonts w:hint="eastAsia" w:ascii="Times New Roman" w:hAnsi="Times New Roman"/>
                <w:bCs/>
                <w:color w:val="auto"/>
                <w:sz w:val="24"/>
                <w:highlight w:val="none"/>
              </w:rPr>
              <w:t>煤（岩）层</w:t>
            </w:r>
            <w:r>
              <w:rPr>
                <w:rFonts w:hint="eastAsia" w:ascii="Times New Roman" w:hAnsi="Times New Roman"/>
                <w:bCs/>
                <w:color w:val="auto"/>
                <w:sz w:val="24"/>
                <w:highlight w:val="none"/>
                <w:lang w:val="en-US" w:eastAsia="zh-CN"/>
              </w:rPr>
              <w:t>-</w:t>
            </w:r>
            <w:r>
              <w:rPr>
                <w:rFonts w:hint="eastAsia" w:ascii="Times New Roman" w:hAnsi="Times New Roman"/>
                <w:bCs/>
                <w:color w:val="auto"/>
                <w:sz w:val="24"/>
                <w:highlight w:val="none"/>
              </w:rPr>
              <w:t>构造</w:t>
            </w:r>
            <w:r>
              <w:rPr>
                <w:rFonts w:hint="eastAsia" w:ascii="Times New Roman" w:hAnsi="Times New Roman"/>
                <w:bCs/>
                <w:color w:val="auto"/>
                <w:sz w:val="24"/>
                <w:highlight w:val="none"/>
                <w:lang w:val="en-US" w:eastAsia="zh-CN"/>
              </w:rPr>
              <w:t>-</w:t>
            </w:r>
            <w:r>
              <w:rPr>
                <w:rFonts w:hint="eastAsia" w:ascii="Times New Roman" w:hAnsi="Times New Roman"/>
                <w:bCs/>
                <w:color w:val="auto"/>
                <w:sz w:val="24"/>
                <w:highlight w:val="none"/>
              </w:rPr>
              <w:t>水文</w:t>
            </w:r>
            <w:r>
              <w:rPr>
                <w:rFonts w:hint="eastAsia" w:ascii="Times New Roman" w:hAnsi="Times New Roman"/>
                <w:bCs/>
                <w:color w:val="auto"/>
                <w:sz w:val="24"/>
                <w:highlight w:val="none"/>
                <w:lang w:eastAsia="zh-CN"/>
              </w:rPr>
              <w:t>”</w:t>
            </w:r>
            <w:r>
              <w:rPr>
                <w:rFonts w:hint="eastAsia" w:ascii="Times New Roman" w:hAnsi="Times New Roman"/>
                <w:bCs/>
                <w:color w:val="auto"/>
                <w:sz w:val="24"/>
                <w:highlight w:val="none"/>
              </w:rPr>
              <w:t>三维地质数据，查明盾构掘进线路前方地质条件，为盾构机掘进方案优化、地质灾害风险预判、巷道支护参数设计提供可靠的第一手地质资料，保障东翼巷道盾构机安全、高效推进，同时为朱集西煤矿后续采掘生产提供地质支撑。</w:t>
            </w:r>
          </w:p>
          <w:p w14:paraId="086831F2">
            <w:pPr>
              <w:spacing w:after="0" w:line="360" w:lineRule="auto"/>
              <w:ind w:firstLine="482" w:firstLineChars="200"/>
              <w:rPr>
                <w:rFonts w:ascii="Times New Roman" w:hAnsi="Times New Roman"/>
                <w:b/>
                <w:bCs/>
                <w:color w:val="auto"/>
                <w:sz w:val="24"/>
                <w:highlight w:val="none"/>
                <w:shd w:val="clear" w:color="auto" w:fill="FFFFFF"/>
              </w:rPr>
            </w:pPr>
            <w:r>
              <w:rPr>
                <w:rFonts w:ascii="Times New Roman" w:hAnsi="Times New Roman"/>
                <w:b/>
                <w:bCs/>
                <w:color w:val="auto"/>
                <w:sz w:val="24"/>
                <w:highlight w:val="none"/>
                <w:shd w:val="clear" w:color="auto" w:fill="FFFFFF"/>
              </w:rPr>
              <w:t>2、项目概况</w:t>
            </w:r>
          </w:p>
          <w:p w14:paraId="6754C4CB">
            <w:pPr>
              <w:adjustRightInd w:val="0"/>
              <w:snapToGrid w:val="0"/>
              <w:spacing w:after="0" w:line="360" w:lineRule="auto"/>
              <w:ind w:firstLine="480" w:firstLineChars="200"/>
              <w:rPr>
                <w:rFonts w:ascii="Times New Roman" w:hAnsi="Times New Roman"/>
                <w:b/>
                <w:color w:val="auto"/>
                <w:sz w:val="24"/>
                <w:highlight w:val="none"/>
              </w:rPr>
            </w:pPr>
            <w:r>
              <w:rPr>
                <w:rFonts w:ascii="Times New Roman" w:hAnsi="Times New Roman"/>
                <w:color w:val="auto"/>
                <w:sz w:val="24"/>
                <w:highlight w:val="none"/>
              </w:rPr>
              <w:t>中安联合煤化有限责任公司在安徽省淮南市潘集区贺疃镇境内建设</w:t>
            </w:r>
            <w:r>
              <w:rPr>
                <w:rFonts w:hint="eastAsia" w:ascii="Times New Roman" w:hAnsi="Times New Roman"/>
                <w:color w:val="auto"/>
                <w:sz w:val="24"/>
                <w:highlight w:val="none"/>
              </w:rPr>
              <w:t>朱集西煤矿盾构机施工巷道地面钻孔探查项目</w:t>
            </w:r>
            <w:r>
              <w:rPr>
                <w:rFonts w:ascii="Times New Roman" w:hAnsi="Times New Roman"/>
                <w:color w:val="auto"/>
                <w:sz w:val="24"/>
                <w:highlight w:val="none"/>
              </w:rPr>
              <w:t>。项目于202</w:t>
            </w:r>
            <w:r>
              <w:rPr>
                <w:rFonts w:hint="eastAsia" w:ascii="Times New Roman" w:hAnsi="Times New Roman"/>
                <w:color w:val="auto"/>
                <w:sz w:val="24"/>
                <w:highlight w:val="none"/>
                <w:lang w:val="en-US" w:eastAsia="zh-CN"/>
              </w:rPr>
              <w:t>6</w:t>
            </w:r>
            <w:r>
              <w:rPr>
                <w:rFonts w:ascii="Times New Roman" w:hAnsi="Times New Roman"/>
                <w:color w:val="auto"/>
                <w:sz w:val="24"/>
                <w:highlight w:val="none"/>
              </w:rPr>
              <w:t>年</w:t>
            </w:r>
            <w:r>
              <w:rPr>
                <w:rFonts w:hint="eastAsia" w:ascii="Times New Roman" w:hAnsi="Times New Roman"/>
                <w:color w:val="auto"/>
                <w:sz w:val="24"/>
                <w:highlight w:val="none"/>
                <w:lang w:val="en-US" w:eastAsia="zh-CN"/>
              </w:rPr>
              <w:t>6</w:t>
            </w:r>
            <w:r>
              <w:rPr>
                <w:rFonts w:ascii="Times New Roman" w:hAnsi="Times New Roman"/>
                <w:color w:val="auto"/>
                <w:sz w:val="24"/>
                <w:highlight w:val="none"/>
              </w:rPr>
              <w:t>月</w:t>
            </w:r>
            <w:r>
              <w:rPr>
                <w:rFonts w:hint="eastAsia" w:ascii="Times New Roman" w:hAnsi="Times New Roman"/>
                <w:color w:val="auto"/>
                <w:sz w:val="24"/>
                <w:highlight w:val="none"/>
                <w:lang w:val="en-US" w:eastAsia="zh-CN"/>
              </w:rPr>
              <w:t>9</w:t>
            </w:r>
            <w:r>
              <w:rPr>
                <w:rFonts w:ascii="Times New Roman" w:hAnsi="Times New Roman"/>
                <w:color w:val="auto"/>
                <w:sz w:val="24"/>
                <w:highlight w:val="none"/>
              </w:rPr>
              <w:t>日经潘集区发展和改革委员会立项备案，备案编号为：</w:t>
            </w:r>
            <w:r>
              <w:rPr>
                <w:rFonts w:hint="eastAsia" w:ascii="Times New Roman" w:hAnsi="Times New Roman"/>
                <w:color w:val="auto"/>
                <w:sz w:val="24"/>
                <w:highlight w:val="none"/>
              </w:rPr>
              <w:t>2606-340406-04-01-971157</w:t>
            </w:r>
            <w:r>
              <w:rPr>
                <w:rFonts w:ascii="Times New Roman" w:hAnsi="Times New Roman"/>
                <w:color w:val="auto"/>
                <w:sz w:val="24"/>
                <w:highlight w:val="none"/>
              </w:rPr>
              <w:t>，项目总投资</w:t>
            </w:r>
            <w:r>
              <w:rPr>
                <w:rFonts w:hint="eastAsia" w:ascii="Times New Roman" w:hAnsi="Times New Roman"/>
                <w:color w:val="auto"/>
                <w:sz w:val="24"/>
                <w:highlight w:val="none"/>
                <w:lang w:val="en-US" w:eastAsia="zh-CN"/>
              </w:rPr>
              <w:t>795.666</w:t>
            </w:r>
            <w:r>
              <w:rPr>
                <w:rFonts w:ascii="Times New Roman" w:hAnsi="Times New Roman"/>
                <w:color w:val="auto"/>
                <w:sz w:val="24"/>
                <w:highlight w:val="none"/>
              </w:rPr>
              <w:t>万元。项目建设内容为：</w:t>
            </w:r>
            <w:r>
              <w:rPr>
                <w:rFonts w:hint="eastAsia" w:ascii="Times New Roman" w:hAnsi="Times New Roman"/>
                <w:color w:val="auto"/>
                <w:sz w:val="24"/>
                <w:highlight w:val="none"/>
                <w:shd w:val="clear" w:color="auto" w:fill="FFFFFF"/>
              </w:rPr>
              <w:t>新建19口地面地质探查钻孔</w:t>
            </w:r>
            <w:r>
              <w:rPr>
                <w:rFonts w:ascii="Times New Roman" w:hAnsi="Times New Roman"/>
                <w:color w:val="auto"/>
                <w:sz w:val="24"/>
                <w:highlight w:val="none"/>
                <w:shd w:val="clear" w:color="auto" w:fill="FFFFFF"/>
              </w:rPr>
              <w:t>。</w:t>
            </w:r>
          </w:p>
          <w:p w14:paraId="099CEE63">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shd w:val="clear" w:color="auto" w:fill="FFFFFF"/>
              </w:rPr>
              <w:t>本项目</w:t>
            </w:r>
            <w:r>
              <w:rPr>
                <w:rFonts w:hint="eastAsia" w:ascii="Times New Roman" w:hAnsi="Times New Roman"/>
                <w:color w:val="auto"/>
                <w:sz w:val="24"/>
                <w:highlight w:val="none"/>
                <w:shd w:val="clear" w:color="auto" w:fill="FFFFFF"/>
              </w:rPr>
              <w:t>为</w:t>
            </w:r>
            <w:r>
              <w:rPr>
                <w:rFonts w:ascii="Times New Roman" w:hAnsi="Times New Roman"/>
                <w:color w:val="auto"/>
                <w:sz w:val="24"/>
                <w:highlight w:val="none"/>
                <w:shd w:val="clear" w:color="auto" w:fill="FFFFFF"/>
              </w:rPr>
              <w:t>钻井工程，</w:t>
            </w:r>
            <w:r>
              <w:rPr>
                <w:rFonts w:ascii="Times New Roman" w:hAnsi="Times New Roman"/>
                <w:color w:val="auto"/>
                <w:sz w:val="24"/>
                <w:highlight w:val="none"/>
              </w:rPr>
              <w:t>根据《</w:t>
            </w:r>
            <w:r>
              <w:rPr>
                <w:rFonts w:ascii="宋体" w:hAnsi="宋体" w:eastAsia="宋体" w:cs="宋体"/>
                <w:color w:val="auto"/>
                <w:sz w:val="24"/>
                <w:szCs w:val="24"/>
              </w:rPr>
              <w:t>中华人民共和国生态环境法典</w:t>
            </w:r>
            <w:r>
              <w:rPr>
                <w:rFonts w:ascii="Times New Roman" w:hAnsi="Times New Roman"/>
                <w:color w:val="auto"/>
                <w:sz w:val="24"/>
                <w:highlight w:val="none"/>
              </w:rPr>
              <w:t>》、《建设项目环境保护</w:t>
            </w:r>
            <w:r>
              <w:rPr>
                <w:rFonts w:hint="eastAsia" w:ascii="Times New Roman" w:hAnsi="Times New Roman"/>
                <w:color w:val="auto"/>
                <w:sz w:val="24"/>
                <w:highlight w:val="none"/>
                <w:lang w:eastAsia="zh-CN"/>
              </w:rPr>
              <w:t>管理条例</w:t>
            </w:r>
            <w:r>
              <w:rPr>
                <w:rFonts w:ascii="Times New Roman" w:hAnsi="Times New Roman"/>
                <w:color w:val="auto"/>
                <w:sz w:val="24"/>
                <w:highlight w:val="none"/>
              </w:rPr>
              <w:t>》和《建设项目环境影响评价分类管理名录》（2021年版），本项目属于</w:t>
            </w:r>
            <w:r>
              <w:rPr>
                <w:rFonts w:hint="eastAsia" w:ascii="Times New Roman" w:hAnsi="Times New Roman"/>
                <w:color w:val="auto"/>
                <w:sz w:val="24"/>
                <w:highlight w:val="none"/>
                <w:lang w:eastAsia="zh-CN"/>
              </w:rPr>
              <w:t>“</w:t>
            </w:r>
            <w:r>
              <w:rPr>
                <w:rFonts w:ascii="Times New Roman" w:hAnsi="Times New Roman"/>
                <w:color w:val="auto"/>
                <w:sz w:val="24"/>
                <w:highlight w:val="none"/>
              </w:rPr>
              <w:t>四十六、专业技术服务业99中的陆地矿产资源地质勘查（含油气资源勘探）；二氧化碳地质封存中其他</w:t>
            </w:r>
            <w:r>
              <w:rPr>
                <w:rFonts w:hint="eastAsia" w:ascii="Times New Roman" w:hAnsi="Times New Roman"/>
                <w:color w:val="auto"/>
                <w:sz w:val="24"/>
                <w:highlight w:val="none"/>
                <w:lang w:eastAsia="zh-CN"/>
              </w:rPr>
              <w:t>”</w:t>
            </w:r>
            <w:r>
              <w:rPr>
                <w:rFonts w:ascii="Times New Roman" w:hAnsi="Times New Roman"/>
                <w:color w:val="auto"/>
                <w:sz w:val="24"/>
                <w:highlight w:val="none"/>
              </w:rPr>
              <w:t>，经查看该类别为编制环境影响报告表，因此，本项目应编制环境影响报告表。</w:t>
            </w:r>
          </w:p>
          <w:p w14:paraId="092038B7">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为了对建设项目可能造成的环境影响进行分析、预测和评估，依据《</w:t>
            </w:r>
            <w:r>
              <w:rPr>
                <w:rFonts w:ascii="宋体" w:hAnsi="宋体" w:eastAsia="宋体" w:cs="宋体"/>
                <w:color w:val="auto"/>
                <w:sz w:val="24"/>
                <w:szCs w:val="24"/>
              </w:rPr>
              <w:t>中华人民共和国生态环境法典</w:t>
            </w:r>
            <w:r>
              <w:rPr>
                <w:rFonts w:ascii="Times New Roman" w:hAnsi="Times New Roman"/>
                <w:color w:val="auto"/>
                <w:sz w:val="24"/>
                <w:highlight w:val="none"/>
              </w:rPr>
              <w:t>》和《建设项目环境保护管理条例》等相关法律法规，本项目需进行环境影响评价，中安联合煤化有限责任公司委托</w:t>
            </w:r>
            <w:r>
              <w:rPr>
                <w:rFonts w:hint="eastAsia" w:ascii="Times New Roman" w:hAnsi="Times New Roman"/>
                <w:color w:val="auto"/>
                <w:sz w:val="24"/>
                <w:highlight w:val="none"/>
                <w:lang w:eastAsia="zh-CN"/>
              </w:rPr>
              <w:t>禾美环保集团股份有限公司</w:t>
            </w:r>
            <w:r>
              <w:rPr>
                <w:rFonts w:ascii="Times New Roman" w:hAnsi="Times New Roman"/>
                <w:color w:val="auto"/>
                <w:sz w:val="24"/>
                <w:highlight w:val="none"/>
              </w:rPr>
              <w:t>对</w:t>
            </w:r>
            <w:r>
              <w:rPr>
                <w:rFonts w:hint="eastAsia" w:ascii="Times New Roman" w:hAnsi="Times New Roman"/>
                <w:color w:val="auto"/>
                <w:sz w:val="24"/>
                <w:highlight w:val="none"/>
                <w:lang w:eastAsia="zh-CN"/>
              </w:rPr>
              <w:t>“朱集西煤矿盾构机施工巷道地面钻孔探查项目”</w:t>
            </w:r>
            <w:r>
              <w:rPr>
                <w:rFonts w:ascii="Times New Roman" w:hAnsi="Times New Roman"/>
                <w:color w:val="auto"/>
                <w:sz w:val="24"/>
                <w:highlight w:val="none"/>
              </w:rPr>
              <w:t>进行环境影响评价工作。接受委托后我单位即组织有关技术人员进行现场踏勘、收集资料。依据国家环境保护有关文件和环境影响评价技术导则，编制了该项目环境影响报告表。</w:t>
            </w:r>
          </w:p>
          <w:p w14:paraId="78D57AD6">
            <w:pPr>
              <w:spacing w:after="0" w:line="360" w:lineRule="auto"/>
              <w:ind w:firstLine="482" w:firstLineChars="200"/>
              <w:rPr>
                <w:rFonts w:ascii="Times New Roman" w:hAnsi="Times New Roman"/>
                <w:b/>
                <w:bCs/>
                <w:color w:val="auto"/>
                <w:sz w:val="24"/>
                <w:highlight w:val="none"/>
                <w:shd w:val="clear" w:color="auto" w:fill="FFFFFF"/>
              </w:rPr>
            </w:pPr>
            <w:r>
              <w:rPr>
                <w:rFonts w:ascii="Times New Roman" w:hAnsi="Times New Roman"/>
                <w:b/>
                <w:bCs/>
                <w:color w:val="auto"/>
                <w:sz w:val="24"/>
                <w:highlight w:val="none"/>
                <w:shd w:val="clear" w:color="auto" w:fill="FFFFFF"/>
              </w:rPr>
              <w:t>3、项目概况</w:t>
            </w:r>
          </w:p>
          <w:p w14:paraId="25872B73">
            <w:pPr>
              <w:spacing w:after="0" w:line="360" w:lineRule="auto"/>
              <w:ind w:firstLine="480" w:firstLineChars="200"/>
              <w:rPr>
                <w:rFonts w:ascii="Times New Roman" w:hAnsi="Times New Roman"/>
                <w:color w:val="auto"/>
                <w:sz w:val="24"/>
                <w:highlight w:val="none"/>
                <w:shd w:val="clear" w:color="auto" w:fill="FFFFFF"/>
              </w:rPr>
            </w:pPr>
            <w:r>
              <w:rPr>
                <w:rFonts w:ascii="Times New Roman" w:hAnsi="Times New Roman"/>
                <w:color w:val="auto"/>
                <w:sz w:val="24"/>
                <w:highlight w:val="none"/>
                <w:shd w:val="clear" w:color="auto" w:fill="FFFFFF"/>
              </w:rPr>
              <w:t>项目的主要建设内容及规模见下表。</w:t>
            </w:r>
          </w:p>
          <w:p w14:paraId="2BA21F4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表2-</w:t>
            </w:r>
            <w:r>
              <w:rPr>
                <w:rFonts w:hint="eastAsia" w:ascii="Times New Roman" w:hAnsi="Times New Roman"/>
                <w:b/>
                <w:color w:val="auto"/>
                <w:szCs w:val="21"/>
                <w:highlight w:val="none"/>
              </w:rPr>
              <w:t>1</w:t>
            </w:r>
            <w:r>
              <w:rPr>
                <w:rFonts w:ascii="Times New Roman" w:hAnsi="Times New Roman"/>
                <w:b/>
                <w:color w:val="auto"/>
                <w:szCs w:val="21"/>
                <w:highlight w:val="none"/>
              </w:rPr>
              <w:t xml:space="preserve">  建设内容及规模一览表</w:t>
            </w:r>
          </w:p>
          <w:tbl>
            <w:tblPr>
              <w:tblStyle w:val="22"/>
              <w:tblW w:w="7831" w:type="dxa"/>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1236"/>
              <w:gridCol w:w="1276"/>
              <w:gridCol w:w="5319"/>
            </w:tblGrid>
            <w:tr w14:paraId="742BD4F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Align w:val="center"/>
                </w:tcPr>
                <w:p w14:paraId="0F4E8D8F">
                  <w:pPr>
                    <w:spacing w:after="0"/>
                    <w:jc w:val="center"/>
                    <w:rPr>
                      <w:rFonts w:ascii="Times New Roman" w:hAnsi="Times New Roman"/>
                      <w:color w:val="auto"/>
                      <w:szCs w:val="21"/>
                      <w:highlight w:val="none"/>
                    </w:rPr>
                  </w:pPr>
                  <w:r>
                    <w:rPr>
                      <w:rFonts w:ascii="Times New Roman" w:hAnsi="Times New Roman"/>
                      <w:color w:val="auto"/>
                      <w:szCs w:val="21"/>
                      <w:highlight w:val="none"/>
                    </w:rPr>
                    <w:t>工程类别</w:t>
                  </w:r>
                </w:p>
              </w:tc>
              <w:tc>
                <w:tcPr>
                  <w:tcW w:w="1276" w:type="dxa"/>
                  <w:vAlign w:val="center"/>
                </w:tcPr>
                <w:p w14:paraId="16DFA222">
                  <w:pPr>
                    <w:spacing w:after="0"/>
                    <w:jc w:val="center"/>
                    <w:rPr>
                      <w:rFonts w:ascii="Times New Roman" w:hAnsi="Times New Roman"/>
                      <w:color w:val="auto"/>
                      <w:szCs w:val="21"/>
                      <w:highlight w:val="none"/>
                    </w:rPr>
                  </w:pPr>
                  <w:r>
                    <w:rPr>
                      <w:rFonts w:ascii="Times New Roman" w:hAnsi="Times New Roman"/>
                      <w:color w:val="auto"/>
                      <w:szCs w:val="21"/>
                      <w:highlight w:val="none"/>
                    </w:rPr>
                    <w:t>项目名称</w:t>
                  </w:r>
                </w:p>
              </w:tc>
              <w:tc>
                <w:tcPr>
                  <w:tcW w:w="5319" w:type="dxa"/>
                  <w:vAlign w:val="center"/>
                </w:tcPr>
                <w:p w14:paraId="37E9E4D0">
                  <w:pPr>
                    <w:spacing w:after="0"/>
                    <w:jc w:val="center"/>
                    <w:rPr>
                      <w:rFonts w:ascii="Times New Roman" w:hAnsi="Times New Roman"/>
                      <w:color w:val="auto"/>
                      <w:szCs w:val="21"/>
                      <w:highlight w:val="none"/>
                    </w:rPr>
                  </w:pPr>
                  <w:r>
                    <w:rPr>
                      <w:rFonts w:ascii="Times New Roman" w:hAnsi="Times New Roman"/>
                      <w:color w:val="auto"/>
                      <w:szCs w:val="21"/>
                      <w:highlight w:val="none"/>
                    </w:rPr>
                    <w:t>主要工程内容</w:t>
                  </w:r>
                </w:p>
              </w:tc>
            </w:tr>
            <w:tr w14:paraId="050C04A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restart"/>
                  <w:vAlign w:val="center"/>
                </w:tcPr>
                <w:p w14:paraId="4872DBBE">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主体工程</w:t>
                  </w:r>
                </w:p>
              </w:tc>
              <w:tc>
                <w:tcPr>
                  <w:tcW w:w="1276" w:type="dxa"/>
                  <w:vAlign w:val="center"/>
                </w:tcPr>
                <w:p w14:paraId="203E8200">
                  <w:pPr>
                    <w:autoSpaceDE w:val="0"/>
                    <w:autoSpaceDN w:val="0"/>
                    <w:adjustRightInd w:val="0"/>
                    <w:snapToGrid w:val="0"/>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钻前工程</w:t>
                  </w:r>
                </w:p>
              </w:tc>
              <w:tc>
                <w:tcPr>
                  <w:tcW w:w="5319" w:type="dxa"/>
                  <w:vAlign w:val="center"/>
                </w:tcPr>
                <w:p w14:paraId="49E72F38">
                  <w:pPr>
                    <w:autoSpaceDE w:val="0"/>
                    <w:autoSpaceDN w:val="0"/>
                    <w:adjustRightInd w:val="0"/>
                    <w:snapToGrid w:val="0"/>
                    <w:spacing w:after="0" w:line="240" w:lineRule="auto"/>
                    <w:rPr>
                      <w:rFonts w:ascii="Times New Roman" w:hAnsi="Times New Roman"/>
                      <w:color w:val="auto"/>
                      <w:szCs w:val="21"/>
                      <w:highlight w:val="none"/>
                    </w:rPr>
                  </w:pPr>
                  <w:r>
                    <w:rPr>
                      <w:rFonts w:ascii="Times New Roman" w:hAnsi="Times New Roman"/>
                      <w:color w:val="auto"/>
                      <w:szCs w:val="21"/>
                      <w:highlight w:val="none"/>
                    </w:rPr>
                    <w:t>对施工场区内草地部分表土进行剥离，剥离表土集中堆放于临时表土堆场。对施工现场进行平整，施工道路采取钢板或者其他材料铺垫，安装钻塔、钻机、控制系统等钻井设备，搭设临时建筑物以及</w:t>
                  </w:r>
                  <w:r>
                    <w:rPr>
                      <w:rFonts w:hint="eastAsia" w:ascii="Times New Roman" w:hAnsi="Times New Roman"/>
                      <w:color w:val="auto"/>
                      <w:szCs w:val="21"/>
                      <w:highlight w:val="none"/>
                    </w:rPr>
                    <w:t>泥</w:t>
                  </w:r>
                  <w:r>
                    <w:rPr>
                      <w:rFonts w:ascii="Times New Roman" w:hAnsi="Times New Roman"/>
                      <w:color w:val="auto"/>
                      <w:szCs w:val="21"/>
                      <w:highlight w:val="none"/>
                    </w:rPr>
                    <w:t>浆池、</w:t>
                  </w:r>
                  <w:r>
                    <w:rPr>
                      <w:rFonts w:hint="eastAsia" w:ascii="Times New Roman" w:hAnsi="Times New Roman"/>
                      <w:color w:val="auto"/>
                      <w:szCs w:val="21"/>
                      <w:highlight w:val="none"/>
                    </w:rPr>
                    <w:t>沉淀</w:t>
                  </w:r>
                  <w:r>
                    <w:rPr>
                      <w:rFonts w:ascii="Times New Roman" w:hAnsi="Times New Roman"/>
                      <w:color w:val="auto"/>
                      <w:szCs w:val="21"/>
                      <w:highlight w:val="none"/>
                    </w:rPr>
                    <w:t>池等相关附属设施建设。</w:t>
                  </w:r>
                </w:p>
              </w:tc>
            </w:tr>
            <w:tr w14:paraId="73213B4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1363" w:hRule="atLeast"/>
              </w:trPr>
              <w:tc>
                <w:tcPr>
                  <w:tcW w:w="1236" w:type="dxa"/>
                  <w:vMerge w:val="continue"/>
                  <w:vAlign w:val="center"/>
                </w:tcPr>
                <w:p w14:paraId="3FAFAAC9">
                  <w:pPr>
                    <w:spacing w:after="0" w:line="240" w:lineRule="auto"/>
                    <w:jc w:val="center"/>
                    <w:rPr>
                      <w:rFonts w:ascii="Times New Roman" w:hAnsi="Times New Roman"/>
                      <w:color w:val="auto"/>
                      <w:szCs w:val="21"/>
                      <w:highlight w:val="none"/>
                    </w:rPr>
                  </w:pPr>
                </w:p>
              </w:tc>
              <w:tc>
                <w:tcPr>
                  <w:tcW w:w="1276" w:type="dxa"/>
                  <w:vAlign w:val="center"/>
                </w:tcPr>
                <w:p w14:paraId="55448DE6">
                  <w:pPr>
                    <w:autoSpaceDE w:val="0"/>
                    <w:autoSpaceDN w:val="0"/>
                    <w:adjustRightInd w:val="0"/>
                    <w:snapToGrid w:val="0"/>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钻孔工程</w:t>
                  </w:r>
                </w:p>
              </w:tc>
              <w:tc>
                <w:tcPr>
                  <w:tcW w:w="5319" w:type="dxa"/>
                  <w:vAlign w:val="center"/>
                </w:tcPr>
                <w:p w14:paraId="4DA4736D">
                  <w:pPr>
                    <w:autoSpaceDE w:val="0"/>
                    <w:autoSpaceDN w:val="0"/>
                    <w:adjustRightInd w:val="0"/>
                    <w:snapToGrid w:val="0"/>
                    <w:spacing w:after="0" w:line="240" w:lineRule="auto"/>
                    <w:rPr>
                      <w:rFonts w:ascii="Times New Roman" w:hAnsi="Times New Roman"/>
                      <w:color w:val="auto"/>
                      <w:szCs w:val="21"/>
                      <w:highlight w:val="none"/>
                    </w:rPr>
                  </w:pPr>
                  <w:r>
                    <w:rPr>
                      <w:rFonts w:ascii="Times New Roman" w:hAnsi="Times New Roman"/>
                      <w:color w:val="auto"/>
                      <w:szCs w:val="21"/>
                      <w:highlight w:val="none"/>
                    </w:rPr>
                    <w:t>本项目</w:t>
                  </w:r>
                  <w:r>
                    <w:rPr>
                      <w:rFonts w:hint="eastAsia" w:ascii="Times New Roman" w:hAnsi="Times New Roman"/>
                      <w:color w:val="auto"/>
                      <w:szCs w:val="21"/>
                      <w:highlight w:val="none"/>
                      <w:lang w:val="en-US" w:eastAsia="zh-CN"/>
                    </w:rPr>
                    <w:t>19</w:t>
                  </w:r>
                  <w:r>
                    <w:rPr>
                      <w:rFonts w:ascii="Times New Roman" w:hAnsi="Times New Roman"/>
                      <w:color w:val="auto"/>
                      <w:szCs w:val="21"/>
                      <w:highlight w:val="none"/>
                    </w:rPr>
                    <w:t>处钻孔均为普通地质孔，基本无特殊要求，钻孔结构均为裸孔，口径设计开孔Φ</w:t>
                  </w:r>
                  <w:r>
                    <w:rPr>
                      <w:rFonts w:hint="eastAsia" w:ascii="Times New Roman" w:hAnsi="Times New Roman"/>
                      <w:color w:val="auto"/>
                      <w:szCs w:val="21"/>
                      <w:highlight w:val="none"/>
                    </w:rPr>
                    <w:t>94</w:t>
                  </w:r>
                  <w:r>
                    <w:rPr>
                      <w:rFonts w:ascii="Times New Roman" w:hAnsi="Times New Roman"/>
                      <w:color w:val="auto"/>
                      <w:szCs w:val="21"/>
                      <w:highlight w:val="none"/>
                    </w:rPr>
                    <w:t>mm，单孔施工工序和施工流程相同。</w:t>
                  </w:r>
                </w:p>
                <w:p w14:paraId="61751C81">
                  <w:pPr>
                    <w:autoSpaceDE w:val="0"/>
                    <w:autoSpaceDN w:val="0"/>
                    <w:adjustRightInd w:val="0"/>
                    <w:snapToGrid w:val="0"/>
                    <w:spacing w:after="0" w:line="240" w:lineRule="auto"/>
                    <w:rPr>
                      <w:rFonts w:hint="eastAsia" w:ascii="Times New Roman" w:hAnsi="Times New Roman"/>
                      <w:color w:val="auto"/>
                      <w:szCs w:val="21"/>
                      <w:highlight w:val="none"/>
                    </w:rPr>
                  </w:pPr>
                  <w:r>
                    <w:rPr>
                      <w:rFonts w:hint="eastAsia" w:ascii="Times New Roman" w:hAnsi="Times New Roman"/>
                      <w:color w:val="auto"/>
                      <w:szCs w:val="21"/>
                      <w:highlight w:val="none"/>
                    </w:rPr>
                    <w:t>第一批实施10个钻孔，井号为DG1</w:t>
                  </w:r>
                  <w:r>
                    <w:rPr>
                      <w:rFonts w:hint="eastAsia" w:ascii="Times New Roman" w:hAnsi="Times New Roman"/>
                      <w:color w:val="auto"/>
                      <w:szCs w:val="21"/>
                      <w:highlight w:val="none"/>
                      <w:lang w:val="en-US" w:eastAsia="zh-CN"/>
                    </w:rPr>
                    <w:t>-</w:t>
                  </w:r>
                  <w:r>
                    <w:rPr>
                      <w:rFonts w:hint="eastAsia" w:ascii="Times New Roman" w:hAnsi="Times New Roman"/>
                      <w:color w:val="auto"/>
                      <w:szCs w:val="21"/>
                      <w:highlight w:val="none"/>
                    </w:rPr>
                    <w:t>1～DG1</w:t>
                  </w:r>
                  <w:r>
                    <w:rPr>
                      <w:rFonts w:hint="eastAsia" w:ascii="Times New Roman" w:hAnsi="Times New Roman"/>
                      <w:color w:val="auto"/>
                      <w:szCs w:val="21"/>
                      <w:highlight w:val="none"/>
                      <w:lang w:val="en-US" w:eastAsia="zh-CN"/>
                    </w:rPr>
                    <w:t>-</w:t>
                  </w:r>
                  <w:r>
                    <w:rPr>
                      <w:rFonts w:hint="eastAsia" w:ascii="Times New Roman" w:hAnsi="Times New Roman"/>
                      <w:color w:val="auto"/>
                      <w:szCs w:val="21"/>
                      <w:highlight w:val="none"/>
                    </w:rPr>
                    <w:t>10，批次工期3个月；</w:t>
                  </w:r>
                </w:p>
                <w:p w14:paraId="4CCD50DC">
                  <w:pPr>
                    <w:autoSpaceDE w:val="0"/>
                    <w:autoSpaceDN w:val="0"/>
                    <w:adjustRightInd w:val="0"/>
                    <w:snapToGrid w:val="0"/>
                    <w:spacing w:after="0" w:line="240" w:lineRule="auto"/>
                    <w:rPr>
                      <w:rFonts w:hint="eastAsia" w:ascii="Times New Roman" w:hAnsi="Times New Roman"/>
                      <w:color w:val="auto"/>
                      <w:szCs w:val="21"/>
                      <w:highlight w:val="none"/>
                    </w:rPr>
                  </w:pPr>
                  <w:r>
                    <w:rPr>
                      <w:rFonts w:hint="eastAsia" w:ascii="Times New Roman" w:hAnsi="Times New Roman"/>
                      <w:color w:val="auto"/>
                      <w:szCs w:val="21"/>
                      <w:highlight w:val="none"/>
                    </w:rPr>
                    <w:t>第二批实施4个钻孔，井号为DG1</w:t>
                  </w:r>
                  <w:r>
                    <w:rPr>
                      <w:rFonts w:hint="eastAsia" w:ascii="Times New Roman" w:hAnsi="Times New Roman"/>
                      <w:color w:val="auto"/>
                      <w:szCs w:val="21"/>
                      <w:highlight w:val="none"/>
                      <w:lang w:val="en-US" w:eastAsia="zh-CN"/>
                    </w:rPr>
                    <w:t>-</w:t>
                  </w:r>
                  <w:r>
                    <w:rPr>
                      <w:rFonts w:hint="eastAsia" w:ascii="Times New Roman" w:hAnsi="Times New Roman"/>
                      <w:color w:val="auto"/>
                      <w:szCs w:val="21"/>
                      <w:highlight w:val="none"/>
                    </w:rPr>
                    <w:t>11～DG1</w:t>
                  </w:r>
                  <w:r>
                    <w:rPr>
                      <w:rFonts w:hint="eastAsia" w:ascii="Times New Roman" w:hAnsi="Times New Roman"/>
                      <w:color w:val="auto"/>
                      <w:szCs w:val="21"/>
                      <w:highlight w:val="none"/>
                      <w:lang w:val="en-US" w:eastAsia="zh-CN"/>
                    </w:rPr>
                    <w:t>-</w:t>
                  </w:r>
                  <w:r>
                    <w:rPr>
                      <w:rFonts w:hint="eastAsia" w:ascii="Times New Roman" w:hAnsi="Times New Roman"/>
                      <w:color w:val="auto"/>
                      <w:szCs w:val="21"/>
                      <w:highlight w:val="none"/>
                    </w:rPr>
                    <w:t>14，批次工期3个月；</w:t>
                  </w:r>
                </w:p>
                <w:p w14:paraId="707FF558">
                  <w:pPr>
                    <w:autoSpaceDE w:val="0"/>
                    <w:autoSpaceDN w:val="0"/>
                    <w:adjustRightInd w:val="0"/>
                    <w:snapToGrid w:val="0"/>
                    <w:spacing w:after="0" w:line="240" w:lineRule="auto"/>
                    <w:rPr>
                      <w:rFonts w:hint="eastAsia" w:ascii="Times New Roman" w:hAnsi="Times New Roman"/>
                      <w:color w:val="auto"/>
                      <w:szCs w:val="21"/>
                      <w:highlight w:val="none"/>
                    </w:rPr>
                  </w:pPr>
                  <w:r>
                    <w:rPr>
                      <w:rFonts w:hint="eastAsia" w:ascii="Times New Roman" w:hAnsi="Times New Roman"/>
                      <w:color w:val="auto"/>
                      <w:szCs w:val="21"/>
                      <w:highlight w:val="none"/>
                    </w:rPr>
                    <w:t>第三批实施5个钻孔，井号为DG1</w:t>
                  </w:r>
                  <w:r>
                    <w:rPr>
                      <w:rFonts w:hint="eastAsia" w:ascii="Times New Roman" w:hAnsi="Times New Roman"/>
                      <w:color w:val="auto"/>
                      <w:szCs w:val="21"/>
                      <w:highlight w:val="none"/>
                      <w:lang w:val="en-US" w:eastAsia="zh-CN"/>
                    </w:rPr>
                    <w:t>-</w:t>
                  </w:r>
                  <w:r>
                    <w:rPr>
                      <w:rFonts w:hint="eastAsia" w:ascii="Times New Roman" w:hAnsi="Times New Roman"/>
                      <w:color w:val="auto"/>
                      <w:szCs w:val="21"/>
                      <w:highlight w:val="none"/>
                    </w:rPr>
                    <w:t>15～DG1</w:t>
                  </w:r>
                  <w:r>
                    <w:rPr>
                      <w:rFonts w:hint="eastAsia" w:ascii="Times New Roman" w:hAnsi="Times New Roman"/>
                      <w:color w:val="auto"/>
                      <w:szCs w:val="21"/>
                      <w:highlight w:val="none"/>
                      <w:lang w:val="en-US" w:eastAsia="zh-CN"/>
                    </w:rPr>
                    <w:t>-</w:t>
                  </w:r>
                  <w:r>
                    <w:rPr>
                      <w:rFonts w:hint="eastAsia" w:ascii="Times New Roman" w:hAnsi="Times New Roman"/>
                      <w:color w:val="auto"/>
                      <w:szCs w:val="21"/>
                      <w:highlight w:val="none"/>
                    </w:rPr>
                    <w:t>19，批次工期3个月；</w:t>
                  </w:r>
                </w:p>
                <w:p w14:paraId="05698014">
                  <w:pPr>
                    <w:autoSpaceDE w:val="0"/>
                    <w:autoSpaceDN w:val="0"/>
                    <w:adjustRightInd w:val="0"/>
                    <w:snapToGrid w:val="0"/>
                    <w:spacing w:after="0" w:line="240" w:lineRule="auto"/>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rPr>
                    <w:t>项目整体总施工工期9个月。</w:t>
                  </w:r>
                </w:p>
              </w:tc>
            </w:tr>
            <w:tr w14:paraId="7B17CB0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597876BB">
                  <w:pPr>
                    <w:spacing w:after="0" w:line="240" w:lineRule="auto"/>
                    <w:jc w:val="center"/>
                    <w:rPr>
                      <w:rFonts w:ascii="Times New Roman" w:hAnsi="Times New Roman"/>
                      <w:color w:val="auto"/>
                      <w:szCs w:val="21"/>
                      <w:highlight w:val="none"/>
                    </w:rPr>
                  </w:pPr>
                </w:p>
              </w:tc>
              <w:tc>
                <w:tcPr>
                  <w:tcW w:w="1276" w:type="dxa"/>
                  <w:vAlign w:val="center"/>
                </w:tcPr>
                <w:p w14:paraId="0FA944D5">
                  <w:pPr>
                    <w:autoSpaceDE w:val="0"/>
                    <w:autoSpaceDN w:val="0"/>
                    <w:adjustRightInd w:val="0"/>
                    <w:snapToGrid w:val="0"/>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封孔</w:t>
                  </w:r>
                </w:p>
              </w:tc>
              <w:tc>
                <w:tcPr>
                  <w:tcW w:w="5319" w:type="dxa"/>
                  <w:vAlign w:val="center"/>
                </w:tcPr>
                <w:p w14:paraId="71B9EFF5">
                  <w:pPr>
                    <w:autoSpaceDE w:val="0"/>
                    <w:autoSpaceDN w:val="0"/>
                    <w:adjustRightInd w:val="0"/>
                    <w:snapToGrid w:val="0"/>
                    <w:spacing w:after="0" w:line="240" w:lineRule="auto"/>
                    <w:rPr>
                      <w:rFonts w:ascii="Times New Roman" w:hAnsi="Times New Roman"/>
                      <w:color w:val="auto"/>
                      <w:szCs w:val="21"/>
                      <w:highlight w:val="none"/>
                    </w:rPr>
                  </w:pPr>
                  <w:r>
                    <w:rPr>
                      <w:rFonts w:hint="eastAsia" w:ascii="Times New Roman" w:hAnsi="Times New Roman"/>
                      <w:color w:val="auto"/>
                      <w:szCs w:val="21"/>
                      <w:highlight w:val="none"/>
                    </w:rPr>
                    <w:t>施工完毕，采用水泥进行全孔封闭，并在井口埋设永久性水泥暗标，作详细记录封孔情况</w:t>
                  </w:r>
                </w:p>
              </w:tc>
            </w:tr>
            <w:tr w14:paraId="15A6387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1236" w:type="dxa"/>
                  <w:vAlign w:val="center"/>
                </w:tcPr>
                <w:p w14:paraId="301E96DF">
                  <w:pPr>
                    <w:spacing w:after="0"/>
                    <w:jc w:val="center"/>
                    <w:rPr>
                      <w:rFonts w:ascii="Times New Roman" w:hAnsi="Times New Roman"/>
                      <w:color w:val="auto"/>
                      <w:szCs w:val="21"/>
                      <w:highlight w:val="none"/>
                    </w:rPr>
                  </w:pPr>
                  <w:r>
                    <w:rPr>
                      <w:rFonts w:ascii="Times New Roman" w:hAnsi="Times New Roman"/>
                      <w:color w:val="auto"/>
                      <w:szCs w:val="21"/>
                      <w:highlight w:val="none"/>
                    </w:rPr>
                    <w:t>辅助工程</w:t>
                  </w:r>
                </w:p>
              </w:tc>
              <w:tc>
                <w:tcPr>
                  <w:tcW w:w="1276" w:type="dxa"/>
                  <w:vAlign w:val="center"/>
                </w:tcPr>
                <w:p w14:paraId="11296A6A">
                  <w:pPr>
                    <w:spacing w:after="0"/>
                    <w:jc w:val="center"/>
                    <w:rPr>
                      <w:rFonts w:ascii="Times New Roman" w:hAnsi="Times New Roman"/>
                      <w:color w:val="auto"/>
                      <w:szCs w:val="21"/>
                      <w:highlight w:val="none"/>
                    </w:rPr>
                  </w:pPr>
                  <w:r>
                    <w:rPr>
                      <w:rFonts w:ascii="Times New Roman" w:hAnsi="Times New Roman"/>
                      <w:color w:val="auto"/>
                      <w:szCs w:val="21"/>
                      <w:highlight w:val="none"/>
                    </w:rPr>
                    <w:t>自控系统</w:t>
                  </w:r>
                </w:p>
              </w:tc>
              <w:tc>
                <w:tcPr>
                  <w:tcW w:w="5319" w:type="dxa"/>
                  <w:vAlign w:val="center"/>
                </w:tcPr>
                <w:p w14:paraId="68944455">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各</w:t>
                  </w:r>
                  <w:r>
                    <w:rPr>
                      <w:rFonts w:ascii="Times New Roman" w:hAnsi="Times New Roman"/>
                      <w:color w:val="auto"/>
                      <w:szCs w:val="21"/>
                      <w:highlight w:val="none"/>
                    </w:rPr>
                    <w:t>井场设置</w:t>
                  </w:r>
                  <w:r>
                    <w:rPr>
                      <w:rFonts w:ascii="Times New Roman" w:hAnsi="Times New Roman"/>
                      <w:color w:val="auto"/>
                      <w:szCs w:val="21"/>
                      <w:highlight w:val="none"/>
                      <w:shd w:val="clear" w:color="auto" w:fill="FFFFFF"/>
                    </w:rPr>
                    <w:t>控制配电室，建设面积</w:t>
                  </w:r>
                  <w:r>
                    <w:rPr>
                      <w:rFonts w:hint="eastAsia" w:ascii="Times New Roman" w:hAnsi="Times New Roman"/>
                      <w:color w:val="auto"/>
                      <w:szCs w:val="21"/>
                      <w:highlight w:val="none"/>
                      <w:shd w:val="clear" w:color="auto" w:fill="FFFFFF"/>
                    </w:rPr>
                    <w:t>均为19</w:t>
                  </w:r>
                  <w:r>
                    <w:rPr>
                      <w:rFonts w:ascii="Times New Roman" w:hAnsi="Times New Roman"/>
                      <w:color w:val="auto"/>
                      <w:szCs w:val="21"/>
                      <w:highlight w:val="none"/>
                    </w:rPr>
                    <w:t>m</w:t>
                  </w:r>
                  <w:r>
                    <w:rPr>
                      <w:rFonts w:ascii="Times New Roman" w:hAnsi="Times New Roman"/>
                      <w:color w:val="auto"/>
                      <w:szCs w:val="21"/>
                      <w:highlight w:val="none"/>
                      <w:vertAlign w:val="superscript"/>
                    </w:rPr>
                    <w:t>2</w:t>
                  </w:r>
                </w:p>
              </w:tc>
            </w:tr>
            <w:tr w14:paraId="37FCF08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restart"/>
                  <w:vAlign w:val="center"/>
                </w:tcPr>
                <w:p w14:paraId="701F577B">
                  <w:pPr>
                    <w:spacing w:after="0"/>
                    <w:jc w:val="center"/>
                    <w:rPr>
                      <w:rFonts w:ascii="Times New Roman" w:hAnsi="Times New Roman"/>
                      <w:color w:val="auto"/>
                      <w:szCs w:val="21"/>
                      <w:highlight w:val="none"/>
                    </w:rPr>
                  </w:pPr>
                  <w:r>
                    <w:rPr>
                      <w:rFonts w:ascii="Times New Roman" w:hAnsi="Times New Roman"/>
                      <w:color w:val="auto"/>
                      <w:szCs w:val="21"/>
                      <w:highlight w:val="none"/>
                    </w:rPr>
                    <w:t>临时工程</w:t>
                  </w:r>
                </w:p>
              </w:tc>
              <w:tc>
                <w:tcPr>
                  <w:tcW w:w="1276" w:type="dxa"/>
                  <w:vAlign w:val="center"/>
                </w:tcPr>
                <w:p w14:paraId="097A8B37">
                  <w:pPr>
                    <w:spacing w:after="0"/>
                    <w:jc w:val="center"/>
                    <w:rPr>
                      <w:rFonts w:hint="default" w:eastAsia="宋体"/>
                      <w:color w:val="auto"/>
                      <w:szCs w:val="21"/>
                      <w:highlight w:val="none"/>
                      <w:lang w:val="en-US" w:eastAsia="zh-CN"/>
                    </w:rPr>
                  </w:pPr>
                  <w:r>
                    <w:rPr>
                      <w:rFonts w:hint="eastAsia"/>
                      <w:color w:val="auto"/>
                      <w:szCs w:val="21"/>
                      <w:highlight w:val="none"/>
                      <w:lang w:val="en-US" w:eastAsia="zh-CN"/>
                    </w:rPr>
                    <w:t>施工营地</w:t>
                  </w:r>
                </w:p>
              </w:tc>
              <w:tc>
                <w:tcPr>
                  <w:tcW w:w="5319" w:type="dxa"/>
                  <w:vAlign w:val="center"/>
                </w:tcPr>
                <w:p w14:paraId="65A9D6F2">
                  <w:pPr>
                    <w:spacing w:after="0"/>
                    <w:jc w:val="center"/>
                    <w:rPr>
                      <w:color w:val="auto"/>
                      <w:szCs w:val="21"/>
                      <w:highlight w:val="none"/>
                    </w:rPr>
                  </w:pPr>
                  <w:r>
                    <w:rPr>
                      <w:rFonts w:hint="eastAsia" w:ascii="Times New Roman" w:hAnsi="Times New Roman"/>
                      <w:color w:val="auto"/>
                      <w:szCs w:val="21"/>
                      <w:highlight w:val="none"/>
                      <w:shd w:val="clear" w:color="auto" w:fill="FFFFFF"/>
                    </w:rPr>
                    <w:t>各</w:t>
                  </w:r>
                  <w:r>
                    <w:rPr>
                      <w:rFonts w:ascii="Times New Roman" w:hAnsi="Times New Roman"/>
                      <w:color w:val="auto"/>
                      <w:szCs w:val="21"/>
                      <w:highlight w:val="none"/>
                      <w:shd w:val="clear" w:color="auto" w:fill="FFFFFF"/>
                    </w:rPr>
                    <w:t>井场内不设置施工营地，施工人员租用当地民房作为临时营地。</w:t>
                  </w:r>
                </w:p>
              </w:tc>
            </w:tr>
            <w:tr w14:paraId="5EA5DC4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16CC0F06">
                  <w:pPr>
                    <w:spacing w:after="0"/>
                    <w:jc w:val="center"/>
                    <w:rPr>
                      <w:rFonts w:ascii="Times New Roman" w:hAnsi="Times New Roman"/>
                      <w:color w:val="auto"/>
                      <w:szCs w:val="21"/>
                      <w:highlight w:val="none"/>
                    </w:rPr>
                  </w:pPr>
                </w:p>
              </w:tc>
              <w:tc>
                <w:tcPr>
                  <w:tcW w:w="1276" w:type="dxa"/>
                  <w:vAlign w:val="center"/>
                </w:tcPr>
                <w:p w14:paraId="1BEEDD16">
                  <w:pPr>
                    <w:spacing w:after="0"/>
                    <w:jc w:val="center"/>
                    <w:rPr>
                      <w:rFonts w:ascii="Times New Roman" w:hAnsi="Times New Roman"/>
                      <w:color w:val="auto"/>
                      <w:szCs w:val="21"/>
                      <w:highlight w:val="none"/>
                    </w:rPr>
                  </w:pPr>
                  <w:r>
                    <w:rPr>
                      <w:rFonts w:ascii="Times New Roman" w:hAnsi="Times New Roman"/>
                      <w:color w:val="auto"/>
                      <w:szCs w:val="21"/>
                      <w:highlight w:val="none"/>
                    </w:rPr>
                    <w:t>进场道路</w:t>
                  </w:r>
                </w:p>
              </w:tc>
              <w:tc>
                <w:tcPr>
                  <w:tcW w:w="5319" w:type="dxa"/>
                  <w:vAlign w:val="center"/>
                </w:tcPr>
                <w:p w14:paraId="186F6CC8">
                  <w:pPr>
                    <w:spacing w:after="0"/>
                    <w:rPr>
                      <w:rFonts w:ascii="Times New Roman" w:hAnsi="Times New Roman"/>
                      <w:color w:val="auto"/>
                      <w:szCs w:val="21"/>
                      <w:highlight w:val="none"/>
                    </w:rPr>
                  </w:pPr>
                  <w:r>
                    <w:rPr>
                      <w:rFonts w:ascii="Times New Roman" w:hAnsi="Times New Roman"/>
                      <w:color w:val="auto"/>
                      <w:szCs w:val="21"/>
                      <w:highlight w:val="none"/>
                    </w:rPr>
                    <w:t>根据现场施工远近情况铺设进场道路，</w:t>
                  </w:r>
                  <w:r>
                    <w:rPr>
                      <w:rFonts w:hint="eastAsia" w:ascii="Times New Roman" w:hAnsi="Times New Roman"/>
                      <w:color w:val="auto"/>
                      <w:szCs w:val="21"/>
                      <w:highlight w:val="none"/>
                    </w:rPr>
                    <w:t>井场周边进场设置临时道路，</w:t>
                  </w:r>
                  <w:r>
                    <w:rPr>
                      <w:rFonts w:ascii="Times New Roman" w:hAnsi="Times New Roman"/>
                      <w:color w:val="auto"/>
                      <w:szCs w:val="21"/>
                      <w:highlight w:val="none"/>
                    </w:rPr>
                    <w:t>采取钢板铺垫</w:t>
                  </w:r>
                  <w:r>
                    <w:rPr>
                      <w:rFonts w:hint="eastAsia" w:ascii="Times New Roman" w:hAnsi="Times New Roman"/>
                      <w:color w:val="auto"/>
                      <w:szCs w:val="21"/>
                      <w:highlight w:val="none"/>
                    </w:rPr>
                    <w:t>，总占地面积约</w:t>
                  </w:r>
                  <w:r>
                    <w:rPr>
                      <w:rFonts w:hint="eastAsia" w:ascii="Times New Roman" w:hAnsi="Times New Roman"/>
                      <w:color w:val="auto"/>
                      <w:szCs w:val="21"/>
                      <w:highlight w:val="none"/>
                      <w:lang w:eastAsia="zh-CN"/>
                    </w:rPr>
                    <w:t>3110</w:t>
                  </w:r>
                  <w:r>
                    <w:rPr>
                      <w:rFonts w:hint="eastAsia" w:ascii="Times New Roman" w:hAnsi="Times New Roman"/>
                      <w:color w:val="auto"/>
                      <w:szCs w:val="21"/>
                      <w:highlight w:val="none"/>
                    </w:rPr>
                    <w:t>m</w:t>
                  </w:r>
                  <w:r>
                    <w:rPr>
                      <w:rFonts w:hint="eastAsia" w:ascii="Times New Roman" w:hAnsi="Times New Roman"/>
                      <w:color w:val="auto"/>
                      <w:szCs w:val="21"/>
                      <w:highlight w:val="none"/>
                      <w:vertAlign w:val="superscript"/>
                    </w:rPr>
                    <w:t>2</w:t>
                  </w:r>
                  <w:r>
                    <w:rPr>
                      <w:rFonts w:hint="eastAsia" w:ascii="Times New Roman" w:hAnsi="Times New Roman"/>
                      <w:color w:val="auto"/>
                      <w:szCs w:val="21"/>
                      <w:highlight w:val="none"/>
                    </w:rPr>
                    <w:t>，其余道路主要依托现有村村通道路</w:t>
                  </w:r>
                </w:p>
              </w:tc>
            </w:tr>
            <w:tr w14:paraId="16C7933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1143" w:hRule="atLeast"/>
              </w:trPr>
              <w:tc>
                <w:tcPr>
                  <w:tcW w:w="1236" w:type="dxa"/>
                  <w:vMerge w:val="continue"/>
                  <w:vAlign w:val="center"/>
                </w:tcPr>
                <w:p w14:paraId="7AFD9DF6">
                  <w:pPr>
                    <w:spacing w:after="0"/>
                    <w:jc w:val="center"/>
                    <w:rPr>
                      <w:rFonts w:ascii="Times New Roman" w:hAnsi="Times New Roman"/>
                      <w:color w:val="auto"/>
                      <w:szCs w:val="21"/>
                      <w:highlight w:val="none"/>
                    </w:rPr>
                  </w:pPr>
                </w:p>
              </w:tc>
              <w:tc>
                <w:tcPr>
                  <w:tcW w:w="1276" w:type="dxa"/>
                  <w:vAlign w:val="center"/>
                </w:tcPr>
                <w:p w14:paraId="2455F43E">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表土剥离堆场</w:t>
                  </w:r>
                </w:p>
              </w:tc>
              <w:tc>
                <w:tcPr>
                  <w:tcW w:w="5319" w:type="dxa"/>
                  <w:vAlign w:val="center"/>
                </w:tcPr>
                <w:p w14:paraId="449EA98E">
                  <w:pPr>
                    <w:spacing w:after="0"/>
                    <w:jc w:val="left"/>
                    <w:rPr>
                      <w:rFonts w:ascii="Times New Roman" w:hAnsi="Times New Roman"/>
                      <w:color w:val="auto"/>
                      <w:szCs w:val="21"/>
                      <w:highlight w:val="none"/>
                    </w:rPr>
                  </w:pPr>
                  <w:r>
                    <w:rPr>
                      <w:rFonts w:hint="eastAsia" w:ascii="Times New Roman" w:hAnsi="Times New Roman"/>
                      <w:color w:val="auto"/>
                      <w:szCs w:val="21"/>
                      <w:highlight w:val="none"/>
                    </w:rPr>
                    <w:t>项目井场场地平整时剥离的表土集中堆放在井场区内，表土平均剥离厚度约为0.25m，</w:t>
                  </w:r>
                  <w:r>
                    <w:rPr>
                      <w:rFonts w:hint="eastAsia" w:ascii="Times New Roman" w:hAnsi="Times New Roman"/>
                      <w:color w:val="auto"/>
                      <w:szCs w:val="21"/>
                      <w:highlight w:val="none"/>
                      <w:lang w:val="en-US" w:eastAsia="zh-CN"/>
                    </w:rPr>
                    <w:t>19</w:t>
                  </w:r>
                  <w:r>
                    <w:rPr>
                      <w:rFonts w:hint="eastAsia" w:ascii="Times New Roman" w:hAnsi="Times New Roman"/>
                      <w:color w:val="auto"/>
                      <w:szCs w:val="21"/>
                      <w:highlight w:val="none"/>
                    </w:rPr>
                    <w:t>个井场表土剥离量合计约</w:t>
                  </w:r>
                  <w:r>
                    <w:rPr>
                      <w:rFonts w:hint="eastAsia" w:ascii="Times New Roman" w:hAnsi="Times New Roman"/>
                      <w:color w:val="auto"/>
                      <w:szCs w:val="21"/>
                      <w:highlight w:val="none"/>
                      <w:lang w:val="en-US" w:eastAsia="zh-CN"/>
                    </w:rPr>
                    <w:t>5849</w:t>
                  </w:r>
                  <w:r>
                    <w:rPr>
                      <w:rFonts w:hint="eastAsia" w:ascii="Times New Roman" w:hAnsi="Times New Roman"/>
                      <w:color w:val="auto"/>
                      <w:szCs w:val="21"/>
                      <w:highlight w:val="none"/>
                    </w:rPr>
                    <w:t>m</w:t>
                  </w:r>
                  <w:r>
                    <w:rPr>
                      <w:rFonts w:hint="eastAsia" w:ascii="Times New Roman" w:hAnsi="Times New Roman"/>
                      <w:color w:val="auto"/>
                      <w:szCs w:val="21"/>
                      <w:highlight w:val="none"/>
                      <w:vertAlign w:val="superscript"/>
                    </w:rPr>
                    <w:t>3</w:t>
                  </w:r>
                  <w:r>
                    <w:rPr>
                      <w:rFonts w:hint="eastAsia" w:ascii="Times New Roman" w:hAnsi="Times New Roman"/>
                      <w:color w:val="auto"/>
                      <w:szCs w:val="21"/>
                      <w:highlight w:val="none"/>
                    </w:rPr>
                    <w:t>，表土剥离场总占地面积约</w:t>
                  </w:r>
                  <w:r>
                    <w:rPr>
                      <w:rFonts w:hint="eastAsia" w:ascii="Times New Roman" w:hAnsi="Times New Roman"/>
                      <w:color w:val="auto"/>
                      <w:szCs w:val="21"/>
                      <w:highlight w:val="none"/>
                      <w:lang w:eastAsia="zh-CN"/>
                    </w:rPr>
                    <w:t>4873</w:t>
                  </w:r>
                  <w:r>
                    <w:rPr>
                      <w:rFonts w:hint="eastAsia" w:ascii="Times New Roman" w:hAnsi="Times New Roman"/>
                      <w:color w:val="auto"/>
                      <w:szCs w:val="21"/>
                      <w:highlight w:val="none"/>
                    </w:rPr>
                    <w:t>m</w:t>
                  </w:r>
                  <w:r>
                    <w:rPr>
                      <w:rFonts w:hint="eastAsia" w:ascii="Times New Roman" w:hAnsi="Times New Roman"/>
                      <w:color w:val="auto"/>
                      <w:szCs w:val="21"/>
                      <w:highlight w:val="none"/>
                      <w:vertAlign w:val="superscript"/>
                    </w:rPr>
                    <w:t>2</w:t>
                  </w:r>
                  <w:r>
                    <w:rPr>
                      <w:rFonts w:hint="eastAsia" w:ascii="Times New Roman" w:hAnsi="Times New Roman"/>
                      <w:color w:val="auto"/>
                      <w:szCs w:val="21"/>
                      <w:highlight w:val="none"/>
                    </w:rPr>
                    <w:t>，堆场高度约</w:t>
                  </w:r>
                  <w:r>
                    <w:rPr>
                      <w:rFonts w:hint="eastAsia" w:ascii="Times New Roman" w:hAnsi="Times New Roman"/>
                      <w:color w:val="auto"/>
                      <w:szCs w:val="21"/>
                      <w:highlight w:val="none"/>
                      <w:lang w:val="en-US" w:eastAsia="zh-CN"/>
                    </w:rPr>
                    <w:t>1.5</w:t>
                  </w:r>
                  <w:r>
                    <w:rPr>
                      <w:rFonts w:hint="eastAsia" w:ascii="Times New Roman" w:hAnsi="Times New Roman"/>
                      <w:color w:val="auto"/>
                      <w:szCs w:val="21"/>
                      <w:highlight w:val="none"/>
                    </w:rPr>
                    <w:t>m，用于</w:t>
                  </w:r>
                  <w:r>
                    <w:rPr>
                      <w:rFonts w:ascii="Times New Roman" w:hAnsi="Times New Roman"/>
                      <w:color w:val="auto"/>
                      <w:szCs w:val="21"/>
                      <w:highlight w:val="none"/>
                    </w:rPr>
                    <w:t>复垦时</w:t>
                  </w:r>
                  <w:r>
                    <w:rPr>
                      <w:rFonts w:hint="eastAsia" w:ascii="Times New Roman" w:hAnsi="Times New Roman"/>
                      <w:color w:val="auto"/>
                      <w:szCs w:val="21"/>
                      <w:highlight w:val="none"/>
                    </w:rPr>
                    <w:t>井场表土恢复</w:t>
                  </w:r>
                </w:p>
              </w:tc>
            </w:tr>
            <w:tr w14:paraId="4DDEF15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5C8ECC09">
                  <w:pPr>
                    <w:spacing w:after="0"/>
                    <w:jc w:val="center"/>
                    <w:rPr>
                      <w:rFonts w:ascii="Times New Roman" w:hAnsi="Times New Roman"/>
                      <w:color w:val="auto"/>
                      <w:szCs w:val="21"/>
                      <w:highlight w:val="none"/>
                    </w:rPr>
                  </w:pPr>
                </w:p>
              </w:tc>
              <w:tc>
                <w:tcPr>
                  <w:tcW w:w="1276" w:type="dxa"/>
                  <w:vAlign w:val="center"/>
                </w:tcPr>
                <w:p w14:paraId="034276C9">
                  <w:pPr>
                    <w:spacing w:after="0"/>
                    <w:jc w:val="center"/>
                    <w:rPr>
                      <w:rFonts w:hint="eastAsia" w:ascii="Times New Roman" w:hAnsi="Times New Roman" w:eastAsia="宋体"/>
                      <w:color w:val="auto"/>
                      <w:szCs w:val="21"/>
                      <w:highlight w:val="none"/>
                      <w:shd w:val="clear" w:color="auto" w:fill="FFFFFF"/>
                      <w:lang w:eastAsia="zh-CN"/>
                    </w:rPr>
                  </w:pPr>
                  <w:r>
                    <w:rPr>
                      <w:rFonts w:hint="eastAsia" w:ascii="Times New Roman" w:hAnsi="Times New Roman"/>
                      <w:color w:val="auto"/>
                      <w:szCs w:val="21"/>
                      <w:highlight w:val="none"/>
                      <w:lang w:eastAsia="zh-CN"/>
                    </w:rPr>
                    <w:t>岩芯堆放区</w:t>
                  </w:r>
                </w:p>
              </w:tc>
              <w:tc>
                <w:tcPr>
                  <w:tcW w:w="5319" w:type="dxa"/>
                  <w:vAlign w:val="center"/>
                </w:tcPr>
                <w:p w14:paraId="47FCDB8B">
                  <w:pPr>
                    <w:spacing w:after="0"/>
                    <w:jc w:val="left"/>
                    <w:rPr>
                      <w:rFonts w:ascii="Times New Roman" w:hAnsi="Times New Roman"/>
                      <w:color w:val="auto"/>
                      <w:szCs w:val="21"/>
                      <w:highlight w:val="none"/>
                    </w:rPr>
                  </w:pPr>
                  <w:r>
                    <w:rPr>
                      <w:rFonts w:hint="eastAsia" w:ascii="Times New Roman" w:hAnsi="Times New Roman"/>
                      <w:color w:val="auto"/>
                      <w:szCs w:val="21"/>
                      <w:highlight w:val="none"/>
                    </w:rPr>
                    <w:t>项目钻孔产生的岩芯碎屑集中堆放在井场的</w:t>
                  </w:r>
                  <w:r>
                    <w:rPr>
                      <w:rFonts w:hint="eastAsia" w:ascii="Times New Roman" w:hAnsi="Times New Roman"/>
                      <w:color w:val="auto"/>
                      <w:szCs w:val="21"/>
                      <w:highlight w:val="none"/>
                      <w:lang w:eastAsia="zh-CN"/>
                    </w:rPr>
                    <w:t>岩芯堆放区</w:t>
                  </w:r>
                  <w:r>
                    <w:rPr>
                      <w:rFonts w:hint="eastAsia" w:ascii="Times New Roman" w:hAnsi="Times New Roman"/>
                      <w:color w:val="auto"/>
                      <w:szCs w:val="21"/>
                      <w:highlight w:val="none"/>
                    </w:rPr>
                    <w:t>内，各井场</w:t>
                  </w:r>
                  <w:r>
                    <w:rPr>
                      <w:rFonts w:hint="eastAsia" w:ascii="Times New Roman" w:hAnsi="Times New Roman"/>
                      <w:color w:val="auto"/>
                      <w:szCs w:val="21"/>
                      <w:highlight w:val="none"/>
                      <w:lang w:eastAsia="zh-CN"/>
                    </w:rPr>
                    <w:t>岩芯堆放区</w:t>
                  </w:r>
                  <w:r>
                    <w:rPr>
                      <w:rFonts w:hint="eastAsia" w:ascii="Times New Roman" w:hAnsi="Times New Roman"/>
                      <w:color w:val="auto"/>
                      <w:szCs w:val="21"/>
                      <w:highlight w:val="none"/>
                    </w:rPr>
                    <w:t>占地面积均约为10m</w:t>
                  </w:r>
                  <w:r>
                    <w:rPr>
                      <w:rFonts w:hint="eastAsia" w:ascii="Times New Roman" w:hAnsi="Times New Roman"/>
                      <w:color w:val="auto"/>
                      <w:szCs w:val="21"/>
                      <w:highlight w:val="none"/>
                      <w:vertAlign w:val="superscript"/>
                    </w:rPr>
                    <w:t>2</w:t>
                  </w:r>
                  <w:r>
                    <w:rPr>
                      <w:rFonts w:hint="eastAsia" w:ascii="Times New Roman" w:hAnsi="Times New Roman"/>
                      <w:color w:val="auto"/>
                      <w:szCs w:val="21"/>
                      <w:highlight w:val="none"/>
                    </w:rPr>
                    <w:t>，岩芯碎屑集中收集后作为一般固废处置</w:t>
                  </w:r>
                </w:p>
              </w:tc>
            </w:tr>
            <w:tr w14:paraId="416342D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1236" w:type="dxa"/>
                  <w:vMerge w:val="restart"/>
                  <w:vAlign w:val="center"/>
                </w:tcPr>
                <w:p w14:paraId="0E74EBB8">
                  <w:pPr>
                    <w:spacing w:after="0"/>
                    <w:jc w:val="center"/>
                    <w:rPr>
                      <w:rFonts w:ascii="Times New Roman" w:hAnsi="Times New Roman"/>
                      <w:color w:val="auto"/>
                      <w:szCs w:val="21"/>
                      <w:highlight w:val="none"/>
                    </w:rPr>
                  </w:pPr>
                  <w:r>
                    <w:rPr>
                      <w:rFonts w:ascii="Times New Roman" w:hAnsi="Times New Roman"/>
                      <w:color w:val="auto"/>
                      <w:szCs w:val="21"/>
                      <w:highlight w:val="none"/>
                    </w:rPr>
                    <w:t>储运工程</w:t>
                  </w:r>
                </w:p>
              </w:tc>
              <w:tc>
                <w:tcPr>
                  <w:tcW w:w="1276" w:type="dxa"/>
                  <w:vAlign w:val="center"/>
                </w:tcPr>
                <w:p w14:paraId="46806132">
                  <w:pPr>
                    <w:spacing w:after="0"/>
                    <w:jc w:val="center"/>
                    <w:rPr>
                      <w:rFonts w:hint="eastAsia" w:ascii="Times New Roman" w:hAnsi="Times New Roman" w:eastAsia="宋体"/>
                      <w:color w:val="auto"/>
                      <w:highlight w:val="none"/>
                      <w:lang w:eastAsia="zh-CN"/>
                    </w:rPr>
                  </w:pPr>
                  <w:r>
                    <w:rPr>
                      <w:rFonts w:hint="eastAsia" w:ascii="Times New Roman" w:hAnsi="Times New Roman"/>
                      <w:color w:val="auto"/>
                      <w:highlight w:val="none"/>
                      <w:lang w:val="en-US" w:eastAsia="zh-CN"/>
                    </w:rPr>
                    <w:t>管材堆放区</w:t>
                  </w:r>
                </w:p>
              </w:tc>
              <w:tc>
                <w:tcPr>
                  <w:tcW w:w="5319" w:type="dxa"/>
                  <w:vAlign w:val="center"/>
                </w:tcPr>
                <w:p w14:paraId="64C89E4A">
                  <w:pPr>
                    <w:spacing w:after="0"/>
                    <w:jc w:val="left"/>
                    <w:rPr>
                      <w:rFonts w:ascii="Times New Roman" w:hAnsi="Times New Roman"/>
                      <w:color w:val="auto"/>
                      <w:szCs w:val="21"/>
                      <w:highlight w:val="none"/>
                      <w:lang w:val="zh-CN"/>
                    </w:rPr>
                  </w:pPr>
                  <w:r>
                    <w:rPr>
                      <w:rFonts w:ascii="Times New Roman" w:hAnsi="Times New Roman"/>
                      <w:color w:val="auto"/>
                      <w:szCs w:val="21"/>
                      <w:highlight w:val="none"/>
                      <w:lang w:val="zh-CN"/>
                    </w:rPr>
                    <w:t>每个井场</w:t>
                  </w:r>
                  <w:r>
                    <w:rPr>
                      <w:rFonts w:hint="eastAsia" w:ascii="Times New Roman" w:hAnsi="Times New Roman"/>
                      <w:color w:val="auto"/>
                      <w:szCs w:val="21"/>
                      <w:highlight w:val="none"/>
                    </w:rPr>
                    <w:t>均</w:t>
                  </w:r>
                  <w:r>
                    <w:rPr>
                      <w:rFonts w:ascii="Times New Roman" w:hAnsi="Times New Roman"/>
                      <w:color w:val="auto"/>
                      <w:szCs w:val="21"/>
                      <w:highlight w:val="none"/>
                      <w:lang w:val="zh-CN"/>
                    </w:rPr>
                    <w:t>设置</w:t>
                  </w:r>
                  <w:r>
                    <w:rPr>
                      <w:rFonts w:hint="eastAsia" w:ascii="Times New Roman" w:hAnsi="Times New Roman"/>
                      <w:color w:val="auto"/>
                      <w:szCs w:val="21"/>
                      <w:highlight w:val="none"/>
                    </w:rPr>
                    <w:t>材料区一处</w:t>
                  </w:r>
                  <w:r>
                    <w:rPr>
                      <w:rFonts w:ascii="Times New Roman" w:hAnsi="Times New Roman"/>
                      <w:color w:val="auto"/>
                      <w:szCs w:val="21"/>
                      <w:highlight w:val="none"/>
                      <w:lang w:val="zh-CN"/>
                    </w:rPr>
                    <w:t>，每个</w:t>
                  </w:r>
                  <w:r>
                    <w:rPr>
                      <w:rFonts w:hint="eastAsia" w:ascii="Times New Roman" w:hAnsi="Times New Roman"/>
                      <w:color w:val="auto"/>
                      <w:szCs w:val="21"/>
                      <w:highlight w:val="none"/>
                    </w:rPr>
                    <w:t>占地</w:t>
                  </w:r>
                  <w:r>
                    <w:rPr>
                      <w:rFonts w:ascii="Times New Roman" w:hAnsi="Times New Roman"/>
                      <w:color w:val="auto"/>
                      <w:szCs w:val="21"/>
                      <w:highlight w:val="none"/>
                    </w:rPr>
                    <w:t>面积</w:t>
                  </w:r>
                  <w:r>
                    <w:rPr>
                      <w:rFonts w:hint="eastAsia" w:ascii="Times New Roman" w:hAnsi="Times New Roman"/>
                      <w:color w:val="auto"/>
                      <w:szCs w:val="21"/>
                      <w:highlight w:val="none"/>
                    </w:rPr>
                    <w:t>均约11</w:t>
                  </w:r>
                  <w:r>
                    <w:rPr>
                      <w:rFonts w:ascii="Times New Roman" w:hAnsi="Times New Roman"/>
                      <w:color w:val="auto"/>
                      <w:szCs w:val="21"/>
                      <w:highlight w:val="none"/>
                    </w:rPr>
                    <w:t>m</w:t>
                  </w:r>
                  <w:r>
                    <w:rPr>
                      <w:rFonts w:ascii="Times New Roman" w:hAnsi="Times New Roman"/>
                      <w:color w:val="auto"/>
                      <w:szCs w:val="21"/>
                      <w:highlight w:val="none"/>
                      <w:vertAlign w:val="superscript"/>
                    </w:rPr>
                    <w:t>2</w:t>
                  </w:r>
                  <w:r>
                    <w:rPr>
                      <w:rFonts w:ascii="Times New Roman" w:hAnsi="Times New Roman"/>
                      <w:color w:val="auto"/>
                      <w:szCs w:val="21"/>
                      <w:highlight w:val="none"/>
                      <w:lang w:val="zh-CN"/>
                    </w:rPr>
                    <w:t>，用于</w:t>
                  </w:r>
                  <w:r>
                    <w:rPr>
                      <w:rFonts w:hint="eastAsia" w:ascii="Times New Roman" w:hAnsi="Times New Roman"/>
                      <w:color w:val="auto"/>
                      <w:highlight w:val="none"/>
                    </w:rPr>
                    <w:t>钻孔管道</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耗材、小型设备</w:t>
                  </w:r>
                  <w:r>
                    <w:rPr>
                      <w:rFonts w:hint="eastAsia" w:ascii="Times New Roman" w:hAnsi="Times New Roman"/>
                      <w:color w:val="auto"/>
                      <w:highlight w:val="none"/>
                    </w:rPr>
                    <w:t>等设施</w:t>
                  </w:r>
                  <w:r>
                    <w:rPr>
                      <w:rFonts w:ascii="Times New Roman" w:hAnsi="Times New Roman"/>
                      <w:color w:val="auto"/>
                      <w:highlight w:val="none"/>
                    </w:rPr>
                    <w:t>存放</w:t>
                  </w:r>
                </w:p>
              </w:tc>
            </w:tr>
            <w:tr w14:paraId="2B4C510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593BAA1C">
                  <w:pPr>
                    <w:spacing w:after="0"/>
                    <w:jc w:val="center"/>
                    <w:rPr>
                      <w:rFonts w:ascii="Times New Roman" w:hAnsi="Times New Roman"/>
                      <w:color w:val="auto"/>
                      <w:szCs w:val="21"/>
                      <w:highlight w:val="none"/>
                    </w:rPr>
                  </w:pPr>
                </w:p>
              </w:tc>
              <w:tc>
                <w:tcPr>
                  <w:tcW w:w="1276" w:type="dxa"/>
                  <w:vAlign w:val="center"/>
                </w:tcPr>
                <w:p w14:paraId="3A2502BA">
                  <w:pPr>
                    <w:spacing w:after="0"/>
                    <w:jc w:val="center"/>
                    <w:rPr>
                      <w:rFonts w:ascii="Times New Roman" w:hAnsi="Times New Roman"/>
                      <w:color w:val="auto"/>
                      <w:highlight w:val="none"/>
                    </w:rPr>
                  </w:pPr>
                  <w:r>
                    <w:rPr>
                      <w:rFonts w:hint="eastAsia" w:ascii="Times New Roman" w:hAnsi="Times New Roman"/>
                      <w:color w:val="auto"/>
                      <w:highlight w:val="none"/>
                      <w:lang w:val="en-US" w:eastAsia="zh-CN"/>
                    </w:rPr>
                    <w:t>清</w:t>
                  </w:r>
                  <w:r>
                    <w:rPr>
                      <w:rFonts w:hint="eastAsia" w:ascii="Times New Roman" w:hAnsi="Times New Roman"/>
                      <w:color w:val="auto"/>
                      <w:highlight w:val="none"/>
                    </w:rPr>
                    <w:t>水池</w:t>
                  </w:r>
                </w:p>
              </w:tc>
              <w:tc>
                <w:tcPr>
                  <w:tcW w:w="5319" w:type="dxa"/>
                  <w:vAlign w:val="center"/>
                </w:tcPr>
                <w:p w14:paraId="16BB2234">
                  <w:pPr>
                    <w:spacing w:after="0"/>
                    <w:jc w:val="left"/>
                    <w:rPr>
                      <w:rFonts w:ascii="Times New Roman" w:hAnsi="Times New Roman"/>
                      <w:color w:val="auto"/>
                      <w:szCs w:val="21"/>
                      <w:highlight w:val="none"/>
                      <w:lang w:val="zh-CN"/>
                    </w:rPr>
                  </w:pPr>
                  <w:r>
                    <w:rPr>
                      <w:rFonts w:ascii="Times New Roman" w:hAnsi="Times New Roman"/>
                      <w:color w:val="auto"/>
                      <w:szCs w:val="21"/>
                      <w:highlight w:val="none"/>
                    </w:rPr>
                    <w:t>本项目每个</w:t>
                  </w:r>
                  <w:r>
                    <w:rPr>
                      <w:rFonts w:hint="eastAsia" w:ascii="Times New Roman" w:hAnsi="Times New Roman"/>
                      <w:color w:val="auto"/>
                      <w:szCs w:val="21"/>
                      <w:highlight w:val="none"/>
                    </w:rPr>
                    <w:t>施工场地均设置一座</w:t>
                  </w:r>
                  <w:r>
                    <w:rPr>
                      <w:rFonts w:hint="eastAsia" w:ascii="Times New Roman" w:hAnsi="Times New Roman"/>
                      <w:color w:val="auto"/>
                      <w:szCs w:val="21"/>
                      <w:highlight w:val="none"/>
                      <w:lang w:val="en-US" w:eastAsia="zh-CN"/>
                    </w:rPr>
                    <w:t>清水</w:t>
                  </w:r>
                  <w:r>
                    <w:rPr>
                      <w:rFonts w:hint="eastAsia" w:ascii="Times New Roman" w:hAnsi="Times New Roman"/>
                      <w:color w:val="auto"/>
                      <w:szCs w:val="21"/>
                      <w:highlight w:val="none"/>
                    </w:rPr>
                    <w:t>池，总</w:t>
                  </w:r>
                  <w:r>
                    <w:rPr>
                      <w:rFonts w:hint="eastAsia"/>
                      <w:color w:val="auto"/>
                      <w:highlight w:val="none"/>
                    </w:rPr>
                    <w:t>容积</w:t>
                  </w:r>
                  <w:r>
                    <w:rPr>
                      <w:rFonts w:ascii="Times New Roman" w:hAnsi="Times New Roman"/>
                      <w:color w:val="auto"/>
                      <w:highlight w:val="none"/>
                    </w:rPr>
                    <w:t>约10m</w:t>
                  </w:r>
                  <w:r>
                    <w:rPr>
                      <w:rFonts w:ascii="Times New Roman" w:hAnsi="Times New Roman"/>
                      <w:color w:val="auto"/>
                      <w:highlight w:val="none"/>
                      <w:vertAlign w:val="superscript"/>
                    </w:rPr>
                    <w:t>3</w:t>
                  </w:r>
                  <w:r>
                    <w:rPr>
                      <w:rFonts w:hint="eastAsia"/>
                      <w:color w:val="auto"/>
                      <w:highlight w:val="none"/>
                    </w:rPr>
                    <w:t>，用于施工过程中用水存储。</w:t>
                  </w:r>
                </w:p>
              </w:tc>
            </w:tr>
            <w:tr w14:paraId="0E2652E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1236" w:type="dxa"/>
                  <w:vMerge w:val="restart"/>
                  <w:vAlign w:val="center"/>
                </w:tcPr>
                <w:p w14:paraId="0489A0AE">
                  <w:pPr>
                    <w:spacing w:after="0"/>
                    <w:jc w:val="center"/>
                    <w:rPr>
                      <w:rFonts w:ascii="Times New Roman" w:hAnsi="Times New Roman"/>
                      <w:color w:val="auto"/>
                      <w:szCs w:val="21"/>
                      <w:highlight w:val="none"/>
                    </w:rPr>
                  </w:pPr>
                  <w:r>
                    <w:rPr>
                      <w:rFonts w:ascii="Times New Roman" w:hAnsi="Times New Roman"/>
                      <w:color w:val="auto"/>
                      <w:szCs w:val="21"/>
                      <w:highlight w:val="none"/>
                    </w:rPr>
                    <w:t>公用工程</w:t>
                  </w:r>
                </w:p>
              </w:tc>
              <w:tc>
                <w:tcPr>
                  <w:tcW w:w="1276" w:type="dxa"/>
                  <w:vAlign w:val="center"/>
                </w:tcPr>
                <w:p w14:paraId="35119545">
                  <w:pPr>
                    <w:spacing w:after="0"/>
                    <w:jc w:val="center"/>
                    <w:rPr>
                      <w:rFonts w:ascii="Times New Roman" w:hAnsi="Times New Roman"/>
                      <w:color w:val="auto"/>
                      <w:szCs w:val="21"/>
                      <w:highlight w:val="none"/>
                    </w:rPr>
                  </w:pPr>
                  <w:r>
                    <w:rPr>
                      <w:rFonts w:ascii="Times New Roman" w:hAnsi="Times New Roman"/>
                      <w:color w:val="auto"/>
                      <w:szCs w:val="21"/>
                      <w:highlight w:val="none"/>
                    </w:rPr>
                    <w:t>供电</w:t>
                  </w:r>
                </w:p>
              </w:tc>
              <w:tc>
                <w:tcPr>
                  <w:tcW w:w="5319" w:type="dxa"/>
                  <w:vAlign w:val="center"/>
                </w:tcPr>
                <w:p w14:paraId="11684195">
                  <w:pPr>
                    <w:spacing w:after="0"/>
                    <w:rPr>
                      <w:rFonts w:ascii="Times New Roman" w:hAnsi="Times New Roman"/>
                      <w:color w:val="auto"/>
                      <w:szCs w:val="21"/>
                      <w:highlight w:val="none"/>
                    </w:rPr>
                  </w:pPr>
                  <w:r>
                    <w:rPr>
                      <w:rFonts w:hint="eastAsia" w:ascii="Times New Roman" w:hAnsi="Times New Roman"/>
                      <w:color w:val="auto"/>
                      <w:szCs w:val="21"/>
                      <w:highlight w:val="none"/>
                    </w:rPr>
                    <w:t>本项目供电由附近村庄现有供电电网供给，项目现场不设有柴油发电设施。</w:t>
                  </w:r>
                </w:p>
              </w:tc>
            </w:tr>
            <w:tr w14:paraId="1FF94D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6995AD8C">
                  <w:pPr>
                    <w:spacing w:after="0"/>
                    <w:jc w:val="center"/>
                    <w:rPr>
                      <w:rFonts w:ascii="Times New Roman" w:hAnsi="Times New Roman"/>
                      <w:color w:val="auto"/>
                      <w:szCs w:val="21"/>
                      <w:highlight w:val="none"/>
                    </w:rPr>
                  </w:pPr>
                </w:p>
              </w:tc>
              <w:tc>
                <w:tcPr>
                  <w:tcW w:w="1276" w:type="dxa"/>
                  <w:vAlign w:val="center"/>
                </w:tcPr>
                <w:p w14:paraId="3AEB2219">
                  <w:pPr>
                    <w:spacing w:after="0"/>
                    <w:jc w:val="center"/>
                    <w:rPr>
                      <w:rFonts w:ascii="Times New Roman" w:hAnsi="Times New Roman"/>
                      <w:color w:val="auto"/>
                      <w:szCs w:val="21"/>
                      <w:highlight w:val="none"/>
                    </w:rPr>
                  </w:pPr>
                  <w:r>
                    <w:rPr>
                      <w:rFonts w:ascii="Times New Roman" w:hAnsi="Times New Roman"/>
                      <w:color w:val="auto"/>
                      <w:szCs w:val="21"/>
                      <w:highlight w:val="none"/>
                    </w:rPr>
                    <w:t>供水</w:t>
                  </w:r>
                </w:p>
              </w:tc>
              <w:tc>
                <w:tcPr>
                  <w:tcW w:w="5319" w:type="dxa"/>
                  <w:vAlign w:val="center"/>
                </w:tcPr>
                <w:p w14:paraId="1D5D66D8">
                  <w:pPr>
                    <w:spacing w:after="0"/>
                    <w:rPr>
                      <w:rFonts w:ascii="Times New Roman" w:hAnsi="Times New Roman"/>
                      <w:color w:val="auto"/>
                      <w:szCs w:val="21"/>
                      <w:highlight w:val="none"/>
                    </w:rPr>
                  </w:pPr>
                  <w:r>
                    <w:rPr>
                      <w:rFonts w:ascii="Times New Roman" w:hAnsi="Times New Roman"/>
                      <w:color w:val="auto"/>
                      <w:szCs w:val="21"/>
                      <w:highlight w:val="none"/>
                    </w:rPr>
                    <w:t>施工用水依托井场周边村庄，采用罐车拉运生产用水，每个</w:t>
                  </w:r>
                  <w:r>
                    <w:rPr>
                      <w:rFonts w:hint="eastAsia" w:ascii="Times New Roman" w:hAnsi="Times New Roman"/>
                      <w:color w:val="auto"/>
                      <w:szCs w:val="21"/>
                      <w:highlight w:val="none"/>
                    </w:rPr>
                    <w:t>施工场地均设置一座</w:t>
                  </w:r>
                  <w:r>
                    <w:rPr>
                      <w:rFonts w:hint="eastAsia" w:ascii="Times New Roman" w:hAnsi="Times New Roman"/>
                      <w:color w:val="auto"/>
                      <w:szCs w:val="21"/>
                      <w:highlight w:val="none"/>
                      <w:lang w:val="en-US" w:eastAsia="zh-CN"/>
                    </w:rPr>
                    <w:t>清水</w:t>
                  </w:r>
                  <w:r>
                    <w:rPr>
                      <w:rFonts w:hint="eastAsia" w:ascii="Times New Roman" w:hAnsi="Times New Roman"/>
                      <w:color w:val="auto"/>
                      <w:szCs w:val="21"/>
                      <w:highlight w:val="none"/>
                    </w:rPr>
                    <w:t>池，</w:t>
                  </w:r>
                  <w:r>
                    <w:rPr>
                      <w:rFonts w:hint="eastAsia"/>
                      <w:color w:val="auto"/>
                      <w:highlight w:val="none"/>
                    </w:rPr>
                    <w:t>容</w:t>
                  </w:r>
                  <w:r>
                    <w:rPr>
                      <w:rFonts w:ascii="Times New Roman" w:hAnsi="Times New Roman"/>
                      <w:color w:val="auto"/>
                      <w:highlight w:val="none"/>
                    </w:rPr>
                    <w:t>积</w:t>
                  </w:r>
                  <w:r>
                    <w:rPr>
                      <w:rFonts w:hint="eastAsia" w:ascii="Times New Roman" w:hAnsi="Times New Roman"/>
                      <w:color w:val="auto"/>
                      <w:highlight w:val="none"/>
                    </w:rPr>
                    <w:t>1</w:t>
                  </w:r>
                  <w:r>
                    <w:rPr>
                      <w:rFonts w:ascii="Times New Roman" w:hAnsi="Times New Roman"/>
                      <w:color w:val="auto"/>
                      <w:highlight w:val="none"/>
                    </w:rPr>
                    <w:t>0m</w:t>
                  </w:r>
                  <w:r>
                    <w:rPr>
                      <w:rFonts w:ascii="Times New Roman" w:hAnsi="Times New Roman"/>
                      <w:color w:val="auto"/>
                      <w:highlight w:val="none"/>
                      <w:vertAlign w:val="superscript"/>
                    </w:rPr>
                    <w:t>3</w:t>
                  </w:r>
                  <w:r>
                    <w:rPr>
                      <w:rFonts w:hint="eastAsia"/>
                      <w:color w:val="auto"/>
                      <w:highlight w:val="none"/>
                    </w:rPr>
                    <w:t>，用于施工过程中用水存储，</w:t>
                  </w:r>
                  <w:r>
                    <w:rPr>
                      <w:rFonts w:ascii="Times New Roman" w:hAnsi="Times New Roman"/>
                      <w:color w:val="auto"/>
                      <w:szCs w:val="21"/>
                      <w:highlight w:val="none"/>
                    </w:rPr>
                    <w:t>生活用水为桶装纯净水。</w:t>
                  </w:r>
                </w:p>
              </w:tc>
            </w:tr>
            <w:tr w14:paraId="53140BB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76AEECC4">
                  <w:pPr>
                    <w:spacing w:after="0"/>
                    <w:jc w:val="center"/>
                    <w:rPr>
                      <w:rFonts w:ascii="Times New Roman" w:hAnsi="Times New Roman"/>
                      <w:color w:val="auto"/>
                      <w:szCs w:val="21"/>
                      <w:highlight w:val="none"/>
                    </w:rPr>
                  </w:pPr>
                </w:p>
              </w:tc>
              <w:tc>
                <w:tcPr>
                  <w:tcW w:w="1276" w:type="dxa"/>
                  <w:vAlign w:val="center"/>
                </w:tcPr>
                <w:p w14:paraId="501DD050">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排水</w:t>
                  </w:r>
                </w:p>
              </w:tc>
              <w:tc>
                <w:tcPr>
                  <w:tcW w:w="5319" w:type="dxa"/>
                  <w:vAlign w:val="center"/>
                </w:tcPr>
                <w:p w14:paraId="11F3F7DB">
                  <w:pPr>
                    <w:spacing w:after="0"/>
                    <w:rPr>
                      <w:rFonts w:ascii="Times New Roman" w:hAnsi="Times New Roman"/>
                      <w:color w:val="auto"/>
                      <w:szCs w:val="21"/>
                      <w:highlight w:val="none"/>
                    </w:rPr>
                  </w:pPr>
                  <w:r>
                    <w:rPr>
                      <w:rFonts w:hint="eastAsia" w:ascii="Times New Roman" w:hAnsi="Times New Roman"/>
                      <w:color w:val="auto"/>
                      <w:szCs w:val="21"/>
                      <w:highlight w:val="none"/>
                    </w:rPr>
                    <w:t>施工场地四周设置雨水排水沟，场内雨水随雨水沟排放至周边地表水体。</w:t>
                  </w:r>
                  <w:r>
                    <w:rPr>
                      <w:rFonts w:ascii="Times New Roman" w:hAnsi="Times New Roman"/>
                      <w:color w:val="auto"/>
                      <w:szCs w:val="21"/>
                      <w:highlight w:val="none"/>
                    </w:rPr>
                    <w:t>职工</w:t>
                  </w:r>
                  <w:r>
                    <w:rPr>
                      <w:rFonts w:hint="eastAsia" w:ascii="Times New Roman" w:hAnsi="Times New Roman"/>
                      <w:color w:val="auto"/>
                      <w:szCs w:val="21"/>
                      <w:highlight w:val="none"/>
                    </w:rPr>
                    <w:t>生活污水</w:t>
                  </w:r>
                  <w:r>
                    <w:rPr>
                      <w:rFonts w:hint="eastAsia"/>
                      <w:color w:val="auto"/>
                      <w:lang w:val="en-US" w:eastAsia="zh-CN"/>
                    </w:rPr>
                    <w:t>依托</w:t>
                  </w:r>
                  <w:r>
                    <w:rPr>
                      <w:rFonts w:hint="eastAsia" w:ascii="Times New Roman" w:hAnsi="Times New Roman"/>
                      <w:color w:val="auto"/>
                      <w:szCs w:val="21"/>
                      <w:highlight w:val="none"/>
                      <w:lang w:val="en-US" w:eastAsia="zh-CN"/>
                    </w:rPr>
                    <w:t>周边</w:t>
                  </w:r>
                  <w:r>
                    <w:rPr>
                      <w:rFonts w:hint="eastAsia" w:ascii="Times New Roman" w:hAnsi="Times New Roman"/>
                      <w:color w:val="auto"/>
                      <w:szCs w:val="21"/>
                      <w:highlight w:val="none"/>
                    </w:rPr>
                    <w:t>化粪池预处理后，由当地农户定期清掏，全部用于周边农田施肥，不外排</w:t>
                  </w:r>
                  <w:r>
                    <w:rPr>
                      <w:rFonts w:ascii="Times New Roman" w:hAnsi="Times New Roman"/>
                      <w:color w:val="auto"/>
                      <w:szCs w:val="21"/>
                      <w:highlight w:val="none"/>
                    </w:rPr>
                    <w:t>。</w:t>
                  </w:r>
                  <w:r>
                    <w:rPr>
                      <w:rFonts w:hint="eastAsia" w:ascii="Times New Roman" w:hAnsi="Times New Roman"/>
                      <w:color w:val="auto"/>
                      <w:szCs w:val="21"/>
                      <w:highlight w:val="none"/>
                    </w:rPr>
                    <w:t>钻井泥浆经处理后大部分可循环利用，少量泥浆无法继续回用的</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lang w:val="en-US" w:eastAsia="zh-CN"/>
                    </w:rPr>
                    <w:t>收集</w:t>
                  </w:r>
                  <w:r>
                    <w:rPr>
                      <w:rFonts w:hint="eastAsia" w:ascii="Times New Roman" w:hAnsi="Times New Roman"/>
                      <w:color w:val="auto"/>
                      <w:szCs w:val="21"/>
                      <w:highlight w:val="none"/>
                    </w:rPr>
                    <w:t>进入</w:t>
                  </w:r>
                  <w:r>
                    <w:rPr>
                      <w:rFonts w:hint="eastAsia" w:ascii="Times New Roman" w:hAnsi="Times New Roman"/>
                      <w:color w:val="auto"/>
                      <w:szCs w:val="21"/>
                      <w:highlight w:val="none"/>
                      <w:lang w:eastAsia="zh-CN"/>
                    </w:rPr>
                    <w:t>废浆池</w:t>
                  </w:r>
                  <w:r>
                    <w:rPr>
                      <w:rFonts w:hint="eastAsia" w:ascii="Times New Roman" w:hAnsi="Times New Roman"/>
                      <w:color w:val="auto"/>
                      <w:szCs w:val="21"/>
                      <w:highlight w:val="none"/>
                    </w:rPr>
                    <w:t>中作为固废处置，无钻井废水排放。</w:t>
                  </w:r>
                </w:p>
              </w:tc>
            </w:tr>
            <w:tr w14:paraId="43500B2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restart"/>
                  <w:vAlign w:val="center"/>
                </w:tcPr>
                <w:p w14:paraId="4826E4AC">
                  <w:pPr>
                    <w:spacing w:after="0"/>
                    <w:jc w:val="center"/>
                    <w:rPr>
                      <w:rFonts w:ascii="Times New Roman" w:hAnsi="Times New Roman"/>
                      <w:color w:val="auto"/>
                      <w:szCs w:val="21"/>
                      <w:highlight w:val="none"/>
                    </w:rPr>
                  </w:pPr>
                  <w:r>
                    <w:rPr>
                      <w:rFonts w:ascii="Times New Roman" w:hAnsi="Times New Roman"/>
                      <w:color w:val="auto"/>
                      <w:szCs w:val="21"/>
                      <w:highlight w:val="none"/>
                    </w:rPr>
                    <w:t>环保工程</w:t>
                  </w:r>
                </w:p>
              </w:tc>
              <w:tc>
                <w:tcPr>
                  <w:tcW w:w="1276" w:type="dxa"/>
                  <w:vAlign w:val="center"/>
                </w:tcPr>
                <w:p w14:paraId="17FDF227">
                  <w:pPr>
                    <w:spacing w:after="0"/>
                    <w:jc w:val="center"/>
                    <w:rPr>
                      <w:rFonts w:ascii="Times New Roman" w:hAnsi="Times New Roman"/>
                      <w:color w:val="auto"/>
                      <w:szCs w:val="21"/>
                      <w:highlight w:val="none"/>
                    </w:rPr>
                  </w:pPr>
                  <w:r>
                    <w:rPr>
                      <w:rFonts w:ascii="Times New Roman" w:hAnsi="Times New Roman"/>
                      <w:color w:val="auto"/>
                      <w:szCs w:val="21"/>
                      <w:highlight w:val="none"/>
                    </w:rPr>
                    <w:t>废气</w:t>
                  </w:r>
                </w:p>
              </w:tc>
              <w:tc>
                <w:tcPr>
                  <w:tcW w:w="5319" w:type="dxa"/>
                  <w:vAlign w:val="center"/>
                </w:tcPr>
                <w:p w14:paraId="14164603">
                  <w:pPr>
                    <w:spacing w:after="0"/>
                    <w:rPr>
                      <w:rFonts w:ascii="Times New Roman" w:hAnsi="Times New Roman"/>
                      <w:color w:val="auto"/>
                      <w:szCs w:val="21"/>
                      <w:highlight w:val="none"/>
                    </w:rPr>
                  </w:pPr>
                  <w:r>
                    <w:rPr>
                      <w:rFonts w:ascii="Times New Roman" w:hAnsi="Times New Roman"/>
                      <w:color w:val="auto"/>
                      <w:szCs w:val="21"/>
                      <w:highlight w:val="none"/>
                    </w:rPr>
                    <w:t>施工期影响主要为施工扬尘、机械尾气等。通过加强施工机械、车辆管理，进行物料覆盖，对施工道路进行固化、洒水处理等措施，施工现场扬尘污染防治应做到</w:t>
                  </w:r>
                  <w:r>
                    <w:rPr>
                      <w:rFonts w:hint="eastAsia" w:ascii="Times New Roman" w:hAnsi="Times New Roman"/>
                      <w:color w:val="auto"/>
                      <w:szCs w:val="21"/>
                      <w:highlight w:val="none"/>
                      <w:lang w:eastAsia="zh-CN"/>
                    </w:rPr>
                    <w:t>“</w:t>
                  </w:r>
                  <w:r>
                    <w:rPr>
                      <w:rFonts w:ascii="Times New Roman" w:hAnsi="Times New Roman"/>
                      <w:color w:val="auto"/>
                      <w:szCs w:val="21"/>
                      <w:highlight w:val="none"/>
                    </w:rPr>
                    <w:t>六个百分之百</w:t>
                  </w:r>
                  <w:r>
                    <w:rPr>
                      <w:rFonts w:hint="eastAsia" w:ascii="Times New Roman" w:hAnsi="Times New Roman"/>
                      <w:color w:val="auto"/>
                      <w:szCs w:val="21"/>
                      <w:highlight w:val="none"/>
                      <w:lang w:eastAsia="zh-CN"/>
                    </w:rPr>
                    <w:t>”</w:t>
                  </w:r>
                  <w:r>
                    <w:rPr>
                      <w:rFonts w:ascii="Times New Roman" w:hAnsi="Times New Roman"/>
                      <w:color w:val="auto"/>
                      <w:szCs w:val="21"/>
                      <w:highlight w:val="none"/>
                    </w:rPr>
                    <w:t>，减少对周边空气环境的影响。</w:t>
                  </w:r>
                </w:p>
              </w:tc>
            </w:tr>
            <w:tr w14:paraId="309FEDB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5D263FFE">
                  <w:pPr>
                    <w:spacing w:after="0"/>
                    <w:jc w:val="center"/>
                    <w:rPr>
                      <w:rFonts w:ascii="Times New Roman" w:hAnsi="Times New Roman"/>
                      <w:color w:val="auto"/>
                      <w:szCs w:val="21"/>
                      <w:highlight w:val="none"/>
                    </w:rPr>
                  </w:pPr>
                </w:p>
              </w:tc>
              <w:tc>
                <w:tcPr>
                  <w:tcW w:w="1276" w:type="dxa"/>
                  <w:vAlign w:val="center"/>
                </w:tcPr>
                <w:p w14:paraId="311078B4">
                  <w:pPr>
                    <w:spacing w:after="0"/>
                    <w:jc w:val="center"/>
                    <w:rPr>
                      <w:rFonts w:ascii="Times New Roman" w:hAnsi="Times New Roman"/>
                      <w:color w:val="auto"/>
                      <w:szCs w:val="21"/>
                      <w:highlight w:val="none"/>
                    </w:rPr>
                  </w:pPr>
                  <w:r>
                    <w:rPr>
                      <w:rFonts w:ascii="Times New Roman" w:hAnsi="Times New Roman"/>
                      <w:color w:val="auto"/>
                      <w:szCs w:val="21"/>
                      <w:highlight w:val="none"/>
                    </w:rPr>
                    <w:t>废水</w:t>
                  </w:r>
                </w:p>
              </w:tc>
              <w:tc>
                <w:tcPr>
                  <w:tcW w:w="5319" w:type="dxa"/>
                  <w:vAlign w:val="center"/>
                </w:tcPr>
                <w:p w14:paraId="037ACC6A">
                  <w:pPr>
                    <w:spacing w:after="0"/>
                    <w:rPr>
                      <w:rFonts w:ascii="Times New Roman" w:hAnsi="Times New Roman"/>
                      <w:color w:val="auto"/>
                      <w:szCs w:val="21"/>
                      <w:highlight w:val="none"/>
                    </w:rPr>
                  </w:pPr>
                  <w:r>
                    <w:rPr>
                      <w:rFonts w:ascii="Times New Roman" w:hAnsi="Times New Roman"/>
                      <w:color w:val="auto"/>
                      <w:szCs w:val="21"/>
                      <w:highlight w:val="none"/>
                    </w:rPr>
                    <w:t>项目区不设置员工食宿，员工食宿依托附近村庄，</w:t>
                  </w:r>
                  <w:r>
                    <w:rPr>
                      <w:rFonts w:hint="eastAsia" w:ascii="Times New Roman" w:hAnsi="Times New Roman"/>
                      <w:color w:val="auto"/>
                      <w:szCs w:val="21"/>
                      <w:highlight w:val="none"/>
                    </w:rPr>
                    <w:t>生活污水经化粪池预处理后委托清掏单位定期清掏处理，不外排，</w:t>
                  </w:r>
                  <w:r>
                    <w:rPr>
                      <w:rFonts w:ascii="Times New Roman" w:hAnsi="Times New Roman"/>
                      <w:color w:val="auto"/>
                      <w:szCs w:val="21"/>
                      <w:highlight w:val="none"/>
                    </w:rPr>
                    <w:t>用于当地农作物施肥。</w:t>
                  </w:r>
                </w:p>
                <w:p w14:paraId="45C90E44">
                  <w:pPr>
                    <w:spacing w:after="0"/>
                    <w:rPr>
                      <w:rFonts w:ascii="Times New Roman" w:hAnsi="Times New Roman"/>
                      <w:color w:val="auto"/>
                      <w:szCs w:val="21"/>
                      <w:highlight w:val="none"/>
                    </w:rPr>
                  </w:pPr>
                  <w:r>
                    <w:rPr>
                      <w:rFonts w:ascii="Times New Roman" w:hAnsi="Times New Roman"/>
                      <w:color w:val="auto"/>
                      <w:szCs w:val="21"/>
                      <w:highlight w:val="none"/>
                    </w:rPr>
                    <w:t>项目实施钻井仅为施工期</w:t>
                  </w:r>
                  <w:r>
                    <w:rPr>
                      <w:rFonts w:hint="eastAsia" w:ascii="Times New Roman" w:hAnsi="Times New Roman"/>
                      <w:color w:val="auto"/>
                      <w:szCs w:val="21"/>
                      <w:highlight w:val="none"/>
                    </w:rPr>
                    <w:t>，</w:t>
                  </w:r>
                  <w:r>
                    <w:rPr>
                      <w:rFonts w:ascii="Times New Roman" w:hAnsi="Times New Roman"/>
                      <w:color w:val="auto"/>
                      <w:szCs w:val="21"/>
                      <w:highlight w:val="none"/>
                    </w:rPr>
                    <w:t>每个井场</w:t>
                  </w:r>
                  <w:r>
                    <w:rPr>
                      <w:rFonts w:hint="eastAsia" w:ascii="Times New Roman" w:hAnsi="Times New Roman"/>
                      <w:color w:val="auto"/>
                      <w:szCs w:val="21"/>
                      <w:highlight w:val="none"/>
                    </w:rPr>
                    <w:t>需对进出</w:t>
                  </w:r>
                  <w:r>
                    <w:rPr>
                      <w:rFonts w:ascii="Times New Roman" w:hAnsi="Times New Roman"/>
                      <w:color w:val="auto"/>
                      <w:szCs w:val="21"/>
                      <w:highlight w:val="none"/>
                    </w:rPr>
                    <w:t>车辆冲洗，配套建设容积</w:t>
                  </w:r>
                  <w:r>
                    <w:rPr>
                      <w:rFonts w:hint="eastAsia" w:ascii="Times New Roman" w:hAnsi="Times New Roman"/>
                      <w:color w:val="auto"/>
                      <w:szCs w:val="21"/>
                      <w:highlight w:val="none"/>
                    </w:rPr>
                    <w:t>约8</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循环沉淀池，车辆清洗废水经沉淀池沉淀后循环使用，不外排；每个井场钻探废水设</w:t>
                  </w:r>
                  <w:r>
                    <w:rPr>
                      <w:rFonts w:hint="eastAsia" w:ascii="Times New Roman" w:hAnsi="Times New Roman"/>
                      <w:color w:val="auto"/>
                      <w:szCs w:val="21"/>
                      <w:highlight w:val="none"/>
                      <w:lang w:val="en-US" w:eastAsia="zh-CN"/>
                    </w:rPr>
                    <w:t>2</w:t>
                  </w:r>
                  <w:r>
                    <w:rPr>
                      <w:rFonts w:ascii="Times New Roman" w:hAnsi="Times New Roman"/>
                      <w:color w:val="auto"/>
                      <w:szCs w:val="21"/>
                      <w:highlight w:val="none"/>
                    </w:rPr>
                    <w:t>个</w:t>
                  </w:r>
                  <w:r>
                    <w:rPr>
                      <w:rFonts w:hint="eastAsia" w:ascii="Times New Roman" w:hAnsi="Times New Roman"/>
                      <w:color w:val="auto"/>
                      <w:szCs w:val="21"/>
                      <w:highlight w:val="none"/>
                    </w:rPr>
                    <w:t>泥浆</w:t>
                  </w:r>
                  <w:r>
                    <w:rPr>
                      <w:rFonts w:ascii="Times New Roman" w:hAnsi="Times New Roman"/>
                      <w:color w:val="auto"/>
                      <w:szCs w:val="21"/>
                      <w:highlight w:val="none"/>
                    </w:rPr>
                    <w:t>池，</w:t>
                  </w:r>
                  <w:r>
                    <w:rPr>
                      <w:rFonts w:hint="eastAsia" w:ascii="Times New Roman" w:hAnsi="Times New Roman"/>
                      <w:color w:val="auto"/>
                      <w:szCs w:val="21"/>
                      <w:highlight w:val="none"/>
                      <w:lang w:val="en-US" w:eastAsia="zh-CN"/>
                    </w:rPr>
                    <w:t>单个</w:t>
                  </w:r>
                  <w:r>
                    <w:rPr>
                      <w:rFonts w:ascii="Times New Roman" w:hAnsi="Times New Roman"/>
                      <w:color w:val="auto"/>
                      <w:szCs w:val="21"/>
                      <w:highlight w:val="none"/>
                    </w:rPr>
                    <w:t>容积</w:t>
                  </w:r>
                  <w:r>
                    <w:rPr>
                      <w:rFonts w:hint="eastAsia" w:ascii="Times New Roman" w:hAnsi="Times New Roman"/>
                      <w:color w:val="auto"/>
                      <w:szCs w:val="21"/>
                      <w:highlight w:val="none"/>
                    </w:rPr>
                    <w:t>约</w:t>
                  </w:r>
                  <w:r>
                    <w:rPr>
                      <w:rFonts w:hint="eastAsia" w:ascii="Times New Roman" w:hAnsi="Times New Roman"/>
                      <w:color w:val="auto"/>
                      <w:szCs w:val="21"/>
                      <w:highlight w:val="none"/>
                      <w:lang w:val="en-US" w:eastAsia="zh-CN"/>
                    </w:rPr>
                    <w:t>24</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w:t>
                  </w:r>
                  <w:r>
                    <w:rPr>
                      <w:rFonts w:hint="eastAsia" w:ascii="Times New Roman" w:hAnsi="Times New Roman"/>
                      <w:color w:val="auto"/>
                      <w:szCs w:val="21"/>
                      <w:highlight w:val="none"/>
                      <w:lang w:val="en-US" w:eastAsia="zh-CN"/>
                    </w:rPr>
                    <w:t>总容积48m</w:t>
                  </w:r>
                  <w:r>
                    <w:rPr>
                      <w:rFonts w:hint="eastAsia" w:ascii="Times New Roman" w:hAnsi="Times New Roman"/>
                      <w:color w:val="auto"/>
                      <w:szCs w:val="21"/>
                      <w:highlight w:val="none"/>
                      <w:vertAlign w:val="superscript"/>
                      <w:lang w:val="en-US" w:eastAsia="zh-CN"/>
                    </w:rPr>
                    <w:t>3</w:t>
                  </w:r>
                  <w:r>
                    <w:rPr>
                      <w:rFonts w:hint="eastAsia" w:ascii="Times New Roman" w:hAnsi="Times New Roman"/>
                      <w:color w:val="auto"/>
                      <w:szCs w:val="21"/>
                      <w:highlight w:val="none"/>
                      <w:lang w:val="en-US" w:eastAsia="zh-CN"/>
                    </w:rPr>
                    <w:t>；</w:t>
                  </w:r>
                  <w:r>
                    <w:rPr>
                      <w:rFonts w:ascii="Times New Roman" w:hAnsi="Times New Roman"/>
                      <w:color w:val="auto"/>
                      <w:szCs w:val="21"/>
                      <w:highlight w:val="none"/>
                    </w:rPr>
                    <w:t>设1个</w:t>
                  </w:r>
                  <w:r>
                    <w:rPr>
                      <w:rFonts w:hint="eastAsia" w:ascii="Times New Roman" w:hAnsi="Times New Roman"/>
                      <w:color w:val="auto"/>
                      <w:szCs w:val="21"/>
                      <w:highlight w:val="none"/>
                      <w:lang w:val="en-US" w:eastAsia="zh-CN"/>
                    </w:rPr>
                    <w:t>废浆池</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5</w:t>
                  </w:r>
                  <w:r>
                    <w:rPr>
                      <w:rFonts w:hint="eastAsia" w:ascii="Times New Roman" w:hAnsi="Times New Roman"/>
                      <w:color w:val="auto"/>
                      <w:szCs w:val="21"/>
                      <w:highlight w:val="none"/>
                    </w:rPr>
                    <w:t>6</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，钻探废水经沉淀后回用于钻探</w:t>
                  </w:r>
                  <w:r>
                    <w:rPr>
                      <w:rFonts w:hint="eastAsia" w:ascii="Times New Roman" w:hAnsi="Times New Roman"/>
                      <w:color w:val="auto"/>
                      <w:szCs w:val="21"/>
                      <w:highlight w:val="none"/>
                    </w:rPr>
                    <w:t>工序。</w:t>
                  </w:r>
                </w:p>
              </w:tc>
            </w:tr>
            <w:tr w14:paraId="5FD4D3F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782DBA38">
                  <w:pPr>
                    <w:spacing w:after="0"/>
                    <w:jc w:val="center"/>
                    <w:rPr>
                      <w:rFonts w:ascii="Times New Roman" w:hAnsi="Times New Roman"/>
                      <w:color w:val="auto"/>
                      <w:szCs w:val="21"/>
                      <w:highlight w:val="none"/>
                    </w:rPr>
                  </w:pPr>
                </w:p>
              </w:tc>
              <w:tc>
                <w:tcPr>
                  <w:tcW w:w="1276" w:type="dxa"/>
                  <w:vAlign w:val="center"/>
                </w:tcPr>
                <w:p w14:paraId="3B8E49CC">
                  <w:pPr>
                    <w:spacing w:after="0"/>
                    <w:jc w:val="center"/>
                    <w:rPr>
                      <w:rFonts w:ascii="Times New Roman" w:hAnsi="Times New Roman"/>
                      <w:color w:val="auto"/>
                      <w:szCs w:val="21"/>
                      <w:highlight w:val="none"/>
                    </w:rPr>
                  </w:pPr>
                  <w:r>
                    <w:rPr>
                      <w:rFonts w:ascii="Times New Roman" w:hAnsi="Times New Roman"/>
                      <w:color w:val="auto"/>
                      <w:szCs w:val="21"/>
                      <w:highlight w:val="none"/>
                    </w:rPr>
                    <w:t>噪声</w:t>
                  </w:r>
                </w:p>
              </w:tc>
              <w:tc>
                <w:tcPr>
                  <w:tcW w:w="5319" w:type="dxa"/>
                  <w:vAlign w:val="center"/>
                </w:tcPr>
                <w:p w14:paraId="728D6B29">
                  <w:pPr>
                    <w:spacing w:after="0"/>
                    <w:rPr>
                      <w:rFonts w:ascii="Times New Roman" w:hAnsi="Times New Roman"/>
                      <w:color w:val="auto"/>
                      <w:szCs w:val="21"/>
                      <w:highlight w:val="none"/>
                    </w:rPr>
                  </w:pPr>
                  <w:r>
                    <w:rPr>
                      <w:rFonts w:ascii="Times New Roman" w:hAnsi="Times New Roman"/>
                      <w:color w:val="auto"/>
                      <w:szCs w:val="21"/>
                      <w:highlight w:val="none"/>
                    </w:rPr>
                    <w:t>选用低噪声设备，合理布置施工机械，合理安排施工时间，加强施工管理，设置施工围墙等，项目</w:t>
                  </w:r>
                  <w:r>
                    <w:rPr>
                      <w:rFonts w:hint="eastAsia" w:ascii="Times New Roman" w:hAnsi="Times New Roman"/>
                      <w:color w:val="auto"/>
                      <w:szCs w:val="21"/>
                      <w:highlight w:val="none"/>
                    </w:rPr>
                    <w:t>井场</w:t>
                  </w:r>
                  <w:r>
                    <w:rPr>
                      <w:rFonts w:ascii="Times New Roman" w:hAnsi="Times New Roman"/>
                      <w:color w:val="auto"/>
                      <w:szCs w:val="21"/>
                      <w:highlight w:val="none"/>
                    </w:rPr>
                    <w:t>周边布置隔声屏等，可有效降低对周边敏感点的影响</w:t>
                  </w:r>
                  <w:r>
                    <w:rPr>
                      <w:rFonts w:ascii="Times New Roman" w:hAnsi="Times New Roman"/>
                      <w:bCs/>
                      <w:color w:val="auto"/>
                      <w:szCs w:val="21"/>
                      <w:highlight w:val="none"/>
                    </w:rPr>
                    <w:t>。</w:t>
                  </w:r>
                </w:p>
              </w:tc>
            </w:tr>
            <w:tr w14:paraId="7C35B78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73C26AC5">
                  <w:pPr>
                    <w:spacing w:after="0"/>
                    <w:jc w:val="center"/>
                    <w:rPr>
                      <w:rFonts w:ascii="Times New Roman" w:hAnsi="Times New Roman"/>
                      <w:color w:val="auto"/>
                      <w:szCs w:val="21"/>
                      <w:highlight w:val="none"/>
                    </w:rPr>
                  </w:pPr>
                </w:p>
              </w:tc>
              <w:tc>
                <w:tcPr>
                  <w:tcW w:w="1276" w:type="dxa"/>
                  <w:vAlign w:val="center"/>
                </w:tcPr>
                <w:p w14:paraId="4A7CAFD8">
                  <w:pPr>
                    <w:spacing w:after="0"/>
                    <w:jc w:val="center"/>
                    <w:rPr>
                      <w:rFonts w:ascii="Times New Roman" w:hAnsi="Times New Roman"/>
                      <w:color w:val="auto"/>
                      <w:szCs w:val="21"/>
                      <w:highlight w:val="none"/>
                    </w:rPr>
                  </w:pPr>
                  <w:r>
                    <w:rPr>
                      <w:rFonts w:ascii="Times New Roman" w:hAnsi="Times New Roman"/>
                      <w:color w:val="auto"/>
                      <w:szCs w:val="21"/>
                      <w:highlight w:val="none"/>
                    </w:rPr>
                    <w:t>固体废弃物</w:t>
                  </w:r>
                </w:p>
              </w:tc>
              <w:tc>
                <w:tcPr>
                  <w:tcW w:w="5319" w:type="dxa"/>
                  <w:vAlign w:val="center"/>
                </w:tcPr>
                <w:p w14:paraId="3AFA1DC6">
                  <w:pPr>
                    <w:spacing w:after="0"/>
                    <w:rPr>
                      <w:rFonts w:ascii="Times New Roman" w:hAnsi="Times New Roman"/>
                      <w:color w:val="auto"/>
                      <w:szCs w:val="21"/>
                      <w:highlight w:val="none"/>
                    </w:rPr>
                  </w:pPr>
                  <w:r>
                    <w:rPr>
                      <w:rFonts w:ascii="Times New Roman" w:hAnsi="Times New Roman"/>
                      <w:color w:val="auto"/>
                      <w:szCs w:val="21"/>
                      <w:highlight w:val="none"/>
                    </w:rPr>
                    <w:t>施工结束后，开挖的土方后期回覆；钻井</w:t>
                  </w:r>
                  <w:r>
                    <w:rPr>
                      <w:rFonts w:hint="eastAsia" w:ascii="Times New Roman" w:hAnsi="Times New Roman"/>
                      <w:color w:val="auto"/>
                      <w:szCs w:val="21"/>
                      <w:highlight w:val="none"/>
                    </w:rPr>
                    <w:t>泥浆</w:t>
                  </w:r>
                  <w:r>
                    <w:rPr>
                      <w:rFonts w:ascii="Times New Roman" w:hAnsi="Times New Roman"/>
                      <w:color w:val="auto"/>
                      <w:szCs w:val="21"/>
                      <w:highlight w:val="none"/>
                    </w:rPr>
                    <w:t>暂存于废浆池中，待钻井结束后投加泥浆固化剂</w:t>
                  </w:r>
                  <w:r>
                    <w:rPr>
                      <w:rFonts w:hint="eastAsia" w:ascii="Times New Roman" w:hAnsi="Times New Roman"/>
                      <w:color w:val="auto"/>
                      <w:szCs w:val="21"/>
                      <w:highlight w:val="none"/>
                    </w:rPr>
                    <w:t>固化后</w:t>
                  </w:r>
                  <w:r>
                    <w:rPr>
                      <w:rFonts w:hint="eastAsia" w:ascii="Times New Roman" w:hAnsi="Times New Roman"/>
                      <w:color w:val="auto"/>
                      <w:szCs w:val="21"/>
                      <w:highlight w:val="none"/>
                      <w:lang w:val="en-US" w:eastAsia="zh-CN"/>
                    </w:rPr>
                    <w:t>交由建材公司回收综合利用</w:t>
                  </w:r>
                  <w:r>
                    <w:rPr>
                      <w:rFonts w:ascii="Times New Roman" w:hAnsi="Times New Roman"/>
                      <w:color w:val="auto"/>
                      <w:szCs w:val="21"/>
                      <w:highlight w:val="none"/>
                    </w:rPr>
                    <w:t>；</w:t>
                  </w:r>
                  <w:r>
                    <w:rPr>
                      <w:rFonts w:hint="eastAsia" w:ascii="Times New Roman" w:hAnsi="Times New Roman"/>
                      <w:color w:val="auto"/>
                      <w:szCs w:val="21"/>
                      <w:highlight w:val="none"/>
                    </w:rPr>
                    <w:t>钻孔产生的岩芯碎屑集中收集后</w:t>
                  </w:r>
                  <w:r>
                    <w:rPr>
                      <w:rFonts w:hint="eastAsia" w:ascii="Times New Roman" w:hAnsi="Times New Roman"/>
                      <w:color w:val="auto"/>
                      <w:szCs w:val="21"/>
                      <w:highlight w:val="none"/>
                      <w:lang w:val="en-US" w:eastAsia="zh-CN"/>
                    </w:rPr>
                    <w:t>委托建材单位回收处置</w:t>
                  </w:r>
                  <w:r>
                    <w:rPr>
                      <w:rFonts w:hint="eastAsia" w:ascii="Times New Roman" w:hAnsi="Times New Roman"/>
                      <w:color w:val="auto"/>
                      <w:szCs w:val="21"/>
                      <w:highlight w:val="none"/>
                    </w:rPr>
                    <w:t>；</w:t>
                  </w:r>
                  <w:r>
                    <w:rPr>
                      <w:rFonts w:ascii="Times New Roman" w:hAnsi="Times New Roman"/>
                      <w:color w:val="auto"/>
                      <w:szCs w:val="21"/>
                      <w:highlight w:val="none"/>
                    </w:rPr>
                    <w:t>废包装材料集中收集后外售处理。废润滑油、废润滑油桶</w:t>
                  </w:r>
                  <w:r>
                    <w:rPr>
                      <w:rFonts w:hint="eastAsia" w:ascii="Times New Roman" w:hAnsi="Times New Roman"/>
                      <w:color w:val="auto"/>
                      <w:szCs w:val="21"/>
                      <w:highlight w:val="none"/>
                    </w:rPr>
                    <w:t>、</w:t>
                  </w:r>
                  <w:r>
                    <w:rPr>
                      <w:rFonts w:ascii="Times New Roman" w:hAnsi="Times New Roman"/>
                      <w:color w:val="auto"/>
                      <w:szCs w:val="21"/>
                      <w:highlight w:val="none"/>
                    </w:rPr>
                    <w:t>废含油抹布和废含油手套</w:t>
                  </w:r>
                  <w:r>
                    <w:rPr>
                      <w:rFonts w:hint="eastAsia" w:ascii="Times New Roman" w:hAnsi="Times New Roman"/>
                      <w:color w:val="auto"/>
                      <w:szCs w:val="21"/>
                      <w:highlight w:val="none"/>
                    </w:rPr>
                    <w:t>集中收集至各井场危废暂存间内，施工结束前委托资质单位进行处置；</w:t>
                  </w:r>
                  <w:r>
                    <w:rPr>
                      <w:rFonts w:ascii="Times New Roman" w:hAnsi="Times New Roman"/>
                      <w:color w:val="auto"/>
                      <w:szCs w:val="21"/>
                      <w:highlight w:val="none"/>
                    </w:rPr>
                    <w:t>生活垃圾委托环卫部门清运。</w:t>
                  </w:r>
                  <w:r>
                    <w:rPr>
                      <w:rFonts w:hint="eastAsia" w:ascii="Times New Roman" w:hAnsi="Times New Roman"/>
                      <w:color w:val="auto"/>
                      <w:szCs w:val="21"/>
                      <w:highlight w:val="none"/>
                    </w:rPr>
                    <w:t>本项目各井场均设有危废暂存间各一座，建筑面积约为5m</w:t>
                  </w:r>
                  <w:r>
                    <w:rPr>
                      <w:rFonts w:hint="eastAsia" w:ascii="Times New Roman" w:hAnsi="Times New Roman"/>
                      <w:color w:val="auto"/>
                      <w:szCs w:val="21"/>
                      <w:highlight w:val="none"/>
                      <w:vertAlign w:val="superscript"/>
                    </w:rPr>
                    <w:t>2</w:t>
                  </w:r>
                  <w:r>
                    <w:rPr>
                      <w:rFonts w:ascii="Times New Roman" w:hAnsi="Times New Roman"/>
                      <w:color w:val="auto"/>
                      <w:szCs w:val="21"/>
                      <w:highlight w:val="none"/>
                    </w:rPr>
                    <w:t>。</w:t>
                  </w:r>
                </w:p>
              </w:tc>
            </w:tr>
            <w:tr w14:paraId="595DB64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5D68F4EE">
                  <w:pPr>
                    <w:spacing w:after="0"/>
                    <w:jc w:val="center"/>
                    <w:rPr>
                      <w:rFonts w:ascii="Times New Roman" w:hAnsi="Times New Roman"/>
                      <w:color w:val="auto"/>
                      <w:szCs w:val="21"/>
                      <w:highlight w:val="none"/>
                    </w:rPr>
                  </w:pPr>
                </w:p>
              </w:tc>
              <w:tc>
                <w:tcPr>
                  <w:tcW w:w="1276" w:type="dxa"/>
                  <w:vAlign w:val="center"/>
                </w:tcPr>
                <w:p w14:paraId="47ECECE9">
                  <w:pPr>
                    <w:spacing w:after="0"/>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土壤、地下水环境</w:t>
                  </w:r>
                </w:p>
              </w:tc>
              <w:tc>
                <w:tcPr>
                  <w:tcW w:w="5319" w:type="dxa"/>
                  <w:vAlign w:val="center"/>
                </w:tcPr>
                <w:p w14:paraId="5E3C5E61">
                  <w:pPr>
                    <w:spacing w:after="0"/>
                    <w:rPr>
                      <w:rFonts w:ascii="Times New Roman" w:hAnsi="Times New Roman"/>
                      <w:color w:val="auto"/>
                      <w:szCs w:val="21"/>
                      <w:highlight w:val="none"/>
                    </w:rPr>
                  </w:pPr>
                  <w:r>
                    <w:rPr>
                      <w:rFonts w:hint="eastAsia" w:ascii="Times New Roman" w:hAnsi="Times New Roman"/>
                      <w:color w:val="auto"/>
                      <w:szCs w:val="21"/>
                      <w:highlight w:val="none"/>
                    </w:rPr>
                    <w:t>项目采取分区防渗措施。</w:t>
                  </w:r>
                </w:p>
                <w:p w14:paraId="20FDB6AD">
                  <w:pPr>
                    <w:spacing w:after="0"/>
                    <w:rPr>
                      <w:rFonts w:ascii="Times New Roman" w:hAnsi="Times New Roman"/>
                      <w:color w:val="auto"/>
                      <w:szCs w:val="21"/>
                      <w:highlight w:val="none"/>
                    </w:rPr>
                  </w:pPr>
                  <w:r>
                    <w:rPr>
                      <w:rFonts w:ascii="Times New Roman" w:hAnsi="Times New Roman"/>
                      <w:color w:val="auto"/>
                      <w:szCs w:val="21"/>
                      <w:highlight w:val="none"/>
                    </w:rPr>
                    <w:t>重点防渗区：</w:t>
                  </w:r>
                  <w:r>
                    <w:rPr>
                      <w:rFonts w:hint="eastAsia" w:ascii="Times New Roman" w:hAnsi="Times New Roman"/>
                      <w:color w:val="auto"/>
                      <w:szCs w:val="21"/>
                      <w:highlight w:val="none"/>
                    </w:rPr>
                    <w:t>危废暂存间</w:t>
                  </w:r>
                  <w:r>
                    <w:rPr>
                      <w:rFonts w:ascii="Times New Roman" w:hAnsi="Times New Roman"/>
                      <w:color w:val="auto"/>
                      <w:szCs w:val="21"/>
                      <w:highlight w:val="none"/>
                    </w:rPr>
                    <w:t>。防渗要求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高密度聚乙烯（HDPE）防渗膜（厚度≥1.5mm）+土工布（两布一膜）</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复合防渗结构，膜下铺设10cm厚中粗砂垫层，膜上覆盖5cm厚中粗砂保护层，确保等效粘土防渗层厚度≥6.0m，渗透系数≤10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一般防渗区：</w:t>
                  </w:r>
                  <w:r>
                    <w:rPr>
                      <w:rFonts w:hint="eastAsia" w:ascii="Times New Roman" w:hAnsi="Times New Roman"/>
                      <w:color w:val="auto"/>
                      <w:szCs w:val="21"/>
                      <w:highlight w:val="none"/>
                    </w:rPr>
                    <w:t>钻机房井口区域、泥浆池、沉淀池、</w:t>
                  </w:r>
                  <w:r>
                    <w:rPr>
                      <w:rFonts w:hint="eastAsia" w:ascii="Times New Roman" w:hAnsi="Times New Roman"/>
                      <w:color w:val="auto"/>
                      <w:szCs w:val="21"/>
                      <w:highlight w:val="none"/>
                      <w:lang w:val="en-US" w:eastAsia="zh-CN"/>
                    </w:rPr>
                    <w:t>废浆池</w:t>
                  </w:r>
                  <w:r>
                    <w:rPr>
                      <w:rFonts w:ascii="Times New Roman" w:hAnsi="Times New Roman"/>
                      <w:color w:val="auto"/>
                      <w:szCs w:val="21"/>
                      <w:highlight w:val="none"/>
                    </w:rPr>
                    <w:t>。防渗要求</w:t>
                  </w:r>
                  <w:r>
                    <w:rPr>
                      <w:rFonts w:hint="eastAsia" w:ascii="Times New Roman" w:hAnsi="Times New Roman"/>
                      <w:color w:val="auto"/>
                      <w:szCs w:val="21"/>
                      <w:highlight w:val="none"/>
                    </w:rPr>
                    <w:t>：铺设单层高密度聚乙烯（HDPE）防渗膜（厚度≥1.0mm），膜下铺设8cm厚中粗砂垫层，膜上覆盖5cm厚中粗砂保护层，等效粘土防渗层厚度≥1.5m，渗透系数≤10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简单防渗区：除重点防渗区和一般防渗区以外的其他区域。防渗要求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压实土壤+土工布覆盖</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处理，压实度≥93%，防止雨水下渗及土壤扰动</w:t>
                  </w:r>
                  <w:r>
                    <w:rPr>
                      <w:rFonts w:ascii="Times New Roman" w:hAnsi="Times New Roman"/>
                      <w:color w:val="auto"/>
                      <w:szCs w:val="21"/>
                      <w:highlight w:val="none"/>
                    </w:rPr>
                    <w:t>。</w:t>
                  </w:r>
                </w:p>
              </w:tc>
            </w:tr>
            <w:tr w14:paraId="5DD9AA4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236" w:type="dxa"/>
                  <w:vMerge w:val="continue"/>
                  <w:vAlign w:val="center"/>
                </w:tcPr>
                <w:p w14:paraId="1F476CBC">
                  <w:pPr>
                    <w:spacing w:after="0"/>
                    <w:jc w:val="center"/>
                    <w:rPr>
                      <w:rFonts w:ascii="Times New Roman" w:hAnsi="Times New Roman"/>
                      <w:color w:val="auto"/>
                      <w:szCs w:val="21"/>
                      <w:highlight w:val="none"/>
                    </w:rPr>
                  </w:pPr>
                </w:p>
              </w:tc>
              <w:tc>
                <w:tcPr>
                  <w:tcW w:w="1276" w:type="dxa"/>
                  <w:vAlign w:val="center"/>
                </w:tcPr>
                <w:p w14:paraId="547795B4">
                  <w:pPr>
                    <w:spacing w:after="0"/>
                    <w:jc w:val="center"/>
                    <w:rPr>
                      <w:rFonts w:ascii="Times New Roman" w:hAnsi="Times New Roman"/>
                      <w:color w:val="auto"/>
                      <w:szCs w:val="21"/>
                      <w:highlight w:val="none"/>
                    </w:rPr>
                  </w:pPr>
                  <w:r>
                    <w:rPr>
                      <w:rFonts w:ascii="Times New Roman" w:hAnsi="Times New Roman"/>
                      <w:color w:val="auto"/>
                      <w:szCs w:val="21"/>
                      <w:highlight w:val="none"/>
                    </w:rPr>
                    <w:t>生态环境</w:t>
                  </w:r>
                </w:p>
              </w:tc>
              <w:tc>
                <w:tcPr>
                  <w:tcW w:w="5319" w:type="dxa"/>
                  <w:vAlign w:val="center"/>
                </w:tcPr>
                <w:p w14:paraId="2134C440">
                  <w:pPr>
                    <w:spacing w:after="0"/>
                    <w:rPr>
                      <w:rFonts w:ascii="Times New Roman" w:hAnsi="Times New Roman"/>
                      <w:color w:val="auto"/>
                      <w:szCs w:val="21"/>
                      <w:highlight w:val="none"/>
                    </w:rPr>
                  </w:pPr>
                  <w:r>
                    <w:rPr>
                      <w:rFonts w:ascii="Times New Roman" w:hAnsi="Times New Roman"/>
                      <w:color w:val="auto"/>
                      <w:szCs w:val="21"/>
                      <w:highlight w:val="none"/>
                    </w:rPr>
                    <w:t>主要影响为工程占地及施工对土地利用状况的影响，对项目施工区域植物的破坏、对动物的干扰，以及水土流失等影响。应对措施是严格控制施工占地，对项目区土壤的分层剥离、分层开挖、分层堆放和循序分层回填，及时进行生态恢复；合理安排施工进度及施工时间，避免雨天和大风天开挖施工作业；落实各项水土保持措施，施工结束后应根据复垦方案落实复垦措施</w:t>
                  </w:r>
                  <w:r>
                    <w:rPr>
                      <w:rFonts w:hint="eastAsia" w:ascii="Times New Roman" w:hAnsi="Times New Roman"/>
                      <w:color w:val="auto"/>
                      <w:szCs w:val="21"/>
                      <w:highlight w:val="none"/>
                    </w:rPr>
                    <w:t>。</w:t>
                  </w:r>
                </w:p>
              </w:tc>
            </w:tr>
          </w:tbl>
          <w:p w14:paraId="55E4891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表2-</w:t>
            </w:r>
            <w:r>
              <w:rPr>
                <w:rFonts w:hint="eastAsia" w:ascii="Times New Roman" w:hAnsi="Times New Roman"/>
                <w:b/>
                <w:color w:val="auto"/>
                <w:szCs w:val="21"/>
                <w:highlight w:val="none"/>
              </w:rPr>
              <w:t>2</w:t>
            </w:r>
            <w:r>
              <w:rPr>
                <w:rFonts w:ascii="Times New Roman" w:hAnsi="Times New Roman"/>
                <w:b/>
                <w:color w:val="auto"/>
                <w:szCs w:val="21"/>
                <w:highlight w:val="none"/>
              </w:rPr>
              <w:t xml:space="preserve">  项目井场坐标一览表（中心点）</w:t>
            </w:r>
          </w:p>
          <w:tbl>
            <w:tblPr>
              <w:tblStyle w:val="22"/>
              <w:tblW w:w="7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644"/>
              <w:gridCol w:w="1357"/>
              <w:gridCol w:w="1487"/>
              <w:gridCol w:w="704"/>
              <w:gridCol w:w="921"/>
              <w:gridCol w:w="881"/>
              <w:gridCol w:w="1070"/>
            </w:tblGrid>
            <w:tr w14:paraId="31A1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dxa"/>
                  <w:vMerge w:val="restart"/>
                  <w:tcBorders>
                    <w:top w:val="single" w:color="auto" w:sz="4" w:space="0"/>
                    <w:left w:val="single" w:color="auto" w:sz="4" w:space="0"/>
                    <w:bottom w:val="single" w:color="auto" w:sz="4" w:space="0"/>
                    <w:right w:val="single" w:color="auto" w:sz="4" w:space="0"/>
                  </w:tcBorders>
                  <w:noWrap/>
                  <w:vAlign w:val="center"/>
                </w:tcPr>
                <w:p w14:paraId="4C72FF3F">
                  <w:pPr>
                    <w:spacing w:after="0"/>
                    <w:jc w:val="center"/>
                    <w:rPr>
                      <w:rFonts w:ascii="Times New Roman" w:hAnsi="Times New Roman"/>
                      <w:b/>
                      <w:color w:val="auto"/>
                      <w:szCs w:val="21"/>
                      <w:highlight w:val="none"/>
                    </w:rPr>
                  </w:pPr>
                  <w:r>
                    <w:rPr>
                      <w:rFonts w:hint="eastAsia" w:ascii="Times New Roman" w:hAnsi="Times New Roman"/>
                      <w:b/>
                      <w:color w:val="auto"/>
                      <w:szCs w:val="21"/>
                      <w:highlight w:val="none"/>
                    </w:rPr>
                    <w:t>钻孔孔</w:t>
                  </w:r>
                  <w:r>
                    <w:rPr>
                      <w:rFonts w:ascii="Times New Roman" w:hAnsi="Times New Roman"/>
                      <w:b/>
                      <w:color w:val="auto"/>
                      <w:szCs w:val="21"/>
                      <w:highlight w:val="none"/>
                    </w:rPr>
                    <w:t>号</w:t>
                  </w:r>
                </w:p>
              </w:tc>
              <w:tc>
                <w:tcPr>
                  <w:tcW w:w="644" w:type="dxa"/>
                  <w:vMerge w:val="restart"/>
                  <w:tcBorders>
                    <w:top w:val="single" w:color="auto" w:sz="4" w:space="0"/>
                    <w:left w:val="single" w:color="auto" w:sz="4" w:space="0"/>
                    <w:right w:val="single" w:color="auto" w:sz="4" w:space="0"/>
                  </w:tcBorders>
                  <w:noWrap/>
                  <w:vAlign w:val="center"/>
                </w:tcPr>
                <w:p w14:paraId="79F78759">
                  <w:pPr>
                    <w:spacing w:after="0"/>
                    <w:jc w:val="center"/>
                    <w:rPr>
                      <w:rFonts w:ascii="Times New Roman" w:hAnsi="Times New Roman"/>
                      <w:b/>
                      <w:color w:val="auto"/>
                      <w:szCs w:val="21"/>
                      <w:highlight w:val="none"/>
                    </w:rPr>
                  </w:pPr>
                  <w:r>
                    <w:rPr>
                      <w:rFonts w:hint="eastAsia" w:ascii="Times New Roman" w:hAnsi="Times New Roman"/>
                      <w:b/>
                      <w:color w:val="auto"/>
                      <w:szCs w:val="21"/>
                      <w:highlight w:val="none"/>
                    </w:rPr>
                    <w:t>钻孔编号</w:t>
                  </w:r>
                </w:p>
              </w:tc>
              <w:tc>
                <w:tcPr>
                  <w:tcW w:w="3548" w:type="dxa"/>
                  <w:gridSpan w:val="3"/>
                  <w:tcBorders>
                    <w:top w:val="single" w:color="auto" w:sz="4" w:space="0"/>
                    <w:left w:val="single" w:color="auto" w:sz="4" w:space="0"/>
                    <w:bottom w:val="single" w:color="auto" w:sz="4" w:space="0"/>
                    <w:right w:val="single" w:color="auto" w:sz="4" w:space="0"/>
                  </w:tcBorders>
                  <w:noWrap/>
                  <w:vAlign w:val="center"/>
                </w:tcPr>
                <w:p w14:paraId="24813F5A">
                  <w:pPr>
                    <w:spacing w:after="0"/>
                    <w:jc w:val="center"/>
                    <w:rPr>
                      <w:rFonts w:ascii="Times New Roman" w:hAnsi="Times New Roman"/>
                      <w:b/>
                      <w:color w:val="auto"/>
                      <w:szCs w:val="21"/>
                      <w:highlight w:val="none"/>
                    </w:rPr>
                  </w:pPr>
                  <w:r>
                    <w:rPr>
                      <w:rFonts w:ascii="Times New Roman" w:hAnsi="Times New Roman"/>
                      <w:b/>
                      <w:color w:val="auto"/>
                      <w:szCs w:val="21"/>
                      <w:highlight w:val="none"/>
                    </w:rPr>
                    <w:t>钻井坐标</w:t>
                  </w:r>
                </w:p>
              </w:tc>
              <w:tc>
                <w:tcPr>
                  <w:tcW w:w="921" w:type="dxa"/>
                  <w:vMerge w:val="restart"/>
                  <w:tcBorders>
                    <w:top w:val="single" w:color="auto" w:sz="4" w:space="0"/>
                    <w:left w:val="single" w:color="auto" w:sz="4" w:space="0"/>
                    <w:bottom w:val="single" w:color="auto" w:sz="4" w:space="0"/>
                    <w:right w:val="single" w:color="auto" w:sz="4" w:space="0"/>
                  </w:tcBorders>
                  <w:noWrap/>
                  <w:vAlign w:val="center"/>
                </w:tcPr>
                <w:p w14:paraId="062AD521">
                  <w:pPr>
                    <w:spacing w:after="0"/>
                    <w:jc w:val="center"/>
                    <w:rPr>
                      <w:rFonts w:ascii="Times New Roman" w:hAnsi="Times New Roman"/>
                      <w:b/>
                      <w:color w:val="auto"/>
                      <w:szCs w:val="21"/>
                      <w:highlight w:val="none"/>
                    </w:rPr>
                  </w:pPr>
                  <w:r>
                    <w:rPr>
                      <w:rFonts w:ascii="Times New Roman" w:hAnsi="Times New Roman"/>
                      <w:b/>
                      <w:color w:val="auto"/>
                      <w:szCs w:val="21"/>
                      <w:highlight w:val="none"/>
                    </w:rPr>
                    <w:t>预计孔深（m）</w:t>
                  </w:r>
                </w:p>
              </w:tc>
              <w:tc>
                <w:tcPr>
                  <w:tcW w:w="881" w:type="dxa"/>
                  <w:vMerge w:val="restart"/>
                  <w:tcBorders>
                    <w:top w:val="single" w:color="auto" w:sz="4" w:space="0"/>
                    <w:left w:val="single" w:color="auto" w:sz="4" w:space="0"/>
                    <w:bottom w:val="single" w:color="auto" w:sz="4" w:space="0"/>
                    <w:right w:val="single" w:color="auto" w:sz="4" w:space="0"/>
                  </w:tcBorders>
                  <w:noWrap/>
                  <w:vAlign w:val="center"/>
                </w:tcPr>
                <w:p w14:paraId="72467B9A">
                  <w:pPr>
                    <w:spacing w:after="0"/>
                    <w:jc w:val="center"/>
                    <w:rPr>
                      <w:rFonts w:ascii="Times New Roman" w:hAnsi="Times New Roman"/>
                      <w:b/>
                      <w:color w:val="auto"/>
                      <w:szCs w:val="21"/>
                      <w:highlight w:val="none"/>
                    </w:rPr>
                  </w:pPr>
                  <w:r>
                    <w:rPr>
                      <w:rFonts w:ascii="Times New Roman" w:hAnsi="Times New Roman"/>
                      <w:b/>
                      <w:color w:val="auto"/>
                      <w:szCs w:val="21"/>
                      <w:highlight w:val="none"/>
                    </w:rPr>
                    <w:t>终孔</w:t>
                  </w:r>
                </w:p>
                <w:p w14:paraId="6E6472A5">
                  <w:pPr>
                    <w:spacing w:after="0"/>
                    <w:jc w:val="center"/>
                    <w:rPr>
                      <w:rFonts w:ascii="Times New Roman" w:hAnsi="Times New Roman"/>
                      <w:b/>
                      <w:color w:val="auto"/>
                      <w:szCs w:val="21"/>
                      <w:highlight w:val="none"/>
                    </w:rPr>
                  </w:pPr>
                  <w:r>
                    <w:rPr>
                      <w:rFonts w:ascii="Times New Roman" w:hAnsi="Times New Roman"/>
                      <w:b/>
                      <w:color w:val="auto"/>
                      <w:szCs w:val="21"/>
                      <w:highlight w:val="none"/>
                    </w:rPr>
                    <w:t>层位</w:t>
                  </w:r>
                </w:p>
              </w:tc>
              <w:tc>
                <w:tcPr>
                  <w:tcW w:w="1070" w:type="dxa"/>
                  <w:vMerge w:val="restart"/>
                  <w:tcBorders>
                    <w:top w:val="single" w:color="auto" w:sz="4" w:space="0"/>
                    <w:left w:val="single" w:color="auto" w:sz="4" w:space="0"/>
                    <w:right w:val="single" w:color="auto" w:sz="4" w:space="0"/>
                  </w:tcBorders>
                  <w:noWrap/>
                  <w:vAlign w:val="center"/>
                </w:tcPr>
                <w:p w14:paraId="413AAC7D">
                  <w:pPr>
                    <w:spacing w:after="0"/>
                    <w:jc w:val="center"/>
                    <w:rPr>
                      <w:rFonts w:ascii="Times New Roman" w:hAnsi="Times New Roman"/>
                      <w:b/>
                      <w:color w:val="auto"/>
                      <w:szCs w:val="21"/>
                      <w:highlight w:val="none"/>
                    </w:rPr>
                  </w:pPr>
                  <w:r>
                    <w:rPr>
                      <w:rFonts w:hint="eastAsia" w:ascii="Times New Roman" w:hAnsi="Times New Roman"/>
                      <w:b/>
                      <w:color w:val="auto"/>
                      <w:szCs w:val="21"/>
                      <w:highlight w:val="none"/>
                    </w:rPr>
                    <w:t>井口孔径（mm）</w:t>
                  </w:r>
                </w:p>
              </w:tc>
            </w:tr>
            <w:tr w14:paraId="616E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778" w:type="dxa"/>
                  <w:vMerge w:val="continue"/>
                  <w:tcBorders>
                    <w:top w:val="single" w:color="auto" w:sz="4" w:space="0"/>
                    <w:left w:val="single" w:color="auto" w:sz="4" w:space="0"/>
                    <w:bottom w:val="single" w:color="auto" w:sz="4" w:space="0"/>
                    <w:right w:val="single" w:color="auto" w:sz="4" w:space="0"/>
                  </w:tcBorders>
                  <w:noWrap/>
                  <w:vAlign w:val="center"/>
                </w:tcPr>
                <w:p w14:paraId="14C7A73C">
                  <w:pPr>
                    <w:widowControl/>
                    <w:spacing w:after="0"/>
                    <w:jc w:val="center"/>
                    <w:rPr>
                      <w:rFonts w:ascii="Times New Roman" w:hAnsi="Times New Roman"/>
                      <w:b/>
                      <w:color w:val="auto"/>
                      <w:szCs w:val="21"/>
                      <w:highlight w:val="none"/>
                    </w:rPr>
                  </w:pPr>
                </w:p>
              </w:tc>
              <w:tc>
                <w:tcPr>
                  <w:tcW w:w="644" w:type="dxa"/>
                  <w:vMerge w:val="continue"/>
                  <w:tcBorders>
                    <w:left w:val="single" w:color="auto" w:sz="4" w:space="0"/>
                    <w:bottom w:val="single" w:color="auto" w:sz="4" w:space="0"/>
                    <w:right w:val="single" w:color="auto" w:sz="4" w:space="0"/>
                  </w:tcBorders>
                  <w:noWrap/>
                  <w:vAlign w:val="center"/>
                </w:tcPr>
                <w:p w14:paraId="514D62E5">
                  <w:pPr>
                    <w:spacing w:after="0"/>
                    <w:jc w:val="center"/>
                    <w:rPr>
                      <w:rFonts w:ascii="Times New Roman" w:hAnsi="Times New Roman"/>
                      <w:b/>
                      <w:color w:val="auto"/>
                      <w:szCs w:val="21"/>
                      <w:highlight w:val="none"/>
                    </w:rPr>
                  </w:pPr>
                </w:p>
              </w:tc>
              <w:tc>
                <w:tcPr>
                  <w:tcW w:w="1357" w:type="dxa"/>
                  <w:tcBorders>
                    <w:top w:val="single" w:color="auto" w:sz="4" w:space="0"/>
                    <w:left w:val="single" w:color="auto" w:sz="4" w:space="0"/>
                    <w:bottom w:val="single" w:color="auto" w:sz="4" w:space="0"/>
                    <w:right w:val="single" w:color="auto" w:sz="4" w:space="0"/>
                  </w:tcBorders>
                  <w:noWrap/>
                  <w:vAlign w:val="center"/>
                </w:tcPr>
                <w:p w14:paraId="78241017">
                  <w:pPr>
                    <w:spacing w:after="0"/>
                    <w:jc w:val="center"/>
                    <w:rPr>
                      <w:rFonts w:ascii="Times New Roman" w:hAnsi="Times New Roman"/>
                      <w:b/>
                      <w:color w:val="auto"/>
                      <w:szCs w:val="21"/>
                      <w:highlight w:val="none"/>
                    </w:rPr>
                  </w:pPr>
                  <w:r>
                    <w:rPr>
                      <w:rFonts w:ascii="Times New Roman" w:hAnsi="Times New Roman"/>
                      <w:b/>
                      <w:color w:val="auto"/>
                      <w:szCs w:val="21"/>
                      <w:highlight w:val="none"/>
                    </w:rPr>
                    <w:t>X</w:t>
                  </w:r>
                </w:p>
              </w:tc>
              <w:tc>
                <w:tcPr>
                  <w:tcW w:w="1487" w:type="dxa"/>
                  <w:tcBorders>
                    <w:top w:val="single" w:color="auto" w:sz="4" w:space="0"/>
                    <w:left w:val="single" w:color="auto" w:sz="4" w:space="0"/>
                    <w:bottom w:val="single" w:color="auto" w:sz="4" w:space="0"/>
                    <w:right w:val="single" w:color="auto" w:sz="4" w:space="0"/>
                  </w:tcBorders>
                  <w:noWrap/>
                  <w:vAlign w:val="center"/>
                </w:tcPr>
                <w:p w14:paraId="2BC18A95">
                  <w:pPr>
                    <w:spacing w:after="0"/>
                    <w:jc w:val="center"/>
                    <w:rPr>
                      <w:rFonts w:ascii="Times New Roman" w:hAnsi="Times New Roman"/>
                      <w:b/>
                      <w:color w:val="auto"/>
                      <w:szCs w:val="21"/>
                      <w:highlight w:val="none"/>
                    </w:rPr>
                  </w:pPr>
                  <w:r>
                    <w:rPr>
                      <w:rFonts w:ascii="Times New Roman" w:hAnsi="Times New Roman"/>
                      <w:b/>
                      <w:color w:val="auto"/>
                      <w:szCs w:val="21"/>
                      <w:highlight w:val="none"/>
                    </w:rPr>
                    <w:t>Y</w:t>
                  </w:r>
                </w:p>
              </w:tc>
              <w:tc>
                <w:tcPr>
                  <w:tcW w:w="704" w:type="dxa"/>
                  <w:tcBorders>
                    <w:top w:val="single" w:color="auto" w:sz="4" w:space="0"/>
                    <w:left w:val="single" w:color="auto" w:sz="4" w:space="0"/>
                    <w:bottom w:val="single" w:color="auto" w:sz="4" w:space="0"/>
                    <w:right w:val="single" w:color="auto" w:sz="4" w:space="0"/>
                  </w:tcBorders>
                  <w:noWrap/>
                  <w:vAlign w:val="center"/>
                </w:tcPr>
                <w:p w14:paraId="0EA7A108">
                  <w:pPr>
                    <w:spacing w:after="0"/>
                    <w:jc w:val="center"/>
                    <w:rPr>
                      <w:rFonts w:ascii="Times New Roman" w:hAnsi="Times New Roman"/>
                      <w:b/>
                      <w:color w:val="auto"/>
                      <w:szCs w:val="21"/>
                      <w:highlight w:val="none"/>
                    </w:rPr>
                  </w:pPr>
                  <w:r>
                    <w:rPr>
                      <w:rFonts w:ascii="Times New Roman" w:hAnsi="Times New Roman"/>
                      <w:b/>
                      <w:color w:val="auto"/>
                      <w:szCs w:val="21"/>
                      <w:highlight w:val="none"/>
                    </w:rPr>
                    <w:t>Z</w:t>
                  </w:r>
                </w:p>
              </w:tc>
              <w:tc>
                <w:tcPr>
                  <w:tcW w:w="921" w:type="dxa"/>
                  <w:vMerge w:val="continue"/>
                  <w:tcBorders>
                    <w:top w:val="single" w:color="auto" w:sz="4" w:space="0"/>
                    <w:left w:val="single" w:color="auto" w:sz="4" w:space="0"/>
                    <w:bottom w:val="single" w:color="auto" w:sz="4" w:space="0"/>
                    <w:right w:val="single" w:color="auto" w:sz="4" w:space="0"/>
                  </w:tcBorders>
                  <w:noWrap/>
                  <w:vAlign w:val="center"/>
                </w:tcPr>
                <w:p w14:paraId="7AA9B977">
                  <w:pPr>
                    <w:widowControl/>
                    <w:spacing w:after="0"/>
                    <w:jc w:val="center"/>
                    <w:rPr>
                      <w:rFonts w:ascii="Times New Roman" w:hAnsi="Times New Roman"/>
                      <w:bCs/>
                      <w:color w:val="auto"/>
                      <w:szCs w:val="21"/>
                      <w:highlight w:val="none"/>
                    </w:rPr>
                  </w:pPr>
                </w:p>
              </w:tc>
              <w:tc>
                <w:tcPr>
                  <w:tcW w:w="881" w:type="dxa"/>
                  <w:vMerge w:val="continue"/>
                  <w:tcBorders>
                    <w:top w:val="single" w:color="auto" w:sz="4" w:space="0"/>
                    <w:left w:val="single" w:color="auto" w:sz="4" w:space="0"/>
                    <w:bottom w:val="single" w:color="auto" w:sz="4" w:space="0"/>
                    <w:right w:val="single" w:color="auto" w:sz="4" w:space="0"/>
                  </w:tcBorders>
                  <w:noWrap/>
                  <w:vAlign w:val="center"/>
                </w:tcPr>
                <w:p w14:paraId="68F25E40">
                  <w:pPr>
                    <w:widowControl/>
                    <w:spacing w:after="0"/>
                    <w:jc w:val="center"/>
                    <w:rPr>
                      <w:rFonts w:ascii="Times New Roman" w:hAnsi="Times New Roman"/>
                      <w:bCs/>
                      <w:color w:val="auto"/>
                      <w:szCs w:val="21"/>
                      <w:highlight w:val="none"/>
                    </w:rPr>
                  </w:pPr>
                </w:p>
              </w:tc>
              <w:tc>
                <w:tcPr>
                  <w:tcW w:w="1070" w:type="dxa"/>
                  <w:vMerge w:val="continue"/>
                  <w:tcBorders>
                    <w:left w:val="single" w:color="auto" w:sz="4" w:space="0"/>
                    <w:bottom w:val="single" w:color="auto" w:sz="4" w:space="0"/>
                    <w:right w:val="single" w:color="auto" w:sz="4" w:space="0"/>
                  </w:tcBorders>
                  <w:noWrap/>
                  <w:vAlign w:val="center"/>
                </w:tcPr>
                <w:p w14:paraId="52753920">
                  <w:pPr>
                    <w:widowControl/>
                    <w:spacing w:after="0"/>
                    <w:jc w:val="center"/>
                    <w:rPr>
                      <w:rFonts w:ascii="Times New Roman" w:hAnsi="Times New Roman"/>
                      <w:bCs/>
                      <w:color w:val="auto"/>
                      <w:szCs w:val="21"/>
                      <w:highlight w:val="none"/>
                    </w:rPr>
                  </w:pPr>
                </w:p>
              </w:tc>
            </w:tr>
            <w:tr w14:paraId="55D3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192A2668">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DG-1</w:t>
                  </w:r>
                </w:p>
              </w:tc>
              <w:tc>
                <w:tcPr>
                  <w:tcW w:w="644" w:type="dxa"/>
                  <w:tcBorders>
                    <w:top w:val="single" w:color="auto" w:sz="4" w:space="0"/>
                    <w:left w:val="single" w:color="auto" w:sz="4" w:space="0"/>
                    <w:bottom w:val="single" w:color="auto" w:sz="4" w:space="0"/>
                    <w:right w:val="single" w:color="auto" w:sz="4" w:space="0"/>
                  </w:tcBorders>
                  <w:noWrap/>
                  <w:vAlign w:val="center"/>
                </w:tcPr>
                <w:p w14:paraId="26434418">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w:t>
                  </w:r>
                </w:p>
              </w:tc>
              <w:tc>
                <w:tcPr>
                  <w:tcW w:w="1357" w:type="dxa"/>
                  <w:tcBorders>
                    <w:top w:val="single" w:color="auto" w:sz="4" w:space="0"/>
                    <w:left w:val="single" w:color="auto" w:sz="4" w:space="0"/>
                    <w:bottom w:val="single" w:color="auto" w:sz="4" w:space="0"/>
                    <w:right w:val="single" w:color="auto" w:sz="4" w:space="0"/>
                  </w:tcBorders>
                  <w:noWrap/>
                  <w:vAlign w:val="center"/>
                </w:tcPr>
                <w:p w14:paraId="770BC571">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116.73614372</w:t>
                  </w:r>
                </w:p>
              </w:tc>
              <w:tc>
                <w:tcPr>
                  <w:tcW w:w="1487" w:type="dxa"/>
                  <w:tcBorders>
                    <w:top w:val="single" w:color="auto" w:sz="4" w:space="0"/>
                    <w:left w:val="single" w:color="auto" w:sz="4" w:space="0"/>
                    <w:bottom w:val="single" w:color="auto" w:sz="4" w:space="0"/>
                    <w:right w:val="single" w:color="auto" w:sz="4" w:space="0"/>
                  </w:tcBorders>
                  <w:noWrap/>
                  <w:vAlign w:val="center"/>
                </w:tcPr>
                <w:p w14:paraId="5154BADB">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32.89898057</w:t>
                  </w:r>
                </w:p>
              </w:tc>
              <w:tc>
                <w:tcPr>
                  <w:tcW w:w="704" w:type="dxa"/>
                  <w:tcBorders>
                    <w:top w:val="single" w:color="auto" w:sz="4" w:space="0"/>
                    <w:left w:val="single" w:color="auto" w:sz="4" w:space="0"/>
                    <w:bottom w:val="single" w:color="auto" w:sz="4" w:space="0"/>
                    <w:right w:val="single" w:color="auto" w:sz="4" w:space="0"/>
                  </w:tcBorders>
                  <w:noWrap/>
                  <w:vAlign w:val="center"/>
                </w:tcPr>
                <w:p w14:paraId="39C251FC">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noWrap/>
                  <w:vAlign w:val="center"/>
                </w:tcPr>
                <w:p w14:paraId="119ED433">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1100</w:t>
                  </w:r>
                </w:p>
              </w:tc>
              <w:tc>
                <w:tcPr>
                  <w:tcW w:w="881" w:type="dxa"/>
                  <w:vMerge w:val="restart"/>
                  <w:tcBorders>
                    <w:top w:val="single" w:color="auto" w:sz="4" w:space="0"/>
                    <w:left w:val="single" w:color="auto" w:sz="4" w:space="0"/>
                    <w:right w:val="single" w:color="auto" w:sz="4" w:space="0"/>
                  </w:tcBorders>
                  <w:noWrap/>
                  <w:vAlign w:val="center"/>
                </w:tcPr>
                <w:p w14:paraId="60533ED0">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终孔深度以11-1煤为准</w:t>
                  </w:r>
                </w:p>
              </w:tc>
              <w:tc>
                <w:tcPr>
                  <w:tcW w:w="1070" w:type="dxa"/>
                  <w:tcBorders>
                    <w:top w:val="single" w:color="auto" w:sz="4" w:space="0"/>
                    <w:left w:val="single" w:color="auto" w:sz="4" w:space="0"/>
                    <w:right w:val="single" w:color="auto" w:sz="4" w:space="0"/>
                  </w:tcBorders>
                  <w:noWrap/>
                  <w:vAlign w:val="center"/>
                </w:tcPr>
                <w:p w14:paraId="3ED4D2A1">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94</w:t>
                  </w:r>
                </w:p>
              </w:tc>
            </w:tr>
            <w:tr w14:paraId="6EC7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1BD47BDE">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DG-2</w:t>
                  </w:r>
                </w:p>
              </w:tc>
              <w:tc>
                <w:tcPr>
                  <w:tcW w:w="644" w:type="dxa"/>
                  <w:tcBorders>
                    <w:top w:val="single" w:color="auto" w:sz="4" w:space="0"/>
                    <w:left w:val="single" w:color="auto" w:sz="4" w:space="0"/>
                    <w:bottom w:val="single" w:color="auto" w:sz="4" w:space="0"/>
                    <w:right w:val="single" w:color="auto" w:sz="4" w:space="0"/>
                  </w:tcBorders>
                  <w:noWrap/>
                  <w:vAlign w:val="center"/>
                </w:tcPr>
                <w:p w14:paraId="1390B2C9">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2#</w:t>
                  </w:r>
                </w:p>
              </w:tc>
              <w:tc>
                <w:tcPr>
                  <w:tcW w:w="1357" w:type="dxa"/>
                  <w:tcBorders>
                    <w:top w:val="single" w:color="auto" w:sz="4" w:space="0"/>
                    <w:left w:val="single" w:color="auto" w:sz="4" w:space="0"/>
                    <w:bottom w:val="single" w:color="auto" w:sz="4" w:space="0"/>
                    <w:right w:val="single" w:color="auto" w:sz="4" w:space="0"/>
                  </w:tcBorders>
                  <w:noWrap/>
                  <w:vAlign w:val="center"/>
                </w:tcPr>
                <w:p w14:paraId="70424101">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116.73610565</w:t>
                  </w:r>
                </w:p>
              </w:tc>
              <w:tc>
                <w:tcPr>
                  <w:tcW w:w="1487" w:type="dxa"/>
                  <w:tcBorders>
                    <w:top w:val="single" w:color="auto" w:sz="4" w:space="0"/>
                    <w:left w:val="single" w:color="auto" w:sz="4" w:space="0"/>
                    <w:bottom w:val="single" w:color="auto" w:sz="4" w:space="0"/>
                    <w:right w:val="single" w:color="auto" w:sz="4" w:space="0"/>
                  </w:tcBorders>
                  <w:noWrap/>
                  <w:vAlign w:val="center"/>
                </w:tcPr>
                <w:p w14:paraId="6CF56FB2">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32.89782022</w:t>
                  </w:r>
                </w:p>
              </w:tc>
              <w:tc>
                <w:tcPr>
                  <w:tcW w:w="704" w:type="dxa"/>
                  <w:tcBorders>
                    <w:top w:val="single" w:color="auto" w:sz="4" w:space="0"/>
                    <w:left w:val="single" w:color="auto" w:sz="4" w:space="0"/>
                    <w:bottom w:val="single" w:color="auto" w:sz="4" w:space="0"/>
                    <w:right w:val="single" w:color="auto" w:sz="4" w:space="0"/>
                  </w:tcBorders>
                  <w:noWrap/>
                  <w:vAlign w:val="center"/>
                </w:tcPr>
                <w:p w14:paraId="2CC005DB">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noWrap/>
                  <w:vAlign w:val="center"/>
                </w:tcPr>
                <w:p w14:paraId="3C4800A6">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7786C693">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noWrap/>
                  <w:vAlign w:val="center"/>
                </w:tcPr>
                <w:p w14:paraId="0A3BABEC">
                  <w:pPr>
                    <w:widowControl/>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94</w:t>
                  </w:r>
                </w:p>
              </w:tc>
            </w:tr>
            <w:tr w14:paraId="499C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3853C78A">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DG-3</w:t>
                  </w:r>
                </w:p>
              </w:tc>
              <w:tc>
                <w:tcPr>
                  <w:tcW w:w="644" w:type="dxa"/>
                  <w:tcBorders>
                    <w:top w:val="single" w:color="auto" w:sz="4" w:space="0"/>
                    <w:left w:val="single" w:color="auto" w:sz="4" w:space="0"/>
                    <w:bottom w:val="single" w:color="auto" w:sz="4" w:space="0"/>
                    <w:right w:val="single" w:color="auto" w:sz="4" w:space="0"/>
                  </w:tcBorders>
                  <w:noWrap/>
                  <w:vAlign w:val="center"/>
                </w:tcPr>
                <w:p w14:paraId="5690D99B">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3#</w:t>
                  </w:r>
                </w:p>
              </w:tc>
              <w:tc>
                <w:tcPr>
                  <w:tcW w:w="1357" w:type="dxa"/>
                  <w:tcBorders>
                    <w:top w:val="single" w:color="auto" w:sz="4" w:space="0"/>
                    <w:left w:val="single" w:color="auto" w:sz="4" w:space="0"/>
                    <w:bottom w:val="single" w:color="auto" w:sz="4" w:space="0"/>
                    <w:right w:val="single" w:color="auto" w:sz="4" w:space="0"/>
                  </w:tcBorders>
                  <w:noWrap/>
                  <w:vAlign w:val="center"/>
                </w:tcPr>
                <w:p w14:paraId="50FAFE0E">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116.73591757</w:t>
                  </w:r>
                </w:p>
              </w:tc>
              <w:tc>
                <w:tcPr>
                  <w:tcW w:w="1487" w:type="dxa"/>
                  <w:tcBorders>
                    <w:top w:val="single" w:color="auto" w:sz="4" w:space="0"/>
                    <w:left w:val="single" w:color="auto" w:sz="4" w:space="0"/>
                    <w:bottom w:val="single" w:color="auto" w:sz="4" w:space="0"/>
                    <w:right w:val="single" w:color="auto" w:sz="4" w:space="0"/>
                  </w:tcBorders>
                  <w:noWrap/>
                  <w:vAlign w:val="center"/>
                </w:tcPr>
                <w:p w14:paraId="235F9690">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32.89652319</w:t>
                  </w:r>
                </w:p>
              </w:tc>
              <w:tc>
                <w:tcPr>
                  <w:tcW w:w="704" w:type="dxa"/>
                  <w:tcBorders>
                    <w:top w:val="single" w:color="auto" w:sz="4" w:space="0"/>
                    <w:left w:val="single" w:color="auto" w:sz="4" w:space="0"/>
                    <w:bottom w:val="single" w:color="auto" w:sz="4" w:space="0"/>
                    <w:right w:val="single" w:color="auto" w:sz="4" w:space="0"/>
                  </w:tcBorders>
                  <w:noWrap/>
                  <w:vAlign w:val="center"/>
                </w:tcPr>
                <w:p w14:paraId="6FE5CE11">
                  <w:pPr>
                    <w:spacing w:after="0"/>
                    <w:jc w:val="center"/>
                    <w:rPr>
                      <w:rFonts w:hint="eastAsia" w:ascii="Times New Roman" w:hAnsi="Times New Roman" w:eastAsia="宋体"/>
                      <w:bCs/>
                      <w:color w:val="auto"/>
                      <w:szCs w:val="21"/>
                      <w:highlight w:val="none"/>
                      <w:lang w:val="en-US" w:eastAsia="zh-CN"/>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noWrap/>
                  <w:vAlign w:val="center"/>
                </w:tcPr>
                <w:p w14:paraId="62B85B8A">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4F19A8FC">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noWrap/>
                  <w:vAlign w:val="center"/>
                </w:tcPr>
                <w:p w14:paraId="41D80FBB">
                  <w:pPr>
                    <w:widowControl/>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94</w:t>
                  </w:r>
                </w:p>
              </w:tc>
            </w:tr>
            <w:tr w14:paraId="2E22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4BEB523F">
                  <w:pPr>
                    <w:spacing w:after="0"/>
                    <w:jc w:val="center"/>
                    <w:rPr>
                      <w:rFonts w:hint="eastAsia"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4</w:t>
                  </w:r>
                </w:p>
              </w:tc>
              <w:tc>
                <w:tcPr>
                  <w:tcW w:w="644" w:type="dxa"/>
                  <w:tcBorders>
                    <w:top w:val="single" w:color="auto" w:sz="4" w:space="0"/>
                    <w:left w:val="single" w:color="auto" w:sz="4" w:space="0"/>
                    <w:bottom w:val="single" w:color="auto" w:sz="4" w:space="0"/>
                    <w:right w:val="single" w:color="auto" w:sz="4" w:space="0"/>
                  </w:tcBorders>
                  <w:noWrap/>
                  <w:vAlign w:val="center"/>
                </w:tcPr>
                <w:p w14:paraId="2EC6EA78">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4#</w:t>
                  </w:r>
                </w:p>
              </w:tc>
              <w:tc>
                <w:tcPr>
                  <w:tcW w:w="1357" w:type="dxa"/>
                  <w:tcBorders>
                    <w:top w:val="single" w:color="auto" w:sz="4" w:space="0"/>
                    <w:left w:val="single" w:color="auto" w:sz="4" w:space="0"/>
                    <w:bottom w:val="single" w:color="auto" w:sz="4" w:space="0"/>
                    <w:right w:val="single" w:color="auto" w:sz="4" w:space="0"/>
                  </w:tcBorders>
                  <w:noWrap/>
                  <w:vAlign w:val="center"/>
                </w:tcPr>
                <w:p w14:paraId="57340796">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116.73576976</w:t>
                  </w:r>
                </w:p>
              </w:tc>
              <w:tc>
                <w:tcPr>
                  <w:tcW w:w="1487" w:type="dxa"/>
                  <w:tcBorders>
                    <w:top w:val="single" w:color="auto" w:sz="4" w:space="0"/>
                    <w:left w:val="single" w:color="auto" w:sz="4" w:space="0"/>
                    <w:bottom w:val="single" w:color="auto" w:sz="4" w:space="0"/>
                    <w:right w:val="single" w:color="auto" w:sz="4" w:space="0"/>
                  </w:tcBorders>
                  <w:noWrap/>
                  <w:vAlign w:val="center"/>
                </w:tcPr>
                <w:p w14:paraId="30056CED">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116.73576976</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22AC4">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AF155">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5B0C06B5">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7202D603">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4469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5410999F">
                  <w:pPr>
                    <w:spacing w:after="0"/>
                    <w:jc w:val="center"/>
                    <w:rPr>
                      <w:rFonts w:hint="eastAsia"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5</w:t>
                  </w:r>
                </w:p>
              </w:tc>
              <w:tc>
                <w:tcPr>
                  <w:tcW w:w="644" w:type="dxa"/>
                  <w:tcBorders>
                    <w:top w:val="single" w:color="auto" w:sz="4" w:space="0"/>
                    <w:left w:val="single" w:color="auto" w:sz="4" w:space="0"/>
                    <w:bottom w:val="single" w:color="auto" w:sz="4" w:space="0"/>
                    <w:right w:val="single" w:color="auto" w:sz="4" w:space="0"/>
                  </w:tcBorders>
                  <w:noWrap/>
                  <w:vAlign w:val="center"/>
                </w:tcPr>
                <w:p w14:paraId="6E59D9E3">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5#</w:t>
                  </w:r>
                </w:p>
              </w:tc>
              <w:tc>
                <w:tcPr>
                  <w:tcW w:w="1357" w:type="dxa"/>
                  <w:tcBorders>
                    <w:top w:val="single" w:color="auto" w:sz="4" w:space="0"/>
                    <w:left w:val="single" w:color="auto" w:sz="4" w:space="0"/>
                    <w:bottom w:val="single" w:color="auto" w:sz="4" w:space="0"/>
                    <w:right w:val="single" w:color="auto" w:sz="4" w:space="0"/>
                  </w:tcBorders>
                  <w:noWrap/>
                  <w:vAlign w:val="center"/>
                </w:tcPr>
                <w:p w14:paraId="0B83F0DF">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116.73553828</w:t>
                  </w:r>
                </w:p>
              </w:tc>
              <w:tc>
                <w:tcPr>
                  <w:tcW w:w="1487" w:type="dxa"/>
                  <w:tcBorders>
                    <w:top w:val="single" w:color="auto" w:sz="4" w:space="0"/>
                    <w:left w:val="single" w:color="auto" w:sz="4" w:space="0"/>
                    <w:bottom w:val="single" w:color="auto" w:sz="4" w:space="0"/>
                    <w:right w:val="single" w:color="auto" w:sz="4" w:space="0"/>
                  </w:tcBorders>
                  <w:noWrap/>
                  <w:vAlign w:val="center"/>
                </w:tcPr>
                <w:p w14:paraId="109AA087">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32.89418809</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A3ECF">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33A2E">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48ACE2AC">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504338C8">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3D09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096AE258">
                  <w:pPr>
                    <w:spacing w:after="0"/>
                    <w:jc w:val="center"/>
                    <w:rPr>
                      <w:rFonts w:hint="eastAsia"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6</w:t>
                  </w:r>
                </w:p>
              </w:tc>
              <w:tc>
                <w:tcPr>
                  <w:tcW w:w="644" w:type="dxa"/>
                  <w:tcBorders>
                    <w:top w:val="single" w:color="auto" w:sz="4" w:space="0"/>
                    <w:left w:val="single" w:color="auto" w:sz="4" w:space="0"/>
                    <w:bottom w:val="single" w:color="auto" w:sz="4" w:space="0"/>
                    <w:right w:val="single" w:color="auto" w:sz="4" w:space="0"/>
                  </w:tcBorders>
                  <w:noWrap/>
                  <w:vAlign w:val="center"/>
                </w:tcPr>
                <w:p w14:paraId="36D3FCF1">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6#</w:t>
                  </w:r>
                </w:p>
              </w:tc>
              <w:tc>
                <w:tcPr>
                  <w:tcW w:w="1357" w:type="dxa"/>
                  <w:tcBorders>
                    <w:top w:val="single" w:color="auto" w:sz="4" w:space="0"/>
                    <w:left w:val="single" w:color="auto" w:sz="4" w:space="0"/>
                    <w:bottom w:val="single" w:color="auto" w:sz="4" w:space="0"/>
                    <w:right w:val="single" w:color="auto" w:sz="4" w:space="0"/>
                  </w:tcBorders>
                  <w:noWrap/>
                  <w:vAlign w:val="center"/>
                </w:tcPr>
                <w:p w14:paraId="5000CD96">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116.73542569</w:t>
                  </w:r>
                </w:p>
              </w:tc>
              <w:tc>
                <w:tcPr>
                  <w:tcW w:w="1487" w:type="dxa"/>
                  <w:tcBorders>
                    <w:top w:val="single" w:color="auto" w:sz="4" w:space="0"/>
                    <w:left w:val="single" w:color="auto" w:sz="4" w:space="0"/>
                    <w:bottom w:val="single" w:color="auto" w:sz="4" w:space="0"/>
                    <w:right w:val="single" w:color="auto" w:sz="4" w:space="0"/>
                  </w:tcBorders>
                  <w:noWrap/>
                  <w:vAlign w:val="center"/>
                </w:tcPr>
                <w:p w14:paraId="01A3008E">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32.89260048</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9C9A0">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59C68">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2485158F">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19299AFA">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66D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441F110A">
                  <w:pPr>
                    <w:spacing w:after="0"/>
                    <w:jc w:val="center"/>
                    <w:rPr>
                      <w:rFonts w:hint="eastAsia"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7</w:t>
                  </w:r>
                </w:p>
              </w:tc>
              <w:tc>
                <w:tcPr>
                  <w:tcW w:w="644" w:type="dxa"/>
                  <w:tcBorders>
                    <w:top w:val="single" w:color="auto" w:sz="4" w:space="0"/>
                    <w:left w:val="single" w:color="auto" w:sz="4" w:space="0"/>
                    <w:bottom w:val="single" w:color="auto" w:sz="4" w:space="0"/>
                    <w:right w:val="single" w:color="auto" w:sz="4" w:space="0"/>
                  </w:tcBorders>
                  <w:noWrap/>
                  <w:vAlign w:val="center"/>
                </w:tcPr>
                <w:p w14:paraId="1682CFF5">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7#</w:t>
                  </w:r>
                </w:p>
              </w:tc>
              <w:tc>
                <w:tcPr>
                  <w:tcW w:w="1357" w:type="dxa"/>
                  <w:tcBorders>
                    <w:top w:val="single" w:color="auto" w:sz="4" w:space="0"/>
                    <w:left w:val="single" w:color="auto" w:sz="4" w:space="0"/>
                    <w:bottom w:val="single" w:color="auto" w:sz="4" w:space="0"/>
                    <w:right w:val="single" w:color="auto" w:sz="4" w:space="0"/>
                  </w:tcBorders>
                  <w:noWrap/>
                  <w:vAlign w:val="center"/>
                </w:tcPr>
                <w:p w14:paraId="4DCA0371">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116.73668525</w:t>
                  </w:r>
                </w:p>
              </w:tc>
              <w:tc>
                <w:tcPr>
                  <w:tcW w:w="1487" w:type="dxa"/>
                  <w:tcBorders>
                    <w:top w:val="single" w:color="auto" w:sz="4" w:space="0"/>
                    <w:left w:val="single" w:color="auto" w:sz="4" w:space="0"/>
                    <w:bottom w:val="single" w:color="auto" w:sz="4" w:space="0"/>
                    <w:right w:val="single" w:color="auto" w:sz="4" w:space="0"/>
                  </w:tcBorders>
                  <w:noWrap/>
                  <w:vAlign w:val="center"/>
                </w:tcPr>
                <w:p w14:paraId="7D8E434B">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32.89189826</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AA1FA">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4558F">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0C834327">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5056E515">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7E0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7B4D37B9">
                  <w:pPr>
                    <w:spacing w:after="0"/>
                    <w:jc w:val="center"/>
                    <w:rPr>
                      <w:rFonts w:hint="eastAsia"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8</w:t>
                  </w:r>
                </w:p>
              </w:tc>
              <w:tc>
                <w:tcPr>
                  <w:tcW w:w="644" w:type="dxa"/>
                  <w:tcBorders>
                    <w:top w:val="single" w:color="auto" w:sz="4" w:space="0"/>
                    <w:left w:val="single" w:color="auto" w:sz="4" w:space="0"/>
                    <w:bottom w:val="single" w:color="auto" w:sz="4" w:space="0"/>
                    <w:right w:val="single" w:color="auto" w:sz="4" w:space="0"/>
                  </w:tcBorders>
                  <w:noWrap/>
                  <w:vAlign w:val="center"/>
                </w:tcPr>
                <w:p w14:paraId="56906C30">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8#</w:t>
                  </w:r>
                </w:p>
              </w:tc>
              <w:tc>
                <w:tcPr>
                  <w:tcW w:w="1357" w:type="dxa"/>
                  <w:tcBorders>
                    <w:top w:val="single" w:color="auto" w:sz="4" w:space="0"/>
                    <w:left w:val="single" w:color="auto" w:sz="4" w:space="0"/>
                    <w:bottom w:val="single" w:color="auto" w:sz="4" w:space="0"/>
                    <w:right w:val="single" w:color="auto" w:sz="4" w:space="0"/>
                  </w:tcBorders>
                  <w:noWrap/>
                  <w:vAlign w:val="center"/>
                </w:tcPr>
                <w:p w14:paraId="30D90FD2">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116.73754602</w:t>
                  </w:r>
                </w:p>
              </w:tc>
              <w:tc>
                <w:tcPr>
                  <w:tcW w:w="1487" w:type="dxa"/>
                  <w:tcBorders>
                    <w:top w:val="single" w:color="auto" w:sz="4" w:space="0"/>
                    <w:left w:val="single" w:color="auto" w:sz="4" w:space="0"/>
                    <w:bottom w:val="single" w:color="auto" w:sz="4" w:space="0"/>
                    <w:right w:val="single" w:color="auto" w:sz="4" w:space="0"/>
                  </w:tcBorders>
                  <w:noWrap/>
                  <w:vAlign w:val="center"/>
                </w:tcPr>
                <w:p w14:paraId="138BAB6B">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32.89271316</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486366">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71914">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0C6E787A">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653A6EB3">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614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74B0265E">
                  <w:pPr>
                    <w:spacing w:after="0"/>
                    <w:jc w:val="center"/>
                    <w:rPr>
                      <w:rFonts w:hint="eastAsia"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9</w:t>
                  </w:r>
                </w:p>
              </w:tc>
              <w:tc>
                <w:tcPr>
                  <w:tcW w:w="644" w:type="dxa"/>
                  <w:tcBorders>
                    <w:top w:val="single" w:color="auto" w:sz="4" w:space="0"/>
                    <w:left w:val="single" w:color="auto" w:sz="4" w:space="0"/>
                    <w:bottom w:val="single" w:color="auto" w:sz="4" w:space="0"/>
                    <w:right w:val="single" w:color="auto" w:sz="4" w:space="0"/>
                  </w:tcBorders>
                  <w:noWrap/>
                  <w:vAlign w:val="center"/>
                </w:tcPr>
                <w:p w14:paraId="6F1125A0">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9#</w:t>
                  </w:r>
                </w:p>
              </w:tc>
              <w:tc>
                <w:tcPr>
                  <w:tcW w:w="1357" w:type="dxa"/>
                  <w:tcBorders>
                    <w:top w:val="single" w:color="auto" w:sz="4" w:space="0"/>
                    <w:left w:val="single" w:color="auto" w:sz="4" w:space="0"/>
                    <w:bottom w:val="single" w:color="auto" w:sz="4" w:space="0"/>
                    <w:right w:val="single" w:color="auto" w:sz="4" w:space="0"/>
                  </w:tcBorders>
                  <w:noWrap/>
                  <w:vAlign w:val="center"/>
                </w:tcPr>
                <w:p w14:paraId="25607D0D">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116.73776799</w:t>
                  </w:r>
                </w:p>
              </w:tc>
              <w:tc>
                <w:tcPr>
                  <w:tcW w:w="1487" w:type="dxa"/>
                  <w:tcBorders>
                    <w:top w:val="single" w:color="auto" w:sz="4" w:space="0"/>
                    <w:left w:val="single" w:color="auto" w:sz="4" w:space="0"/>
                    <w:bottom w:val="single" w:color="auto" w:sz="4" w:space="0"/>
                    <w:right w:val="single" w:color="auto" w:sz="4" w:space="0"/>
                  </w:tcBorders>
                  <w:noWrap/>
                  <w:vAlign w:val="center"/>
                </w:tcPr>
                <w:p w14:paraId="74557245">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32.89444166</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4A63E">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35E30">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7D5B23F6">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4411F708">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3A7D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566BE906">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10</w:t>
                  </w:r>
                </w:p>
              </w:tc>
              <w:tc>
                <w:tcPr>
                  <w:tcW w:w="644" w:type="dxa"/>
                  <w:tcBorders>
                    <w:top w:val="single" w:color="auto" w:sz="4" w:space="0"/>
                    <w:left w:val="single" w:color="auto" w:sz="4" w:space="0"/>
                    <w:bottom w:val="single" w:color="auto" w:sz="4" w:space="0"/>
                    <w:right w:val="single" w:color="auto" w:sz="4" w:space="0"/>
                  </w:tcBorders>
                  <w:noWrap/>
                  <w:vAlign w:val="center"/>
                </w:tcPr>
                <w:p w14:paraId="0F66293C">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10#</w:t>
                  </w:r>
                </w:p>
              </w:tc>
              <w:tc>
                <w:tcPr>
                  <w:tcW w:w="1357" w:type="dxa"/>
                  <w:tcBorders>
                    <w:top w:val="single" w:color="auto" w:sz="4" w:space="0"/>
                    <w:left w:val="single" w:color="auto" w:sz="4" w:space="0"/>
                    <w:bottom w:val="single" w:color="auto" w:sz="4" w:space="0"/>
                    <w:right w:val="single" w:color="auto" w:sz="4" w:space="0"/>
                  </w:tcBorders>
                  <w:noWrap/>
                  <w:vAlign w:val="center"/>
                </w:tcPr>
                <w:p w14:paraId="107B0125">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116.73799758</w:t>
                  </w:r>
                </w:p>
              </w:tc>
              <w:tc>
                <w:tcPr>
                  <w:tcW w:w="1487" w:type="dxa"/>
                  <w:tcBorders>
                    <w:top w:val="single" w:color="auto" w:sz="4" w:space="0"/>
                    <w:left w:val="single" w:color="auto" w:sz="4" w:space="0"/>
                    <w:bottom w:val="single" w:color="auto" w:sz="4" w:space="0"/>
                    <w:right w:val="single" w:color="auto" w:sz="4" w:space="0"/>
                  </w:tcBorders>
                  <w:noWrap/>
                  <w:vAlign w:val="center"/>
                </w:tcPr>
                <w:p w14:paraId="3CB2C7D5">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32.89592515</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EC21A">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85881">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38B3943C">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30DF26AA">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7382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67025A87">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11</w:t>
                  </w:r>
                </w:p>
              </w:tc>
              <w:tc>
                <w:tcPr>
                  <w:tcW w:w="644" w:type="dxa"/>
                  <w:tcBorders>
                    <w:top w:val="single" w:color="auto" w:sz="4" w:space="0"/>
                    <w:left w:val="single" w:color="auto" w:sz="4" w:space="0"/>
                    <w:bottom w:val="single" w:color="auto" w:sz="4" w:space="0"/>
                    <w:right w:val="single" w:color="auto" w:sz="4" w:space="0"/>
                  </w:tcBorders>
                  <w:noWrap/>
                  <w:vAlign w:val="center"/>
                </w:tcPr>
                <w:p w14:paraId="6C5F6BC7">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11#</w:t>
                  </w:r>
                </w:p>
              </w:tc>
              <w:tc>
                <w:tcPr>
                  <w:tcW w:w="1357" w:type="dxa"/>
                  <w:tcBorders>
                    <w:top w:val="single" w:color="auto" w:sz="4" w:space="0"/>
                    <w:left w:val="single" w:color="auto" w:sz="4" w:space="0"/>
                    <w:bottom w:val="single" w:color="auto" w:sz="4" w:space="0"/>
                    <w:right w:val="single" w:color="auto" w:sz="4" w:space="0"/>
                  </w:tcBorders>
                  <w:noWrap/>
                  <w:vAlign w:val="center"/>
                </w:tcPr>
                <w:p w14:paraId="3E54C968">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116.73814693</w:t>
                  </w:r>
                </w:p>
              </w:tc>
              <w:tc>
                <w:tcPr>
                  <w:tcW w:w="1487" w:type="dxa"/>
                  <w:tcBorders>
                    <w:top w:val="single" w:color="auto" w:sz="4" w:space="0"/>
                    <w:left w:val="single" w:color="auto" w:sz="4" w:space="0"/>
                    <w:bottom w:val="single" w:color="auto" w:sz="4" w:space="0"/>
                    <w:right w:val="single" w:color="auto" w:sz="4" w:space="0"/>
                  </w:tcBorders>
                  <w:noWrap/>
                  <w:vAlign w:val="center"/>
                </w:tcPr>
                <w:p w14:paraId="7A68FE0B">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32.89696430</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BD15D">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27483">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28110C54">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19529447">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817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35F26B95">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12</w:t>
                  </w:r>
                </w:p>
              </w:tc>
              <w:tc>
                <w:tcPr>
                  <w:tcW w:w="644" w:type="dxa"/>
                  <w:tcBorders>
                    <w:top w:val="single" w:color="auto" w:sz="4" w:space="0"/>
                    <w:left w:val="single" w:color="auto" w:sz="4" w:space="0"/>
                    <w:bottom w:val="single" w:color="auto" w:sz="4" w:space="0"/>
                    <w:right w:val="single" w:color="auto" w:sz="4" w:space="0"/>
                  </w:tcBorders>
                  <w:noWrap/>
                  <w:vAlign w:val="center"/>
                </w:tcPr>
                <w:p w14:paraId="1BAE6463">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12#</w:t>
                  </w:r>
                </w:p>
              </w:tc>
              <w:tc>
                <w:tcPr>
                  <w:tcW w:w="1357" w:type="dxa"/>
                  <w:tcBorders>
                    <w:top w:val="single" w:color="auto" w:sz="4" w:space="0"/>
                    <w:left w:val="single" w:color="auto" w:sz="4" w:space="0"/>
                    <w:bottom w:val="single" w:color="auto" w:sz="4" w:space="0"/>
                    <w:right w:val="single" w:color="auto" w:sz="4" w:space="0"/>
                  </w:tcBorders>
                  <w:noWrap/>
                  <w:vAlign w:val="center"/>
                </w:tcPr>
                <w:p w14:paraId="28F07F46">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116.73842241</w:t>
                  </w:r>
                </w:p>
              </w:tc>
              <w:tc>
                <w:tcPr>
                  <w:tcW w:w="1487" w:type="dxa"/>
                  <w:tcBorders>
                    <w:top w:val="single" w:color="auto" w:sz="4" w:space="0"/>
                    <w:left w:val="single" w:color="auto" w:sz="4" w:space="0"/>
                    <w:bottom w:val="single" w:color="auto" w:sz="4" w:space="0"/>
                    <w:right w:val="single" w:color="auto" w:sz="4" w:space="0"/>
                  </w:tcBorders>
                  <w:noWrap/>
                  <w:vAlign w:val="center"/>
                </w:tcPr>
                <w:p w14:paraId="7AAFC579">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32.89887174</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21244">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9139E">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73BCEAC0">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2274BCEC">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07B4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0F7A96A3">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13</w:t>
                  </w:r>
                </w:p>
              </w:tc>
              <w:tc>
                <w:tcPr>
                  <w:tcW w:w="644" w:type="dxa"/>
                  <w:tcBorders>
                    <w:top w:val="single" w:color="auto" w:sz="4" w:space="0"/>
                    <w:left w:val="single" w:color="auto" w:sz="4" w:space="0"/>
                    <w:bottom w:val="single" w:color="auto" w:sz="4" w:space="0"/>
                    <w:right w:val="single" w:color="auto" w:sz="4" w:space="0"/>
                  </w:tcBorders>
                  <w:noWrap/>
                  <w:vAlign w:val="center"/>
                </w:tcPr>
                <w:p w14:paraId="23BEFBDC">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13#</w:t>
                  </w:r>
                </w:p>
              </w:tc>
              <w:tc>
                <w:tcPr>
                  <w:tcW w:w="1357" w:type="dxa"/>
                  <w:tcBorders>
                    <w:top w:val="single" w:color="auto" w:sz="4" w:space="0"/>
                    <w:left w:val="single" w:color="auto" w:sz="4" w:space="0"/>
                    <w:bottom w:val="single" w:color="auto" w:sz="4" w:space="0"/>
                    <w:right w:val="single" w:color="auto" w:sz="4" w:space="0"/>
                  </w:tcBorders>
                  <w:noWrap/>
                  <w:vAlign w:val="center"/>
                </w:tcPr>
                <w:p w14:paraId="033063BF">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116.73853767</w:t>
                  </w:r>
                </w:p>
              </w:tc>
              <w:tc>
                <w:tcPr>
                  <w:tcW w:w="1487" w:type="dxa"/>
                  <w:tcBorders>
                    <w:top w:val="single" w:color="auto" w:sz="4" w:space="0"/>
                    <w:left w:val="single" w:color="auto" w:sz="4" w:space="0"/>
                    <w:bottom w:val="single" w:color="auto" w:sz="4" w:space="0"/>
                    <w:right w:val="single" w:color="auto" w:sz="4" w:space="0"/>
                  </w:tcBorders>
                  <w:noWrap/>
                  <w:vAlign w:val="center"/>
                </w:tcPr>
                <w:p w14:paraId="55F1B4C2">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32.89967064</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F23EE">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020FC">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6E8D3300">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1EF15F41">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2BD6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0A02F3EC">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14</w:t>
                  </w:r>
                </w:p>
              </w:tc>
              <w:tc>
                <w:tcPr>
                  <w:tcW w:w="644" w:type="dxa"/>
                  <w:tcBorders>
                    <w:top w:val="single" w:color="auto" w:sz="4" w:space="0"/>
                    <w:left w:val="single" w:color="auto" w:sz="4" w:space="0"/>
                    <w:bottom w:val="single" w:color="auto" w:sz="4" w:space="0"/>
                    <w:right w:val="single" w:color="auto" w:sz="4" w:space="0"/>
                  </w:tcBorders>
                  <w:noWrap/>
                  <w:vAlign w:val="center"/>
                </w:tcPr>
                <w:p w14:paraId="6F54CA40">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14#</w:t>
                  </w:r>
                </w:p>
              </w:tc>
              <w:tc>
                <w:tcPr>
                  <w:tcW w:w="1357" w:type="dxa"/>
                  <w:tcBorders>
                    <w:top w:val="single" w:color="auto" w:sz="4" w:space="0"/>
                    <w:left w:val="single" w:color="auto" w:sz="4" w:space="0"/>
                    <w:bottom w:val="single" w:color="auto" w:sz="4" w:space="0"/>
                    <w:right w:val="single" w:color="auto" w:sz="4" w:space="0"/>
                  </w:tcBorders>
                  <w:noWrap/>
                  <w:vAlign w:val="center"/>
                </w:tcPr>
                <w:p w14:paraId="2A1C9E81">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116.73872255</w:t>
                  </w:r>
                </w:p>
              </w:tc>
              <w:tc>
                <w:tcPr>
                  <w:tcW w:w="1487" w:type="dxa"/>
                  <w:tcBorders>
                    <w:top w:val="single" w:color="auto" w:sz="4" w:space="0"/>
                    <w:left w:val="single" w:color="auto" w:sz="4" w:space="0"/>
                    <w:bottom w:val="single" w:color="auto" w:sz="4" w:space="0"/>
                    <w:right w:val="single" w:color="auto" w:sz="4" w:space="0"/>
                  </w:tcBorders>
                  <w:noWrap/>
                  <w:vAlign w:val="center"/>
                </w:tcPr>
                <w:p w14:paraId="4BD0EA5A">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32.90038213</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694A9">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24092">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57759D42">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72647625">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E90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0AE272D9">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15</w:t>
                  </w:r>
                </w:p>
              </w:tc>
              <w:tc>
                <w:tcPr>
                  <w:tcW w:w="644" w:type="dxa"/>
                  <w:tcBorders>
                    <w:top w:val="single" w:color="auto" w:sz="4" w:space="0"/>
                    <w:left w:val="single" w:color="auto" w:sz="4" w:space="0"/>
                    <w:bottom w:val="single" w:color="auto" w:sz="4" w:space="0"/>
                    <w:right w:val="single" w:color="auto" w:sz="4" w:space="0"/>
                  </w:tcBorders>
                  <w:noWrap/>
                  <w:vAlign w:val="center"/>
                </w:tcPr>
                <w:p w14:paraId="2C308601">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15#</w:t>
                  </w:r>
                </w:p>
              </w:tc>
              <w:tc>
                <w:tcPr>
                  <w:tcW w:w="1357" w:type="dxa"/>
                  <w:tcBorders>
                    <w:top w:val="single" w:color="auto" w:sz="4" w:space="0"/>
                    <w:left w:val="single" w:color="auto" w:sz="4" w:space="0"/>
                    <w:bottom w:val="single" w:color="auto" w:sz="4" w:space="0"/>
                    <w:right w:val="single" w:color="auto" w:sz="4" w:space="0"/>
                  </w:tcBorders>
                  <w:noWrap/>
                  <w:vAlign w:val="center"/>
                </w:tcPr>
                <w:p w14:paraId="121510AE">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116.72850751</w:t>
                  </w:r>
                </w:p>
              </w:tc>
              <w:tc>
                <w:tcPr>
                  <w:tcW w:w="1487" w:type="dxa"/>
                  <w:tcBorders>
                    <w:top w:val="single" w:color="auto" w:sz="4" w:space="0"/>
                    <w:left w:val="single" w:color="auto" w:sz="4" w:space="0"/>
                    <w:bottom w:val="single" w:color="auto" w:sz="4" w:space="0"/>
                    <w:right w:val="single" w:color="auto" w:sz="4" w:space="0"/>
                  </w:tcBorders>
                  <w:noWrap/>
                  <w:vAlign w:val="center"/>
                </w:tcPr>
                <w:p w14:paraId="26697A85">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32.89791369</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3FEB1">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E670B">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6E045219">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218155A7">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838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73D030F2">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16</w:t>
                  </w:r>
                </w:p>
              </w:tc>
              <w:tc>
                <w:tcPr>
                  <w:tcW w:w="644" w:type="dxa"/>
                  <w:tcBorders>
                    <w:top w:val="single" w:color="auto" w:sz="4" w:space="0"/>
                    <w:left w:val="single" w:color="auto" w:sz="4" w:space="0"/>
                    <w:bottom w:val="single" w:color="auto" w:sz="4" w:space="0"/>
                    <w:right w:val="single" w:color="auto" w:sz="4" w:space="0"/>
                  </w:tcBorders>
                  <w:noWrap/>
                  <w:vAlign w:val="center"/>
                </w:tcPr>
                <w:p w14:paraId="666C059D">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16#</w:t>
                  </w:r>
                </w:p>
              </w:tc>
              <w:tc>
                <w:tcPr>
                  <w:tcW w:w="1357" w:type="dxa"/>
                  <w:tcBorders>
                    <w:top w:val="single" w:color="auto" w:sz="4" w:space="0"/>
                    <w:left w:val="single" w:color="auto" w:sz="4" w:space="0"/>
                    <w:bottom w:val="single" w:color="auto" w:sz="4" w:space="0"/>
                    <w:right w:val="single" w:color="auto" w:sz="4" w:space="0"/>
                  </w:tcBorders>
                  <w:noWrap/>
                  <w:vAlign w:val="center"/>
                </w:tcPr>
                <w:p w14:paraId="3F0776C9">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116.72778603</w:t>
                  </w:r>
                </w:p>
              </w:tc>
              <w:tc>
                <w:tcPr>
                  <w:tcW w:w="1487" w:type="dxa"/>
                  <w:tcBorders>
                    <w:top w:val="single" w:color="auto" w:sz="4" w:space="0"/>
                    <w:left w:val="single" w:color="auto" w:sz="4" w:space="0"/>
                    <w:bottom w:val="single" w:color="auto" w:sz="4" w:space="0"/>
                    <w:right w:val="single" w:color="auto" w:sz="4" w:space="0"/>
                  </w:tcBorders>
                  <w:noWrap/>
                  <w:vAlign w:val="center"/>
                </w:tcPr>
                <w:p w14:paraId="768D28EF">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32.89356454</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681FF">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3C8B0">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0732BB11">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5DC42F43">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4BB3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38DB1560">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17</w:t>
                  </w:r>
                </w:p>
              </w:tc>
              <w:tc>
                <w:tcPr>
                  <w:tcW w:w="644" w:type="dxa"/>
                  <w:tcBorders>
                    <w:top w:val="single" w:color="auto" w:sz="4" w:space="0"/>
                    <w:left w:val="single" w:color="auto" w:sz="4" w:space="0"/>
                    <w:bottom w:val="single" w:color="auto" w:sz="4" w:space="0"/>
                    <w:right w:val="single" w:color="auto" w:sz="4" w:space="0"/>
                  </w:tcBorders>
                  <w:noWrap/>
                  <w:vAlign w:val="center"/>
                </w:tcPr>
                <w:p w14:paraId="000F3505">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17#</w:t>
                  </w:r>
                </w:p>
              </w:tc>
              <w:tc>
                <w:tcPr>
                  <w:tcW w:w="1357" w:type="dxa"/>
                  <w:tcBorders>
                    <w:top w:val="single" w:color="auto" w:sz="4" w:space="0"/>
                    <w:left w:val="single" w:color="auto" w:sz="4" w:space="0"/>
                    <w:bottom w:val="single" w:color="auto" w:sz="4" w:space="0"/>
                    <w:right w:val="single" w:color="auto" w:sz="4" w:space="0"/>
                  </w:tcBorders>
                  <w:noWrap/>
                  <w:vAlign w:val="center"/>
                </w:tcPr>
                <w:p w14:paraId="38DCCC72">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116.72762541</w:t>
                  </w:r>
                </w:p>
              </w:tc>
              <w:tc>
                <w:tcPr>
                  <w:tcW w:w="1487" w:type="dxa"/>
                  <w:tcBorders>
                    <w:top w:val="single" w:color="auto" w:sz="4" w:space="0"/>
                    <w:left w:val="single" w:color="auto" w:sz="4" w:space="0"/>
                    <w:bottom w:val="single" w:color="auto" w:sz="4" w:space="0"/>
                    <w:right w:val="single" w:color="auto" w:sz="4" w:space="0"/>
                  </w:tcBorders>
                  <w:noWrap/>
                  <w:vAlign w:val="center"/>
                </w:tcPr>
                <w:p w14:paraId="5E3579FB">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32.89214290</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92C31">
                  <w:pPr>
                    <w:spacing w:after="0"/>
                    <w:jc w:val="center"/>
                    <w:rPr>
                      <w:rFonts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22.9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61D4B">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592822DC">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39A32915">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4AA9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72C198E8">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18</w:t>
                  </w:r>
                </w:p>
              </w:tc>
              <w:tc>
                <w:tcPr>
                  <w:tcW w:w="644" w:type="dxa"/>
                  <w:tcBorders>
                    <w:top w:val="single" w:color="auto" w:sz="4" w:space="0"/>
                    <w:left w:val="single" w:color="auto" w:sz="4" w:space="0"/>
                    <w:bottom w:val="single" w:color="auto" w:sz="4" w:space="0"/>
                    <w:right w:val="single" w:color="auto" w:sz="4" w:space="0"/>
                  </w:tcBorders>
                  <w:noWrap/>
                  <w:vAlign w:val="center"/>
                </w:tcPr>
                <w:p w14:paraId="2B00B56D">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18#</w:t>
                  </w:r>
                </w:p>
              </w:tc>
              <w:tc>
                <w:tcPr>
                  <w:tcW w:w="1357" w:type="dxa"/>
                  <w:tcBorders>
                    <w:top w:val="single" w:color="auto" w:sz="4" w:space="0"/>
                    <w:left w:val="single" w:color="auto" w:sz="4" w:space="0"/>
                    <w:bottom w:val="single" w:color="auto" w:sz="4" w:space="0"/>
                    <w:right w:val="single" w:color="auto" w:sz="4" w:space="0"/>
                  </w:tcBorders>
                  <w:noWrap/>
                  <w:vAlign w:val="center"/>
                </w:tcPr>
                <w:p w14:paraId="642A4E2E">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116.72663469</w:t>
                  </w:r>
                </w:p>
              </w:tc>
              <w:tc>
                <w:tcPr>
                  <w:tcW w:w="1487" w:type="dxa"/>
                  <w:tcBorders>
                    <w:top w:val="single" w:color="auto" w:sz="4" w:space="0"/>
                    <w:left w:val="single" w:color="auto" w:sz="4" w:space="0"/>
                    <w:bottom w:val="single" w:color="auto" w:sz="4" w:space="0"/>
                    <w:right w:val="single" w:color="auto" w:sz="4" w:space="0"/>
                  </w:tcBorders>
                  <w:noWrap/>
                  <w:vAlign w:val="center"/>
                </w:tcPr>
                <w:p w14:paraId="77D1D183">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32.88453804</w:t>
                  </w:r>
                </w:p>
              </w:tc>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13FBF">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EA759">
                  <w:pPr>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57EFEC2A">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shd w:val="clear" w:color="auto" w:fill="auto"/>
                  <w:noWrap/>
                  <w:vAlign w:val="center"/>
                </w:tcPr>
                <w:p w14:paraId="1B095B39">
                  <w:pPr>
                    <w:widowControl/>
                    <w:spacing w:after="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bCs/>
                      <w:color w:val="auto"/>
                      <w:szCs w:val="21"/>
                      <w:highlight w:val="none"/>
                    </w:rPr>
                    <w:t>94</w:t>
                  </w:r>
                </w:p>
              </w:tc>
            </w:tr>
            <w:tr w14:paraId="69F6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8" w:type="dxa"/>
                  <w:tcBorders>
                    <w:top w:val="single" w:color="auto" w:sz="4" w:space="0"/>
                    <w:left w:val="single" w:color="auto" w:sz="4" w:space="0"/>
                    <w:bottom w:val="single" w:color="auto" w:sz="4" w:space="0"/>
                    <w:right w:val="single" w:color="auto" w:sz="4" w:space="0"/>
                  </w:tcBorders>
                  <w:noWrap/>
                  <w:vAlign w:val="center"/>
                </w:tcPr>
                <w:p w14:paraId="7931E8D6">
                  <w:pPr>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rPr>
                    <w:t>DG-</w:t>
                  </w:r>
                  <w:r>
                    <w:rPr>
                      <w:rFonts w:hint="eastAsia" w:ascii="Times New Roman" w:hAnsi="Times New Roman"/>
                      <w:bCs/>
                      <w:color w:val="auto"/>
                      <w:szCs w:val="21"/>
                      <w:highlight w:val="none"/>
                      <w:lang w:val="en-US" w:eastAsia="zh-CN"/>
                    </w:rPr>
                    <w:t>19</w:t>
                  </w:r>
                </w:p>
              </w:tc>
              <w:tc>
                <w:tcPr>
                  <w:tcW w:w="644" w:type="dxa"/>
                  <w:tcBorders>
                    <w:top w:val="single" w:color="auto" w:sz="4" w:space="0"/>
                    <w:left w:val="single" w:color="auto" w:sz="4" w:space="0"/>
                    <w:bottom w:val="single" w:color="auto" w:sz="4" w:space="0"/>
                    <w:right w:val="single" w:color="auto" w:sz="4" w:space="0"/>
                  </w:tcBorders>
                  <w:noWrap/>
                  <w:vAlign w:val="center"/>
                </w:tcPr>
                <w:p w14:paraId="4469688E">
                  <w:pPr>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19#</w:t>
                  </w:r>
                </w:p>
              </w:tc>
              <w:tc>
                <w:tcPr>
                  <w:tcW w:w="1357" w:type="dxa"/>
                  <w:tcBorders>
                    <w:top w:val="single" w:color="auto" w:sz="4" w:space="0"/>
                    <w:left w:val="single" w:color="auto" w:sz="4" w:space="0"/>
                    <w:bottom w:val="single" w:color="auto" w:sz="4" w:space="0"/>
                    <w:right w:val="single" w:color="auto" w:sz="4" w:space="0"/>
                  </w:tcBorders>
                  <w:noWrap/>
                  <w:vAlign w:val="center"/>
                </w:tcPr>
                <w:p w14:paraId="0847D5C3">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116.72638343</w:t>
                  </w:r>
                </w:p>
              </w:tc>
              <w:tc>
                <w:tcPr>
                  <w:tcW w:w="1487" w:type="dxa"/>
                  <w:tcBorders>
                    <w:top w:val="single" w:color="auto" w:sz="4" w:space="0"/>
                    <w:left w:val="single" w:color="auto" w:sz="4" w:space="0"/>
                    <w:bottom w:val="single" w:color="auto" w:sz="4" w:space="0"/>
                    <w:right w:val="single" w:color="auto" w:sz="4" w:space="0"/>
                  </w:tcBorders>
                  <w:noWrap/>
                  <w:vAlign w:val="center"/>
                </w:tcPr>
                <w:p w14:paraId="7B8BFAA0">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32.88293063</w:t>
                  </w:r>
                </w:p>
              </w:tc>
              <w:tc>
                <w:tcPr>
                  <w:tcW w:w="704" w:type="dxa"/>
                  <w:tcBorders>
                    <w:top w:val="single" w:color="auto" w:sz="4" w:space="0"/>
                    <w:left w:val="single" w:color="auto" w:sz="4" w:space="0"/>
                    <w:bottom w:val="single" w:color="auto" w:sz="4" w:space="0"/>
                    <w:right w:val="single" w:color="auto" w:sz="4" w:space="0"/>
                  </w:tcBorders>
                  <w:noWrap/>
                  <w:vAlign w:val="center"/>
                </w:tcPr>
                <w:p w14:paraId="6A0FDCDE">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2</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9</w:t>
                  </w:r>
                </w:p>
              </w:tc>
              <w:tc>
                <w:tcPr>
                  <w:tcW w:w="921" w:type="dxa"/>
                  <w:tcBorders>
                    <w:top w:val="single" w:color="auto" w:sz="4" w:space="0"/>
                    <w:left w:val="single" w:color="auto" w:sz="4" w:space="0"/>
                    <w:bottom w:val="single" w:color="auto" w:sz="4" w:space="0"/>
                    <w:right w:val="single" w:color="auto" w:sz="4" w:space="0"/>
                  </w:tcBorders>
                  <w:noWrap/>
                  <w:vAlign w:val="center"/>
                </w:tcPr>
                <w:p w14:paraId="26BDB43E">
                  <w:pPr>
                    <w:spacing w:after="0"/>
                    <w:jc w:val="center"/>
                    <w:rPr>
                      <w:rFonts w:hint="eastAsia" w:ascii="Times New Roman" w:hAnsi="Times New Roman"/>
                      <w:bCs/>
                      <w:color w:val="auto"/>
                      <w:szCs w:val="21"/>
                      <w:highlight w:val="none"/>
                    </w:rPr>
                  </w:pPr>
                  <w:r>
                    <w:rPr>
                      <w:rFonts w:hint="eastAsia" w:ascii="Times New Roman" w:hAnsi="Times New Roman"/>
                      <w:bCs/>
                      <w:color w:val="auto"/>
                      <w:szCs w:val="21"/>
                      <w:highlight w:val="none"/>
                    </w:rPr>
                    <w:t>1100</w:t>
                  </w:r>
                </w:p>
              </w:tc>
              <w:tc>
                <w:tcPr>
                  <w:tcW w:w="881" w:type="dxa"/>
                  <w:vMerge w:val="continue"/>
                  <w:tcBorders>
                    <w:left w:val="single" w:color="auto" w:sz="4" w:space="0"/>
                    <w:right w:val="single" w:color="auto" w:sz="4" w:space="0"/>
                  </w:tcBorders>
                  <w:noWrap/>
                  <w:vAlign w:val="center"/>
                </w:tcPr>
                <w:p w14:paraId="76F35CE5">
                  <w:pPr>
                    <w:widowControl/>
                    <w:spacing w:after="0"/>
                    <w:jc w:val="center"/>
                    <w:rPr>
                      <w:rFonts w:ascii="Times New Roman" w:hAnsi="Times New Roman"/>
                      <w:bCs/>
                      <w:color w:val="auto"/>
                      <w:szCs w:val="21"/>
                      <w:highlight w:val="none"/>
                    </w:rPr>
                  </w:pPr>
                </w:p>
              </w:tc>
              <w:tc>
                <w:tcPr>
                  <w:tcW w:w="1070" w:type="dxa"/>
                  <w:tcBorders>
                    <w:left w:val="single" w:color="auto" w:sz="4" w:space="0"/>
                    <w:right w:val="single" w:color="auto" w:sz="4" w:space="0"/>
                  </w:tcBorders>
                  <w:noWrap/>
                  <w:vAlign w:val="center"/>
                </w:tcPr>
                <w:p w14:paraId="699A7458">
                  <w:pPr>
                    <w:widowControl/>
                    <w:spacing w:after="0"/>
                    <w:jc w:val="center"/>
                    <w:rPr>
                      <w:rFonts w:hint="default" w:ascii="Times New Roman" w:hAnsi="Times New Roman" w:eastAsia="宋体"/>
                      <w:bCs/>
                      <w:color w:val="auto"/>
                      <w:szCs w:val="21"/>
                      <w:highlight w:val="none"/>
                      <w:lang w:val="en-US" w:eastAsia="zh-CN"/>
                    </w:rPr>
                  </w:pPr>
                  <w:r>
                    <w:rPr>
                      <w:rFonts w:hint="eastAsia" w:ascii="Times New Roman" w:hAnsi="Times New Roman"/>
                      <w:bCs/>
                      <w:color w:val="auto"/>
                      <w:szCs w:val="21"/>
                      <w:highlight w:val="none"/>
                      <w:lang w:val="en-US" w:eastAsia="zh-CN"/>
                    </w:rPr>
                    <w:t>94</w:t>
                  </w:r>
                </w:p>
              </w:tc>
            </w:tr>
          </w:tbl>
          <w:p w14:paraId="641E50A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表2-</w:t>
            </w:r>
            <w:r>
              <w:rPr>
                <w:rFonts w:hint="eastAsia" w:ascii="Times New Roman" w:hAnsi="Times New Roman"/>
                <w:b/>
                <w:color w:val="auto"/>
                <w:szCs w:val="21"/>
                <w:highlight w:val="none"/>
                <w:lang w:val="en-US" w:eastAsia="zh-CN"/>
              </w:rPr>
              <w:t>3</w:t>
            </w:r>
            <w:r>
              <w:rPr>
                <w:rFonts w:ascii="Times New Roman" w:hAnsi="Times New Roman"/>
                <w:b/>
                <w:color w:val="auto"/>
                <w:szCs w:val="21"/>
                <w:highlight w:val="none"/>
              </w:rPr>
              <w:t xml:space="preserve">  项目临时道路一览表</w:t>
            </w:r>
          </w:p>
          <w:tbl>
            <w:tblPr>
              <w:tblStyle w:val="22"/>
              <w:tblW w:w="7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6"/>
              <w:gridCol w:w="990"/>
              <w:gridCol w:w="1415"/>
              <w:gridCol w:w="690"/>
              <w:gridCol w:w="973"/>
              <w:gridCol w:w="691"/>
              <w:gridCol w:w="600"/>
              <w:gridCol w:w="764"/>
              <w:gridCol w:w="1283"/>
            </w:tblGrid>
            <w:tr w14:paraId="1DDC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46" w:type="dxa"/>
                  <w:shd w:val="clear" w:color="auto" w:fill="auto"/>
                  <w:vAlign w:val="center"/>
                </w:tcPr>
                <w:p w14:paraId="47F7F4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序号</w:t>
                  </w:r>
                </w:p>
              </w:tc>
              <w:tc>
                <w:tcPr>
                  <w:tcW w:w="990" w:type="dxa"/>
                  <w:shd w:val="clear" w:color="auto" w:fill="auto"/>
                  <w:vAlign w:val="center"/>
                </w:tcPr>
                <w:p w14:paraId="161E5C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对应井场编号</w:t>
                  </w:r>
                </w:p>
              </w:tc>
              <w:tc>
                <w:tcPr>
                  <w:tcW w:w="1415" w:type="dxa"/>
                  <w:shd w:val="clear" w:color="auto" w:fill="auto"/>
                  <w:vAlign w:val="center"/>
                </w:tcPr>
                <w:p w14:paraId="3E50BC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临时道路位置</w:t>
                  </w:r>
                </w:p>
              </w:tc>
              <w:tc>
                <w:tcPr>
                  <w:tcW w:w="690" w:type="dxa"/>
                  <w:shd w:val="clear" w:color="auto" w:fill="auto"/>
                  <w:vAlign w:val="center"/>
                </w:tcPr>
                <w:p w14:paraId="38E38F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道路长度</w:t>
                  </w:r>
                  <w:r>
                    <w:rPr>
                      <w:rFonts w:hint="default" w:ascii="Times New Roman" w:hAnsi="Times New Roman" w:eastAsia="宋体" w:cs="Times New Roman"/>
                      <w:b w:val="0"/>
                      <w:bCs w:val="0"/>
                      <w:i w:val="0"/>
                      <w:iCs w:val="0"/>
                      <w:color w:val="auto"/>
                      <w:kern w:val="0"/>
                      <w:sz w:val="21"/>
                      <w:szCs w:val="21"/>
                      <w:u w:val="none"/>
                      <w:lang w:val="en-US" w:eastAsia="zh-CN" w:bidi="ar"/>
                    </w:rPr>
                    <w:t>(m)</w:t>
                  </w:r>
                </w:p>
              </w:tc>
              <w:tc>
                <w:tcPr>
                  <w:tcW w:w="973" w:type="dxa"/>
                  <w:shd w:val="clear" w:color="auto" w:fill="auto"/>
                  <w:vAlign w:val="center"/>
                </w:tcPr>
                <w:p w14:paraId="1D29E1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占地面积（</w:t>
                  </w:r>
                  <w:r>
                    <w:rPr>
                      <w:rFonts w:hint="default" w:ascii="Times New Roman" w:hAnsi="Times New Roman" w:eastAsia="宋体" w:cs="Times New Roman"/>
                      <w:b w:val="0"/>
                      <w:bCs w:val="0"/>
                      <w:i w:val="0"/>
                      <w:iCs w:val="0"/>
                      <w:color w:val="auto"/>
                      <w:kern w:val="0"/>
                      <w:sz w:val="21"/>
                      <w:szCs w:val="21"/>
                      <w:u w:val="none"/>
                      <w:lang w:val="en-US" w:eastAsia="zh-CN" w:bidi="ar"/>
                    </w:rPr>
                    <w:t>m²</w:t>
                  </w:r>
                  <w:r>
                    <w:rPr>
                      <w:rFonts w:hint="eastAsia" w:ascii="Times New Roman" w:hAnsi="Times New Roman" w:eastAsia="宋体" w:cs="Times New Roman"/>
                      <w:b w:val="0"/>
                      <w:bCs w:val="0"/>
                      <w:i w:val="0"/>
                      <w:iCs w:val="0"/>
                      <w:color w:val="auto"/>
                      <w:kern w:val="0"/>
                      <w:sz w:val="21"/>
                      <w:szCs w:val="21"/>
                      <w:u w:val="none"/>
                      <w:lang w:val="en-US" w:eastAsia="zh-CN" w:bidi="ar"/>
                    </w:rPr>
                    <w:t>）</w:t>
                  </w:r>
                </w:p>
              </w:tc>
              <w:tc>
                <w:tcPr>
                  <w:tcW w:w="691" w:type="dxa"/>
                  <w:shd w:val="clear" w:color="auto" w:fill="auto"/>
                  <w:vAlign w:val="center"/>
                </w:tcPr>
                <w:p w14:paraId="1F4D44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路面形式</w:t>
                  </w:r>
                </w:p>
              </w:tc>
              <w:tc>
                <w:tcPr>
                  <w:tcW w:w="600" w:type="dxa"/>
                  <w:shd w:val="clear" w:color="auto" w:fill="auto"/>
                  <w:vAlign w:val="center"/>
                </w:tcPr>
                <w:p w14:paraId="5083CA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建设目的</w:t>
                  </w:r>
                </w:p>
              </w:tc>
              <w:tc>
                <w:tcPr>
                  <w:tcW w:w="764" w:type="dxa"/>
                  <w:shd w:val="clear" w:color="auto" w:fill="auto"/>
                  <w:vAlign w:val="center"/>
                </w:tcPr>
                <w:p w14:paraId="784515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使用周期</w:t>
                  </w:r>
                </w:p>
              </w:tc>
              <w:tc>
                <w:tcPr>
                  <w:tcW w:w="1283" w:type="dxa"/>
                  <w:shd w:val="clear" w:color="auto" w:fill="auto"/>
                  <w:vAlign w:val="center"/>
                </w:tcPr>
                <w:p w14:paraId="1703DC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后期处置方式</w:t>
                  </w:r>
                </w:p>
              </w:tc>
            </w:tr>
            <w:tr w14:paraId="43F9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00585F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w:t>
                  </w:r>
                </w:p>
              </w:tc>
              <w:tc>
                <w:tcPr>
                  <w:tcW w:w="990" w:type="dxa"/>
                  <w:shd w:val="clear" w:color="auto" w:fill="auto"/>
                  <w:noWrap/>
                  <w:vAlign w:val="center"/>
                </w:tcPr>
                <w:p w14:paraId="077569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D1-1</w:t>
                  </w:r>
                </w:p>
              </w:tc>
              <w:tc>
                <w:tcPr>
                  <w:tcW w:w="1415" w:type="dxa"/>
                  <w:shd w:val="clear" w:color="auto" w:fill="auto"/>
                  <w:vAlign w:val="center"/>
                </w:tcPr>
                <w:p w14:paraId="38A132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DG1-1</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2A65D2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22</w:t>
                  </w:r>
                </w:p>
              </w:tc>
              <w:tc>
                <w:tcPr>
                  <w:tcW w:w="973" w:type="dxa"/>
                  <w:shd w:val="clear" w:color="auto" w:fill="auto"/>
                  <w:vAlign w:val="center"/>
                </w:tcPr>
                <w:p w14:paraId="4CFF2E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87</w:t>
                  </w:r>
                </w:p>
              </w:tc>
              <w:tc>
                <w:tcPr>
                  <w:tcW w:w="691" w:type="dxa"/>
                  <w:vMerge w:val="restart"/>
                  <w:shd w:val="clear" w:color="auto" w:fill="auto"/>
                  <w:vAlign w:val="center"/>
                </w:tcPr>
                <w:p w14:paraId="06B5C4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简易硬化（碎石</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ascii="Times New Roman" w:hAnsi="Times New Roman" w:eastAsia="宋体" w:cs="Times New Roman"/>
                      <w:b w:val="0"/>
                      <w:bCs w:val="0"/>
                      <w:i w:val="0"/>
                      <w:iCs w:val="0"/>
                      <w:color w:val="auto"/>
                      <w:kern w:val="0"/>
                      <w:sz w:val="21"/>
                      <w:szCs w:val="21"/>
                      <w:u w:val="none"/>
                      <w:lang w:val="en-US" w:eastAsia="zh-CN" w:bidi="ar"/>
                    </w:rPr>
                    <w:t>钢板铺垫）</w:t>
                  </w:r>
                </w:p>
              </w:tc>
              <w:tc>
                <w:tcPr>
                  <w:tcW w:w="600" w:type="dxa"/>
                  <w:vMerge w:val="restart"/>
                  <w:shd w:val="clear" w:color="auto" w:fill="auto"/>
                  <w:vAlign w:val="center"/>
                </w:tcPr>
                <w:p w14:paraId="1B4E83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设备、材料、渣土运输</w:t>
                  </w:r>
                </w:p>
              </w:tc>
              <w:tc>
                <w:tcPr>
                  <w:tcW w:w="764" w:type="dxa"/>
                  <w:vMerge w:val="restart"/>
                  <w:shd w:val="clear" w:color="auto" w:fill="auto"/>
                  <w:vAlign w:val="center"/>
                </w:tcPr>
                <w:p w14:paraId="1C1959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对应批次施工期</w:t>
                  </w:r>
                  <w:r>
                    <w:rPr>
                      <w:rFonts w:hint="default" w:ascii="Times New Roman" w:hAnsi="Times New Roman" w:eastAsia="宋体" w:cs="Times New Roman"/>
                      <w:b w:val="0"/>
                      <w:bCs w:val="0"/>
                      <w:i w:val="0"/>
                      <w:iCs w:val="0"/>
                      <w:color w:val="auto"/>
                      <w:kern w:val="0"/>
                      <w:sz w:val="21"/>
                      <w:szCs w:val="21"/>
                      <w:u w:val="none"/>
                      <w:lang w:val="en-US" w:eastAsia="zh-CN" w:bidi="ar"/>
                    </w:rPr>
                    <w:t>3</w:t>
                  </w:r>
                  <w:r>
                    <w:rPr>
                      <w:rFonts w:hint="eastAsia" w:ascii="Times New Roman" w:hAnsi="Times New Roman" w:eastAsia="宋体" w:cs="Times New Roman"/>
                      <w:b w:val="0"/>
                      <w:bCs w:val="0"/>
                      <w:i w:val="0"/>
                      <w:iCs w:val="0"/>
                      <w:color w:val="auto"/>
                      <w:kern w:val="0"/>
                      <w:sz w:val="21"/>
                      <w:szCs w:val="21"/>
                      <w:u w:val="none"/>
                      <w:lang w:val="en-US" w:eastAsia="zh-CN" w:bidi="ar"/>
                    </w:rPr>
                    <w:t>个月</w:t>
                  </w:r>
                </w:p>
              </w:tc>
              <w:tc>
                <w:tcPr>
                  <w:tcW w:w="1283" w:type="dxa"/>
                  <w:vMerge w:val="restart"/>
                  <w:shd w:val="clear" w:color="auto" w:fill="auto"/>
                  <w:vAlign w:val="center"/>
                </w:tcPr>
                <w:p w14:paraId="18C1F6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施工结束后拆除硬化层，剥离碎石钢板，土地翻耕复垦，恢复原有耕地地貌</w:t>
                  </w:r>
                </w:p>
              </w:tc>
            </w:tr>
            <w:tr w14:paraId="1CC9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70F2A5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w:t>
                  </w:r>
                </w:p>
              </w:tc>
              <w:tc>
                <w:tcPr>
                  <w:tcW w:w="990" w:type="dxa"/>
                  <w:shd w:val="clear" w:color="auto" w:fill="auto"/>
                  <w:noWrap/>
                  <w:vAlign w:val="center"/>
                </w:tcPr>
                <w:p w14:paraId="07A2F9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D1-2</w:t>
                  </w:r>
                </w:p>
              </w:tc>
              <w:tc>
                <w:tcPr>
                  <w:tcW w:w="1415" w:type="dxa"/>
                  <w:shd w:val="clear" w:color="auto" w:fill="auto"/>
                  <w:vAlign w:val="center"/>
                </w:tcPr>
                <w:p w14:paraId="316093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DG1-2</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6B950F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87</w:t>
                  </w:r>
                </w:p>
              </w:tc>
              <w:tc>
                <w:tcPr>
                  <w:tcW w:w="973" w:type="dxa"/>
                  <w:shd w:val="clear" w:color="auto" w:fill="auto"/>
                  <w:vAlign w:val="center"/>
                </w:tcPr>
                <w:p w14:paraId="5A171F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319</w:t>
                  </w:r>
                </w:p>
              </w:tc>
              <w:tc>
                <w:tcPr>
                  <w:tcW w:w="691" w:type="dxa"/>
                  <w:vMerge w:val="continue"/>
                  <w:shd w:val="clear" w:color="auto" w:fill="auto"/>
                  <w:vAlign w:val="center"/>
                </w:tcPr>
                <w:p w14:paraId="40A2EC66">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5C45369D">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4AE81F9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12A5571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3E60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46" w:type="dxa"/>
                  <w:shd w:val="clear" w:color="auto" w:fill="auto"/>
                  <w:vAlign w:val="center"/>
                </w:tcPr>
                <w:p w14:paraId="43376B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3</w:t>
                  </w:r>
                </w:p>
              </w:tc>
              <w:tc>
                <w:tcPr>
                  <w:tcW w:w="990" w:type="dxa"/>
                  <w:shd w:val="clear" w:color="auto" w:fill="auto"/>
                  <w:noWrap/>
                  <w:vAlign w:val="center"/>
                </w:tcPr>
                <w:p w14:paraId="0E49ED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D1-3</w:t>
                  </w:r>
                </w:p>
              </w:tc>
              <w:tc>
                <w:tcPr>
                  <w:tcW w:w="1415" w:type="dxa"/>
                  <w:shd w:val="clear" w:color="auto" w:fill="auto"/>
                  <w:vAlign w:val="center"/>
                </w:tcPr>
                <w:p w14:paraId="0D34FA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DG1-3</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3DE52E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w:t>
                  </w:r>
                </w:p>
              </w:tc>
              <w:tc>
                <w:tcPr>
                  <w:tcW w:w="973" w:type="dxa"/>
                  <w:shd w:val="clear" w:color="auto" w:fill="auto"/>
                  <w:vAlign w:val="center"/>
                </w:tcPr>
                <w:p w14:paraId="22F296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17</w:t>
                  </w:r>
                </w:p>
              </w:tc>
              <w:tc>
                <w:tcPr>
                  <w:tcW w:w="691" w:type="dxa"/>
                  <w:vMerge w:val="continue"/>
                  <w:shd w:val="clear" w:color="auto" w:fill="auto"/>
                  <w:vAlign w:val="center"/>
                </w:tcPr>
                <w:p w14:paraId="1F22C75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1892ECF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1B091981">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294E9DB9">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7AD5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08CCEE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w:t>
                  </w:r>
                </w:p>
              </w:tc>
              <w:tc>
                <w:tcPr>
                  <w:tcW w:w="990" w:type="dxa"/>
                  <w:shd w:val="clear" w:color="auto" w:fill="auto"/>
                  <w:noWrap/>
                  <w:vAlign w:val="center"/>
                </w:tcPr>
                <w:p w14:paraId="68938E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D1-4</w:t>
                  </w:r>
                </w:p>
              </w:tc>
              <w:tc>
                <w:tcPr>
                  <w:tcW w:w="1415" w:type="dxa"/>
                  <w:shd w:val="clear" w:color="auto" w:fill="auto"/>
                  <w:vAlign w:val="center"/>
                </w:tcPr>
                <w:p w14:paraId="0B9CE4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DG1-4</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7A200D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29</w:t>
                  </w:r>
                </w:p>
              </w:tc>
              <w:tc>
                <w:tcPr>
                  <w:tcW w:w="973" w:type="dxa"/>
                  <w:shd w:val="clear" w:color="auto" w:fill="auto"/>
                  <w:vAlign w:val="center"/>
                </w:tcPr>
                <w:p w14:paraId="5EB7BC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149</w:t>
                  </w:r>
                </w:p>
              </w:tc>
              <w:tc>
                <w:tcPr>
                  <w:tcW w:w="691" w:type="dxa"/>
                  <w:vMerge w:val="continue"/>
                  <w:shd w:val="clear" w:color="auto" w:fill="auto"/>
                  <w:vAlign w:val="center"/>
                </w:tcPr>
                <w:p w14:paraId="5E9598F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291115D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6C1CFCB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699BAE0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3582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3D316B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w:t>
                  </w:r>
                </w:p>
              </w:tc>
              <w:tc>
                <w:tcPr>
                  <w:tcW w:w="990" w:type="dxa"/>
                  <w:shd w:val="clear" w:color="auto" w:fill="auto"/>
                  <w:noWrap/>
                  <w:vAlign w:val="center"/>
                </w:tcPr>
                <w:p w14:paraId="0A148D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D1-5</w:t>
                  </w:r>
                </w:p>
              </w:tc>
              <w:tc>
                <w:tcPr>
                  <w:tcW w:w="1415" w:type="dxa"/>
                  <w:shd w:val="clear" w:color="auto" w:fill="auto"/>
                  <w:vAlign w:val="center"/>
                </w:tcPr>
                <w:p w14:paraId="01FE7A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DG1-5</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655D23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115</w:t>
                  </w:r>
                </w:p>
              </w:tc>
              <w:tc>
                <w:tcPr>
                  <w:tcW w:w="973" w:type="dxa"/>
                  <w:shd w:val="clear" w:color="auto" w:fill="auto"/>
                  <w:vAlign w:val="center"/>
                </w:tcPr>
                <w:p w14:paraId="17A705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310</w:t>
                  </w:r>
                </w:p>
              </w:tc>
              <w:tc>
                <w:tcPr>
                  <w:tcW w:w="691" w:type="dxa"/>
                  <w:vMerge w:val="continue"/>
                  <w:shd w:val="clear" w:color="auto" w:fill="auto"/>
                  <w:vAlign w:val="center"/>
                </w:tcPr>
                <w:p w14:paraId="3D90A453">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2A3A906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734BBB9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29730C5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1EF2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46" w:type="dxa"/>
                  <w:shd w:val="clear" w:color="auto" w:fill="auto"/>
                  <w:vAlign w:val="center"/>
                </w:tcPr>
                <w:p w14:paraId="0976AB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6</w:t>
                  </w:r>
                </w:p>
              </w:tc>
              <w:tc>
                <w:tcPr>
                  <w:tcW w:w="990" w:type="dxa"/>
                  <w:shd w:val="clear" w:color="auto" w:fill="auto"/>
                  <w:noWrap/>
                  <w:vAlign w:val="center"/>
                </w:tcPr>
                <w:p w14:paraId="1B7893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D1-6</w:t>
                  </w:r>
                </w:p>
              </w:tc>
              <w:tc>
                <w:tcPr>
                  <w:tcW w:w="1415" w:type="dxa"/>
                  <w:shd w:val="clear" w:color="auto" w:fill="auto"/>
                  <w:vAlign w:val="center"/>
                </w:tcPr>
                <w:p w14:paraId="70CC8B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DG1-6</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6EA5A3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8</w:t>
                  </w:r>
                </w:p>
              </w:tc>
              <w:tc>
                <w:tcPr>
                  <w:tcW w:w="973" w:type="dxa"/>
                  <w:shd w:val="clear" w:color="auto" w:fill="auto"/>
                  <w:vAlign w:val="center"/>
                </w:tcPr>
                <w:p w14:paraId="638DE2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52</w:t>
                  </w:r>
                </w:p>
              </w:tc>
              <w:tc>
                <w:tcPr>
                  <w:tcW w:w="691" w:type="dxa"/>
                  <w:vMerge w:val="continue"/>
                  <w:shd w:val="clear" w:color="auto" w:fill="auto"/>
                  <w:vAlign w:val="center"/>
                </w:tcPr>
                <w:p w14:paraId="45EC4052">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6CD04491">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1378297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1454FCA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6C78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583EA1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8</w:t>
                  </w:r>
                </w:p>
              </w:tc>
              <w:tc>
                <w:tcPr>
                  <w:tcW w:w="990" w:type="dxa"/>
                  <w:shd w:val="clear" w:color="auto" w:fill="auto"/>
                  <w:noWrap/>
                  <w:vAlign w:val="center"/>
                </w:tcPr>
                <w:p w14:paraId="3B9F1F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D1-8</w:t>
                  </w:r>
                </w:p>
              </w:tc>
              <w:tc>
                <w:tcPr>
                  <w:tcW w:w="1415" w:type="dxa"/>
                  <w:shd w:val="clear" w:color="auto" w:fill="auto"/>
                  <w:vAlign w:val="center"/>
                </w:tcPr>
                <w:p w14:paraId="11A2A9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DG1-8</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6B85BA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200</w:t>
                  </w:r>
                </w:p>
              </w:tc>
              <w:tc>
                <w:tcPr>
                  <w:tcW w:w="973" w:type="dxa"/>
                  <w:shd w:val="clear" w:color="auto" w:fill="auto"/>
                  <w:vAlign w:val="center"/>
                </w:tcPr>
                <w:p w14:paraId="7FEF9A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610</w:t>
                  </w:r>
                </w:p>
              </w:tc>
              <w:tc>
                <w:tcPr>
                  <w:tcW w:w="691" w:type="dxa"/>
                  <w:vMerge w:val="continue"/>
                  <w:shd w:val="clear" w:color="auto" w:fill="auto"/>
                  <w:vAlign w:val="center"/>
                </w:tcPr>
                <w:p w14:paraId="232689AF">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78600397">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717CDFB2">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31202E81">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605C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446" w:type="dxa"/>
                  <w:shd w:val="clear" w:color="auto" w:fill="auto"/>
                  <w:vAlign w:val="center"/>
                </w:tcPr>
                <w:p w14:paraId="7464F6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w:t>
                  </w:r>
                </w:p>
              </w:tc>
              <w:tc>
                <w:tcPr>
                  <w:tcW w:w="990" w:type="dxa"/>
                  <w:shd w:val="clear" w:color="auto" w:fill="auto"/>
                  <w:vAlign w:val="center"/>
                </w:tcPr>
                <w:p w14:paraId="59D597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D1-10、D1-11</w:t>
                  </w:r>
                </w:p>
              </w:tc>
              <w:tc>
                <w:tcPr>
                  <w:tcW w:w="1415" w:type="dxa"/>
                  <w:shd w:val="clear" w:color="auto" w:fill="auto"/>
                  <w:vAlign w:val="center"/>
                </w:tcPr>
                <w:p w14:paraId="79433A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DG1-10</w:t>
                  </w:r>
                  <w:r>
                    <w:rPr>
                      <w:rFonts w:hint="eastAsia" w:ascii="Times New Roman" w:hAnsi="Times New Roman" w:eastAsia="宋体" w:cs="Times New Roman"/>
                      <w:b w:val="0"/>
                      <w:bCs w:val="0"/>
                      <w:i w:val="0"/>
                      <w:iCs w:val="0"/>
                      <w:color w:val="auto"/>
                      <w:kern w:val="0"/>
                      <w:sz w:val="21"/>
                      <w:szCs w:val="21"/>
                      <w:u w:val="none"/>
                      <w:lang w:val="en-US" w:eastAsia="zh-CN" w:bidi="ar"/>
                    </w:rPr>
                    <w:t>、G1-11井场田间接入道路</w:t>
                  </w:r>
                </w:p>
              </w:tc>
              <w:tc>
                <w:tcPr>
                  <w:tcW w:w="690" w:type="dxa"/>
                  <w:shd w:val="clear" w:color="auto" w:fill="auto"/>
                  <w:vAlign w:val="center"/>
                </w:tcPr>
                <w:p w14:paraId="02C927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285</w:t>
                  </w:r>
                </w:p>
              </w:tc>
              <w:tc>
                <w:tcPr>
                  <w:tcW w:w="973" w:type="dxa"/>
                  <w:shd w:val="clear" w:color="auto" w:fill="auto"/>
                  <w:vAlign w:val="center"/>
                </w:tcPr>
                <w:p w14:paraId="4DB161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980</w:t>
                  </w:r>
                </w:p>
              </w:tc>
              <w:tc>
                <w:tcPr>
                  <w:tcW w:w="691" w:type="dxa"/>
                  <w:vMerge w:val="continue"/>
                  <w:shd w:val="clear" w:color="auto" w:fill="auto"/>
                  <w:vAlign w:val="center"/>
                </w:tcPr>
                <w:p w14:paraId="77F30889">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0869FEB4">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47FDA16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0B7DAB17">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1F4E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46" w:type="dxa"/>
                  <w:shd w:val="clear" w:color="auto" w:fill="auto"/>
                  <w:vAlign w:val="center"/>
                </w:tcPr>
                <w:p w14:paraId="32BEC0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12</w:t>
                  </w:r>
                </w:p>
              </w:tc>
              <w:tc>
                <w:tcPr>
                  <w:tcW w:w="990" w:type="dxa"/>
                  <w:shd w:val="clear" w:color="auto" w:fill="auto"/>
                  <w:noWrap/>
                  <w:vAlign w:val="center"/>
                </w:tcPr>
                <w:p w14:paraId="0EB58C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D1-12</w:t>
                  </w:r>
                </w:p>
              </w:tc>
              <w:tc>
                <w:tcPr>
                  <w:tcW w:w="1415" w:type="dxa"/>
                  <w:shd w:val="clear" w:color="auto" w:fill="auto"/>
                  <w:vAlign w:val="center"/>
                </w:tcPr>
                <w:p w14:paraId="3945BA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DG1-12</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3D3782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40</w:t>
                  </w:r>
                </w:p>
              </w:tc>
              <w:tc>
                <w:tcPr>
                  <w:tcW w:w="973" w:type="dxa"/>
                  <w:shd w:val="clear" w:color="auto" w:fill="auto"/>
                  <w:vAlign w:val="center"/>
                </w:tcPr>
                <w:p w14:paraId="1B3090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169</w:t>
                  </w:r>
                </w:p>
              </w:tc>
              <w:tc>
                <w:tcPr>
                  <w:tcW w:w="691" w:type="dxa"/>
                  <w:vMerge w:val="continue"/>
                  <w:shd w:val="clear" w:color="auto" w:fill="auto"/>
                  <w:vAlign w:val="center"/>
                </w:tcPr>
                <w:p w14:paraId="2D154392">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67E49174">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19F6110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6797F1F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5B07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4B0C3E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13</w:t>
                  </w:r>
                </w:p>
              </w:tc>
              <w:tc>
                <w:tcPr>
                  <w:tcW w:w="990" w:type="dxa"/>
                  <w:shd w:val="clear" w:color="auto" w:fill="auto"/>
                  <w:noWrap/>
                  <w:vAlign w:val="center"/>
                </w:tcPr>
                <w:p w14:paraId="088CAE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D1-13</w:t>
                  </w:r>
                </w:p>
              </w:tc>
              <w:tc>
                <w:tcPr>
                  <w:tcW w:w="1415" w:type="dxa"/>
                  <w:shd w:val="clear" w:color="auto" w:fill="auto"/>
                  <w:vAlign w:val="center"/>
                </w:tcPr>
                <w:p w14:paraId="4C4272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DG1-13</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45D5CE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40</w:t>
                  </w:r>
                </w:p>
              </w:tc>
              <w:tc>
                <w:tcPr>
                  <w:tcW w:w="973" w:type="dxa"/>
                  <w:shd w:val="clear" w:color="auto" w:fill="auto"/>
                  <w:vAlign w:val="center"/>
                </w:tcPr>
                <w:p w14:paraId="32AE40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137</w:t>
                  </w:r>
                </w:p>
              </w:tc>
              <w:tc>
                <w:tcPr>
                  <w:tcW w:w="691" w:type="dxa"/>
                  <w:vMerge w:val="continue"/>
                  <w:shd w:val="clear" w:color="auto" w:fill="auto"/>
                  <w:vAlign w:val="center"/>
                </w:tcPr>
                <w:p w14:paraId="50405A0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5EF8CAA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4861759F">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0506569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546E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5" w:hRule="atLeast"/>
                <w:jc w:val="center"/>
              </w:trPr>
              <w:tc>
                <w:tcPr>
                  <w:tcW w:w="446" w:type="dxa"/>
                  <w:shd w:val="clear" w:color="auto" w:fill="auto"/>
                  <w:vAlign w:val="center"/>
                </w:tcPr>
                <w:p w14:paraId="215959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14</w:t>
                  </w:r>
                </w:p>
              </w:tc>
              <w:tc>
                <w:tcPr>
                  <w:tcW w:w="990" w:type="dxa"/>
                  <w:shd w:val="clear" w:color="auto" w:fill="auto"/>
                  <w:noWrap/>
                  <w:vAlign w:val="center"/>
                </w:tcPr>
                <w:p w14:paraId="736360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D1-14</w:t>
                  </w:r>
                </w:p>
              </w:tc>
              <w:tc>
                <w:tcPr>
                  <w:tcW w:w="1415" w:type="dxa"/>
                  <w:shd w:val="clear" w:color="auto" w:fill="auto"/>
                  <w:vAlign w:val="center"/>
                </w:tcPr>
                <w:p w14:paraId="4AFC88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DG1-14</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47E9E1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40</w:t>
                  </w:r>
                </w:p>
              </w:tc>
              <w:tc>
                <w:tcPr>
                  <w:tcW w:w="973" w:type="dxa"/>
                  <w:shd w:val="clear" w:color="auto" w:fill="auto"/>
                  <w:vAlign w:val="center"/>
                </w:tcPr>
                <w:p w14:paraId="3F2E1D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129</w:t>
                  </w:r>
                </w:p>
              </w:tc>
              <w:tc>
                <w:tcPr>
                  <w:tcW w:w="691" w:type="dxa"/>
                  <w:vMerge w:val="continue"/>
                  <w:shd w:val="clear" w:color="auto" w:fill="auto"/>
                  <w:vAlign w:val="center"/>
                </w:tcPr>
                <w:p w14:paraId="74C135D2">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4A5FD586">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21A9951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5401A44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67FA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46" w:type="dxa"/>
                  <w:shd w:val="clear" w:color="auto" w:fill="auto"/>
                  <w:vAlign w:val="center"/>
                </w:tcPr>
                <w:p w14:paraId="5090F4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19</w:t>
                  </w:r>
                </w:p>
              </w:tc>
              <w:tc>
                <w:tcPr>
                  <w:tcW w:w="990" w:type="dxa"/>
                  <w:shd w:val="clear" w:color="auto" w:fill="auto"/>
                  <w:noWrap/>
                  <w:vAlign w:val="center"/>
                </w:tcPr>
                <w:p w14:paraId="0B6221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D1-19</w:t>
                  </w:r>
                </w:p>
              </w:tc>
              <w:tc>
                <w:tcPr>
                  <w:tcW w:w="1415" w:type="dxa"/>
                  <w:shd w:val="clear" w:color="auto" w:fill="auto"/>
                  <w:vAlign w:val="center"/>
                </w:tcPr>
                <w:p w14:paraId="422772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通往</w:t>
                  </w:r>
                  <w:r>
                    <w:rPr>
                      <w:rFonts w:hint="default" w:ascii="Times New Roman" w:hAnsi="Times New Roman" w:eastAsia="宋体" w:cs="Times New Roman"/>
                      <w:b w:val="0"/>
                      <w:bCs w:val="0"/>
                      <w:i w:val="0"/>
                      <w:iCs w:val="0"/>
                      <w:color w:val="auto"/>
                      <w:kern w:val="0"/>
                      <w:sz w:val="21"/>
                      <w:szCs w:val="21"/>
                      <w:u w:val="none"/>
                      <w:lang w:val="en-US" w:eastAsia="zh-CN" w:bidi="ar"/>
                    </w:rPr>
                    <w:t>DG1-19</w:t>
                  </w:r>
                  <w:r>
                    <w:rPr>
                      <w:rFonts w:hint="eastAsia" w:ascii="Times New Roman" w:hAnsi="Times New Roman" w:eastAsia="宋体" w:cs="Times New Roman"/>
                      <w:b w:val="0"/>
                      <w:bCs w:val="0"/>
                      <w:i w:val="0"/>
                      <w:iCs w:val="0"/>
                      <w:color w:val="auto"/>
                      <w:kern w:val="0"/>
                      <w:sz w:val="21"/>
                      <w:szCs w:val="21"/>
                      <w:u w:val="none"/>
                      <w:lang w:val="en-US" w:eastAsia="zh-CN" w:bidi="ar"/>
                    </w:rPr>
                    <w:t>井场田间接入道路</w:t>
                  </w:r>
                </w:p>
              </w:tc>
              <w:tc>
                <w:tcPr>
                  <w:tcW w:w="690" w:type="dxa"/>
                  <w:shd w:val="clear" w:color="auto" w:fill="auto"/>
                  <w:vAlign w:val="center"/>
                </w:tcPr>
                <w:p w14:paraId="3E0C34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53</w:t>
                  </w:r>
                </w:p>
              </w:tc>
              <w:tc>
                <w:tcPr>
                  <w:tcW w:w="973" w:type="dxa"/>
                  <w:shd w:val="clear" w:color="auto" w:fill="auto"/>
                  <w:vAlign w:val="center"/>
                </w:tcPr>
                <w:p w14:paraId="1B634F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151</w:t>
                  </w:r>
                </w:p>
              </w:tc>
              <w:tc>
                <w:tcPr>
                  <w:tcW w:w="691" w:type="dxa"/>
                  <w:vMerge w:val="continue"/>
                  <w:shd w:val="clear" w:color="auto" w:fill="auto"/>
                  <w:vAlign w:val="center"/>
                </w:tcPr>
                <w:p w14:paraId="0E068F4D">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0" w:type="dxa"/>
                  <w:vMerge w:val="continue"/>
                  <w:shd w:val="clear" w:color="auto" w:fill="auto"/>
                  <w:vAlign w:val="center"/>
                </w:tcPr>
                <w:p w14:paraId="16C6A58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764" w:type="dxa"/>
                  <w:vMerge w:val="continue"/>
                  <w:shd w:val="clear" w:color="auto" w:fill="auto"/>
                  <w:vAlign w:val="center"/>
                </w:tcPr>
                <w:p w14:paraId="3A8C664D">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283" w:type="dxa"/>
                  <w:vMerge w:val="continue"/>
                  <w:shd w:val="clear" w:color="auto" w:fill="auto"/>
                  <w:vAlign w:val="center"/>
                </w:tcPr>
                <w:p w14:paraId="02E19C3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71CD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446" w:type="dxa"/>
                  <w:shd w:val="clear" w:color="auto" w:fill="auto"/>
                  <w:vAlign w:val="center"/>
                </w:tcPr>
                <w:p w14:paraId="37B353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合计</w:t>
                  </w:r>
                </w:p>
              </w:tc>
              <w:tc>
                <w:tcPr>
                  <w:tcW w:w="990" w:type="dxa"/>
                  <w:shd w:val="clear" w:color="auto" w:fill="auto"/>
                  <w:vAlign w:val="center"/>
                </w:tcPr>
                <w:p w14:paraId="365D8D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15" w:type="dxa"/>
                  <w:shd w:val="clear" w:color="auto" w:fill="auto"/>
                  <w:vAlign w:val="center"/>
                </w:tcPr>
                <w:p w14:paraId="60E63B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690" w:type="dxa"/>
                  <w:shd w:val="clear" w:color="auto" w:fill="auto"/>
                  <w:vAlign w:val="center"/>
                </w:tcPr>
                <w:p w14:paraId="79CFA0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923</w:t>
                  </w:r>
                </w:p>
              </w:tc>
              <w:tc>
                <w:tcPr>
                  <w:tcW w:w="973" w:type="dxa"/>
                  <w:shd w:val="clear" w:color="auto" w:fill="auto"/>
                  <w:vAlign w:val="center"/>
                </w:tcPr>
                <w:p w14:paraId="35D7B5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cs="Times New Roman"/>
                      <w:b w:val="0"/>
                      <w:bCs w:val="0"/>
                      <w:i w:val="0"/>
                      <w:iCs w:val="0"/>
                      <w:color w:val="auto"/>
                      <w:kern w:val="0"/>
                      <w:sz w:val="21"/>
                      <w:szCs w:val="21"/>
                      <w:u w:val="none"/>
                      <w:lang w:val="en-US" w:eastAsia="zh-CN" w:bidi="ar"/>
                    </w:rPr>
                    <w:t>3110</w:t>
                  </w:r>
                </w:p>
              </w:tc>
              <w:tc>
                <w:tcPr>
                  <w:tcW w:w="691" w:type="dxa"/>
                  <w:shd w:val="clear" w:color="auto" w:fill="auto"/>
                  <w:vAlign w:val="center"/>
                </w:tcPr>
                <w:p w14:paraId="663E39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600" w:type="dxa"/>
                  <w:shd w:val="clear" w:color="auto" w:fill="auto"/>
                  <w:vAlign w:val="center"/>
                </w:tcPr>
                <w:p w14:paraId="296801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764" w:type="dxa"/>
                  <w:shd w:val="clear" w:color="auto" w:fill="auto"/>
                  <w:vAlign w:val="center"/>
                </w:tcPr>
                <w:p w14:paraId="20F883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总工期</w:t>
                  </w:r>
                  <w:r>
                    <w:rPr>
                      <w:rFonts w:hint="default" w:ascii="Times New Roman" w:hAnsi="Times New Roman" w:eastAsia="宋体" w:cs="Times New Roman"/>
                      <w:b w:val="0"/>
                      <w:bCs w:val="0"/>
                      <w:i w:val="0"/>
                      <w:iCs w:val="0"/>
                      <w:color w:val="auto"/>
                      <w:kern w:val="0"/>
                      <w:sz w:val="21"/>
                      <w:szCs w:val="21"/>
                      <w:u w:val="none"/>
                      <w:lang w:val="en-US" w:eastAsia="zh-CN" w:bidi="ar"/>
                    </w:rPr>
                    <w:t>9</w:t>
                  </w:r>
                  <w:r>
                    <w:rPr>
                      <w:rFonts w:hint="eastAsia" w:ascii="Times New Roman" w:hAnsi="Times New Roman" w:eastAsia="宋体" w:cs="Times New Roman"/>
                      <w:b w:val="0"/>
                      <w:bCs w:val="0"/>
                      <w:i w:val="0"/>
                      <w:iCs w:val="0"/>
                      <w:color w:val="auto"/>
                      <w:kern w:val="0"/>
                      <w:sz w:val="21"/>
                      <w:szCs w:val="21"/>
                      <w:u w:val="none"/>
                      <w:lang w:val="en-US" w:eastAsia="zh-CN" w:bidi="ar"/>
                    </w:rPr>
                    <w:t>个月</w:t>
                  </w:r>
                </w:p>
              </w:tc>
              <w:tc>
                <w:tcPr>
                  <w:tcW w:w="1283" w:type="dxa"/>
                  <w:shd w:val="clear" w:color="auto" w:fill="auto"/>
                  <w:noWrap/>
                  <w:vAlign w:val="center"/>
                </w:tcPr>
                <w:p w14:paraId="21ABB652">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r>
          </w:tbl>
          <w:p w14:paraId="4E24DB0C">
            <w:pPr>
              <w:spacing w:after="0" w:line="360" w:lineRule="auto"/>
              <w:ind w:firstLine="482" w:firstLineChars="200"/>
              <w:rPr>
                <w:rFonts w:ascii="Times New Roman" w:hAnsi="Times New Roman"/>
                <w:b/>
                <w:bCs/>
                <w:color w:val="auto"/>
                <w:sz w:val="24"/>
                <w:highlight w:val="none"/>
                <w:shd w:val="clear" w:color="auto" w:fill="FFFFFF"/>
              </w:rPr>
            </w:pPr>
            <w:r>
              <w:rPr>
                <w:rFonts w:ascii="Times New Roman" w:hAnsi="Times New Roman"/>
                <w:b/>
                <w:bCs/>
                <w:color w:val="auto"/>
                <w:sz w:val="24"/>
                <w:highlight w:val="none"/>
                <w:shd w:val="clear" w:color="auto" w:fill="FFFFFF"/>
              </w:rPr>
              <w:t>4、项目工程任务</w:t>
            </w:r>
          </w:p>
          <w:p w14:paraId="5083C9AE">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4.1煤采区概况</w:t>
            </w:r>
          </w:p>
          <w:p w14:paraId="5182C18E">
            <w:pPr>
              <w:spacing w:after="0" w:line="360" w:lineRule="auto"/>
              <w:ind w:firstLine="480" w:firstLineChars="200"/>
              <w:rPr>
                <w:rFonts w:ascii="Times New Roman" w:hAnsi="宋体"/>
                <w:color w:val="auto"/>
                <w:sz w:val="24"/>
                <w:highlight w:val="none"/>
              </w:rPr>
            </w:pPr>
            <w:r>
              <w:rPr>
                <w:rFonts w:hint="eastAsia" w:ascii="Times New Roman" w:hAnsi="宋体"/>
                <w:color w:val="auto"/>
                <w:sz w:val="24"/>
                <w:highlight w:val="none"/>
              </w:rPr>
              <w:t>朱集西煤矿地处安徽省淮南市潘集区，开采煤层主要隶属于二叠系山西组、下石盒子组及上石盒子组，属于松散层覆盖下的全隐覆煤田，矿区松散层平均厚度达450m；井田总体构造形态为轴向北西西的背斜与向斜组合，其中背斜轴部附近两翼地层倾角较大，为20</w:t>
            </w:r>
            <w:r>
              <w:rPr>
                <w:rFonts w:hint="eastAsia" w:ascii="Times New Roman" w:hAnsi="宋体"/>
                <w:color w:val="auto"/>
                <w:sz w:val="24"/>
                <w:highlight w:val="none"/>
                <w:lang w:val="en-US" w:eastAsia="zh-CN"/>
              </w:rPr>
              <w:t>°-</w:t>
            </w:r>
            <w:r>
              <w:rPr>
                <w:rFonts w:hint="eastAsia" w:ascii="Times New Roman" w:hAnsi="宋体"/>
                <w:color w:val="auto"/>
                <w:sz w:val="24"/>
                <w:highlight w:val="none"/>
              </w:rPr>
              <w:t>25°，南部宽缓向斜区域地层倾角平缓，仅5°-10°；目前矿井共有4个生产采区，分别为11-2四采区、11-2五采区、13-1煤五采区、13-1四采区；全矿井由17条勘探线控制，整体控制程度较高，但勘探钻孔主要集中在井田中部与南部，北部区域对井田边界及边界断层的控制程度较低，东部与西部则因勘探线密度不足，局部断层的控制力度较弱，存在一定地质勘探盲区。</w:t>
            </w:r>
          </w:p>
          <w:p w14:paraId="40A74B02">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4.2工作面</w:t>
            </w:r>
            <w:r>
              <w:rPr>
                <w:rFonts w:hint="eastAsia" w:ascii="Times New Roman" w:hAnsi="Times New Roman"/>
                <w:b/>
                <w:bCs/>
                <w:color w:val="auto"/>
                <w:sz w:val="24"/>
                <w:highlight w:val="none"/>
              </w:rPr>
              <w:t>概况</w:t>
            </w:r>
          </w:p>
          <w:p w14:paraId="13201988">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本次盾构机地面探查钻孔工程对应的工作面为东翼</w:t>
            </w:r>
            <w:r>
              <w:rPr>
                <w:rFonts w:hint="eastAsia" w:ascii="Times New Roman" w:hAnsi="Times New Roman"/>
                <w:color w:val="auto"/>
                <w:sz w:val="24"/>
                <w:highlight w:val="none"/>
                <w:lang w:val="en-US" w:eastAsia="zh-CN"/>
              </w:rPr>
              <w:t>11</w:t>
            </w:r>
            <w:r>
              <w:rPr>
                <w:rFonts w:hint="eastAsia" w:ascii="Times New Roman" w:hAnsi="Times New Roman"/>
                <w:color w:val="auto"/>
                <w:sz w:val="24"/>
                <w:highlight w:val="none"/>
              </w:rPr>
              <w:t>#顶板瓦斯抽放巷所在工作面，该工作面是矿井瓦斯治理与煤层开采衔接的关键区域。</w:t>
            </w:r>
          </w:p>
          <w:p w14:paraId="45F38934">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（1）工作面情况</w:t>
            </w:r>
          </w:p>
          <w:p w14:paraId="4630241D">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1）煤层赋存特征</w:t>
            </w:r>
          </w:p>
          <w:p w14:paraId="2987DC63">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根据已有煤层勘探成果推测，工作面所在勘探区域内含可采煤层12层，赋存状态整体较稳定，按可采性与稳定性可分为三类：稳定可采煤层：13-1煤、8煤、5-1煤，为区域内核心开采煤层，赋存连续性好、厚度变化小，是保障工作面产能的关键；较稳定可采煤层：11-2煤、7-2煤、4-2煤、4-1煤、3煤，基本可采或大部分可采，局部可能因地质条件出现小幅厚度波动，但整体不影响开采规划；不稳定局部可采煤层：17-1煤、16-2煤、11-1煤，仅在区域内局部地段达到可采厚度，开采范围需结合具体地质钻孔数据进一步圈定。</w:t>
            </w:r>
          </w:p>
          <w:p w14:paraId="4A0F85E3">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2）煤岩物理性质</w:t>
            </w:r>
          </w:p>
          <w:p w14:paraId="7DF1E585">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各可采煤层外观呈黑色，条痕为褐黑色，光泽以沥青光泽-玻璃光泽为主，少量呈金刚光泽或土状光泽；煤体结构多为粉末状、块状、条带状，少量为粒状及鳞片状；质脆，断口常见参差状、阶梯状；宏观煤岩成分以暗煤、亮煤为主，夹少量镜煤条带与丝炭，煤岩类型多为半暗型煤，少数为半亮型煤，局部存在光亮型煤，煤质特征符合区域二叠系煤层的典型属性。</w:t>
            </w:r>
          </w:p>
          <w:p w14:paraId="1B440FA2">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3）水文地质条件</w:t>
            </w:r>
          </w:p>
          <w:p w14:paraId="288D2E05">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主要含水系统分为松散层含水层与基岩段含水层。其中松散层厚度为350-400m，厚度分布呈现</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南北厚、中间薄</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的规律，自上而下发育4个含水层（一含、二含、三含、四含）与3个隔水层（由粘土、砂质粘土、钙质粘土组成），隔水层可有效阻隔松散层水向深部基岩渗透；基岩段中，二叠系上石盒子组、下石盒子组及山西组的砂岩裂隙水是各煤层的主要含水来源。参考附近31-1钻孔13-1煤层顶板砂岩含水层抽水试验数据，该区域煤系砂岩富水性弱（单位涌水量q=0.000073L/(s・m)，渗透系数K=0.001287m/d），且Q-S曲线向</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疏干</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方向变化，停抽后水位恢复缓慢，表明煤系砂岩含水层为以储存量为主的不均一裂隙含水层，对工作面施工的水文影响较小。</w:t>
            </w:r>
          </w:p>
          <w:p w14:paraId="6A36B060">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w:t>
            </w:r>
            <w:r>
              <w:rPr>
                <w:rFonts w:hint="eastAsia" w:ascii="Times New Roman" w:hAnsi="Times New Roman"/>
                <w:color w:val="auto"/>
                <w:sz w:val="24"/>
                <w:highlight w:val="none"/>
              </w:rPr>
              <w:t>2</w:t>
            </w:r>
            <w:r>
              <w:rPr>
                <w:rFonts w:ascii="Times New Roman" w:hAnsi="Times New Roman"/>
                <w:color w:val="auto"/>
                <w:sz w:val="24"/>
                <w:highlight w:val="none"/>
              </w:rPr>
              <w:t>）地质构造情况</w:t>
            </w:r>
          </w:p>
          <w:p w14:paraId="358BC9C8">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1）整体构造背景</w:t>
            </w:r>
          </w:p>
          <w:p w14:paraId="63E94478">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工作面位于井田轴向北西西的背斜-向斜构造体系内，处于南部宽缓向斜与北部背斜的过渡区域，地层倾角整体较平缓（5°-10°），仅局部靠近背斜翼部可能出现小幅倾角增大，构造整体稳定性较好，无大规模剧烈褶皱或断裂构造。</w:t>
            </w:r>
          </w:p>
          <w:p w14:paraId="36D16F23">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2）局部构造风险</w:t>
            </w:r>
          </w:p>
          <w:p w14:paraId="0EB3F0D8">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结合矿井勘探现状，工作面所在的东翼区域因勘探线密度不足，局部断层控制程度较弱，可能存在未探明的小型隐伏断层或裂隙发育带；此类局部构造可能导致煤层厚度突变、顶底板岩性变化，或引发局部砂岩裂隙水富集，需通过本次地面探查钻孔进一步验证与圈定，避免盾构机施工过程中遭遇构造异常风险。</w:t>
            </w:r>
          </w:p>
          <w:p w14:paraId="3F8B4F94">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3）岩层稳定性</w:t>
            </w:r>
          </w:p>
          <w:p w14:paraId="5B6DCBA9">
            <w:pPr>
              <w:spacing w:after="0" w:line="360" w:lineRule="auto"/>
              <w:ind w:firstLine="480" w:firstLineChars="200"/>
              <w:rPr>
                <w:rFonts w:ascii="Times New Roman" w:hAnsi="Times New Roman"/>
                <w:color w:val="auto"/>
                <w:highlight w:val="none"/>
              </w:rPr>
            </w:pPr>
            <w:r>
              <w:rPr>
                <w:rFonts w:hint="eastAsia" w:ascii="Times New Roman" w:hAnsi="Times New Roman"/>
                <w:color w:val="auto"/>
                <w:sz w:val="24"/>
                <w:highlight w:val="none"/>
              </w:rPr>
              <w:t>工作面地层以二叠系煤系地层为主，岩性主要为煤层、砂岩、泥岩、砂质泥岩等，其中砂岩作为煤层顶底板时，厚度变化较大，其稳定性取决于裂隙发育程度——由于煤系砂岩裂隙发育具有不均一性，局部可能存在裂隙开启度大、延展长度长的区域，易导致顶底板岩层稳定性下降，需通过钻孔岩芯观测准确判断岩层裂隙分布，为盾构机支护方案设计提供依据。</w:t>
            </w:r>
          </w:p>
        </w:tc>
      </w:tr>
    </w:tbl>
    <w:p w14:paraId="40E0DF53">
      <w:pPr>
        <w:pStyle w:val="20"/>
        <w:spacing w:before="0" w:beforeAutospacing="0" w:afterAutospacing="0"/>
        <w:jc w:val="center"/>
        <w:outlineLvl w:val="0"/>
        <w:rPr>
          <w:rFonts w:ascii="Times New Roman" w:hAnsi="Times New Roman" w:eastAsia="黑体"/>
          <w:snapToGrid w:val="0"/>
          <w:color w:val="auto"/>
          <w:sz w:val="30"/>
          <w:szCs w:val="30"/>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3753"/>
      </w:tblGrid>
      <w:tr w14:paraId="2F6A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2" w:hRule="atLeast"/>
          <w:jc w:val="center"/>
        </w:trPr>
        <w:tc>
          <w:tcPr>
            <w:tcW w:w="421" w:type="dxa"/>
            <w:vAlign w:val="top"/>
          </w:tcPr>
          <w:p w14:paraId="437E7CB6">
            <w:pPr>
              <w:keepNext w:val="0"/>
              <w:keepLines w:val="0"/>
              <w:pageBreakBefore w:val="0"/>
              <w:kinsoku/>
              <w:wordWrap/>
              <w:overflowPunct/>
              <w:topLinePunct w:val="0"/>
              <w:autoSpaceDE/>
              <w:autoSpaceDN/>
              <w:bidi w:val="0"/>
              <w:adjustRightInd w:val="0"/>
              <w:snapToGrid w:val="0"/>
              <w:spacing w:after="0" w:line="240" w:lineRule="auto"/>
              <w:jc w:val="center"/>
              <w:textAlignment w:val="auto"/>
              <w:rPr>
                <w:rFonts w:ascii="Times New Roman" w:hAnsi="Times New Roman" w:eastAsia="黑体"/>
                <w:snapToGrid w:val="0"/>
                <w:color w:val="auto"/>
                <w:sz w:val="30"/>
                <w:szCs w:val="30"/>
                <w:highlight w:val="none"/>
              </w:rPr>
            </w:pPr>
            <w:r>
              <w:rPr>
                <w:rFonts w:hint="eastAsia" w:ascii="Times New Roman" w:hAnsi="Times New Roman"/>
                <w:color w:val="auto"/>
                <w:kern w:val="0"/>
                <w:sz w:val="24"/>
                <w:highlight w:val="none"/>
              </w:rPr>
              <w:t>项目组成及规模</w:t>
            </w:r>
          </w:p>
        </w:tc>
        <w:tc>
          <w:tcPr>
            <w:tcW w:w="13753" w:type="dxa"/>
            <w:vAlign w:val="top"/>
          </w:tcPr>
          <w:p w14:paraId="1A8E4A3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hint="eastAsia" w:ascii="Times New Roman" w:hAnsi="Times New Roman"/>
                <w:b/>
                <w:color w:val="auto"/>
                <w:szCs w:val="21"/>
                <w:highlight w:val="none"/>
              </w:rPr>
              <w:t>表2-</w:t>
            </w:r>
            <w:r>
              <w:rPr>
                <w:rFonts w:hint="eastAsia" w:ascii="Times New Roman" w:hAnsi="Times New Roman"/>
                <w:b/>
                <w:color w:val="auto"/>
                <w:szCs w:val="21"/>
                <w:highlight w:val="none"/>
                <w:lang w:val="en-US" w:eastAsia="zh-CN"/>
              </w:rPr>
              <w:t>4</w:t>
            </w:r>
            <w:r>
              <w:rPr>
                <w:rFonts w:hint="eastAsia" w:ascii="Times New Roman" w:hAnsi="Times New Roman"/>
                <w:b/>
                <w:color w:val="auto"/>
                <w:szCs w:val="21"/>
                <w:highlight w:val="none"/>
              </w:rPr>
              <w:t xml:space="preserve">  钻孔点位及井场现状一览表</w:t>
            </w:r>
          </w:p>
          <w:tbl>
            <w:tblPr>
              <w:tblStyle w:val="23"/>
              <w:tblW w:w="13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888"/>
              <w:gridCol w:w="1781"/>
              <w:gridCol w:w="5786"/>
              <w:gridCol w:w="726"/>
              <w:gridCol w:w="1169"/>
              <w:gridCol w:w="1531"/>
              <w:gridCol w:w="1089"/>
            </w:tblGrid>
            <w:tr w14:paraId="1459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57" w:type="dxa"/>
                  <w:vAlign w:val="center"/>
                </w:tcPr>
                <w:p w14:paraId="36DDC7CA">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序号</w:t>
                  </w:r>
                </w:p>
              </w:tc>
              <w:tc>
                <w:tcPr>
                  <w:tcW w:w="888" w:type="dxa"/>
                  <w:vAlign w:val="center"/>
                </w:tcPr>
                <w:p w14:paraId="575FF1E2">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钻孔点位编号</w:t>
                  </w:r>
                </w:p>
              </w:tc>
              <w:tc>
                <w:tcPr>
                  <w:tcW w:w="1781" w:type="dxa"/>
                  <w:vAlign w:val="center"/>
                </w:tcPr>
                <w:p w14:paraId="21B752C3">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钻孔坐标</w:t>
                  </w:r>
                </w:p>
              </w:tc>
              <w:tc>
                <w:tcPr>
                  <w:tcW w:w="5786" w:type="dxa"/>
                  <w:vAlign w:val="center"/>
                </w:tcPr>
                <w:p w14:paraId="2350EC98">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现状</w:t>
                  </w:r>
                  <w:r>
                    <w:rPr>
                      <w:rFonts w:hint="eastAsia" w:ascii="Times New Roman" w:hAnsi="Times New Roman" w:eastAsia="宋体" w:cs="Times New Roman"/>
                      <w:b/>
                      <w:bCs/>
                      <w:color w:val="auto"/>
                      <w:sz w:val="21"/>
                      <w:szCs w:val="21"/>
                      <w:highlight w:val="none"/>
                    </w:rPr>
                    <w:t>图片</w:t>
                  </w:r>
                </w:p>
              </w:tc>
              <w:tc>
                <w:tcPr>
                  <w:tcW w:w="726" w:type="dxa"/>
                  <w:vAlign w:val="center"/>
                </w:tcPr>
                <w:p w14:paraId="1E171DF1">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占地类型</w:t>
                  </w:r>
                </w:p>
              </w:tc>
              <w:tc>
                <w:tcPr>
                  <w:tcW w:w="1169" w:type="dxa"/>
                  <w:vAlign w:val="center"/>
                </w:tcPr>
                <w:p w14:paraId="10147BBE">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井场占地面积（m</w:t>
                  </w:r>
                  <w:r>
                    <w:rPr>
                      <w:rFonts w:ascii="Times New Roman" w:hAnsi="Times New Roman" w:eastAsia="宋体" w:cs="Times New Roman"/>
                      <w:b/>
                      <w:bCs/>
                      <w:color w:val="auto"/>
                      <w:sz w:val="21"/>
                      <w:szCs w:val="21"/>
                      <w:highlight w:val="none"/>
                      <w:vertAlign w:val="superscript"/>
                    </w:rPr>
                    <w:t>2</w:t>
                  </w:r>
                  <w:r>
                    <w:rPr>
                      <w:rFonts w:ascii="Times New Roman" w:hAnsi="Times New Roman" w:eastAsia="宋体" w:cs="Times New Roman"/>
                      <w:b/>
                      <w:bCs/>
                      <w:color w:val="auto"/>
                      <w:sz w:val="21"/>
                      <w:szCs w:val="21"/>
                      <w:highlight w:val="none"/>
                    </w:rPr>
                    <w:t>）</w:t>
                  </w:r>
                </w:p>
              </w:tc>
              <w:tc>
                <w:tcPr>
                  <w:tcW w:w="1531" w:type="dxa"/>
                  <w:vAlign w:val="center"/>
                </w:tcPr>
                <w:p w14:paraId="708E42A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表土堆放区占地面积</w:t>
                  </w:r>
                  <w:r>
                    <w:rPr>
                      <w:rFonts w:ascii="Times New Roman" w:hAnsi="Times New Roman" w:eastAsia="宋体" w:cs="Times New Roman"/>
                      <w:b/>
                      <w:bCs/>
                      <w:color w:val="auto"/>
                      <w:sz w:val="21"/>
                      <w:szCs w:val="21"/>
                      <w:highlight w:val="none"/>
                    </w:rPr>
                    <w:t>（m</w:t>
                  </w:r>
                  <w:r>
                    <w:rPr>
                      <w:rFonts w:ascii="Times New Roman" w:hAnsi="Times New Roman" w:eastAsia="宋体" w:cs="Times New Roman"/>
                      <w:b/>
                      <w:bCs/>
                      <w:color w:val="auto"/>
                      <w:sz w:val="21"/>
                      <w:szCs w:val="21"/>
                      <w:highlight w:val="none"/>
                      <w:vertAlign w:val="superscript"/>
                    </w:rPr>
                    <w:t>2</w:t>
                  </w:r>
                  <w:r>
                    <w:rPr>
                      <w:rFonts w:ascii="Times New Roman" w:hAnsi="Times New Roman" w:eastAsia="宋体" w:cs="Times New Roman"/>
                      <w:b/>
                      <w:bCs/>
                      <w:color w:val="auto"/>
                      <w:sz w:val="21"/>
                      <w:szCs w:val="21"/>
                      <w:highlight w:val="none"/>
                    </w:rPr>
                    <w:t>）</w:t>
                  </w:r>
                </w:p>
              </w:tc>
              <w:tc>
                <w:tcPr>
                  <w:tcW w:w="1089" w:type="dxa"/>
                  <w:vAlign w:val="center"/>
                </w:tcPr>
                <w:p w14:paraId="59C6D579">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表土剥离量（m</w:t>
                  </w:r>
                  <w:r>
                    <w:rPr>
                      <w:rFonts w:ascii="Times New Roman" w:hAnsi="Times New Roman" w:eastAsia="宋体" w:cs="Times New Roman"/>
                      <w:b/>
                      <w:bCs/>
                      <w:color w:val="auto"/>
                      <w:sz w:val="21"/>
                      <w:szCs w:val="21"/>
                      <w:highlight w:val="none"/>
                      <w:vertAlign w:val="superscript"/>
                    </w:rPr>
                    <w:t>3</w:t>
                  </w:r>
                  <w:r>
                    <w:rPr>
                      <w:rFonts w:ascii="Times New Roman" w:hAnsi="Times New Roman" w:eastAsia="宋体" w:cs="Times New Roman"/>
                      <w:b/>
                      <w:bCs/>
                      <w:color w:val="auto"/>
                      <w:sz w:val="21"/>
                      <w:szCs w:val="21"/>
                      <w:highlight w:val="none"/>
                    </w:rPr>
                    <w:t>）</w:t>
                  </w:r>
                </w:p>
              </w:tc>
            </w:tr>
            <w:tr w14:paraId="210F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8" w:hRule="atLeast"/>
                <w:jc w:val="center"/>
              </w:trPr>
              <w:tc>
                <w:tcPr>
                  <w:tcW w:w="557" w:type="dxa"/>
                  <w:vAlign w:val="center"/>
                </w:tcPr>
                <w:p w14:paraId="6B28D52C">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p>
              </w:tc>
              <w:tc>
                <w:tcPr>
                  <w:tcW w:w="888" w:type="dxa"/>
                  <w:vAlign w:val="center"/>
                </w:tcPr>
                <w:p w14:paraId="1400EAA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DG1-1</w:t>
                  </w:r>
                </w:p>
              </w:tc>
              <w:tc>
                <w:tcPr>
                  <w:tcW w:w="1781" w:type="dxa"/>
                  <w:vAlign w:val="center"/>
                </w:tcPr>
                <w:p w14:paraId="69431067">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116度44分10.117秒，32度53分56.330秒</w:t>
                  </w:r>
                </w:p>
              </w:tc>
              <w:tc>
                <w:tcPr>
                  <w:tcW w:w="5786" w:type="dxa"/>
                  <w:vAlign w:val="center"/>
                </w:tcPr>
                <w:p w14:paraId="0288BF95">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442335" cy="2503805"/>
                        <wp:effectExtent l="0" t="0" r="12065" b="1079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1"/>
                                <a:stretch>
                                  <a:fillRect/>
                                </a:stretch>
                              </pic:blipFill>
                              <pic:spPr>
                                <a:xfrm>
                                  <a:off x="0" y="0"/>
                                  <a:ext cx="3442335" cy="2503805"/>
                                </a:xfrm>
                                <a:prstGeom prst="rect">
                                  <a:avLst/>
                                </a:prstGeom>
                                <a:noFill/>
                                <a:ln>
                                  <a:noFill/>
                                </a:ln>
                              </pic:spPr>
                            </pic:pic>
                          </a:graphicData>
                        </a:graphic>
                      </wp:inline>
                    </w:drawing>
                  </w:r>
                </w:p>
              </w:tc>
              <w:tc>
                <w:tcPr>
                  <w:tcW w:w="726" w:type="dxa"/>
                  <w:vAlign w:val="center"/>
                </w:tcPr>
                <w:p w14:paraId="0B6D7FDE">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42EEB956">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1500</w:t>
                  </w:r>
                </w:p>
              </w:tc>
              <w:tc>
                <w:tcPr>
                  <w:tcW w:w="1531" w:type="dxa"/>
                  <w:vAlign w:val="center"/>
                </w:tcPr>
                <w:p w14:paraId="7F7DD337">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224</w:t>
                  </w:r>
                </w:p>
              </w:tc>
              <w:tc>
                <w:tcPr>
                  <w:tcW w:w="1089" w:type="dxa"/>
                  <w:vAlign w:val="center"/>
                </w:tcPr>
                <w:p w14:paraId="394E9CCB">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319</w:t>
                  </w:r>
                </w:p>
              </w:tc>
            </w:tr>
            <w:tr w14:paraId="6F3F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9" w:hRule="atLeast"/>
                <w:jc w:val="center"/>
              </w:trPr>
              <w:tc>
                <w:tcPr>
                  <w:tcW w:w="557" w:type="dxa"/>
                  <w:vAlign w:val="center"/>
                </w:tcPr>
                <w:p w14:paraId="6D01657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p>
              </w:tc>
              <w:tc>
                <w:tcPr>
                  <w:tcW w:w="888" w:type="dxa"/>
                  <w:vAlign w:val="center"/>
                </w:tcPr>
                <w:p w14:paraId="162AC1F4">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DG1-2</w:t>
                  </w:r>
                </w:p>
              </w:tc>
              <w:tc>
                <w:tcPr>
                  <w:tcW w:w="1781" w:type="dxa"/>
                  <w:vAlign w:val="center"/>
                </w:tcPr>
                <w:p w14:paraId="3EBBE1DD">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116度44分09.980秒，32度53分52.153秒</w:t>
                  </w:r>
                </w:p>
              </w:tc>
              <w:tc>
                <w:tcPr>
                  <w:tcW w:w="5786" w:type="dxa"/>
                  <w:vAlign w:val="center"/>
                </w:tcPr>
                <w:p w14:paraId="4C32014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274695" cy="2370455"/>
                        <wp:effectExtent l="0" t="0" r="1905" b="444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2"/>
                                <a:stretch>
                                  <a:fillRect/>
                                </a:stretch>
                              </pic:blipFill>
                              <pic:spPr>
                                <a:xfrm>
                                  <a:off x="0" y="0"/>
                                  <a:ext cx="3274695" cy="2370455"/>
                                </a:xfrm>
                                <a:prstGeom prst="rect">
                                  <a:avLst/>
                                </a:prstGeom>
                                <a:noFill/>
                                <a:ln>
                                  <a:noFill/>
                                </a:ln>
                              </pic:spPr>
                            </pic:pic>
                          </a:graphicData>
                        </a:graphic>
                      </wp:inline>
                    </w:drawing>
                  </w:r>
                </w:p>
              </w:tc>
              <w:tc>
                <w:tcPr>
                  <w:tcW w:w="726" w:type="dxa"/>
                  <w:vAlign w:val="center"/>
                </w:tcPr>
                <w:p w14:paraId="2BA52D7F">
                  <w:pPr>
                    <w:keepNext w:val="0"/>
                    <w:keepLines w:val="0"/>
                    <w:pageBreakBefore w:val="0"/>
                    <w:kinsoku/>
                    <w:wordWrap/>
                    <w:overflowPunct/>
                    <w:topLinePunct w:val="0"/>
                    <w:autoSpaceDE/>
                    <w:autoSpaceDN/>
                    <w:bidi w:val="0"/>
                    <w:spacing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7B01E5E1">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1472</w:t>
                  </w:r>
                </w:p>
              </w:tc>
              <w:tc>
                <w:tcPr>
                  <w:tcW w:w="1531" w:type="dxa"/>
                  <w:vAlign w:val="center"/>
                </w:tcPr>
                <w:p w14:paraId="4A87310C">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270</w:t>
                  </w:r>
                </w:p>
              </w:tc>
              <w:tc>
                <w:tcPr>
                  <w:tcW w:w="1089" w:type="dxa"/>
                  <w:vAlign w:val="center"/>
                </w:tcPr>
                <w:p w14:paraId="00813F94">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301</w:t>
                  </w:r>
                </w:p>
              </w:tc>
            </w:tr>
            <w:tr w14:paraId="0DAC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7F83BFAF">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w:t>
                  </w:r>
                </w:p>
              </w:tc>
              <w:tc>
                <w:tcPr>
                  <w:tcW w:w="888" w:type="dxa"/>
                  <w:vAlign w:val="center"/>
                </w:tcPr>
                <w:p w14:paraId="07D3B1A6">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DG1-3</w:t>
                  </w:r>
                </w:p>
              </w:tc>
              <w:tc>
                <w:tcPr>
                  <w:tcW w:w="1781" w:type="dxa"/>
                  <w:vAlign w:val="center"/>
                </w:tcPr>
                <w:p w14:paraId="698E90FF">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t>116度44分09.303秒，32度53分47.483秒</w:t>
                  </w:r>
                </w:p>
              </w:tc>
              <w:tc>
                <w:tcPr>
                  <w:tcW w:w="5786" w:type="dxa"/>
                  <w:vAlign w:val="center"/>
                </w:tcPr>
                <w:p w14:paraId="782157B3">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357880" cy="2316480"/>
                        <wp:effectExtent l="0" t="0" r="7620" b="762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3"/>
                                <a:stretch>
                                  <a:fillRect/>
                                </a:stretch>
                              </pic:blipFill>
                              <pic:spPr>
                                <a:xfrm>
                                  <a:off x="0" y="0"/>
                                  <a:ext cx="3357880" cy="2316480"/>
                                </a:xfrm>
                                <a:prstGeom prst="rect">
                                  <a:avLst/>
                                </a:prstGeom>
                                <a:noFill/>
                                <a:ln>
                                  <a:noFill/>
                                </a:ln>
                              </pic:spPr>
                            </pic:pic>
                          </a:graphicData>
                        </a:graphic>
                      </wp:inline>
                    </w:drawing>
                  </w:r>
                </w:p>
              </w:tc>
              <w:tc>
                <w:tcPr>
                  <w:tcW w:w="726" w:type="dxa"/>
                  <w:vAlign w:val="center"/>
                </w:tcPr>
                <w:p w14:paraId="1142BB81">
                  <w:pPr>
                    <w:keepNext w:val="0"/>
                    <w:keepLines w:val="0"/>
                    <w:pageBreakBefore w:val="0"/>
                    <w:kinsoku/>
                    <w:wordWrap/>
                    <w:overflowPunct/>
                    <w:topLinePunct w:val="0"/>
                    <w:autoSpaceDE/>
                    <w:autoSpaceDN/>
                    <w:bidi w:val="0"/>
                    <w:spacing w:after="0" w:line="240" w:lineRule="auto"/>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6FABA6A2">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1483</w:t>
                  </w:r>
                </w:p>
              </w:tc>
              <w:tc>
                <w:tcPr>
                  <w:tcW w:w="1531" w:type="dxa"/>
                  <w:vAlign w:val="center"/>
                </w:tcPr>
                <w:p w14:paraId="3D136670">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240</w:t>
                  </w:r>
                </w:p>
              </w:tc>
              <w:tc>
                <w:tcPr>
                  <w:tcW w:w="1089" w:type="dxa"/>
                  <w:vAlign w:val="center"/>
                </w:tcPr>
                <w:p w14:paraId="7C8ECECE">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311</w:t>
                  </w:r>
                </w:p>
              </w:tc>
            </w:tr>
            <w:tr w14:paraId="4BBD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093F2F63">
                  <w:pPr>
                    <w:pStyle w:val="37"/>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888" w:type="dxa"/>
                  <w:vAlign w:val="center"/>
                </w:tcPr>
                <w:p w14:paraId="6EDE7562">
                  <w:pPr>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4</w:t>
                  </w:r>
                </w:p>
              </w:tc>
              <w:tc>
                <w:tcPr>
                  <w:tcW w:w="1781" w:type="dxa"/>
                  <w:vAlign w:val="center"/>
                </w:tcPr>
                <w:p w14:paraId="7A06040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116度44分08.771秒，116度44分08.771秒</w:t>
                  </w:r>
                </w:p>
                <w:p w14:paraId="4103AAE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5F58C3A8">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6315" cy="2537460"/>
                        <wp:effectExtent l="0" t="0" r="6985" b="254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4"/>
                                <a:stretch>
                                  <a:fillRect/>
                                </a:stretch>
                              </pic:blipFill>
                              <pic:spPr>
                                <a:xfrm>
                                  <a:off x="0" y="0"/>
                                  <a:ext cx="3536315" cy="2537460"/>
                                </a:xfrm>
                                <a:prstGeom prst="rect">
                                  <a:avLst/>
                                </a:prstGeom>
                                <a:noFill/>
                                <a:ln>
                                  <a:noFill/>
                                </a:ln>
                              </pic:spPr>
                            </pic:pic>
                          </a:graphicData>
                        </a:graphic>
                      </wp:inline>
                    </w:drawing>
                  </w:r>
                </w:p>
              </w:tc>
              <w:tc>
                <w:tcPr>
                  <w:tcW w:w="726" w:type="dxa"/>
                  <w:vAlign w:val="center"/>
                </w:tcPr>
                <w:p w14:paraId="58F2D7F6">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3707CD18">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1450</w:t>
                  </w:r>
                </w:p>
              </w:tc>
              <w:tc>
                <w:tcPr>
                  <w:tcW w:w="1531" w:type="dxa"/>
                  <w:vAlign w:val="center"/>
                </w:tcPr>
                <w:p w14:paraId="7B67B8F6">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255</w:t>
                  </w:r>
                </w:p>
              </w:tc>
              <w:tc>
                <w:tcPr>
                  <w:tcW w:w="1089" w:type="dxa"/>
                  <w:vAlign w:val="center"/>
                </w:tcPr>
                <w:p w14:paraId="13C87219">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299</w:t>
                  </w:r>
                </w:p>
              </w:tc>
            </w:tr>
            <w:tr w14:paraId="4725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5F0FCBCF">
                  <w:pPr>
                    <w:pStyle w:val="37"/>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888" w:type="dxa"/>
                  <w:vAlign w:val="center"/>
                </w:tcPr>
                <w:p w14:paraId="5C1D4C25">
                  <w:pPr>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5</w:t>
                  </w:r>
                </w:p>
              </w:tc>
              <w:tc>
                <w:tcPr>
                  <w:tcW w:w="1781" w:type="dxa"/>
                  <w:vAlign w:val="center"/>
                </w:tcPr>
                <w:p w14:paraId="1717141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t>116度44分07.938秒，32度53分39.077秒</w:t>
                  </w:r>
                </w:p>
              </w:tc>
              <w:tc>
                <w:tcPr>
                  <w:tcW w:w="5786" w:type="dxa"/>
                  <w:vAlign w:val="center"/>
                </w:tcPr>
                <w:p w14:paraId="7BE468D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29965" cy="2575560"/>
                        <wp:effectExtent l="0" t="0" r="635" b="254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5"/>
                                <a:stretch>
                                  <a:fillRect/>
                                </a:stretch>
                              </pic:blipFill>
                              <pic:spPr>
                                <a:xfrm>
                                  <a:off x="0" y="0"/>
                                  <a:ext cx="3529965" cy="2575560"/>
                                </a:xfrm>
                                <a:prstGeom prst="rect">
                                  <a:avLst/>
                                </a:prstGeom>
                                <a:noFill/>
                                <a:ln>
                                  <a:noFill/>
                                </a:ln>
                              </pic:spPr>
                            </pic:pic>
                          </a:graphicData>
                        </a:graphic>
                      </wp:inline>
                    </w:drawing>
                  </w:r>
                </w:p>
              </w:tc>
              <w:tc>
                <w:tcPr>
                  <w:tcW w:w="726" w:type="dxa"/>
                  <w:vAlign w:val="center"/>
                </w:tcPr>
                <w:p w14:paraId="23B4BEF0">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4B60D7AB">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1508</w:t>
                  </w:r>
                </w:p>
              </w:tc>
              <w:tc>
                <w:tcPr>
                  <w:tcW w:w="1531" w:type="dxa"/>
                  <w:vAlign w:val="center"/>
                </w:tcPr>
                <w:p w14:paraId="6713309D">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304</w:t>
                  </w:r>
                </w:p>
              </w:tc>
              <w:tc>
                <w:tcPr>
                  <w:tcW w:w="1089" w:type="dxa"/>
                  <w:vAlign w:val="center"/>
                </w:tcPr>
                <w:p w14:paraId="715DA065">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301</w:t>
                  </w:r>
                </w:p>
              </w:tc>
            </w:tr>
            <w:tr w14:paraId="6CA2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27DAF272">
                  <w:pPr>
                    <w:pStyle w:val="37"/>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888" w:type="dxa"/>
                  <w:vAlign w:val="center"/>
                </w:tcPr>
                <w:p w14:paraId="0CD403A4">
                  <w:pPr>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6</w:t>
                  </w:r>
                </w:p>
              </w:tc>
              <w:tc>
                <w:tcPr>
                  <w:tcW w:w="1781" w:type="dxa"/>
                  <w:vAlign w:val="center"/>
                </w:tcPr>
                <w:p w14:paraId="51A5BF04">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116度44分07.532秒，32度53分33.362秒</w:t>
                  </w:r>
                </w:p>
                <w:p w14:paraId="60C0D103">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739E14B6">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1870" cy="2592070"/>
                        <wp:effectExtent l="0" t="0" r="11430" b="1143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6"/>
                                <a:stretch>
                                  <a:fillRect/>
                                </a:stretch>
                              </pic:blipFill>
                              <pic:spPr>
                                <a:xfrm>
                                  <a:off x="0" y="0"/>
                                  <a:ext cx="3531870" cy="2592070"/>
                                </a:xfrm>
                                <a:prstGeom prst="rect">
                                  <a:avLst/>
                                </a:prstGeom>
                                <a:noFill/>
                                <a:ln>
                                  <a:noFill/>
                                </a:ln>
                              </pic:spPr>
                            </pic:pic>
                          </a:graphicData>
                        </a:graphic>
                      </wp:inline>
                    </w:drawing>
                  </w:r>
                </w:p>
              </w:tc>
              <w:tc>
                <w:tcPr>
                  <w:tcW w:w="726" w:type="dxa"/>
                  <w:vAlign w:val="center"/>
                </w:tcPr>
                <w:p w14:paraId="17633434">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124F3393">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1484</w:t>
                  </w:r>
                </w:p>
              </w:tc>
              <w:tc>
                <w:tcPr>
                  <w:tcW w:w="1531" w:type="dxa"/>
                  <w:vAlign w:val="center"/>
                </w:tcPr>
                <w:p w14:paraId="24F3720C">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272</w:t>
                  </w:r>
                </w:p>
              </w:tc>
              <w:tc>
                <w:tcPr>
                  <w:tcW w:w="1089" w:type="dxa"/>
                  <w:vAlign w:val="center"/>
                </w:tcPr>
                <w:p w14:paraId="2DF8763A">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303</w:t>
                  </w:r>
                </w:p>
              </w:tc>
            </w:tr>
            <w:tr w14:paraId="3385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3322AA3C">
                  <w:pPr>
                    <w:pStyle w:val="37"/>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w:t>
                  </w:r>
                </w:p>
              </w:tc>
              <w:tc>
                <w:tcPr>
                  <w:tcW w:w="888" w:type="dxa"/>
                  <w:vAlign w:val="center"/>
                </w:tcPr>
                <w:p w14:paraId="51C5CE96">
                  <w:pPr>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7</w:t>
                  </w:r>
                </w:p>
              </w:tc>
              <w:tc>
                <w:tcPr>
                  <w:tcW w:w="1781" w:type="dxa"/>
                  <w:vAlign w:val="center"/>
                </w:tcPr>
                <w:p w14:paraId="0DD7B43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116度44分12.067秒，32度53分30.834秒</w:t>
                  </w:r>
                </w:p>
                <w:p w14:paraId="6862CD56">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406BAC82">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3140" cy="2345055"/>
                        <wp:effectExtent l="0" t="0" r="10160" b="4445"/>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17"/>
                                <a:stretch>
                                  <a:fillRect/>
                                </a:stretch>
                              </pic:blipFill>
                              <pic:spPr>
                                <a:xfrm>
                                  <a:off x="0" y="0"/>
                                  <a:ext cx="3533140" cy="2345055"/>
                                </a:xfrm>
                                <a:prstGeom prst="rect">
                                  <a:avLst/>
                                </a:prstGeom>
                                <a:noFill/>
                                <a:ln>
                                  <a:noFill/>
                                </a:ln>
                              </pic:spPr>
                            </pic:pic>
                          </a:graphicData>
                        </a:graphic>
                      </wp:inline>
                    </w:drawing>
                  </w:r>
                </w:p>
              </w:tc>
              <w:tc>
                <w:tcPr>
                  <w:tcW w:w="726" w:type="dxa"/>
                  <w:vAlign w:val="center"/>
                </w:tcPr>
                <w:p w14:paraId="3AC85E4D">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44C285E8">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1358</w:t>
                  </w:r>
                </w:p>
              </w:tc>
              <w:tc>
                <w:tcPr>
                  <w:tcW w:w="1531" w:type="dxa"/>
                  <w:vAlign w:val="center"/>
                </w:tcPr>
                <w:p w14:paraId="4B91541E">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210</w:t>
                  </w:r>
                </w:p>
              </w:tc>
              <w:tc>
                <w:tcPr>
                  <w:tcW w:w="1089" w:type="dxa"/>
                  <w:vAlign w:val="center"/>
                </w:tcPr>
                <w:p w14:paraId="36165068">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287</w:t>
                  </w:r>
                </w:p>
              </w:tc>
            </w:tr>
            <w:tr w14:paraId="332B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6249104A">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888" w:type="dxa"/>
                  <w:vAlign w:val="center"/>
                </w:tcPr>
                <w:p w14:paraId="68042E4B">
                  <w:pPr>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8</w:t>
                  </w:r>
                </w:p>
              </w:tc>
              <w:tc>
                <w:tcPr>
                  <w:tcW w:w="1781" w:type="dxa"/>
                  <w:vAlign w:val="center"/>
                </w:tcPr>
                <w:p w14:paraId="0D1074B1">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116度44分15.166秒，32度53分33.767秒</w:t>
                  </w:r>
                </w:p>
                <w:p w14:paraId="61F1009E">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631EA521">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1235" cy="2363470"/>
                        <wp:effectExtent l="0" t="0" r="12065" b="11430"/>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18"/>
                                <a:stretch>
                                  <a:fillRect/>
                                </a:stretch>
                              </pic:blipFill>
                              <pic:spPr>
                                <a:xfrm>
                                  <a:off x="0" y="0"/>
                                  <a:ext cx="3531235" cy="2363470"/>
                                </a:xfrm>
                                <a:prstGeom prst="rect">
                                  <a:avLst/>
                                </a:prstGeom>
                                <a:noFill/>
                                <a:ln>
                                  <a:noFill/>
                                </a:ln>
                              </pic:spPr>
                            </pic:pic>
                          </a:graphicData>
                        </a:graphic>
                      </wp:inline>
                    </w:drawing>
                  </w:r>
                </w:p>
              </w:tc>
              <w:tc>
                <w:tcPr>
                  <w:tcW w:w="726" w:type="dxa"/>
                  <w:vAlign w:val="center"/>
                </w:tcPr>
                <w:p w14:paraId="323B3D72">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663518A4">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1498</w:t>
                  </w:r>
                </w:p>
              </w:tc>
              <w:tc>
                <w:tcPr>
                  <w:tcW w:w="1531" w:type="dxa"/>
                  <w:vAlign w:val="center"/>
                </w:tcPr>
                <w:p w14:paraId="3349DB9F">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304</w:t>
                  </w:r>
                </w:p>
              </w:tc>
              <w:tc>
                <w:tcPr>
                  <w:tcW w:w="1089" w:type="dxa"/>
                  <w:vAlign w:val="center"/>
                </w:tcPr>
                <w:p w14:paraId="5CAF9283">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299</w:t>
                  </w:r>
                </w:p>
              </w:tc>
            </w:tr>
            <w:tr w14:paraId="514F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21228D35">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p>
              </w:tc>
              <w:tc>
                <w:tcPr>
                  <w:tcW w:w="888" w:type="dxa"/>
                  <w:vAlign w:val="center"/>
                </w:tcPr>
                <w:p w14:paraId="11CE02D9">
                  <w:pPr>
                    <w:keepNext w:val="0"/>
                    <w:keepLines w:val="0"/>
                    <w:pageBreakBefore w:val="0"/>
                    <w:kinsoku/>
                    <w:wordWrap/>
                    <w:overflowPunct/>
                    <w:topLinePunct w:val="0"/>
                    <w:autoSpaceDE/>
                    <w:autoSpaceDN/>
                    <w:bidi w:val="0"/>
                    <w:spacing w:before="0"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9</w:t>
                  </w:r>
                </w:p>
              </w:tc>
              <w:tc>
                <w:tcPr>
                  <w:tcW w:w="1781" w:type="dxa"/>
                  <w:vAlign w:val="center"/>
                </w:tcPr>
                <w:p w14:paraId="50830CC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116度44分15.965秒，32度53分40.002秒</w:t>
                  </w:r>
                </w:p>
                <w:p w14:paraId="579A9E4C">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3A25E146">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5680" cy="2519045"/>
                        <wp:effectExtent l="0" t="0" r="7620" b="8255"/>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19"/>
                                <a:stretch>
                                  <a:fillRect/>
                                </a:stretch>
                              </pic:blipFill>
                              <pic:spPr>
                                <a:xfrm>
                                  <a:off x="0" y="0"/>
                                  <a:ext cx="3535680" cy="2519045"/>
                                </a:xfrm>
                                <a:prstGeom prst="rect">
                                  <a:avLst/>
                                </a:prstGeom>
                                <a:noFill/>
                                <a:ln>
                                  <a:noFill/>
                                </a:ln>
                              </pic:spPr>
                            </pic:pic>
                          </a:graphicData>
                        </a:graphic>
                      </wp:inline>
                    </w:drawing>
                  </w:r>
                </w:p>
              </w:tc>
              <w:tc>
                <w:tcPr>
                  <w:tcW w:w="726" w:type="dxa"/>
                  <w:vAlign w:val="center"/>
                </w:tcPr>
                <w:p w14:paraId="6608B681">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29F28CC2">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1500</w:t>
                  </w:r>
                </w:p>
              </w:tc>
              <w:tc>
                <w:tcPr>
                  <w:tcW w:w="1531" w:type="dxa"/>
                  <w:vAlign w:val="center"/>
                </w:tcPr>
                <w:p w14:paraId="6450836E">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220</w:t>
                  </w:r>
                </w:p>
              </w:tc>
              <w:tc>
                <w:tcPr>
                  <w:tcW w:w="1089" w:type="dxa"/>
                  <w:vAlign w:val="center"/>
                </w:tcPr>
                <w:p w14:paraId="3DAAE786">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320</w:t>
                  </w:r>
                </w:p>
              </w:tc>
            </w:tr>
            <w:tr w14:paraId="276E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339DC2D9">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888" w:type="dxa"/>
                  <w:vAlign w:val="center"/>
                </w:tcPr>
                <w:p w14:paraId="70735BC8">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10</w:t>
                  </w:r>
                </w:p>
              </w:tc>
              <w:tc>
                <w:tcPr>
                  <w:tcW w:w="1781" w:type="dxa"/>
                  <w:vAlign w:val="center"/>
                </w:tcPr>
                <w:p w14:paraId="49F2CDA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116度44分16.791秒，32度53分45.331秒</w:t>
                  </w:r>
                </w:p>
                <w:p w14:paraId="4BA1ABE9">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69D22BF5">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29965" cy="2412365"/>
                        <wp:effectExtent l="0" t="0" r="635" b="635"/>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20"/>
                                <a:stretch>
                                  <a:fillRect/>
                                </a:stretch>
                              </pic:blipFill>
                              <pic:spPr>
                                <a:xfrm>
                                  <a:off x="0" y="0"/>
                                  <a:ext cx="3529965" cy="2412365"/>
                                </a:xfrm>
                                <a:prstGeom prst="rect">
                                  <a:avLst/>
                                </a:prstGeom>
                                <a:noFill/>
                                <a:ln>
                                  <a:noFill/>
                                </a:ln>
                              </pic:spPr>
                            </pic:pic>
                          </a:graphicData>
                        </a:graphic>
                      </wp:inline>
                    </w:drawing>
                  </w:r>
                </w:p>
              </w:tc>
              <w:tc>
                <w:tcPr>
                  <w:tcW w:w="726" w:type="dxa"/>
                  <w:vAlign w:val="center"/>
                </w:tcPr>
                <w:p w14:paraId="317118A4">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77516874">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1450</w:t>
                  </w:r>
                </w:p>
              </w:tc>
              <w:tc>
                <w:tcPr>
                  <w:tcW w:w="1531" w:type="dxa"/>
                  <w:vAlign w:val="center"/>
                </w:tcPr>
                <w:p w14:paraId="26009B9E">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275</w:t>
                  </w:r>
                </w:p>
              </w:tc>
              <w:tc>
                <w:tcPr>
                  <w:tcW w:w="1089" w:type="dxa"/>
                  <w:vAlign w:val="center"/>
                </w:tcPr>
                <w:p w14:paraId="312B1D17">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294</w:t>
                  </w:r>
                </w:p>
              </w:tc>
            </w:tr>
            <w:tr w14:paraId="7587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5AA60B06">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w:t>
                  </w:r>
                </w:p>
              </w:tc>
              <w:tc>
                <w:tcPr>
                  <w:tcW w:w="888" w:type="dxa"/>
                  <w:vAlign w:val="center"/>
                </w:tcPr>
                <w:p w14:paraId="3EF292BB">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11</w:t>
                  </w:r>
                </w:p>
              </w:tc>
              <w:tc>
                <w:tcPr>
                  <w:tcW w:w="1781" w:type="dxa"/>
                  <w:vAlign w:val="center"/>
                </w:tcPr>
                <w:p w14:paraId="1E3DA9D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116度44分17.329秒，32度53分49.071秒</w:t>
                  </w:r>
                </w:p>
                <w:p w14:paraId="351B6230">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34074F71">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6315" cy="2319655"/>
                        <wp:effectExtent l="0" t="0" r="6985" b="4445"/>
                        <wp:docPr id="3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6"/>
                                <pic:cNvPicPr>
                                  <a:picLocks noChangeAspect="1"/>
                                </pic:cNvPicPr>
                              </pic:nvPicPr>
                              <pic:blipFill>
                                <a:blip r:embed="rId21"/>
                                <a:stretch>
                                  <a:fillRect/>
                                </a:stretch>
                              </pic:blipFill>
                              <pic:spPr>
                                <a:xfrm>
                                  <a:off x="0" y="0"/>
                                  <a:ext cx="3536315" cy="2319655"/>
                                </a:xfrm>
                                <a:prstGeom prst="rect">
                                  <a:avLst/>
                                </a:prstGeom>
                                <a:noFill/>
                                <a:ln>
                                  <a:noFill/>
                                </a:ln>
                              </pic:spPr>
                            </pic:pic>
                          </a:graphicData>
                        </a:graphic>
                      </wp:inline>
                    </w:drawing>
                  </w:r>
                </w:p>
              </w:tc>
              <w:tc>
                <w:tcPr>
                  <w:tcW w:w="726" w:type="dxa"/>
                  <w:vAlign w:val="center"/>
                </w:tcPr>
                <w:p w14:paraId="3417DF63">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71D1D5C4">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1450</w:t>
                  </w:r>
                </w:p>
              </w:tc>
              <w:tc>
                <w:tcPr>
                  <w:tcW w:w="1531" w:type="dxa"/>
                  <w:vAlign w:val="center"/>
                </w:tcPr>
                <w:p w14:paraId="34A84371">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275</w:t>
                  </w:r>
                </w:p>
              </w:tc>
              <w:tc>
                <w:tcPr>
                  <w:tcW w:w="1089" w:type="dxa"/>
                  <w:vAlign w:val="center"/>
                </w:tcPr>
                <w:p w14:paraId="0AC08422">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294</w:t>
                  </w:r>
                </w:p>
              </w:tc>
            </w:tr>
            <w:tr w14:paraId="698B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3EB2C5F6">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w:t>
                  </w:r>
                </w:p>
              </w:tc>
              <w:tc>
                <w:tcPr>
                  <w:tcW w:w="888" w:type="dxa"/>
                  <w:vAlign w:val="center"/>
                </w:tcPr>
                <w:p w14:paraId="7E743A8B">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12</w:t>
                  </w:r>
                </w:p>
              </w:tc>
              <w:tc>
                <w:tcPr>
                  <w:tcW w:w="1781" w:type="dxa"/>
                  <w:vAlign w:val="center"/>
                </w:tcPr>
                <w:p w14:paraId="6DED99F6">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116度44分18.321秒，32度53分55.938秒</w:t>
                  </w:r>
                </w:p>
                <w:p w14:paraId="3E3A3C6A">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6387111A">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4410" cy="2341880"/>
                        <wp:effectExtent l="0" t="0" r="8890" b="7620"/>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22"/>
                                <a:stretch>
                                  <a:fillRect/>
                                </a:stretch>
                              </pic:blipFill>
                              <pic:spPr>
                                <a:xfrm>
                                  <a:off x="0" y="0"/>
                                  <a:ext cx="3534410" cy="2341880"/>
                                </a:xfrm>
                                <a:prstGeom prst="rect">
                                  <a:avLst/>
                                </a:prstGeom>
                                <a:noFill/>
                                <a:ln>
                                  <a:noFill/>
                                </a:ln>
                              </pic:spPr>
                            </pic:pic>
                          </a:graphicData>
                        </a:graphic>
                      </wp:inline>
                    </w:drawing>
                  </w:r>
                </w:p>
              </w:tc>
              <w:tc>
                <w:tcPr>
                  <w:tcW w:w="726" w:type="dxa"/>
                  <w:vAlign w:val="center"/>
                </w:tcPr>
                <w:p w14:paraId="34AF0B6A">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42A94B64">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1450</w:t>
                  </w:r>
                </w:p>
              </w:tc>
              <w:tc>
                <w:tcPr>
                  <w:tcW w:w="1531" w:type="dxa"/>
                  <w:vAlign w:val="center"/>
                </w:tcPr>
                <w:p w14:paraId="6FF12D97">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240</w:t>
                  </w:r>
                </w:p>
              </w:tc>
              <w:tc>
                <w:tcPr>
                  <w:tcW w:w="1089" w:type="dxa"/>
                  <w:vAlign w:val="center"/>
                </w:tcPr>
                <w:p w14:paraId="37512B4F">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303</w:t>
                  </w:r>
                </w:p>
              </w:tc>
            </w:tr>
            <w:tr w14:paraId="6F78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7726B569">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w:t>
                  </w:r>
                </w:p>
              </w:tc>
              <w:tc>
                <w:tcPr>
                  <w:tcW w:w="888" w:type="dxa"/>
                  <w:vAlign w:val="center"/>
                </w:tcPr>
                <w:p w14:paraId="1D356214">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13</w:t>
                  </w:r>
                </w:p>
              </w:tc>
              <w:tc>
                <w:tcPr>
                  <w:tcW w:w="1781" w:type="dxa"/>
                  <w:vAlign w:val="center"/>
                </w:tcPr>
                <w:p w14:paraId="2A6E7B64">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t>116度44分18.736秒，32度53分58.814秒</w:t>
                  </w:r>
                </w:p>
              </w:tc>
              <w:tc>
                <w:tcPr>
                  <w:tcW w:w="5786" w:type="dxa"/>
                  <w:vAlign w:val="center"/>
                </w:tcPr>
                <w:p w14:paraId="20A201F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4410" cy="2386330"/>
                        <wp:effectExtent l="0" t="0" r="8890" b="1270"/>
                        <wp:docPr id="3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8"/>
                                <pic:cNvPicPr>
                                  <a:picLocks noChangeAspect="1"/>
                                </pic:cNvPicPr>
                              </pic:nvPicPr>
                              <pic:blipFill>
                                <a:blip r:embed="rId23"/>
                                <a:stretch>
                                  <a:fillRect/>
                                </a:stretch>
                              </pic:blipFill>
                              <pic:spPr>
                                <a:xfrm>
                                  <a:off x="0" y="0"/>
                                  <a:ext cx="3534410" cy="2386330"/>
                                </a:xfrm>
                                <a:prstGeom prst="rect">
                                  <a:avLst/>
                                </a:prstGeom>
                                <a:noFill/>
                                <a:ln>
                                  <a:noFill/>
                                </a:ln>
                              </pic:spPr>
                            </pic:pic>
                          </a:graphicData>
                        </a:graphic>
                      </wp:inline>
                    </w:drawing>
                  </w:r>
                </w:p>
              </w:tc>
              <w:tc>
                <w:tcPr>
                  <w:tcW w:w="726" w:type="dxa"/>
                  <w:vAlign w:val="center"/>
                </w:tcPr>
                <w:p w14:paraId="6CA65B90">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37E26363">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1516</w:t>
                  </w:r>
                </w:p>
              </w:tc>
              <w:tc>
                <w:tcPr>
                  <w:tcW w:w="1531" w:type="dxa"/>
                  <w:vAlign w:val="center"/>
                </w:tcPr>
                <w:p w14:paraId="2D10458B">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242</w:t>
                  </w:r>
                </w:p>
              </w:tc>
              <w:tc>
                <w:tcPr>
                  <w:tcW w:w="1089" w:type="dxa"/>
                  <w:vAlign w:val="center"/>
                </w:tcPr>
                <w:p w14:paraId="5BA83EEF">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319</w:t>
                  </w:r>
                </w:p>
              </w:tc>
            </w:tr>
            <w:tr w14:paraId="013F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4DC91001">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888" w:type="dxa"/>
                  <w:vAlign w:val="center"/>
                </w:tcPr>
                <w:p w14:paraId="36349600">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14</w:t>
                  </w:r>
                </w:p>
              </w:tc>
              <w:tc>
                <w:tcPr>
                  <w:tcW w:w="1781" w:type="dxa"/>
                  <w:vAlign w:val="center"/>
                </w:tcPr>
                <w:p w14:paraId="015716F1">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116度44分19.401秒，32度54分01.376秒</w:t>
                  </w:r>
                </w:p>
                <w:p w14:paraId="78815A1C">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7D893509">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1235" cy="2644140"/>
                        <wp:effectExtent l="0" t="0" r="12065" b="10160"/>
                        <wp:docPr id="3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9"/>
                                <pic:cNvPicPr>
                                  <a:picLocks noChangeAspect="1"/>
                                </pic:cNvPicPr>
                              </pic:nvPicPr>
                              <pic:blipFill>
                                <a:blip r:embed="rId24"/>
                                <a:stretch>
                                  <a:fillRect/>
                                </a:stretch>
                              </pic:blipFill>
                              <pic:spPr>
                                <a:xfrm>
                                  <a:off x="0" y="0"/>
                                  <a:ext cx="3531235" cy="2644140"/>
                                </a:xfrm>
                                <a:prstGeom prst="rect">
                                  <a:avLst/>
                                </a:prstGeom>
                                <a:noFill/>
                                <a:ln>
                                  <a:noFill/>
                                </a:ln>
                              </pic:spPr>
                            </pic:pic>
                          </a:graphicData>
                        </a:graphic>
                      </wp:inline>
                    </w:drawing>
                  </w:r>
                </w:p>
              </w:tc>
              <w:tc>
                <w:tcPr>
                  <w:tcW w:w="726" w:type="dxa"/>
                  <w:vAlign w:val="center"/>
                </w:tcPr>
                <w:p w14:paraId="25546998">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095E9F5D">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1499</w:t>
                  </w:r>
                </w:p>
              </w:tc>
              <w:tc>
                <w:tcPr>
                  <w:tcW w:w="1531" w:type="dxa"/>
                  <w:vAlign w:val="center"/>
                </w:tcPr>
                <w:p w14:paraId="35B4E92B">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252</w:t>
                  </w:r>
                </w:p>
              </w:tc>
              <w:tc>
                <w:tcPr>
                  <w:tcW w:w="1089" w:type="dxa"/>
                  <w:vAlign w:val="center"/>
                </w:tcPr>
                <w:p w14:paraId="671D4026">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312</w:t>
                  </w:r>
                </w:p>
              </w:tc>
            </w:tr>
            <w:tr w14:paraId="7879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3716A59E">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888" w:type="dxa"/>
                  <w:vAlign w:val="center"/>
                </w:tcPr>
                <w:p w14:paraId="126BB68D">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15</w:t>
                  </w:r>
                </w:p>
              </w:tc>
              <w:tc>
                <w:tcPr>
                  <w:tcW w:w="1781" w:type="dxa"/>
                  <w:vAlign w:val="center"/>
                </w:tcPr>
                <w:p w14:paraId="482AF4BA">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t>116度43分42.627秒，32度53分52.489秒</w:t>
                  </w:r>
                </w:p>
              </w:tc>
              <w:tc>
                <w:tcPr>
                  <w:tcW w:w="5786" w:type="dxa"/>
                  <w:vAlign w:val="center"/>
                </w:tcPr>
                <w:p w14:paraId="151AB6E5">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1870" cy="2511425"/>
                        <wp:effectExtent l="0" t="0" r="11430" b="3175"/>
                        <wp:docPr id="3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pic:cNvPicPr>
                                  <a:picLocks noChangeAspect="1"/>
                                </pic:cNvPicPr>
                              </pic:nvPicPr>
                              <pic:blipFill>
                                <a:blip r:embed="rId25"/>
                                <a:stretch>
                                  <a:fillRect/>
                                </a:stretch>
                              </pic:blipFill>
                              <pic:spPr>
                                <a:xfrm>
                                  <a:off x="0" y="0"/>
                                  <a:ext cx="3531870" cy="2511425"/>
                                </a:xfrm>
                                <a:prstGeom prst="rect">
                                  <a:avLst/>
                                </a:prstGeom>
                                <a:noFill/>
                                <a:ln>
                                  <a:noFill/>
                                </a:ln>
                              </pic:spPr>
                            </pic:pic>
                          </a:graphicData>
                        </a:graphic>
                      </wp:inline>
                    </w:drawing>
                  </w:r>
                </w:p>
              </w:tc>
              <w:tc>
                <w:tcPr>
                  <w:tcW w:w="726" w:type="dxa"/>
                  <w:vAlign w:val="center"/>
                </w:tcPr>
                <w:p w14:paraId="61E88E0F">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63C5BC21">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1477</w:t>
                  </w:r>
                </w:p>
              </w:tc>
              <w:tc>
                <w:tcPr>
                  <w:tcW w:w="1531" w:type="dxa"/>
                  <w:vAlign w:val="center"/>
                </w:tcPr>
                <w:p w14:paraId="5EC9A8A2">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238</w:t>
                  </w:r>
                </w:p>
              </w:tc>
              <w:tc>
                <w:tcPr>
                  <w:tcW w:w="1089" w:type="dxa"/>
                  <w:vAlign w:val="center"/>
                </w:tcPr>
                <w:p w14:paraId="6A85F94F">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310</w:t>
                  </w:r>
                </w:p>
              </w:tc>
            </w:tr>
            <w:tr w14:paraId="5DAD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32F677B0">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w:t>
                  </w:r>
                </w:p>
              </w:tc>
              <w:tc>
                <w:tcPr>
                  <w:tcW w:w="888" w:type="dxa"/>
                  <w:vAlign w:val="center"/>
                </w:tcPr>
                <w:p w14:paraId="0FBD93C3">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16</w:t>
                  </w:r>
                </w:p>
              </w:tc>
              <w:tc>
                <w:tcPr>
                  <w:tcW w:w="1781" w:type="dxa"/>
                  <w:vAlign w:val="center"/>
                </w:tcPr>
                <w:p w14:paraId="5D9294C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116度43分40.030秒，32度53分36.832秒</w:t>
                  </w:r>
                </w:p>
                <w:p w14:paraId="442E42F6">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6AA7B19D">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4410" cy="2540635"/>
                        <wp:effectExtent l="0" t="0" r="8890" b="12065"/>
                        <wp:docPr id="3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
                                <pic:cNvPicPr>
                                  <a:picLocks noChangeAspect="1"/>
                                </pic:cNvPicPr>
                              </pic:nvPicPr>
                              <pic:blipFill>
                                <a:blip r:embed="rId26"/>
                                <a:stretch>
                                  <a:fillRect/>
                                </a:stretch>
                              </pic:blipFill>
                              <pic:spPr>
                                <a:xfrm>
                                  <a:off x="0" y="0"/>
                                  <a:ext cx="3534410" cy="2540635"/>
                                </a:xfrm>
                                <a:prstGeom prst="rect">
                                  <a:avLst/>
                                </a:prstGeom>
                                <a:noFill/>
                                <a:ln>
                                  <a:noFill/>
                                </a:ln>
                              </pic:spPr>
                            </pic:pic>
                          </a:graphicData>
                        </a:graphic>
                      </wp:inline>
                    </w:drawing>
                  </w:r>
                </w:p>
              </w:tc>
              <w:tc>
                <w:tcPr>
                  <w:tcW w:w="726" w:type="dxa"/>
                  <w:vAlign w:val="center"/>
                </w:tcPr>
                <w:p w14:paraId="22BF0AC1">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19C31B82">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1532</w:t>
                  </w:r>
                </w:p>
              </w:tc>
              <w:tc>
                <w:tcPr>
                  <w:tcW w:w="1531" w:type="dxa"/>
                  <w:vAlign w:val="center"/>
                </w:tcPr>
                <w:p w14:paraId="62009A63">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238</w:t>
                  </w:r>
                </w:p>
              </w:tc>
              <w:tc>
                <w:tcPr>
                  <w:tcW w:w="1089" w:type="dxa"/>
                  <w:vAlign w:val="center"/>
                </w:tcPr>
                <w:p w14:paraId="7A61EB20">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324</w:t>
                  </w:r>
                </w:p>
              </w:tc>
            </w:tr>
            <w:tr w14:paraId="69AA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55E3679C">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w:t>
                  </w:r>
                </w:p>
              </w:tc>
              <w:tc>
                <w:tcPr>
                  <w:tcW w:w="888" w:type="dxa"/>
                  <w:vAlign w:val="center"/>
                </w:tcPr>
                <w:p w14:paraId="6C8BF45A">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17</w:t>
                  </w:r>
                </w:p>
              </w:tc>
              <w:tc>
                <w:tcPr>
                  <w:tcW w:w="1781" w:type="dxa"/>
                  <w:vAlign w:val="center"/>
                </w:tcPr>
                <w:p w14:paraId="1750EB66">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116度43分39.451秒，32度53分31.714秒</w:t>
                  </w:r>
                </w:p>
                <w:p w14:paraId="3729F048">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0218BE8F">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5680" cy="2470150"/>
                        <wp:effectExtent l="0" t="0" r="7620" b="6350"/>
                        <wp:docPr id="3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pic:cNvPicPr>
                                  <a:picLocks noChangeAspect="1"/>
                                </pic:cNvPicPr>
                              </pic:nvPicPr>
                              <pic:blipFill>
                                <a:blip r:embed="rId27"/>
                                <a:stretch>
                                  <a:fillRect/>
                                </a:stretch>
                              </pic:blipFill>
                              <pic:spPr>
                                <a:xfrm>
                                  <a:off x="0" y="0"/>
                                  <a:ext cx="3535680" cy="2470150"/>
                                </a:xfrm>
                                <a:prstGeom prst="rect">
                                  <a:avLst/>
                                </a:prstGeom>
                                <a:noFill/>
                                <a:ln>
                                  <a:noFill/>
                                </a:ln>
                              </pic:spPr>
                            </pic:pic>
                          </a:graphicData>
                        </a:graphic>
                      </wp:inline>
                    </w:drawing>
                  </w:r>
                </w:p>
              </w:tc>
              <w:tc>
                <w:tcPr>
                  <w:tcW w:w="726" w:type="dxa"/>
                  <w:vAlign w:val="center"/>
                </w:tcPr>
                <w:p w14:paraId="5ED87815">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23129A4E">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1499</w:t>
                  </w:r>
                </w:p>
              </w:tc>
              <w:tc>
                <w:tcPr>
                  <w:tcW w:w="1531" w:type="dxa"/>
                  <w:vAlign w:val="center"/>
                </w:tcPr>
                <w:p w14:paraId="35CD2100">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255</w:t>
                  </w:r>
                </w:p>
              </w:tc>
              <w:tc>
                <w:tcPr>
                  <w:tcW w:w="1089" w:type="dxa"/>
                  <w:vAlign w:val="center"/>
                </w:tcPr>
                <w:p w14:paraId="1727D856">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311</w:t>
                  </w:r>
                </w:p>
              </w:tc>
            </w:tr>
            <w:tr w14:paraId="22B6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523B450A">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18</w:t>
                  </w:r>
                </w:p>
              </w:tc>
              <w:tc>
                <w:tcPr>
                  <w:tcW w:w="888" w:type="dxa"/>
                  <w:vAlign w:val="center"/>
                </w:tcPr>
                <w:p w14:paraId="4A47DF81">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18</w:t>
                  </w:r>
                </w:p>
              </w:tc>
              <w:tc>
                <w:tcPr>
                  <w:tcW w:w="1781" w:type="dxa"/>
                  <w:vAlign w:val="center"/>
                </w:tcPr>
                <w:p w14:paraId="28E9906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116度43分35.885秒，32度53分04.337秒</w:t>
                  </w:r>
                </w:p>
                <w:p w14:paraId="46221866">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p>
              </w:tc>
              <w:tc>
                <w:tcPr>
                  <w:tcW w:w="5786" w:type="dxa"/>
                  <w:vAlign w:val="center"/>
                </w:tcPr>
                <w:p w14:paraId="2E0E0CED">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3775" cy="2425700"/>
                        <wp:effectExtent l="0" t="0" r="9525" b="0"/>
                        <wp:docPr id="3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3"/>
                                <pic:cNvPicPr>
                                  <a:picLocks noChangeAspect="1"/>
                                </pic:cNvPicPr>
                              </pic:nvPicPr>
                              <pic:blipFill>
                                <a:blip r:embed="rId28"/>
                                <a:stretch>
                                  <a:fillRect/>
                                </a:stretch>
                              </pic:blipFill>
                              <pic:spPr>
                                <a:xfrm>
                                  <a:off x="0" y="0"/>
                                  <a:ext cx="3533775" cy="2425700"/>
                                </a:xfrm>
                                <a:prstGeom prst="rect">
                                  <a:avLst/>
                                </a:prstGeom>
                                <a:noFill/>
                                <a:ln>
                                  <a:noFill/>
                                </a:ln>
                              </pic:spPr>
                            </pic:pic>
                          </a:graphicData>
                        </a:graphic>
                      </wp:inline>
                    </w:drawing>
                  </w:r>
                </w:p>
              </w:tc>
              <w:tc>
                <w:tcPr>
                  <w:tcW w:w="726" w:type="dxa"/>
                  <w:vAlign w:val="center"/>
                </w:tcPr>
                <w:p w14:paraId="530E25C9">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576F094C">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1642</w:t>
                  </w:r>
                </w:p>
              </w:tc>
              <w:tc>
                <w:tcPr>
                  <w:tcW w:w="1531" w:type="dxa"/>
                  <w:vAlign w:val="center"/>
                </w:tcPr>
                <w:p w14:paraId="1B4525F5">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255</w:t>
                  </w:r>
                </w:p>
              </w:tc>
              <w:tc>
                <w:tcPr>
                  <w:tcW w:w="1089" w:type="dxa"/>
                  <w:vAlign w:val="center"/>
                </w:tcPr>
                <w:p w14:paraId="298D6512">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347</w:t>
                  </w:r>
                </w:p>
              </w:tc>
            </w:tr>
            <w:tr w14:paraId="28EB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6" w:hRule="atLeast"/>
                <w:jc w:val="center"/>
              </w:trPr>
              <w:tc>
                <w:tcPr>
                  <w:tcW w:w="557" w:type="dxa"/>
                  <w:vAlign w:val="center"/>
                </w:tcPr>
                <w:p w14:paraId="4872D8A3">
                  <w:pPr>
                    <w:pStyle w:val="37"/>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w:t>
                  </w:r>
                </w:p>
              </w:tc>
              <w:tc>
                <w:tcPr>
                  <w:tcW w:w="888" w:type="dxa"/>
                  <w:vAlign w:val="center"/>
                </w:tcPr>
                <w:p w14:paraId="50BE3685">
                  <w:pPr>
                    <w:keepNext w:val="0"/>
                    <w:keepLines w:val="0"/>
                    <w:pageBreakBefore w:val="0"/>
                    <w:kinsoku/>
                    <w:wordWrap/>
                    <w:overflowPunct/>
                    <w:topLinePunct w:val="0"/>
                    <w:autoSpaceDE/>
                    <w:autoSpaceDN/>
                    <w:bidi w:val="0"/>
                    <w:spacing w:before="0"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DG1-</w:t>
                  </w:r>
                  <w:r>
                    <w:rPr>
                      <w:rFonts w:hint="eastAsia" w:ascii="Times New Roman" w:hAnsi="Times New Roman" w:eastAsia="宋体" w:cs="Times New Roman"/>
                      <w:color w:val="auto"/>
                      <w:sz w:val="21"/>
                      <w:szCs w:val="21"/>
                      <w:highlight w:val="none"/>
                      <w:lang w:val="en-US" w:eastAsia="zh-CN"/>
                    </w:rPr>
                    <w:t>19</w:t>
                  </w:r>
                </w:p>
              </w:tc>
              <w:tc>
                <w:tcPr>
                  <w:tcW w:w="1781" w:type="dxa"/>
                  <w:vAlign w:val="center"/>
                </w:tcPr>
                <w:p w14:paraId="76677421">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t>116度43分34.980秒，32度52分58.550秒</w:t>
                  </w:r>
                </w:p>
              </w:tc>
              <w:tc>
                <w:tcPr>
                  <w:tcW w:w="5786" w:type="dxa"/>
                  <w:vAlign w:val="center"/>
                </w:tcPr>
                <w:p w14:paraId="72E4050B">
                  <w:pPr>
                    <w:pStyle w:val="37"/>
                    <w:keepNext w:val="0"/>
                    <w:keepLines w:val="0"/>
                    <w:pageBreakBefore w:val="0"/>
                    <w:kinsoku/>
                    <w:wordWrap/>
                    <w:overflowPunct/>
                    <w:topLinePunct w:val="0"/>
                    <w:autoSpaceDE/>
                    <w:autoSpaceDN/>
                    <w:bidi w:val="0"/>
                    <w:spacing w:before="0"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rPr>
                    <w:drawing>
                      <wp:inline distT="0" distB="0" distL="114300" distR="114300">
                        <wp:extent cx="3532505" cy="2375535"/>
                        <wp:effectExtent l="0" t="0" r="10795" b="12065"/>
                        <wp:docPr id="3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4"/>
                                <pic:cNvPicPr>
                                  <a:picLocks noChangeAspect="1"/>
                                </pic:cNvPicPr>
                              </pic:nvPicPr>
                              <pic:blipFill>
                                <a:blip r:embed="rId29"/>
                                <a:stretch>
                                  <a:fillRect/>
                                </a:stretch>
                              </pic:blipFill>
                              <pic:spPr>
                                <a:xfrm>
                                  <a:off x="0" y="0"/>
                                  <a:ext cx="3532505" cy="2375535"/>
                                </a:xfrm>
                                <a:prstGeom prst="rect">
                                  <a:avLst/>
                                </a:prstGeom>
                                <a:noFill/>
                                <a:ln>
                                  <a:noFill/>
                                </a:ln>
                              </pic:spPr>
                            </pic:pic>
                          </a:graphicData>
                        </a:graphic>
                      </wp:inline>
                    </w:drawing>
                  </w:r>
                </w:p>
              </w:tc>
              <w:tc>
                <w:tcPr>
                  <w:tcW w:w="726" w:type="dxa"/>
                  <w:vAlign w:val="center"/>
                </w:tcPr>
                <w:p w14:paraId="3C668295">
                  <w:pPr>
                    <w:keepNext w:val="0"/>
                    <w:keepLines w:val="0"/>
                    <w:pageBreakBefore w:val="0"/>
                    <w:kinsoku/>
                    <w:wordWrap/>
                    <w:overflowPunct/>
                    <w:topLinePunct w:val="0"/>
                    <w:autoSpaceDE/>
                    <w:autoSpaceDN/>
                    <w:bidi w:val="0"/>
                    <w:spacing w:after="0"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基本农田</w:t>
                  </w:r>
                </w:p>
              </w:tc>
              <w:tc>
                <w:tcPr>
                  <w:tcW w:w="1169" w:type="dxa"/>
                  <w:vAlign w:val="center"/>
                </w:tcPr>
                <w:p w14:paraId="7CAA6352">
                  <w:pPr>
                    <w:keepNext w:val="0"/>
                    <w:keepLines w:val="0"/>
                    <w:pageBreakBefore w:val="0"/>
                    <w:widowControl/>
                    <w:kinsoku/>
                    <w:wordWrap/>
                    <w:overflowPunct/>
                    <w:topLinePunct w:val="0"/>
                    <w:autoSpaceDE/>
                    <w:autoSpaceDN/>
                    <w:bidi w:val="0"/>
                    <w:spacing w:after="0"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1500</w:t>
                  </w:r>
                </w:p>
              </w:tc>
              <w:tc>
                <w:tcPr>
                  <w:tcW w:w="1531" w:type="dxa"/>
                  <w:vAlign w:val="center"/>
                </w:tcPr>
                <w:p w14:paraId="6CF682B8">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304</w:t>
                  </w:r>
                </w:p>
              </w:tc>
              <w:tc>
                <w:tcPr>
                  <w:tcW w:w="1089" w:type="dxa"/>
                  <w:vAlign w:val="center"/>
                </w:tcPr>
                <w:p w14:paraId="076C5AE2">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299</w:t>
                  </w:r>
                </w:p>
              </w:tc>
            </w:tr>
          </w:tbl>
          <w:p w14:paraId="714B905E">
            <w:pPr>
              <w:pStyle w:val="20"/>
              <w:keepNext w:val="0"/>
              <w:keepLines w:val="0"/>
              <w:pageBreakBefore w:val="0"/>
              <w:kinsoku/>
              <w:wordWrap/>
              <w:overflowPunct/>
              <w:topLinePunct w:val="0"/>
              <w:autoSpaceDE/>
              <w:autoSpaceDN/>
              <w:bidi w:val="0"/>
              <w:spacing w:before="0" w:beforeAutospacing="0" w:after="0" w:afterAutospacing="0" w:line="240" w:lineRule="auto"/>
              <w:jc w:val="both"/>
              <w:textAlignment w:val="auto"/>
              <w:outlineLvl w:val="0"/>
              <w:rPr>
                <w:rFonts w:hint="eastAsia" w:ascii="Times New Roman" w:hAnsi="Times New Roman"/>
                <w:color w:val="auto"/>
                <w:szCs w:val="24"/>
                <w:highlight w:val="none"/>
              </w:rPr>
            </w:pPr>
            <w:r>
              <w:rPr>
                <w:rFonts w:hint="eastAsia" w:ascii="Times New Roman" w:hAnsi="Times New Roman"/>
                <w:color w:val="auto"/>
                <w:szCs w:val="24"/>
                <w:highlight w:val="none"/>
              </w:rPr>
              <w:t>注：表土剥离高度20cm~30cm，本项目平均高度按25cm计，表土堆放区内表土不进行剥离。</w:t>
            </w:r>
          </w:p>
          <w:p w14:paraId="6F96FCD5">
            <w:pPr>
              <w:pStyle w:val="20"/>
              <w:keepNext w:val="0"/>
              <w:keepLines w:val="0"/>
              <w:pageBreakBefore w:val="0"/>
              <w:kinsoku/>
              <w:wordWrap/>
              <w:overflowPunct/>
              <w:topLinePunct w:val="0"/>
              <w:autoSpaceDE/>
              <w:autoSpaceDN/>
              <w:bidi w:val="0"/>
              <w:spacing w:before="0" w:beforeAutospacing="0" w:after="0" w:afterAutospacing="0" w:line="240" w:lineRule="auto"/>
              <w:ind w:firstLine="480" w:firstLineChars="200"/>
              <w:jc w:val="both"/>
              <w:textAlignment w:val="auto"/>
              <w:outlineLvl w:val="0"/>
              <w:rPr>
                <w:rFonts w:hint="eastAsia" w:ascii="Times New Roman" w:hAnsi="Times New Roman"/>
                <w:color w:val="auto"/>
                <w:szCs w:val="24"/>
                <w:highlight w:val="none"/>
              </w:rPr>
            </w:pPr>
            <w:r>
              <w:rPr>
                <w:rFonts w:hint="eastAsia" w:ascii="Times New Roman" w:hAnsi="Times New Roman"/>
                <w:color w:val="auto"/>
                <w:szCs w:val="24"/>
                <w:highlight w:val="none"/>
              </w:rPr>
              <w:t>项目3处现有沟渠，总面积0.1029hm²；其中0.0621hm²实际现状地类为耕地、0.0275hm²为农村道路，复垦按照现状实际地类开展复垦；真正沟渠地类面积仅剩余0.0133hm²。</w:t>
            </w:r>
          </w:p>
        </w:tc>
      </w:tr>
    </w:tbl>
    <w:p w14:paraId="7FDABDFD">
      <w:pPr>
        <w:pStyle w:val="20"/>
        <w:spacing w:before="0" w:beforeAutospacing="0" w:afterAutospacing="0"/>
        <w:jc w:val="center"/>
        <w:outlineLvl w:val="0"/>
        <w:rPr>
          <w:rFonts w:ascii="Times New Roman" w:hAnsi="Times New Roman" w:eastAsia="黑体"/>
          <w:snapToGrid w:val="0"/>
          <w:color w:val="auto"/>
          <w:sz w:val="30"/>
          <w:szCs w:val="30"/>
          <w:highlight w:val="none"/>
        </w:rPr>
        <w:sectPr>
          <w:pgSz w:w="16838" w:h="11906" w:orient="landscape"/>
          <w:pgMar w:top="1800" w:right="1440" w:bottom="1800" w:left="144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2"/>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068"/>
      </w:tblGrid>
      <w:tr w14:paraId="0269EC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6" w:hRule="atLeast"/>
          <w:jc w:val="center"/>
        </w:trPr>
        <w:tc>
          <w:tcPr>
            <w:tcW w:w="454" w:type="dxa"/>
            <w:vAlign w:val="center"/>
          </w:tcPr>
          <w:p w14:paraId="5DFCBFBB">
            <w:pPr>
              <w:adjustRightInd w:val="0"/>
              <w:snapToGrid w:val="0"/>
              <w:jc w:val="center"/>
              <w:rPr>
                <w:rFonts w:ascii="Times New Roman" w:hAnsi="Times New Roman"/>
                <w:color w:val="auto"/>
                <w:kern w:val="0"/>
                <w:sz w:val="24"/>
                <w:highlight w:val="none"/>
              </w:rPr>
            </w:pPr>
            <w:r>
              <w:rPr>
                <w:rFonts w:ascii="Times New Roman" w:hAnsi="Times New Roman"/>
                <w:color w:val="auto"/>
                <w:kern w:val="0"/>
                <w:sz w:val="24"/>
                <w:highlight w:val="none"/>
              </w:rPr>
              <w:t>总平面及现场布置</w:t>
            </w:r>
          </w:p>
        </w:tc>
        <w:tc>
          <w:tcPr>
            <w:tcW w:w="8068" w:type="dxa"/>
            <w:vAlign w:val="center"/>
          </w:tcPr>
          <w:p w14:paraId="53F4DD46">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shd w:val="clear" w:color="auto" w:fill="FFFFFF"/>
              </w:rPr>
              <w:t>本项目</w:t>
            </w:r>
            <w:r>
              <w:rPr>
                <w:rFonts w:hint="eastAsia" w:ascii="Times New Roman" w:hAnsi="Times New Roman"/>
                <w:color w:val="auto"/>
                <w:sz w:val="24"/>
                <w:highlight w:val="none"/>
                <w:shd w:val="clear" w:color="auto" w:fill="FFFFFF"/>
              </w:rPr>
              <w:t>每个钻场按照统一的标准布置，同时结合场地实际情况进行微调，施工现场实际用地面积基本接近，现场布置基本相似，均以钻机为中心，周边布置均设置钻井作业区、</w:t>
            </w:r>
            <w:r>
              <w:rPr>
                <w:rFonts w:hint="eastAsia" w:ascii="Times New Roman" w:hAnsi="Times New Roman"/>
                <w:color w:val="auto"/>
                <w:sz w:val="24"/>
                <w:highlight w:val="none"/>
                <w:shd w:val="clear" w:color="auto" w:fill="FFFFFF"/>
                <w:lang w:val="en-US" w:eastAsia="zh-CN"/>
              </w:rPr>
              <w:t>清</w:t>
            </w:r>
            <w:r>
              <w:rPr>
                <w:rFonts w:hint="eastAsia" w:ascii="Times New Roman" w:hAnsi="Times New Roman"/>
                <w:color w:val="auto"/>
                <w:sz w:val="24"/>
                <w:highlight w:val="none"/>
                <w:shd w:val="clear" w:color="auto" w:fill="FFFFFF"/>
              </w:rPr>
              <w:t>水池、泥浆池、</w:t>
            </w:r>
            <w:r>
              <w:rPr>
                <w:rFonts w:hint="eastAsia" w:ascii="Times New Roman" w:hAnsi="Times New Roman"/>
                <w:color w:val="auto"/>
                <w:sz w:val="24"/>
                <w:highlight w:val="none"/>
                <w:shd w:val="clear" w:color="auto" w:fill="FFFFFF"/>
                <w:lang w:val="en-US" w:eastAsia="zh-CN"/>
              </w:rPr>
              <w:t>废浆池</w:t>
            </w:r>
            <w:r>
              <w:rPr>
                <w:rFonts w:hint="eastAsia" w:ascii="Times New Roman" w:hAnsi="Times New Roman"/>
                <w:color w:val="auto"/>
                <w:sz w:val="24"/>
                <w:highlight w:val="none"/>
                <w:shd w:val="clear" w:color="auto" w:fill="FFFFFF"/>
              </w:rPr>
              <w:t>、表土剥离堆放场、</w:t>
            </w:r>
            <w:r>
              <w:rPr>
                <w:rFonts w:hint="eastAsia" w:ascii="Times New Roman" w:hAnsi="Times New Roman"/>
                <w:color w:val="auto"/>
                <w:sz w:val="24"/>
                <w:highlight w:val="none"/>
                <w:shd w:val="clear" w:color="auto" w:fill="FFFFFF"/>
                <w:lang w:eastAsia="zh-CN"/>
              </w:rPr>
              <w:t>岩芯堆放区</w:t>
            </w:r>
            <w:r>
              <w:rPr>
                <w:rFonts w:hint="eastAsia" w:ascii="Times New Roman" w:hAnsi="Times New Roman"/>
                <w:color w:val="auto"/>
                <w:sz w:val="24"/>
                <w:highlight w:val="none"/>
                <w:shd w:val="clear" w:color="auto" w:fill="FFFFFF"/>
              </w:rPr>
              <w:t>、沉淀池、施工便道等辅助设施。根据施工工序并结合现场情况，施工场地出入口设置在靠近道路的一侧，高噪声设备布置在远离居民区的一侧，办公区设置在远离钻孔工作区。</w:t>
            </w:r>
            <w:r>
              <w:rPr>
                <w:rFonts w:ascii="Times New Roman" w:hAnsi="Times New Roman"/>
                <w:color w:val="auto"/>
                <w:sz w:val="24"/>
                <w:highlight w:val="none"/>
                <w:shd w:val="clear" w:color="auto" w:fill="FFFFFF"/>
              </w:rPr>
              <w:t>项目总平面布置采取的原则是紧密结合地形、使工艺流程顺畅、功能分区明确、建筑物布置紧凑、对外交通运输联系方便、用地节约；在满足施工的前提下，使井场布置简洁、集中</w:t>
            </w:r>
            <w:r>
              <w:rPr>
                <w:rFonts w:hint="eastAsia" w:ascii="Times New Roman" w:hAnsi="Times New Roman"/>
                <w:color w:val="auto"/>
                <w:sz w:val="24"/>
                <w:highlight w:val="none"/>
                <w:shd w:val="clear" w:color="auto" w:fill="FFFFFF"/>
              </w:rPr>
              <w:t>，</w:t>
            </w:r>
            <w:r>
              <w:rPr>
                <w:rFonts w:hint="eastAsia" w:ascii="Times New Roman" w:hAnsi="Times New Roman"/>
                <w:color w:val="auto"/>
                <w:sz w:val="24"/>
                <w:highlight w:val="none"/>
              </w:rPr>
              <w:t>各井场平面布置图见附图3。</w:t>
            </w:r>
          </w:p>
        </w:tc>
      </w:tr>
      <w:tr w14:paraId="2158BE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dxa"/>
            <w:vAlign w:val="center"/>
          </w:tcPr>
          <w:p w14:paraId="191A0C2D">
            <w:pPr>
              <w:adjustRightInd w:val="0"/>
              <w:snapToGrid w:val="0"/>
              <w:jc w:val="center"/>
              <w:rPr>
                <w:rFonts w:ascii="Times New Roman" w:hAnsi="Times New Roman"/>
                <w:color w:val="auto"/>
                <w:kern w:val="0"/>
                <w:sz w:val="24"/>
                <w:highlight w:val="none"/>
              </w:rPr>
            </w:pPr>
            <w:r>
              <w:rPr>
                <w:rFonts w:ascii="Times New Roman" w:hAnsi="Times New Roman"/>
                <w:color w:val="auto"/>
                <w:kern w:val="0"/>
                <w:sz w:val="24"/>
                <w:highlight w:val="none"/>
              </w:rPr>
              <w:t>施工方案</w:t>
            </w:r>
          </w:p>
        </w:tc>
        <w:tc>
          <w:tcPr>
            <w:tcW w:w="8068" w:type="dxa"/>
            <w:vAlign w:val="center"/>
          </w:tcPr>
          <w:p w14:paraId="2EFB8BC3">
            <w:pPr>
              <w:pStyle w:val="13"/>
              <w:tabs>
                <w:tab w:val="left" w:pos="0"/>
              </w:tabs>
              <w:spacing w:after="0" w:line="360" w:lineRule="auto"/>
              <w:ind w:firstLine="482" w:firstLineChars="200"/>
              <w:contextualSpacing/>
              <w:rPr>
                <w:rFonts w:ascii="Times New Roman" w:hAnsi="Times New Roman"/>
                <w:b/>
                <w:bCs/>
                <w:color w:val="auto"/>
                <w:sz w:val="24"/>
                <w:highlight w:val="none"/>
              </w:rPr>
            </w:pPr>
            <w:r>
              <w:rPr>
                <w:rFonts w:hint="eastAsia" w:ascii="Times New Roman" w:hAnsi="Times New Roman"/>
                <w:b/>
                <w:bCs/>
                <w:color w:val="auto"/>
                <w:sz w:val="24"/>
                <w:highlight w:val="none"/>
              </w:rPr>
              <w:t>一</w:t>
            </w:r>
            <w:r>
              <w:rPr>
                <w:rFonts w:ascii="Times New Roman" w:hAnsi="Times New Roman"/>
                <w:b/>
                <w:bCs/>
                <w:color w:val="auto"/>
                <w:sz w:val="24"/>
                <w:highlight w:val="none"/>
              </w:rPr>
              <w:t>、施工工艺</w:t>
            </w:r>
          </w:p>
          <w:p w14:paraId="648966A8">
            <w:pPr>
              <w:pStyle w:val="13"/>
              <w:tabs>
                <w:tab w:val="left" w:pos="0"/>
              </w:tabs>
              <w:spacing w:after="0" w:line="360" w:lineRule="auto"/>
              <w:ind w:firstLine="480" w:firstLineChars="200"/>
              <w:contextualSpacing/>
              <w:rPr>
                <w:rFonts w:hint="default"/>
                <w:lang w:val="en-US"/>
              </w:rPr>
            </w:pPr>
            <w:r>
              <w:rPr>
                <w:rFonts w:hint="eastAsia" w:ascii="Times New Roman" w:hAnsi="Times New Roman"/>
                <w:bCs/>
                <w:color w:val="auto"/>
                <w:sz w:val="24"/>
                <w:highlight w:val="none"/>
              </w:rPr>
              <w:t>本项目施工前期需对场地进行平整、表土剥离、</w:t>
            </w:r>
            <w:r>
              <w:rPr>
                <w:rFonts w:ascii="Times New Roman" w:hAnsi="Times New Roman"/>
                <w:bCs/>
                <w:color w:val="auto"/>
                <w:sz w:val="24"/>
                <w:highlight w:val="none"/>
              </w:rPr>
              <w:t>安装钻探设备、搭设临时建筑物以及相关附属设施建设</w:t>
            </w:r>
            <w:r>
              <w:rPr>
                <w:rFonts w:hint="eastAsia" w:ascii="Times New Roman" w:hAnsi="Times New Roman"/>
                <w:bCs/>
                <w:color w:val="auto"/>
                <w:sz w:val="24"/>
                <w:highlight w:val="none"/>
              </w:rPr>
              <w:t>等。</w:t>
            </w:r>
            <w:r>
              <w:rPr>
                <w:rFonts w:hint="eastAsia" w:ascii="Times New Roman" w:hAnsi="Times New Roman"/>
                <w:bCs/>
                <w:color w:val="auto"/>
                <w:sz w:val="24"/>
                <w:highlight w:val="none"/>
                <w:lang w:val="en-US" w:eastAsia="zh-CN"/>
              </w:rPr>
              <w:t>D1-10、D1-15钻孔</w:t>
            </w:r>
            <w:r>
              <w:rPr>
                <w:rFonts w:hint="eastAsia" w:ascii="Times New Roman" w:hAnsi="Times New Roman"/>
                <w:bCs/>
                <w:color w:val="auto"/>
                <w:sz w:val="24"/>
                <w:highlight w:val="none"/>
              </w:rPr>
              <w:t>涉及现有沟渠穿越施工采用涵管埋设方式，保障沟渠原有排水功能</w:t>
            </w:r>
            <w:r>
              <w:rPr>
                <w:rFonts w:hint="eastAsia" w:ascii="Times New Roman" w:hAnsi="Times New Roman"/>
                <w:bCs/>
                <w:color w:val="auto"/>
                <w:sz w:val="24"/>
                <w:highlight w:val="none"/>
                <w:lang w:eastAsia="zh-CN"/>
              </w:rPr>
              <w:t>。</w:t>
            </w:r>
            <w:r>
              <w:rPr>
                <w:rFonts w:hint="eastAsia" w:ascii="Times New Roman" w:hAnsi="Times New Roman"/>
                <w:bCs/>
                <w:color w:val="auto"/>
                <w:sz w:val="24"/>
                <w:highlight w:val="none"/>
                <w:lang w:val="en-US" w:eastAsia="zh-CN"/>
              </w:rPr>
              <w:t>施工</w:t>
            </w:r>
            <w:r>
              <w:rPr>
                <w:rFonts w:hint="eastAsia" w:ascii="Times New Roman" w:hAnsi="Times New Roman"/>
                <w:bCs/>
                <w:color w:val="auto"/>
                <w:sz w:val="24"/>
                <w:highlight w:val="none"/>
              </w:rPr>
              <w:t>不涉及沟渠底泥开挖</w:t>
            </w:r>
            <w:r>
              <w:rPr>
                <w:rFonts w:hint="eastAsia" w:ascii="Times New Roman" w:hAnsi="Times New Roman"/>
                <w:bCs/>
                <w:color w:val="auto"/>
                <w:sz w:val="24"/>
                <w:highlight w:val="none"/>
                <w:lang w:eastAsia="zh-CN"/>
              </w:rPr>
              <w:t>，</w:t>
            </w:r>
            <w:r>
              <w:rPr>
                <w:rFonts w:ascii="宋体" w:hAnsi="宋体" w:eastAsia="宋体" w:cs="宋体"/>
                <w:sz w:val="24"/>
                <w:szCs w:val="24"/>
              </w:rPr>
              <w:t>沟渠复垦按照现状</w:t>
            </w:r>
            <w:r>
              <w:rPr>
                <w:rFonts w:hint="eastAsia" w:ascii="宋体" w:hAnsi="宋体" w:eastAsia="宋体" w:cs="宋体"/>
                <w:sz w:val="24"/>
                <w:szCs w:val="24"/>
                <w:lang w:val="en-US" w:eastAsia="zh-CN"/>
              </w:rPr>
              <w:t>进行恢复</w:t>
            </w:r>
            <w:r>
              <w:rPr>
                <w:rFonts w:hint="eastAsia" w:ascii="Times New Roman" w:hAnsi="Times New Roman"/>
                <w:bCs/>
                <w:color w:val="auto"/>
                <w:sz w:val="24"/>
                <w:highlight w:val="none"/>
              </w:rPr>
              <w:t>。</w:t>
            </w:r>
          </w:p>
          <w:p w14:paraId="6F99E0B5">
            <w:pPr>
              <w:pStyle w:val="31"/>
              <w:adjustRightInd/>
              <w:spacing w:after="0" w:line="360" w:lineRule="auto"/>
              <w:ind w:firstLine="482" w:firstLineChars="200"/>
              <w:jc w:val="both"/>
              <w:rPr>
                <w:rFonts w:ascii="Times New Roman" w:hAnsi="Times New Roman"/>
                <w:b/>
                <w:bCs/>
                <w:color w:val="auto"/>
                <w:highlight w:val="none"/>
              </w:rPr>
            </w:pPr>
            <w:r>
              <w:rPr>
                <w:rFonts w:hint="eastAsia" w:ascii="Times New Roman" w:hAnsi="Times New Roman"/>
                <w:b/>
                <w:bCs/>
                <w:color w:val="auto"/>
                <w:highlight w:val="none"/>
              </w:rPr>
              <w:t>1</w:t>
            </w:r>
            <w:r>
              <w:rPr>
                <w:rFonts w:ascii="Times New Roman" w:hAnsi="Times New Roman"/>
                <w:b/>
                <w:bCs/>
                <w:color w:val="auto"/>
                <w:highlight w:val="none"/>
              </w:rPr>
              <w:t>、</w:t>
            </w:r>
            <w:r>
              <w:rPr>
                <w:rFonts w:hint="eastAsia" w:ascii="Times New Roman" w:hAnsi="Times New Roman"/>
                <w:b/>
                <w:bCs/>
                <w:color w:val="auto"/>
                <w:highlight w:val="none"/>
              </w:rPr>
              <w:t>盾构机探查钻孔</w:t>
            </w:r>
            <w:r>
              <w:rPr>
                <w:rFonts w:ascii="Times New Roman" w:hAnsi="Times New Roman"/>
                <w:b/>
                <w:bCs/>
                <w:color w:val="auto"/>
                <w:highlight w:val="none"/>
              </w:rPr>
              <w:t>工程</w:t>
            </w:r>
          </w:p>
          <w:p w14:paraId="2951619A">
            <w:pPr>
              <w:spacing w:line="360" w:lineRule="auto"/>
              <w:jc w:val="center"/>
              <w:rPr>
                <w:rFonts w:ascii="Times New Roman" w:hAnsi="Times New Roman"/>
                <w:color w:val="auto"/>
                <w:sz w:val="24"/>
                <w:highlight w:val="none"/>
              </w:rPr>
            </w:pPr>
            <w:r>
              <w:rPr>
                <w:rFonts w:hint="eastAsia" w:ascii="Times New Roman" w:hAnsi="Times New Roman"/>
                <w:color w:val="auto"/>
                <w:sz w:val="24"/>
                <w:highlight w:val="none"/>
              </w:rPr>
              <w:drawing>
                <wp:inline distT="0" distB="0" distL="114300" distR="114300">
                  <wp:extent cx="4824095" cy="3714115"/>
                  <wp:effectExtent l="0" t="0" r="14605" b="635"/>
                  <wp:docPr id="2" name="F360BE8B-6686-4F3D-AEAF-501FE73E4058-1" descr="地面补勘钻井工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360BE8B-6686-4F3D-AEAF-501FE73E4058-1" descr="地面补勘钻井工程(1)"/>
                          <pic:cNvPicPr>
                            <a:picLocks noChangeAspect="1"/>
                          </pic:cNvPicPr>
                        </pic:nvPicPr>
                        <pic:blipFill>
                          <a:blip r:embed="rId30" cstate="print"/>
                          <a:stretch>
                            <a:fillRect/>
                          </a:stretch>
                        </pic:blipFill>
                        <pic:spPr>
                          <a:xfrm>
                            <a:off x="0" y="0"/>
                            <a:ext cx="4824095" cy="3714115"/>
                          </a:xfrm>
                          <a:prstGeom prst="rect">
                            <a:avLst/>
                          </a:prstGeom>
                        </pic:spPr>
                      </pic:pic>
                    </a:graphicData>
                  </a:graphic>
                </wp:inline>
              </w:drawing>
            </w:r>
          </w:p>
          <w:p w14:paraId="724D285A">
            <w:pPr>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图2-</w:t>
            </w:r>
            <w:r>
              <w:rPr>
                <w:rFonts w:hint="eastAsia" w:ascii="Times New Roman" w:hAnsi="Times New Roman"/>
                <w:b/>
                <w:color w:val="auto"/>
                <w:szCs w:val="21"/>
                <w:highlight w:val="none"/>
              </w:rPr>
              <w:t xml:space="preserve">1 </w:t>
            </w:r>
            <w:r>
              <w:rPr>
                <w:rFonts w:hint="eastAsia" w:ascii="Times New Roman" w:hAnsi="Times New Roman"/>
                <w:b/>
                <w:color w:val="auto"/>
                <w:szCs w:val="21"/>
                <w:highlight w:val="none"/>
                <w:lang w:val="en-US" w:eastAsia="zh-CN"/>
              </w:rPr>
              <w:t xml:space="preserve"> </w:t>
            </w:r>
            <w:r>
              <w:rPr>
                <w:rFonts w:hint="eastAsia" w:ascii="Times New Roman" w:hAnsi="Times New Roman"/>
                <w:b/>
                <w:color w:val="auto"/>
                <w:szCs w:val="21"/>
                <w:highlight w:val="none"/>
              </w:rPr>
              <w:t>盾构机探查钻孔工程</w:t>
            </w:r>
            <w:r>
              <w:rPr>
                <w:rFonts w:ascii="Times New Roman" w:hAnsi="Times New Roman"/>
                <w:b/>
                <w:color w:val="auto"/>
                <w:szCs w:val="21"/>
                <w:highlight w:val="none"/>
              </w:rPr>
              <w:t>工艺</w:t>
            </w:r>
            <w:r>
              <w:rPr>
                <w:rFonts w:hint="eastAsia" w:ascii="Times New Roman" w:hAnsi="Times New Roman"/>
                <w:b/>
                <w:color w:val="auto"/>
                <w:szCs w:val="21"/>
                <w:highlight w:val="none"/>
              </w:rPr>
              <w:t>流程</w:t>
            </w:r>
            <w:r>
              <w:rPr>
                <w:rFonts w:hint="eastAsia" w:ascii="Times New Roman" w:hAnsi="Times New Roman"/>
                <w:b/>
                <w:color w:val="auto"/>
                <w:szCs w:val="21"/>
                <w:highlight w:val="none"/>
                <w:lang w:val="en-US" w:eastAsia="zh-CN"/>
              </w:rPr>
              <w:t>及产污节点</w:t>
            </w:r>
            <w:r>
              <w:rPr>
                <w:rFonts w:hint="eastAsia" w:ascii="Times New Roman" w:hAnsi="Times New Roman"/>
                <w:b/>
                <w:color w:val="auto"/>
                <w:szCs w:val="21"/>
                <w:highlight w:val="none"/>
              </w:rPr>
              <w:t>图</w:t>
            </w:r>
          </w:p>
          <w:p w14:paraId="0EECC87E">
            <w:pPr>
              <w:spacing w:after="0" w:line="360" w:lineRule="auto"/>
              <w:ind w:firstLine="480" w:firstLineChars="200"/>
              <w:rPr>
                <w:rFonts w:ascii="Times New Roman" w:hAnsi="Times New Roman"/>
                <w:color w:val="auto"/>
                <w:sz w:val="24"/>
                <w:highlight w:val="none"/>
              </w:rPr>
            </w:pPr>
            <w:r>
              <w:rPr>
                <w:rFonts w:ascii="Times New Roman" w:hAnsi="宋体"/>
                <w:color w:val="auto"/>
                <w:sz w:val="24"/>
                <w:highlight w:val="none"/>
              </w:rPr>
              <w:t>工艺流程简述：</w:t>
            </w:r>
          </w:p>
          <w:p w14:paraId="4B729846">
            <w:pPr>
              <w:pStyle w:val="38"/>
              <w:adjustRightInd/>
              <w:snapToGrid/>
              <w:spacing w:after="0"/>
              <w:ind w:firstLine="480"/>
              <w:rPr>
                <w:rFonts w:ascii="Times New Roman" w:hAnsi="Times New Roman" w:eastAsia="宋体"/>
                <w:color w:val="auto"/>
                <w:sz w:val="24"/>
                <w:szCs w:val="24"/>
                <w:highlight w:val="none"/>
              </w:rPr>
            </w:pPr>
            <w:r>
              <w:rPr>
                <w:rFonts w:hint="eastAsia" w:ascii="Times New Roman" w:eastAsia="宋体"/>
                <w:color w:val="auto"/>
                <w:sz w:val="24"/>
                <w:szCs w:val="24"/>
                <w:highlight w:val="none"/>
              </w:rPr>
              <w:t>本项目各钻孔终孔深度以过11-1煤为准，各孔均自17煤至终孔全取芯。正常地层岩芯采取率不小于80％，断层破碎带岩芯采取率不小于65％。煤层及煤层顶底板岩芯采取率不小于90％。</w:t>
            </w:r>
          </w:p>
          <w:p w14:paraId="6E17D982">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（1）泥浆配置</w:t>
            </w:r>
          </w:p>
          <w:p w14:paraId="6B1821A4">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以水、纤维素、腐植酸为原料，在泥浆池内进行搅拌配置，配置完成后一路被输送至泥浆泵，为后续钻进工序提供循环用泥浆；另一路进入泥浆池暂存，泥浆池兼具泥浆储存、浓度调节功能，且池内泥浆可通过循环管道回流至</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泥浆配置</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工序，实现泥浆的循环利用，减少资源消耗与废弃物产生。</w:t>
            </w:r>
          </w:p>
          <w:p w14:paraId="318AAA41">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（2）一开钻进</w:t>
            </w:r>
          </w:p>
          <w:p w14:paraId="69BD0D7A">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泥浆泵将配置好的泥浆持续泵入钻孔作业系统，配合钻机、钻井泵进行</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一开</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钻进施工。本项目钻孔均为普通地质孔，基本无特殊要求，钻孔结构均为裸孔，口径设计开孔Φ94mm。</w:t>
            </w:r>
          </w:p>
          <w:p w14:paraId="24E4ABC4">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根据区域水文地质勘查报告，项目所在区域松散层厚度350-400m，自上而下发育4个含水层及3个隔水层，隔水层防渗性能良好，基岩段煤系砂岩含水层富水性弱（单位涌水量q=0.000073L/(s・m)，渗透系数K=0.001287m/d），以储存量为主，竖井施工过程中地下水涌水概率极低。若钻进过程中遇含水层意外涌水，施工方将采用成熟的</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混凝土封堵+注浆加固</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技术，选用符合《通用硅酸盐水泥》（GB175-20</w:t>
            </w:r>
            <w:r>
              <w:rPr>
                <w:rFonts w:hint="eastAsia" w:ascii="Times New Roman" w:hAnsi="宋体"/>
                <w:bCs/>
                <w:color w:val="auto"/>
                <w:sz w:val="24"/>
                <w:highlight w:val="none"/>
                <w:lang w:val="en-US" w:eastAsia="zh-CN"/>
              </w:rPr>
              <w:t>23</w:t>
            </w:r>
            <w:r>
              <w:rPr>
                <w:rFonts w:hint="eastAsia" w:ascii="Times New Roman" w:hAnsi="宋体"/>
                <w:bCs/>
                <w:color w:val="auto"/>
                <w:sz w:val="24"/>
                <w:highlight w:val="none"/>
              </w:rPr>
              <w:t>）要求的外购商品混凝土，对涌水点进行分层封堵，阻断水力联系，确保涌水得到有效控制。</w:t>
            </w:r>
            <w:r>
              <w:rPr>
                <w:rStyle w:val="27"/>
                <w:rFonts w:hint="eastAsia" w:ascii="Times New Roman" w:hAnsi="宋体"/>
                <w:bCs/>
                <w:color w:val="auto"/>
                <w:sz w:val="24"/>
                <w:highlight w:val="none"/>
              </w:rPr>
              <w:t>项目水文孔排水按</w:t>
            </w:r>
            <w:r>
              <w:rPr>
                <w:rStyle w:val="27"/>
                <w:rFonts w:hint="eastAsia" w:ascii="Times New Roman" w:hAnsi="宋体"/>
                <w:bCs/>
                <w:color w:val="auto"/>
                <w:sz w:val="24"/>
                <w:highlight w:val="none"/>
                <w:lang w:eastAsia="zh-CN"/>
              </w:rPr>
              <w:t>“</w:t>
            </w:r>
            <w:r>
              <w:rPr>
                <w:rStyle w:val="27"/>
                <w:rFonts w:hint="eastAsia" w:ascii="Times New Roman" w:hAnsi="宋体"/>
                <w:bCs/>
                <w:color w:val="auto"/>
                <w:sz w:val="24"/>
                <w:highlight w:val="none"/>
              </w:rPr>
              <w:t>分类收集-分级处理-循环复用</w:t>
            </w:r>
            <w:r>
              <w:rPr>
                <w:rStyle w:val="27"/>
                <w:rFonts w:hint="eastAsia" w:ascii="Times New Roman" w:hAnsi="宋体"/>
                <w:bCs/>
                <w:color w:val="auto"/>
                <w:sz w:val="24"/>
                <w:highlight w:val="none"/>
                <w:lang w:eastAsia="zh-CN"/>
              </w:rPr>
              <w:t>”</w:t>
            </w:r>
            <w:r>
              <w:rPr>
                <w:rStyle w:val="27"/>
                <w:rFonts w:hint="eastAsia" w:ascii="Times New Roman" w:hAnsi="宋体"/>
                <w:bCs/>
                <w:color w:val="auto"/>
                <w:sz w:val="24"/>
                <w:highlight w:val="none"/>
              </w:rPr>
              <w:t>原则处置：排水先汇入沉淀池，经沉淀、过滤去除悬浮物后，优先回用于钻井泥浆配置或车辆冲洗；若水质检测达标且确有剩余，将按规定报备后用于周边农田灌溉，严禁直接外排；若遇水质异常，处理至达标后再处置，全程确保排放符合相关标准。</w:t>
            </w:r>
          </w:p>
          <w:p w14:paraId="4BC895B6">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钻孔产生的</w:t>
            </w:r>
            <w:r>
              <w:rPr>
                <w:rFonts w:ascii="Times New Roman" w:hAnsi="宋体"/>
                <w:bCs/>
                <w:color w:val="auto"/>
                <w:sz w:val="24"/>
                <w:highlight w:val="none"/>
              </w:rPr>
              <w:t>泥浆水进入沉淀池后，依靠重力沉降作用，使其中的固体颗粒（钻屑、泥土等）逐渐沉积至池底，实现泥浆水的初步净化。沉淀后的泥浆水通过池内溢流或泵抽方式被输送至泥浆池，继续参与泥浆循环（可回流至</w:t>
            </w:r>
            <w:r>
              <w:rPr>
                <w:rFonts w:hint="eastAsia" w:ascii="Times New Roman" w:hAnsi="宋体"/>
                <w:bCs/>
                <w:color w:val="auto"/>
                <w:sz w:val="24"/>
                <w:highlight w:val="none"/>
                <w:lang w:eastAsia="zh-CN"/>
              </w:rPr>
              <w:t>“</w:t>
            </w:r>
            <w:r>
              <w:rPr>
                <w:rFonts w:ascii="Times New Roman" w:hAnsi="宋体"/>
                <w:bCs/>
                <w:color w:val="auto"/>
                <w:sz w:val="24"/>
                <w:highlight w:val="none"/>
              </w:rPr>
              <w:t>泥浆配置</w:t>
            </w:r>
            <w:r>
              <w:rPr>
                <w:rFonts w:hint="eastAsia" w:ascii="Times New Roman" w:hAnsi="宋体"/>
                <w:bCs/>
                <w:color w:val="auto"/>
                <w:sz w:val="24"/>
                <w:highlight w:val="none"/>
                <w:lang w:eastAsia="zh-CN"/>
              </w:rPr>
              <w:t>”</w:t>
            </w:r>
            <w:r>
              <w:rPr>
                <w:rFonts w:ascii="Times New Roman" w:hAnsi="宋体"/>
                <w:bCs/>
                <w:color w:val="auto"/>
                <w:sz w:val="24"/>
                <w:highlight w:val="none"/>
              </w:rPr>
              <w:t>工序重新调配，或直接供</w:t>
            </w:r>
            <w:r>
              <w:rPr>
                <w:rFonts w:hint="eastAsia" w:ascii="Times New Roman" w:hAnsi="宋体"/>
                <w:bCs/>
                <w:color w:val="auto"/>
                <w:sz w:val="24"/>
                <w:highlight w:val="none"/>
                <w:lang w:eastAsia="zh-CN"/>
              </w:rPr>
              <w:t>“</w:t>
            </w:r>
            <w:r>
              <w:rPr>
                <w:rFonts w:ascii="Times New Roman" w:hAnsi="宋体"/>
                <w:bCs/>
                <w:color w:val="auto"/>
                <w:sz w:val="24"/>
                <w:highlight w:val="none"/>
              </w:rPr>
              <w:t>泥浆泵</w:t>
            </w:r>
            <w:r>
              <w:rPr>
                <w:rFonts w:hint="eastAsia" w:ascii="Times New Roman" w:hAnsi="宋体"/>
                <w:bCs/>
                <w:color w:val="auto"/>
                <w:sz w:val="24"/>
                <w:highlight w:val="none"/>
                <w:lang w:eastAsia="zh-CN"/>
              </w:rPr>
              <w:t>”</w:t>
            </w:r>
            <w:r>
              <w:rPr>
                <w:rFonts w:ascii="Times New Roman" w:hAnsi="宋体"/>
                <w:bCs/>
                <w:color w:val="auto"/>
                <w:sz w:val="24"/>
                <w:highlight w:val="none"/>
              </w:rPr>
              <w:t>再次注入钻孔）；而沉淀池底部沉降的固体物质，待钻井结束后投加泥浆固化剂</w:t>
            </w:r>
            <w:r>
              <w:rPr>
                <w:rFonts w:hint="eastAsia" w:ascii="Times New Roman" w:hAnsi="宋体"/>
                <w:bCs/>
                <w:color w:val="auto"/>
                <w:sz w:val="24"/>
                <w:highlight w:val="none"/>
              </w:rPr>
              <w:t>固化后</w:t>
            </w:r>
            <w:r>
              <w:rPr>
                <w:rFonts w:hint="eastAsia" w:ascii="Times New Roman" w:hAnsi="宋体"/>
                <w:bCs/>
                <w:color w:val="auto"/>
                <w:sz w:val="24"/>
                <w:highlight w:val="none"/>
                <w:lang w:val="en-US" w:eastAsia="zh-CN"/>
              </w:rPr>
              <w:t>交由</w:t>
            </w:r>
            <w:r>
              <w:rPr>
                <w:rFonts w:hint="eastAsia" w:ascii="Times New Roman" w:hAnsi="宋体"/>
                <w:bCs/>
                <w:color w:val="auto"/>
                <w:sz w:val="24"/>
                <w:highlight w:val="none"/>
              </w:rPr>
              <w:t>建材</w:t>
            </w:r>
            <w:r>
              <w:rPr>
                <w:rFonts w:hint="eastAsia" w:ascii="Times New Roman" w:hAnsi="宋体"/>
                <w:bCs/>
                <w:color w:val="auto"/>
                <w:sz w:val="24"/>
                <w:highlight w:val="none"/>
                <w:lang w:val="en-US" w:eastAsia="zh-CN"/>
              </w:rPr>
              <w:t>公司综合回收利用</w:t>
            </w:r>
            <w:r>
              <w:rPr>
                <w:rFonts w:ascii="Times New Roman" w:hAnsi="宋体"/>
                <w:bCs/>
                <w:color w:val="auto"/>
                <w:sz w:val="24"/>
                <w:highlight w:val="none"/>
              </w:rPr>
              <w:t>。</w:t>
            </w:r>
          </w:p>
          <w:p w14:paraId="3AF009A1">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（3）终孔测井</w:t>
            </w:r>
          </w:p>
          <w:p w14:paraId="3CA0FCC1">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lang w:eastAsia="zh-CN"/>
              </w:rPr>
              <w:t>“</w:t>
            </w:r>
            <w:r>
              <w:rPr>
                <w:rFonts w:hint="eastAsia" w:ascii="Times New Roman" w:hAnsi="宋体"/>
                <w:bCs/>
                <w:color w:val="auto"/>
                <w:sz w:val="24"/>
                <w:highlight w:val="none"/>
              </w:rPr>
              <w:t>一开钻进</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达到设计孔深后，开展终孔测井作业。通过测井仪器沿钻孔轨迹下放、探测，对钻孔内地层岩性、煤层赋存状态、地质构造等信息进行精准采集。</w:t>
            </w:r>
          </w:p>
          <w:p w14:paraId="476C7A0F">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（4）封孔、生态修复</w:t>
            </w:r>
          </w:p>
          <w:p w14:paraId="41A914E1">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钻孔施工完成后拆除钻机并清理现场，采用商品混凝土进行全孔封闭，并在井口埋设永久性水泥暗标，作详细记录封孔情况。施工结束后按照复垦方案对临时占地进行复垦，剥离的表土回填，恢复原有生态环境功能。</w:t>
            </w:r>
          </w:p>
          <w:p w14:paraId="5EC564C9">
            <w:pPr>
              <w:spacing w:after="0" w:line="360" w:lineRule="auto"/>
              <w:ind w:firstLine="480" w:firstLineChars="200"/>
              <w:outlineLvl w:val="1"/>
              <w:rPr>
                <w:rFonts w:ascii="Times New Roman" w:hAnsi="宋体"/>
                <w:bCs/>
                <w:color w:val="auto"/>
                <w:sz w:val="24"/>
                <w:highlight w:val="none"/>
              </w:rPr>
            </w:pPr>
            <w:r>
              <w:rPr>
                <w:rFonts w:hint="eastAsia" w:ascii="Times New Roman" w:hAnsi="宋体"/>
                <w:bCs/>
                <w:color w:val="auto"/>
                <w:sz w:val="24"/>
                <w:highlight w:val="none"/>
              </w:rPr>
              <w:t>封井过程中会有少量施工扬尘和建筑垃圾，施工扬尘采取洒水抑尘、建筑垃圾通过专用车辆运输至政府制定地点处置。</w:t>
            </w:r>
          </w:p>
          <w:p w14:paraId="71D561D9">
            <w:pPr>
              <w:adjustRightInd w:val="0"/>
              <w:snapToGrid w:val="0"/>
              <w:spacing w:line="360" w:lineRule="auto"/>
              <w:jc w:val="center"/>
              <w:rPr>
                <w:rFonts w:ascii="Times New Roman" w:hAnsi="Times New Roman"/>
                <w:b/>
                <w:color w:val="auto"/>
                <w:highlight w:val="none"/>
              </w:rPr>
            </w:pPr>
            <w:r>
              <w:rPr>
                <w:rFonts w:hint="eastAsia"/>
                <w:color w:val="auto"/>
                <w:sz w:val="24"/>
                <w:highlight w:val="none"/>
              </w:rPr>
              <w:drawing>
                <wp:inline distT="0" distB="0" distL="114300" distR="114300">
                  <wp:extent cx="3583940" cy="3611245"/>
                  <wp:effectExtent l="0" t="0" r="8255" b="10160"/>
                  <wp:docPr id="17" name="图片 17" descr="朱集西煤矿地面补勘钻孔平面位置图1980坐标系-模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朱集西煤矿地面补勘钻孔平面位置图1980坐标系-模型2"/>
                          <pic:cNvPicPr>
                            <a:picLocks noChangeAspect="1"/>
                          </pic:cNvPicPr>
                        </pic:nvPicPr>
                        <pic:blipFill>
                          <a:blip r:embed="rId31"/>
                          <a:srcRect l="3902" r="11650"/>
                          <a:stretch>
                            <a:fillRect/>
                          </a:stretch>
                        </pic:blipFill>
                        <pic:spPr>
                          <a:xfrm rot="16200000">
                            <a:off x="0" y="0"/>
                            <a:ext cx="3583940" cy="3611245"/>
                          </a:xfrm>
                          <a:prstGeom prst="rect">
                            <a:avLst/>
                          </a:prstGeom>
                        </pic:spPr>
                      </pic:pic>
                    </a:graphicData>
                  </a:graphic>
                </wp:inline>
              </w:drawing>
            </w:r>
          </w:p>
          <w:p w14:paraId="6EB4A3A8">
            <w:pPr>
              <w:spacing w:line="360" w:lineRule="auto"/>
              <w:jc w:val="center"/>
              <w:rPr>
                <w:rFonts w:ascii="Times New Roman" w:hAnsi="Times New Roman"/>
                <w:b/>
                <w:color w:val="auto"/>
                <w:szCs w:val="21"/>
                <w:highlight w:val="none"/>
              </w:rPr>
            </w:pPr>
            <w:r>
              <w:rPr>
                <w:rFonts w:ascii="Times New Roman" w:hAnsi="Times New Roman"/>
                <w:b/>
                <w:color w:val="auto"/>
                <w:szCs w:val="21"/>
                <w:highlight w:val="none"/>
              </w:rPr>
              <w:t>图2-</w:t>
            </w:r>
            <w:r>
              <w:rPr>
                <w:rFonts w:hint="eastAsia" w:ascii="Times New Roman" w:hAnsi="Times New Roman"/>
                <w:b/>
                <w:color w:val="auto"/>
                <w:szCs w:val="21"/>
                <w:highlight w:val="none"/>
              </w:rPr>
              <w:t xml:space="preserve">2 </w:t>
            </w:r>
            <w:r>
              <w:rPr>
                <w:rFonts w:ascii="Times New Roman" w:hAnsi="Times New Roman"/>
                <w:b/>
                <w:color w:val="auto"/>
                <w:szCs w:val="21"/>
                <w:highlight w:val="none"/>
              </w:rPr>
              <w:t xml:space="preserve"> 项目钻井结构示意图</w:t>
            </w:r>
          </w:p>
          <w:p w14:paraId="09F93D26">
            <w:pPr>
              <w:pStyle w:val="31"/>
              <w:adjustRightInd/>
              <w:spacing w:after="0" w:line="360" w:lineRule="auto"/>
              <w:ind w:firstLine="482" w:firstLineChars="200"/>
              <w:jc w:val="both"/>
              <w:rPr>
                <w:rFonts w:hint="eastAsia" w:ascii="Times New Roman" w:hAnsi="Times New Roman"/>
                <w:b/>
                <w:bCs/>
                <w:color w:val="auto"/>
                <w:highlight w:val="none"/>
              </w:rPr>
            </w:pPr>
            <w:r>
              <w:rPr>
                <w:rFonts w:hint="eastAsia" w:ascii="Times New Roman" w:hAnsi="Times New Roman"/>
                <w:b/>
                <w:bCs/>
                <w:color w:val="auto"/>
                <w:highlight w:val="none"/>
              </w:rPr>
              <w:t>2、施工设备</w:t>
            </w:r>
          </w:p>
          <w:p w14:paraId="6D9804C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表2-</w:t>
            </w:r>
            <w:r>
              <w:rPr>
                <w:rFonts w:hint="eastAsia" w:ascii="Times New Roman" w:hAnsi="Times New Roman"/>
                <w:b/>
                <w:color w:val="auto"/>
                <w:szCs w:val="21"/>
                <w:highlight w:val="none"/>
                <w:lang w:val="en-US" w:eastAsia="zh-CN"/>
              </w:rPr>
              <w:t>5</w:t>
            </w:r>
            <w:r>
              <w:rPr>
                <w:rFonts w:hint="eastAsia" w:ascii="Times New Roman" w:hAnsi="Times New Roman"/>
                <w:b/>
                <w:color w:val="auto"/>
                <w:szCs w:val="21"/>
                <w:highlight w:val="none"/>
              </w:rPr>
              <w:t xml:space="preserve"> </w:t>
            </w:r>
            <w:r>
              <w:rPr>
                <w:rFonts w:ascii="Times New Roman" w:hAnsi="Times New Roman"/>
                <w:b/>
                <w:color w:val="auto"/>
                <w:szCs w:val="21"/>
                <w:highlight w:val="none"/>
              </w:rPr>
              <w:t xml:space="preserve"> 项目施工设备一览表</w:t>
            </w:r>
          </w:p>
          <w:tbl>
            <w:tblPr>
              <w:tblStyle w:val="22"/>
              <w:tblW w:w="7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522"/>
              <w:gridCol w:w="2896"/>
              <w:gridCol w:w="1329"/>
              <w:gridCol w:w="1329"/>
            </w:tblGrid>
            <w:tr w14:paraId="3E3B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0209077E">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序号</w:t>
                  </w:r>
                </w:p>
              </w:tc>
              <w:tc>
                <w:tcPr>
                  <w:tcW w:w="1522" w:type="dxa"/>
                  <w:vAlign w:val="center"/>
                </w:tcPr>
                <w:p w14:paraId="784828F6">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名称</w:t>
                  </w:r>
                </w:p>
              </w:tc>
              <w:tc>
                <w:tcPr>
                  <w:tcW w:w="2896" w:type="dxa"/>
                  <w:vAlign w:val="center"/>
                </w:tcPr>
                <w:p w14:paraId="186621E0">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型号</w:t>
                  </w:r>
                </w:p>
              </w:tc>
              <w:tc>
                <w:tcPr>
                  <w:tcW w:w="1329" w:type="dxa"/>
                  <w:vAlign w:val="center"/>
                </w:tcPr>
                <w:p w14:paraId="4E5358FC">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单位</w:t>
                  </w:r>
                </w:p>
              </w:tc>
              <w:tc>
                <w:tcPr>
                  <w:tcW w:w="1329" w:type="dxa"/>
                  <w:vAlign w:val="center"/>
                </w:tcPr>
                <w:p w14:paraId="654D5309">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数量</w:t>
                  </w:r>
                </w:p>
              </w:tc>
            </w:tr>
            <w:tr w14:paraId="6998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3A98DD76">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1</w:t>
                  </w:r>
                </w:p>
              </w:tc>
              <w:tc>
                <w:tcPr>
                  <w:tcW w:w="1522" w:type="dxa"/>
                  <w:vAlign w:val="center"/>
                </w:tcPr>
                <w:p w14:paraId="45EC0E04">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钻机</w:t>
                  </w:r>
                </w:p>
              </w:tc>
              <w:tc>
                <w:tcPr>
                  <w:tcW w:w="2896" w:type="dxa"/>
                  <w:vAlign w:val="center"/>
                </w:tcPr>
                <w:p w14:paraId="6562161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TXB</w:t>
                  </w:r>
                  <w:r>
                    <w:rPr>
                      <w:rFonts w:ascii="Times New Roman" w:hAnsi="Times New Roman" w:cs="Times New Roman"/>
                      <w:color w:val="auto"/>
                      <w:kern w:val="0"/>
                      <w:sz w:val="21"/>
                      <w:szCs w:val="21"/>
                      <w:highlight w:val="none"/>
                    </w:rPr>
                    <w:t>-</w:t>
                  </w:r>
                  <w:r>
                    <w:rPr>
                      <w:rFonts w:hint="eastAsia" w:ascii="Times New Roman" w:hAnsi="Times New Roman" w:cs="Times New Roman"/>
                      <w:color w:val="auto"/>
                      <w:kern w:val="0"/>
                      <w:sz w:val="21"/>
                      <w:szCs w:val="21"/>
                      <w:highlight w:val="none"/>
                      <w:lang w:val="en-US" w:eastAsia="zh-CN"/>
                    </w:rPr>
                    <w:t>160</w:t>
                  </w:r>
                  <w:r>
                    <w:rPr>
                      <w:rFonts w:ascii="Times New Roman" w:hAnsi="Times New Roman" w:cs="Times New Roman"/>
                      <w:color w:val="auto"/>
                      <w:kern w:val="0"/>
                      <w:sz w:val="21"/>
                      <w:szCs w:val="21"/>
                      <w:highlight w:val="none"/>
                    </w:rPr>
                    <w:t>0钻机</w:t>
                  </w:r>
                </w:p>
              </w:tc>
              <w:tc>
                <w:tcPr>
                  <w:tcW w:w="1329" w:type="dxa"/>
                  <w:vAlign w:val="center"/>
                </w:tcPr>
                <w:p w14:paraId="2DF932D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台</w:t>
                  </w:r>
                </w:p>
              </w:tc>
              <w:tc>
                <w:tcPr>
                  <w:tcW w:w="1329" w:type="dxa"/>
                  <w:vAlign w:val="center"/>
                </w:tcPr>
                <w:p w14:paraId="3A513D0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9</w:t>
                  </w:r>
                </w:p>
              </w:tc>
            </w:tr>
            <w:tr w14:paraId="166D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6C257032">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2</w:t>
                  </w:r>
                </w:p>
              </w:tc>
              <w:tc>
                <w:tcPr>
                  <w:tcW w:w="1522" w:type="dxa"/>
                  <w:vAlign w:val="center"/>
                </w:tcPr>
                <w:p w14:paraId="18F1CD41">
                  <w:pPr>
                    <w:widowControl/>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泥浆泵</w:t>
                  </w:r>
                </w:p>
              </w:tc>
              <w:tc>
                <w:tcPr>
                  <w:tcW w:w="2896" w:type="dxa"/>
                  <w:vAlign w:val="center"/>
                </w:tcPr>
                <w:p w14:paraId="1FA9F58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NBB250/60</w:t>
                  </w:r>
                </w:p>
              </w:tc>
              <w:tc>
                <w:tcPr>
                  <w:tcW w:w="1329" w:type="dxa"/>
                  <w:vAlign w:val="center"/>
                </w:tcPr>
                <w:p w14:paraId="0E2A1AA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台</w:t>
                  </w:r>
                </w:p>
              </w:tc>
              <w:tc>
                <w:tcPr>
                  <w:tcW w:w="1329" w:type="dxa"/>
                  <w:vAlign w:val="center"/>
                </w:tcPr>
                <w:p w14:paraId="7805B25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bidi="ar-SA"/>
                    </w:rPr>
                    <w:t>9</w:t>
                  </w:r>
                </w:p>
              </w:tc>
            </w:tr>
            <w:tr w14:paraId="049F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1A9B48D4">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3</w:t>
                  </w:r>
                </w:p>
              </w:tc>
              <w:tc>
                <w:tcPr>
                  <w:tcW w:w="1522" w:type="dxa"/>
                  <w:vAlign w:val="center"/>
                </w:tcPr>
                <w:p w14:paraId="637C1423">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电动机</w:t>
                  </w:r>
                </w:p>
              </w:tc>
              <w:tc>
                <w:tcPr>
                  <w:tcW w:w="2896" w:type="dxa"/>
                  <w:vAlign w:val="center"/>
                </w:tcPr>
                <w:p w14:paraId="54FC310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eastAsia="宋体" w:cs="Times New Roman"/>
                      <w:color w:val="auto"/>
                      <w:kern w:val="2"/>
                      <w:sz w:val="21"/>
                      <w:szCs w:val="21"/>
                      <w:highlight w:val="none"/>
                      <w:lang w:val="en-US" w:eastAsia="zh-CN" w:bidi="ar-SA"/>
                    </w:rPr>
                    <w:t>37KW</w:t>
                  </w:r>
                </w:p>
              </w:tc>
              <w:tc>
                <w:tcPr>
                  <w:tcW w:w="1329" w:type="dxa"/>
                  <w:vAlign w:val="center"/>
                </w:tcPr>
                <w:p w14:paraId="7BDEF6B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台</w:t>
                  </w:r>
                </w:p>
              </w:tc>
              <w:tc>
                <w:tcPr>
                  <w:tcW w:w="1329" w:type="dxa"/>
                  <w:vAlign w:val="center"/>
                </w:tcPr>
                <w:p w14:paraId="156867D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bidi="ar-SA"/>
                    </w:rPr>
                    <w:t>9</w:t>
                  </w:r>
                </w:p>
              </w:tc>
            </w:tr>
            <w:tr w14:paraId="6E63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3EB0CF6A">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4</w:t>
                  </w:r>
                </w:p>
              </w:tc>
              <w:tc>
                <w:tcPr>
                  <w:tcW w:w="1522" w:type="dxa"/>
                  <w:vAlign w:val="center"/>
                </w:tcPr>
                <w:p w14:paraId="6BE6AA09">
                  <w:pPr>
                    <w:widowControl/>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绞车</w:t>
                  </w:r>
                </w:p>
              </w:tc>
              <w:tc>
                <w:tcPr>
                  <w:tcW w:w="2896" w:type="dxa"/>
                  <w:vAlign w:val="center"/>
                </w:tcPr>
                <w:p w14:paraId="5D4C0CC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JC100</w:t>
                  </w:r>
                </w:p>
              </w:tc>
              <w:tc>
                <w:tcPr>
                  <w:tcW w:w="1329" w:type="dxa"/>
                  <w:vAlign w:val="center"/>
                </w:tcPr>
                <w:p w14:paraId="57C011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台</w:t>
                  </w:r>
                </w:p>
              </w:tc>
              <w:tc>
                <w:tcPr>
                  <w:tcW w:w="1329" w:type="dxa"/>
                  <w:vAlign w:val="center"/>
                </w:tcPr>
                <w:p w14:paraId="14CAB24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9</w:t>
                  </w:r>
                </w:p>
              </w:tc>
            </w:tr>
            <w:tr w14:paraId="6AD2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46EB5D6C">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5</w:t>
                  </w:r>
                </w:p>
              </w:tc>
              <w:tc>
                <w:tcPr>
                  <w:tcW w:w="1522" w:type="dxa"/>
                  <w:vAlign w:val="center"/>
                </w:tcPr>
                <w:p w14:paraId="46A13CF7">
                  <w:pPr>
                    <w:widowControl/>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钻头</w:t>
                  </w:r>
                </w:p>
              </w:tc>
              <w:tc>
                <w:tcPr>
                  <w:tcW w:w="2896" w:type="dxa"/>
                  <w:vAlign w:val="center"/>
                </w:tcPr>
                <w:p w14:paraId="31518D8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ascii="Times New Roman" w:hAnsi="Times New Roman" w:cs="Times New Roman"/>
                      <w:bCs/>
                      <w:color w:val="auto"/>
                      <w:sz w:val="21"/>
                      <w:szCs w:val="21"/>
                      <w:highlight w:val="none"/>
                    </w:rPr>
                    <w:t>Φ</w:t>
                  </w:r>
                  <w:r>
                    <w:rPr>
                      <w:rFonts w:hint="eastAsia" w:ascii="Times New Roman" w:hAnsi="Times New Roman" w:cs="Times New Roman"/>
                      <w:bCs/>
                      <w:color w:val="auto"/>
                      <w:sz w:val="21"/>
                      <w:szCs w:val="21"/>
                      <w:highlight w:val="none"/>
                      <w:lang w:val="en-US" w:eastAsia="zh-CN"/>
                    </w:rPr>
                    <w:t>94</w:t>
                  </w:r>
                  <w:r>
                    <w:rPr>
                      <w:rFonts w:hint="eastAsia" w:ascii="Times New Roman" w:hAnsi="Times New Roman" w:cs="Times New Roman"/>
                      <w:color w:val="auto"/>
                      <w:kern w:val="0"/>
                      <w:sz w:val="21"/>
                      <w:szCs w:val="21"/>
                      <w:highlight w:val="none"/>
                    </w:rPr>
                    <w:t>mm</w:t>
                  </w:r>
                  <w:r>
                    <w:rPr>
                      <w:rFonts w:hint="eastAsia" w:ascii="Times New Roman" w:hAnsi="Times New Roman" w:cs="Times New Roman"/>
                      <w:color w:val="auto"/>
                      <w:kern w:val="0"/>
                      <w:sz w:val="21"/>
                      <w:szCs w:val="21"/>
                      <w:highlight w:val="none"/>
                      <w:lang w:eastAsia="zh-CN"/>
                    </w:rPr>
                    <w:t>、</w:t>
                  </w:r>
                  <w:r>
                    <w:rPr>
                      <w:rFonts w:ascii="Times New Roman" w:hAnsi="Times New Roman" w:cs="Times New Roman"/>
                      <w:bCs/>
                      <w:color w:val="auto"/>
                      <w:sz w:val="21"/>
                      <w:szCs w:val="21"/>
                      <w:highlight w:val="none"/>
                    </w:rPr>
                    <w:t>Φ</w:t>
                  </w:r>
                  <w:r>
                    <w:rPr>
                      <w:rFonts w:hint="eastAsia" w:ascii="Times New Roman" w:hAnsi="Times New Roman" w:cs="Times New Roman"/>
                      <w:bCs/>
                      <w:color w:val="auto"/>
                      <w:sz w:val="21"/>
                      <w:szCs w:val="21"/>
                      <w:highlight w:val="none"/>
                      <w:lang w:val="en-US" w:eastAsia="zh-CN"/>
                    </w:rPr>
                    <w:t>110</w:t>
                  </w:r>
                  <w:r>
                    <w:rPr>
                      <w:rFonts w:hint="eastAsia" w:ascii="Times New Roman" w:hAnsi="Times New Roman" w:cs="Times New Roman"/>
                      <w:color w:val="auto"/>
                      <w:kern w:val="0"/>
                      <w:sz w:val="21"/>
                      <w:szCs w:val="21"/>
                      <w:highlight w:val="none"/>
                    </w:rPr>
                    <w:t>mm</w:t>
                  </w:r>
                </w:p>
              </w:tc>
              <w:tc>
                <w:tcPr>
                  <w:tcW w:w="1329" w:type="dxa"/>
                  <w:vAlign w:val="center"/>
                </w:tcPr>
                <w:p w14:paraId="513B930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个</w:t>
                  </w:r>
                </w:p>
              </w:tc>
              <w:tc>
                <w:tcPr>
                  <w:tcW w:w="1329" w:type="dxa"/>
                  <w:vAlign w:val="center"/>
                </w:tcPr>
                <w:p w14:paraId="15C7B64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57</w:t>
                  </w:r>
                </w:p>
              </w:tc>
            </w:tr>
            <w:tr w14:paraId="50DF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6" w:type="dxa"/>
                  <w:vAlign w:val="center"/>
                </w:tcPr>
                <w:p w14:paraId="2C5B42EB">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6</w:t>
                  </w:r>
                </w:p>
              </w:tc>
              <w:tc>
                <w:tcPr>
                  <w:tcW w:w="1522" w:type="dxa"/>
                  <w:vAlign w:val="center"/>
                </w:tcPr>
                <w:p w14:paraId="39344F46">
                  <w:pPr>
                    <w:widowControl/>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钻杆</w:t>
                  </w:r>
                </w:p>
              </w:tc>
              <w:tc>
                <w:tcPr>
                  <w:tcW w:w="2896" w:type="dxa"/>
                  <w:vAlign w:val="center"/>
                </w:tcPr>
                <w:p w14:paraId="1FE51F3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ascii="Times New Roman" w:hAnsi="Times New Roman" w:cs="Times New Roman"/>
                      <w:bCs/>
                      <w:color w:val="auto"/>
                      <w:sz w:val="21"/>
                      <w:szCs w:val="21"/>
                      <w:highlight w:val="none"/>
                    </w:rPr>
                    <w:t>Φ</w:t>
                  </w:r>
                  <w:r>
                    <w:rPr>
                      <w:rFonts w:hint="eastAsia" w:ascii="Times New Roman" w:hAnsi="Times New Roman" w:cs="Times New Roman"/>
                      <w:color w:val="auto"/>
                      <w:kern w:val="0"/>
                      <w:sz w:val="21"/>
                      <w:szCs w:val="21"/>
                      <w:highlight w:val="none"/>
                      <w:lang w:val="en-US" w:eastAsia="zh-CN"/>
                    </w:rPr>
                    <w:t>50</w:t>
                  </w:r>
                  <w:r>
                    <w:rPr>
                      <w:rFonts w:hint="eastAsia" w:ascii="Times New Roman" w:hAnsi="Times New Roman" w:cs="Times New Roman"/>
                      <w:color w:val="auto"/>
                      <w:kern w:val="0"/>
                      <w:sz w:val="21"/>
                      <w:szCs w:val="21"/>
                      <w:highlight w:val="none"/>
                    </w:rPr>
                    <w:t>mm</w:t>
                  </w:r>
                </w:p>
              </w:tc>
              <w:tc>
                <w:tcPr>
                  <w:tcW w:w="1329" w:type="dxa"/>
                  <w:vAlign w:val="center"/>
                </w:tcPr>
                <w:p w14:paraId="34D475A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m</w:t>
                  </w:r>
                </w:p>
              </w:tc>
              <w:tc>
                <w:tcPr>
                  <w:tcW w:w="1329" w:type="dxa"/>
                  <w:vAlign w:val="center"/>
                </w:tcPr>
                <w:p w14:paraId="6766E9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9900</w:t>
                  </w:r>
                </w:p>
              </w:tc>
            </w:tr>
            <w:tr w14:paraId="0764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66" w:type="dxa"/>
                  <w:vAlign w:val="center"/>
                </w:tcPr>
                <w:p w14:paraId="6EA0A426">
                  <w:pPr>
                    <w:widowControl/>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7</w:t>
                  </w:r>
                </w:p>
              </w:tc>
              <w:tc>
                <w:tcPr>
                  <w:tcW w:w="1522" w:type="dxa"/>
                  <w:vAlign w:val="center"/>
                </w:tcPr>
                <w:p w14:paraId="5B195970">
                  <w:pPr>
                    <w:widowControl/>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钻铤</w:t>
                  </w:r>
                </w:p>
              </w:tc>
              <w:tc>
                <w:tcPr>
                  <w:tcW w:w="2896" w:type="dxa"/>
                  <w:vAlign w:val="center"/>
                </w:tcPr>
                <w:p w14:paraId="3B66558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ascii="Times New Roman" w:hAnsi="Times New Roman" w:cs="Times New Roman"/>
                      <w:bCs/>
                      <w:color w:val="auto"/>
                      <w:sz w:val="21"/>
                      <w:szCs w:val="21"/>
                      <w:highlight w:val="none"/>
                    </w:rPr>
                    <w:t>Φ</w:t>
                  </w:r>
                  <w:r>
                    <w:rPr>
                      <w:rFonts w:hint="eastAsia" w:ascii="Times New Roman" w:hAnsi="Times New Roman" w:cs="Times New Roman"/>
                      <w:color w:val="auto"/>
                      <w:kern w:val="0"/>
                      <w:sz w:val="21"/>
                      <w:szCs w:val="21"/>
                      <w:highlight w:val="none"/>
                      <w:lang w:val="en-US" w:eastAsia="zh-CN"/>
                    </w:rPr>
                    <w:t>75</w:t>
                  </w:r>
                  <w:r>
                    <w:rPr>
                      <w:rFonts w:hint="eastAsia" w:ascii="Times New Roman" w:hAnsi="Times New Roman" w:cs="Times New Roman"/>
                      <w:color w:val="auto"/>
                      <w:kern w:val="0"/>
                      <w:sz w:val="21"/>
                      <w:szCs w:val="21"/>
                      <w:highlight w:val="none"/>
                    </w:rPr>
                    <w:t>mm</w:t>
                  </w:r>
                </w:p>
              </w:tc>
              <w:tc>
                <w:tcPr>
                  <w:tcW w:w="1329" w:type="dxa"/>
                  <w:vAlign w:val="center"/>
                </w:tcPr>
                <w:p w14:paraId="5F7F6E0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m</w:t>
                  </w:r>
                </w:p>
              </w:tc>
              <w:tc>
                <w:tcPr>
                  <w:tcW w:w="1329" w:type="dxa"/>
                  <w:vAlign w:val="center"/>
                </w:tcPr>
                <w:p w14:paraId="0637317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810</w:t>
                  </w:r>
                </w:p>
              </w:tc>
            </w:tr>
          </w:tbl>
          <w:p w14:paraId="12455D47">
            <w:pPr>
              <w:pStyle w:val="31"/>
              <w:adjustRightInd/>
              <w:spacing w:after="0" w:line="360" w:lineRule="auto"/>
              <w:ind w:firstLine="482" w:firstLineChars="200"/>
              <w:jc w:val="both"/>
              <w:rPr>
                <w:rFonts w:ascii="Times New Roman" w:hAnsi="Times New Roman"/>
                <w:b/>
                <w:color w:val="auto"/>
                <w:highlight w:val="none"/>
              </w:rPr>
            </w:pPr>
            <w:r>
              <w:rPr>
                <w:rFonts w:hint="eastAsia" w:ascii="Times New Roman" w:hAnsi="Times New Roman"/>
                <w:b/>
                <w:color w:val="auto"/>
                <w:highlight w:val="none"/>
              </w:rPr>
              <w:t>3</w:t>
            </w:r>
            <w:r>
              <w:rPr>
                <w:rFonts w:ascii="Times New Roman" w:hAnsi="Times New Roman"/>
                <w:b/>
                <w:color w:val="auto"/>
                <w:highlight w:val="none"/>
              </w:rPr>
              <w:t>、项目主要原辅材料、能源及设备</w:t>
            </w:r>
          </w:p>
          <w:p w14:paraId="7F1C19E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表2-</w:t>
            </w:r>
            <w:r>
              <w:rPr>
                <w:rFonts w:hint="eastAsia" w:ascii="Times New Roman" w:hAnsi="Times New Roman"/>
                <w:b/>
                <w:color w:val="auto"/>
                <w:szCs w:val="21"/>
                <w:highlight w:val="none"/>
                <w:lang w:val="en-US" w:eastAsia="zh-CN"/>
              </w:rPr>
              <w:t>6</w:t>
            </w:r>
            <w:r>
              <w:rPr>
                <w:rFonts w:ascii="Times New Roman" w:hAnsi="Times New Roman"/>
                <w:b/>
                <w:color w:val="auto"/>
                <w:szCs w:val="21"/>
                <w:highlight w:val="none"/>
              </w:rPr>
              <w:t xml:space="preserve">  原辅材料和动力供应用量一览表</w:t>
            </w:r>
          </w:p>
          <w:tbl>
            <w:tblPr>
              <w:tblStyle w:val="22"/>
              <w:tblW w:w="7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5"/>
              <w:gridCol w:w="1521"/>
              <w:gridCol w:w="963"/>
              <w:gridCol w:w="1102"/>
              <w:gridCol w:w="1102"/>
              <w:gridCol w:w="1180"/>
              <w:gridCol w:w="1449"/>
            </w:tblGrid>
            <w:tr w14:paraId="7A6C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4DF4DF26">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序号</w:t>
                  </w:r>
                </w:p>
              </w:tc>
              <w:tc>
                <w:tcPr>
                  <w:tcW w:w="1521" w:type="dxa"/>
                  <w:vAlign w:val="center"/>
                </w:tcPr>
                <w:p w14:paraId="789D6DFF">
                  <w:pPr>
                    <w:widowControl/>
                    <w:spacing w:after="0" w:line="240" w:lineRule="auto"/>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原材料和能源</w:t>
                  </w:r>
                </w:p>
              </w:tc>
              <w:tc>
                <w:tcPr>
                  <w:tcW w:w="963" w:type="dxa"/>
                  <w:vAlign w:val="center"/>
                </w:tcPr>
                <w:p w14:paraId="42E69464">
                  <w:pPr>
                    <w:widowControl/>
                    <w:spacing w:after="0" w:line="240" w:lineRule="auto"/>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用量</w:t>
                  </w:r>
                </w:p>
              </w:tc>
              <w:tc>
                <w:tcPr>
                  <w:tcW w:w="1102" w:type="dxa"/>
                  <w:vAlign w:val="center"/>
                </w:tcPr>
                <w:p w14:paraId="35A0F3F7">
                  <w:pPr>
                    <w:spacing w:after="0" w:line="240" w:lineRule="auto"/>
                    <w:jc w:val="center"/>
                    <w:textAlignment w:val="center"/>
                    <w:rPr>
                      <w:rFonts w:ascii="Times New Roman" w:hAnsi="Times New Roman"/>
                      <w:color w:val="auto"/>
                      <w:szCs w:val="21"/>
                      <w:highlight w:val="none"/>
                    </w:rPr>
                  </w:pPr>
                  <w:r>
                    <w:rPr>
                      <w:rFonts w:hint="eastAsia" w:ascii="Times New Roman" w:hAnsi="Times New Roman"/>
                      <w:color w:val="auto"/>
                      <w:szCs w:val="21"/>
                      <w:highlight w:val="none"/>
                    </w:rPr>
                    <w:t>主要成分</w:t>
                  </w:r>
                </w:p>
              </w:tc>
              <w:tc>
                <w:tcPr>
                  <w:tcW w:w="1102" w:type="dxa"/>
                  <w:vAlign w:val="center"/>
                </w:tcPr>
                <w:p w14:paraId="489BCFB7">
                  <w:pPr>
                    <w:spacing w:after="0" w:line="240" w:lineRule="auto"/>
                    <w:jc w:val="center"/>
                    <w:textAlignment w:val="center"/>
                    <w:rPr>
                      <w:rFonts w:ascii="Times New Roman" w:hAnsi="Times New Roman"/>
                      <w:color w:val="auto"/>
                      <w:szCs w:val="21"/>
                      <w:highlight w:val="none"/>
                    </w:rPr>
                  </w:pPr>
                  <w:r>
                    <w:rPr>
                      <w:rFonts w:ascii="Times New Roman" w:hAnsi="Times New Roman"/>
                      <w:color w:val="auto"/>
                      <w:szCs w:val="21"/>
                      <w:highlight w:val="none"/>
                    </w:rPr>
                    <w:t>最大存储量</w:t>
                  </w:r>
                </w:p>
              </w:tc>
              <w:tc>
                <w:tcPr>
                  <w:tcW w:w="1180" w:type="dxa"/>
                  <w:vAlign w:val="center"/>
                </w:tcPr>
                <w:p w14:paraId="0501DD71">
                  <w:pPr>
                    <w:widowControl/>
                    <w:spacing w:after="0" w:line="240" w:lineRule="auto"/>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储存位置</w:t>
                  </w:r>
                </w:p>
              </w:tc>
              <w:tc>
                <w:tcPr>
                  <w:tcW w:w="1449" w:type="dxa"/>
                  <w:vAlign w:val="center"/>
                </w:tcPr>
                <w:p w14:paraId="0235DE6D">
                  <w:pPr>
                    <w:widowControl/>
                    <w:spacing w:after="0" w:line="240" w:lineRule="auto"/>
                    <w:jc w:val="center"/>
                    <w:textAlignment w:val="center"/>
                    <w:rPr>
                      <w:rFonts w:ascii="Times New Roman" w:hAnsi="Times New Roman"/>
                      <w:color w:val="auto"/>
                      <w:szCs w:val="21"/>
                      <w:highlight w:val="none"/>
                    </w:rPr>
                  </w:pPr>
                  <w:r>
                    <w:rPr>
                      <w:rFonts w:ascii="Times New Roman" w:hAnsi="Times New Roman"/>
                      <w:color w:val="auto"/>
                      <w:szCs w:val="21"/>
                      <w:highlight w:val="none"/>
                    </w:rPr>
                    <w:t>储存方式</w:t>
                  </w:r>
                </w:p>
              </w:tc>
            </w:tr>
            <w:tr w14:paraId="361D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1A56F046">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1</w:t>
                  </w:r>
                </w:p>
              </w:tc>
              <w:tc>
                <w:tcPr>
                  <w:tcW w:w="1521" w:type="dxa"/>
                  <w:vAlign w:val="center"/>
                </w:tcPr>
                <w:p w14:paraId="32D2E69C">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用电</w:t>
                  </w:r>
                </w:p>
              </w:tc>
              <w:tc>
                <w:tcPr>
                  <w:tcW w:w="963" w:type="dxa"/>
                  <w:vAlign w:val="center"/>
                </w:tcPr>
                <w:p w14:paraId="0F21E1AE">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22.8</w:t>
                  </w:r>
                  <w:r>
                    <w:rPr>
                      <w:rFonts w:hint="eastAsia" w:ascii="Times New Roman" w:hAnsi="Times New Roman"/>
                      <w:color w:val="auto"/>
                      <w:kern w:val="0"/>
                      <w:szCs w:val="21"/>
                      <w:highlight w:val="none"/>
                    </w:rPr>
                    <w:t>万度</w:t>
                  </w:r>
                </w:p>
              </w:tc>
              <w:tc>
                <w:tcPr>
                  <w:tcW w:w="1102" w:type="dxa"/>
                  <w:vAlign w:val="center"/>
                </w:tcPr>
                <w:p w14:paraId="4EBB48CA">
                  <w:pPr>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w:t>
                  </w:r>
                </w:p>
              </w:tc>
              <w:tc>
                <w:tcPr>
                  <w:tcW w:w="1102" w:type="dxa"/>
                  <w:vAlign w:val="center"/>
                </w:tcPr>
                <w:p w14:paraId="165EEAB4">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1180" w:type="dxa"/>
                  <w:vAlign w:val="center"/>
                </w:tcPr>
                <w:p w14:paraId="54ED6B68">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1449" w:type="dxa"/>
                  <w:vAlign w:val="center"/>
                </w:tcPr>
                <w:p w14:paraId="3471C4A1">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r>
            <w:tr w14:paraId="2E6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4C3AF031">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2</w:t>
                  </w:r>
                </w:p>
              </w:tc>
              <w:tc>
                <w:tcPr>
                  <w:tcW w:w="1521" w:type="dxa"/>
                  <w:vAlign w:val="center"/>
                </w:tcPr>
                <w:p w14:paraId="4ED7322B">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用水</w:t>
                  </w:r>
                </w:p>
              </w:tc>
              <w:tc>
                <w:tcPr>
                  <w:tcW w:w="963" w:type="dxa"/>
                  <w:vAlign w:val="center"/>
                </w:tcPr>
                <w:p w14:paraId="38FBF20B">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2850</w:t>
                  </w:r>
                  <w:r>
                    <w:rPr>
                      <w:rFonts w:ascii="Times New Roman" w:hAnsi="Times New Roman"/>
                      <w:color w:val="auto"/>
                      <w:kern w:val="0"/>
                      <w:szCs w:val="21"/>
                      <w:highlight w:val="none"/>
                    </w:rPr>
                    <w:t>t</w:t>
                  </w:r>
                </w:p>
              </w:tc>
              <w:tc>
                <w:tcPr>
                  <w:tcW w:w="1102" w:type="dxa"/>
                  <w:vAlign w:val="center"/>
                </w:tcPr>
                <w:p w14:paraId="1B8A95BD">
                  <w:pPr>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w:t>
                  </w:r>
                </w:p>
              </w:tc>
              <w:tc>
                <w:tcPr>
                  <w:tcW w:w="1102" w:type="dxa"/>
                  <w:vAlign w:val="center"/>
                </w:tcPr>
                <w:p w14:paraId="037A6258">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1180" w:type="dxa"/>
                  <w:vAlign w:val="center"/>
                </w:tcPr>
                <w:p w14:paraId="2D52BF6E">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1449" w:type="dxa"/>
                  <w:vAlign w:val="center"/>
                </w:tcPr>
                <w:p w14:paraId="743CE5F2">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r>
            <w:tr w14:paraId="6EFF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72DE347B">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3</w:t>
                  </w:r>
                </w:p>
              </w:tc>
              <w:tc>
                <w:tcPr>
                  <w:tcW w:w="1521" w:type="dxa"/>
                  <w:vAlign w:val="center"/>
                </w:tcPr>
                <w:p w14:paraId="75B4F83F">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外购</w:t>
                  </w:r>
                  <w:r>
                    <w:rPr>
                      <w:rFonts w:hint="eastAsia" w:ascii="Times New Roman" w:hAnsi="Times New Roman"/>
                      <w:color w:val="auto"/>
                      <w:kern w:val="0"/>
                      <w:szCs w:val="21"/>
                      <w:highlight w:val="none"/>
                    </w:rPr>
                    <w:t>商品混凝土</w:t>
                  </w:r>
                </w:p>
              </w:tc>
              <w:tc>
                <w:tcPr>
                  <w:tcW w:w="963" w:type="dxa"/>
                  <w:vAlign w:val="center"/>
                </w:tcPr>
                <w:p w14:paraId="7862A21B">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34</w:t>
                  </w:r>
                  <w:r>
                    <w:rPr>
                      <w:rFonts w:ascii="Times New Roman" w:hAnsi="Times New Roman"/>
                      <w:color w:val="auto"/>
                      <w:kern w:val="0"/>
                      <w:szCs w:val="21"/>
                      <w:highlight w:val="none"/>
                    </w:rPr>
                    <w:t>t</w:t>
                  </w:r>
                </w:p>
              </w:tc>
              <w:tc>
                <w:tcPr>
                  <w:tcW w:w="1102" w:type="dxa"/>
                  <w:vAlign w:val="center"/>
                </w:tcPr>
                <w:p w14:paraId="6014F109">
                  <w:pPr>
                    <w:spacing w:after="0" w:line="240" w:lineRule="auto"/>
                    <w:jc w:val="center"/>
                    <w:textAlignment w:val="center"/>
                    <w:rPr>
                      <w:color w:val="auto"/>
                      <w:szCs w:val="21"/>
                      <w:highlight w:val="none"/>
                    </w:rPr>
                  </w:pPr>
                  <w:r>
                    <w:rPr>
                      <w:rFonts w:hint="eastAsia"/>
                      <w:color w:val="auto"/>
                      <w:szCs w:val="21"/>
                      <w:highlight w:val="none"/>
                    </w:rPr>
                    <w:t>混凝土</w:t>
                  </w:r>
                </w:p>
              </w:tc>
              <w:tc>
                <w:tcPr>
                  <w:tcW w:w="1102" w:type="dxa"/>
                  <w:vAlign w:val="center"/>
                </w:tcPr>
                <w:p w14:paraId="506C6C03">
                  <w:pPr>
                    <w:spacing w:after="0" w:line="240" w:lineRule="auto"/>
                    <w:jc w:val="center"/>
                    <w:textAlignment w:val="center"/>
                    <w:rPr>
                      <w:rFonts w:ascii="Times New Roman" w:hAnsi="Times New Roman"/>
                      <w:color w:val="auto"/>
                      <w:kern w:val="0"/>
                      <w:szCs w:val="21"/>
                      <w:highlight w:val="none"/>
                    </w:rPr>
                  </w:pPr>
                  <w:r>
                    <w:rPr>
                      <w:rFonts w:hint="eastAsia"/>
                      <w:color w:val="auto"/>
                      <w:szCs w:val="21"/>
                      <w:highlight w:val="none"/>
                    </w:rPr>
                    <w:t>/</w:t>
                  </w:r>
                </w:p>
              </w:tc>
              <w:tc>
                <w:tcPr>
                  <w:tcW w:w="1180" w:type="dxa"/>
                  <w:vAlign w:val="center"/>
                </w:tcPr>
                <w:p w14:paraId="541573D9">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1449" w:type="dxa"/>
                  <w:vAlign w:val="center"/>
                </w:tcPr>
                <w:p w14:paraId="38AAB5BE">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固井即时使用</w:t>
                  </w:r>
                </w:p>
              </w:tc>
            </w:tr>
            <w:tr w14:paraId="315C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1" w:hRule="atLeast"/>
                <w:jc w:val="center"/>
              </w:trPr>
              <w:tc>
                <w:tcPr>
                  <w:tcW w:w="525" w:type="dxa"/>
                  <w:vAlign w:val="center"/>
                </w:tcPr>
                <w:p w14:paraId="3190E5F8">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4</w:t>
                  </w:r>
                </w:p>
              </w:tc>
              <w:tc>
                <w:tcPr>
                  <w:tcW w:w="1521" w:type="dxa"/>
                  <w:vAlign w:val="center"/>
                </w:tcPr>
                <w:p w14:paraId="5B1D1025">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纤维素</w:t>
                  </w:r>
                </w:p>
              </w:tc>
              <w:tc>
                <w:tcPr>
                  <w:tcW w:w="963" w:type="dxa"/>
                  <w:vAlign w:val="center"/>
                </w:tcPr>
                <w:p w14:paraId="203CC495">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9.5</w:t>
                  </w:r>
                  <w:r>
                    <w:rPr>
                      <w:rFonts w:ascii="Times New Roman" w:hAnsi="Times New Roman"/>
                      <w:color w:val="auto"/>
                      <w:kern w:val="0"/>
                      <w:szCs w:val="21"/>
                      <w:highlight w:val="none"/>
                    </w:rPr>
                    <w:t>t</w:t>
                  </w:r>
                </w:p>
              </w:tc>
              <w:tc>
                <w:tcPr>
                  <w:tcW w:w="1102" w:type="dxa"/>
                  <w:vAlign w:val="center"/>
                </w:tcPr>
                <w:p w14:paraId="2DEFB4AB">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highlight w:val="none"/>
                    </w:rPr>
                    <w:t>木质素纤维</w:t>
                  </w:r>
                </w:p>
              </w:tc>
              <w:tc>
                <w:tcPr>
                  <w:tcW w:w="1102" w:type="dxa"/>
                  <w:vAlign w:val="center"/>
                </w:tcPr>
                <w:p w14:paraId="6A8A6893">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0.5t</w:t>
                  </w:r>
                </w:p>
              </w:tc>
              <w:tc>
                <w:tcPr>
                  <w:tcW w:w="1180" w:type="dxa"/>
                  <w:vAlign w:val="center"/>
                </w:tcPr>
                <w:p w14:paraId="23B407CA">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材料库</w:t>
                  </w:r>
                </w:p>
              </w:tc>
              <w:tc>
                <w:tcPr>
                  <w:tcW w:w="1449" w:type="dxa"/>
                  <w:vAlign w:val="center"/>
                </w:tcPr>
                <w:p w14:paraId="7B481FD0">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袋装</w:t>
                  </w:r>
                </w:p>
              </w:tc>
            </w:tr>
            <w:tr w14:paraId="756F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603823A1">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5</w:t>
                  </w:r>
                </w:p>
              </w:tc>
              <w:tc>
                <w:tcPr>
                  <w:tcW w:w="1521" w:type="dxa"/>
                  <w:vAlign w:val="center"/>
                </w:tcPr>
                <w:p w14:paraId="2205154F">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szCs w:val="21"/>
                      <w:highlight w:val="none"/>
                    </w:rPr>
                    <w:t>腐植酸</w:t>
                  </w:r>
                </w:p>
              </w:tc>
              <w:tc>
                <w:tcPr>
                  <w:tcW w:w="963" w:type="dxa"/>
                  <w:vAlign w:val="center"/>
                </w:tcPr>
                <w:p w14:paraId="6E6E847C">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9.5</w:t>
                  </w:r>
                  <w:r>
                    <w:rPr>
                      <w:rFonts w:ascii="Times New Roman" w:hAnsi="Times New Roman"/>
                      <w:color w:val="auto"/>
                      <w:kern w:val="0"/>
                      <w:szCs w:val="21"/>
                      <w:highlight w:val="none"/>
                    </w:rPr>
                    <w:t>t</w:t>
                  </w:r>
                </w:p>
              </w:tc>
              <w:tc>
                <w:tcPr>
                  <w:tcW w:w="1102" w:type="dxa"/>
                  <w:vAlign w:val="center"/>
                </w:tcPr>
                <w:p w14:paraId="0E5A7F20">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highlight w:val="none"/>
                    </w:rPr>
                    <w:t>高效有机钾肥</w:t>
                  </w:r>
                </w:p>
              </w:tc>
              <w:tc>
                <w:tcPr>
                  <w:tcW w:w="1102" w:type="dxa"/>
                  <w:vAlign w:val="center"/>
                </w:tcPr>
                <w:p w14:paraId="28A50C60">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0.5t</w:t>
                  </w:r>
                </w:p>
              </w:tc>
              <w:tc>
                <w:tcPr>
                  <w:tcW w:w="1180" w:type="dxa"/>
                  <w:vAlign w:val="center"/>
                </w:tcPr>
                <w:p w14:paraId="00954699">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材料库</w:t>
                  </w:r>
                </w:p>
              </w:tc>
              <w:tc>
                <w:tcPr>
                  <w:tcW w:w="1449" w:type="dxa"/>
                  <w:vAlign w:val="center"/>
                </w:tcPr>
                <w:p w14:paraId="3A0CAD65">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袋装</w:t>
                  </w:r>
                </w:p>
              </w:tc>
            </w:tr>
            <w:tr w14:paraId="0B40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08A3D362">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6</w:t>
                  </w:r>
                </w:p>
              </w:tc>
              <w:tc>
                <w:tcPr>
                  <w:tcW w:w="1521" w:type="dxa"/>
                  <w:vAlign w:val="center"/>
                </w:tcPr>
                <w:p w14:paraId="33B3FE14">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泥浆固化剂</w:t>
                  </w:r>
                </w:p>
              </w:tc>
              <w:tc>
                <w:tcPr>
                  <w:tcW w:w="963" w:type="dxa"/>
                  <w:vAlign w:val="center"/>
                </w:tcPr>
                <w:p w14:paraId="60856B8F">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9.5</w:t>
                  </w:r>
                  <w:r>
                    <w:rPr>
                      <w:rFonts w:ascii="Times New Roman" w:hAnsi="Times New Roman"/>
                      <w:color w:val="auto"/>
                      <w:kern w:val="0"/>
                      <w:szCs w:val="21"/>
                      <w:highlight w:val="none"/>
                    </w:rPr>
                    <w:t>t</w:t>
                  </w:r>
                </w:p>
              </w:tc>
              <w:tc>
                <w:tcPr>
                  <w:tcW w:w="1102" w:type="dxa"/>
                  <w:vAlign w:val="center"/>
                </w:tcPr>
                <w:p w14:paraId="68E797CC">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highlight w:val="none"/>
                    </w:rPr>
                    <w:t>水和聚硅化合物</w:t>
                  </w:r>
                </w:p>
              </w:tc>
              <w:tc>
                <w:tcPr>
                  <w:tcW w:w="1102" w:type="dxa"/>
                  <w:vAlign w:val="center"/>
                </w:tcPr>
                <w:p w14:paraId="62411E33">
                  <w:pPr>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0.5t</w:t>
                  </w:r>
                </w:p>
              </w:tc>
              <w:tc>
                <w:tcPr>
                  <w:tcW w:w="1180" w:type="dxa"/>
                  <w:vAlign w:val="center"/>
                </w:tcPr>
                <w:p w14:paraId="513C5021">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材料库</w:t>
                  </w:r>
                </w:p>
              </w:tc>
              <w:tc>
                <w:tcPr>
                  <w:tcW w:w="1449" w:type="dxa"/>
                  <w:vAlign w:val="center"/>
                </w:tcPr>
                <w:p w14:paraId="30A900D6">
                  <w:pPr>
                    <w:widowControl/>
                    <w:spacing w:after="0" w:line="240" w:lineRule="auto"/>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桶装</w:t>
                  </w:r>
                </w:p>
              </w:tc>
            </w:tr>
            <w:tr w14:paraId="10B6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525" w:type="dxa"/>
                  <w:vAlign w:val="center"/>
                </w:tcPr>
                <w:p w14:paraId="3A6DB14D">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7</w:t>
                  </w:r>
                </w:p>
              </w:tc>
              <w:tc>
                <w:tcPr>
                  <w:tcW w:w="1521" w:type="dxa"/>
                  <w:vAlign w:val="center"/>
                </w:tcPr>
                <w:p w14:paraId="1F1A9CC8">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润滑油</w:t>
                  </w:r>
                </w:p>
              </w:tc>
              <w:tc>
                <w:tcPr>
                  <w:tcW w:w="963" w:type="dxa"/>
                  <w:vAlign w:val="center"/>
                </w:tcPr>
                <w:p w14:paraId="27912F13">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190</w:t>
                  </w:r>
                  <w:r>
                    <w:rPr>
                      <w:rFonts w:hint="eastAsia" w:ascii="Times New Roman" w:hAnsi="Times New Roman"/>
                      <w:color w:val="auto"/>
                      <w:kern w:val="0"/>
                      <w:szCs w:val="21"/>
                      <w:highlight w:val="none"/>
                    </w:rPr>
                    <w:t>L</w:t>
                  </w:r>
                </w:p>
              </w:tc>
              <w:tc>
                <w:tcPr>
                  <w:tcW w:w="1102" w:type="dxa"/>
                  <w:vAlign w:val="center"/>
                </w:tcPr>
                <w:p w14:paraId="7B1D29A9">
                  <w:pPr>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矿物油</w:t>
                  </w:r>
                </w:p>
              </w:tc>
              <w:tc>
                <w:tcPr>
                  <w:tcW w:w="1102" w:type="dxa"/>
                  <w:vAlign w:val="center"/>
                </w:tcPr>
                <w:p w14:paraId="02E01B97">
                  <w:pPr>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w:t>
                  </w:r>
                </w:p>
              </w:tc>
              <w:tc>
                <w:tcPr>
                  <w:tcW w:w="1180" w:type="dxa"/>
                  <w:vAlign w:val="center"/>
                </w:tcPr>
                <w:p w14:paraId="10957D54">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w:t>
                  </w:r>
                </w:p>
              </w:tc>
              <w:tc>
                <w:tcPr>
                  <w:tcW w:w="1449" w:type="dxa"/>
                  <w:vAlign w:val="center"/>
                </w:tcPr>
                <w:p w14:paraId="1D5DC9ED">
                  <w:pPr>
                    <w:widowControl/>
                    <w:spacing w:after="0" w:line="240" w:lineRule="auto"/>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施工场地不存储，随买随用。</w:t>
                  </w:r>
                </w:p>
              </w:tc>
            </w:tr>
          </w:tbl>
          <w:p w14:paraId="2710F8CF">
            <w:pPr>
              <w:pStyle w:val="31"/>
              <w:adjustRightInd/>
              <w:spacing w:after="0" w:line="360" w:lineRule="auto"/>
              <w:ind w:firstLine="482" w:firstLineChars="200"/>
              <w:jc w:val="both"/>
              <w:rPr>
                <w:rFonts w:ascii="Times New Roman" w:hAnsi="Times New Roman"/>
                <w:color w:val="auto"/>
                <w:highlight w:val="none"/>
              </w:rPr>
            </w:pPr>
            <w:r>
              <w:rPr>
                <w:rFonts w:ascii="Times New Roman" w:hAnsi="Times New Roman"/>
                <w:b/>
                <w:bCs/>
                <w:color w:val="auto"/>
                <w:highlight w:val="none"/>
              </w:rPr>
              <w:t>腐植酸：</w:t>
            </w:r>
            <w:r>
              <w:rPr>
                <w:rFonts w:ascii="Times New Roman" w:hAnsi="Times New Roman"/>
                <w:color w:val="auto"/>
                <w:highlight w:val="none"/>
              </w:rPr>
              <w:t>腐植酸钾是一种高效有机钾肥，化学式为C</w:t>
            </w:r>
            <w:r>
              <w:rPr>
                <w:rFonts w:ascii="Times New Roman" w:hAnsi="Times New Roman"/>
                <w:color w:val="auto"/>
                <w:highlight w:val="none"/>
                <w:vertAlign w:val="subscript"/>
              </w:rPr>
              <w:t>9</w:t>
            </w:r>
            <w:r>
              <w:rPr>
                <w:rFonts w:ascii="Times New Roman" w:hAnsi="Times New Roman"/>
                <w:color w:val="auto"/>
                <w:highlight w:val="none"/>
              </w:rPr>
              <w:t>H</w:t>
            </w:r>
            <w:r>
              <w:rPr>
                <w:rFonts w:ascii="Times New Roman" w:hAnsi="Times New Roman"/>
                <w:color w:val="auto"/>
                <w:highlight w:val="none"/>
                <w:vertAlign w:val="subscript"/>
              </w:rPr>
              <w:t>8</w:t>
            </w:r>
            <w:r>
              <w:rPr>
                <w:rFonts w:ascii="Times New Roman" w:hAnsi="Times New Roman"/>
                <w:color w:val="auto"/>
                <w:highlight w:val="none"/>
              </w:rPr>
              <w:t>K</w:t>
            </w:r>
            <w:r>
              <w:rPr>
                <w:rFonts w:ascii="Times New Roman" w:hAnsi="Times New Roman"/>
                <w:color w:val="auto"/>
                <w:highlight w:val="none"/>
                <w:vertAlign w:val="subscript"/>
              </w:rPr>
              <w:t>2</w:t>
            </w:r>
            <w:r>
              <w:rPr>
                <w:rFonts w:ascii="Times New Roman" w:hAnsi="Times New Roman"/>
                <w:color w:val="auto"/>
                <w:highlight w:val="none"/>
              </w:rPr>
              <w:t>O</w:t>
            </w:r>
            <w:r>
              <w:rPr>
                <w:rFonts w:ascii="Times New Roman" w:hAnsi="Times New Roman"/>
                <w:color w:val="auto"/>
                <w:highlight w:val="none"/>
                <w:vertAlign w:val="subscript"/>
              </w:rPr>
              <w:t>4</w:t>
            </w:r>
            <w:r>
              <w:rPr>
                <w:rFonts w:ascii="Times New Roman" w:hAnsi="Times New Roman"/>
                <w:color w:val="auto"/>
                <w:highlight w:val="none"/>
              </w:rPr>
              <w:t>，外观为黑色粉末，易溶于水，水溶液呈酱色。其含有的腐植酸是一种生物活性制剂，可提高土壤速效钾含量，减少钾的损失和固定，增加作物对钾的吸收和利用率，也具有改良土壤、促进作物生长、提高作物抗逆能力、改善作物品质、保护农业生态环境等功能；它与尿素、磷肥、钾肥、微量元素等混合后，可制成高效多功能复混肥料；此外，腐植酸钾还可用作石油钻井</w:t>
            </w:r>
            <w:r>
              <w:rPr>
                <w:rFonts w:hint="eastAsia" w:ascii="Times New Roman" w:hAnsi="Times New Roman"/>
                <w:color w:val="auto"/>
                <w:highlight w:val="none"/>
              </w:rPr>
              <w:t>泥浆</w:t>
            </w:r>
            <w:r>
              <w:rPr>
                <w:rFonts w:ascii="Times New Roman" w:hAnsi="Times New Roman"/>
                <w:color w:val="auto"/>
                <w:highlight w:val="none"/>
              </w:rPr>
              <w:t>的处理剂，主要起防止井壁坍塌的作用。</w:t>
            </w:r>
          </w:p>
          <w:p w14:paraId="571A675C">
            <w:pPr>
              <w:pStyle w:val="31"/>
              <w:adjustRightInd/>
              <w:spacing w:after="0" w:line="360" w:lineRule="auto"/>
              <w:ind w:firstLine="482" w:firstLineChars="200"/>
              <w:jc w:val="both"/>
              <w:rPr>
                <w:rFonts w:ascii="Times New Roman" w:hAnsi="Times New Roman"/>
                <w:color w:val="auto"/>
                <w:highlight w:val="none"/>
              </w:rPr>
            </w:pPr>
            <w:r>
              <w:rPr>
                <w:rFonts w:ascii="Times New Roman" w:hAnsi="Times New Roman"/>
                <w:b/>
                <w:bCs/>
                <w:color w:val="auto"/>
                <w:highlight w:val="none"/>
              </w:rPr>
              <w:t>纤维素：</w:t>
            </w:r>
            <w:r>
              <w:rPr>
                <w:rFonts w:ascii="Times New Roman" w:hAnsi="Times New Roman"/>
                <w:color w:val="auto"/>
                <w:highlight w:val="none"/>
              </w:rPr>
              <w:t>项目使用的纤维素为木质素纤维，它是天然木材经过化学处理得到的有机纤维，外观为棉絮状，呈白色或灰白色。通过筛选、分裂、高温处理、漂白、化学处理、中和、筛分成不同长度和粗细度的纤维以适应不同应用材料的需要。由于处理温度高达250℃以上，在通常条件下是化学上非常稳定的物质，不为一般的溶剂、酸、碱腐蚀，具有无毒、无味、无污染、无放射性的优良品质，不影响环境，对人体无害，属绿色环保产品，这是其它矿物质素纤维所不具备的。纤维微观结构是带状弯曲的，凹凸不平的，多孔的，交叉处是扁平的，有良好的韧性、分散性和化学稳定性，吸水能力强，有非常优秀的增稠抗裂性能。</w:t>
            </w:r>
          </w:p>
          <w:p w14:paraId="17BF5629">
            <w:pPr>
              <w:pStyle w:val="31"/>
              <w:adjustRightInd/>
              <w:spacing w:after="0" w:line="360" w:lineRule="auto"/>
              <w:ind w:firstLine="482" w:firstLineChars="200"/>
              <w:jc w:val="both"/>
              <w:rPr>
                <w:rFonts w:ascii="Times New Roman" w:hAnsi="Times New Roman"/>
                <w:color w:val="auto"/>
                <w:highlight w:val="none"/>
              </w:rPr>
            </w:pPr>
            <w:r>
              <w:rPr>
                <w:rFonts w:ascii="Times New Roman" w:hAnsi="Times New Roman"/>
                <w:b/>
                <w:bCs/>
                <w:color w:val="auto"/>
                <w:highlight w:val="none"/>
              </w:rPr>
              <w:t>泥浆固化剂：</w:t>
            </w:r>
            <w:r>
              <w:rPr>
                <w:rFonts w:ascii="Times New Roman" w:hAnsi="Times New Roman"/>
                <w:color w:val="auto"/>
                <w:highlight w:val="none"/>
              </w:rPr>
              <w:t>泥浆固化剂是一种环保、无毒、不燃的高科技水性化学致密剂，其主要成分为水和聚硅化合物，泥浆固化剂能完全渗透到泥浆中，通过与泥浆中的钙、镁等离子发生化学反应，生成坚硬的结晶物质，在三维空间形成了一个网络结构，使得水泥中凝胶结构增大增强，使得泥浆中的各成份固化为一个密实的整体。</w:t>
            </w:r>
          </w:p>
          <w:p w14:paraId="57661467">
            <w:pPr>
              <w:pStyle w:val="31"/>
              <w:adjustRightInd/>
              <w:spacing w:after="0" w:line="360" w:lineRule="auto"/>
              <w:ind w:firstLine="482" w:firstLineChars="200"/>
              <w:jc w:val="both"/>
              <w:rPr>
                <w:rFonts w:ascii="Times New Roman" w:hAnsi="Times New Roman"/>
                <w:color w:val="auto"/>
                <w:highlight w:val="none"/>
              </w:rPr>
            </w:pPr>
            <w:r>
              <w:rPr>
                <w:rFonts w:hint="eastAsia" w:ascii="Times New Roman" w:hAnsi="Times New Roman"/>
                <w:b/>
                <w:bCs/>
                <w:color w:val="auto"/>
                <w:highlight w:val="none"/>
              </w:rPr>
              <w:t>润滑油：</w:t>
            </w:r>
            <w:r>
              <w:rPr>
                <w:rFonts w:hint="eastAsia" w:ascii="Times New Roman" w:hAnsi="Times New Roman"/>
                <w:color w:val="auto"/>
                <w:highlight w:val="none"/>
              </w:rPr>
              <w:t>淡黄色粘稠液体，闪点120~340℃，自燃点300~350℃，相对密度（水=1）934.8，溶于苯、乙醇、乙醚、氯仿、丙酮等多数有机溶剂。属可燃液体，火灾危险性为丙B类；遇明火、高热可燃。润滑油是用在各种类型汽车、机械设备上以减少摩擦，保护机械及加工件的液体或半固体润滑剂，主要起润滑、辅助冷却、防锈、清洁、密封和缓冲等作用。</w:t>
            </w:r>
          </w:p>
          <w:p w14:paraId="3EA61EB4">
            <w:pPr>
              <w:tabs>
                <w:tab w:val="left" w:pos="1755"/>
              </w:tabs>
              <w:spacing w:after="0" w:line="360" w:lineRule="auto"/>
              <w:ind w:firstLine="482" w:firstLineChars="200"/>
              <w:rPr>
                <w:rFonts w:ascii="Times New Roman" w:hAnsi="Times New Roman"/>
                <w:b/>
                <w:color w:val="auto"/>
                <w:sz w:val="24"/>
                <w:highlight w:val="none"/>
              </w:rPr>
            </w:pPr>
            <w:r>
              <w:rPr>
                <w:rFonts w:hint="eastAsia" w:ascii="Times New Roman" w:hAnsi="Times New Roman"/>
                <w:b/>
                <w:color w:val="auto"/>
                <w:sz w:val="24"/>
                <w:highlight w:val="none"/>
              </w:rPr>
              <w:t>4、水平衡</w:t>
            </w:r>
          </w:p>
          <w:p w14:paraId="6CECBAFB">
            <w:pPr>
              <w:keepNext w:val="0"/>
              <w:keepLines w:val="0"/>
              <w:pageBreakBefore w:val="0"/>
              <w:widowControl w:val="0"/>
              <w:numPr>
                <w:ilvl w:val="0"/>
                <w:numId w:val="0"/>
              </w:numPr>
              <w:tabs>
                <w:tab w:val="left" w:pos="1755"/>
              </w:tabs>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color w:val="auto"/>
                <w:sz w:val="24"/>
                <w:highlight w:val="none"/>
              </w:rPr>
            </w:pPr>
            <w:r>
              <w:rPr>
                <w:rFonts w:hint="eastAsia" w:ascii="Times New Roman" w:hAnsi="Times New Roman" w:eastAsia="宋体" w:cs="Times New Roman"/>
                <w:color w:val="auto"/>
                <w:kern w:val="2"/>
                <w:sz w:val="24"/>
                <w:szCs w:val="24"/>
                <w:lang w:val="en-US" w:eastAsia="zh-CN" w:bidi="ar-SA"/>
              </w:rPr>
              <w:t>（1）</w:t>
            </w:r>
            <w:r>
              <w:rPr>
                <w:rFonts w:hint="eastAsia" w:ascii="Times New Roman" w:hAnsi="Times New Roman"/>
                <w:color w:val="auto"/>
                <w:sz w:val="24"/>
                <w:highlight w:val="none"/>
              </w:rPr>
              <w:t>钻井</w:t>
            </w:r>
            <w:r>
              <w:rPr>
                <w:rFonts w:ascii="Times New Roman" w:hAnsi="Times New Roman"/>
                <w:color w:val="auto"/>
                <w:sz w:val="24"/>
                <w:highlight w:val="none"/>
              </w:rPr>
              <w:t>用</w:t>
            </w:r>
            <w:r>
              <w:rPr>
                <w:rFonts w:hint="eastAsia" w:ascii="Times New Roman" w:hAnsi="Times New Roman"/>
                <w:color w:val="auto"/>
                <w:sz w:val="24"/>
                <w:highlight w:val="none"/>
              </w:rPr>
              <w:t>排</w:t>
            </w:r>
            <w:r>
              <w:rPr>
                <w:rFonts w:ascii="Times New Roman" w:hAnsi="Times New Roman"/>
                <w:color w:val="auto"/>
                <w:sz w:val="24"/>
                <w:highlight w:val="none"/>
              </w:rPr>
              <w:t>水：</w:t>
            </w:r>
            <w:r>
              <w:rPr>
                <w:rFonts w:hint="eastAsia" w:ascii="Times New Roman" w:hAnsi="Times New Roman"/>
                <w:color w:val="auto"/>
                <w:sz w:val="24"/>
                <w:highlight w:val="none"/>
              </w:rPr>
              <w:t>项目钻井终孔层位严格控制在煤层及煤层顶底板稳定岩层（砂质泥岩），该类岩层为隔水或弱透水层，无天然含水层；施工过程中仅开展一开钻进，仅穿透浅层隔水层，不触及含水层，避开导水构造，掏穴段仅在煤层及顶底板弱透水层扩大孔径，无水源接入。通过下套管并将水泥泵入套管与孔壁的环形空间，彻底阻断水力联系，且无透水通道与压力差条件，因此无地下涌水产生的风险，本次不计入涌水量核算。</w:t>
            </w:r>
          </w:p>
          <w:p w14:paraId="518C3114">
            <w:pPr>
              <w:keepNext w:val="0"/>
              <w:keepLines w:val="0"/>
              <w:pageBreakBefore w:val="0"/>
              <w:widowControl w:val="0"/>
              <w:numPr>
                <w:ilvl w:val="0"/>
                <w:numId w:val="0"/>
              </w:numPr>
              <w:tabs>
                <w:tab w:val="left" w:pos="1755"/>
              </w:tabs>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color w:val="auto"/>
                <w:sz w:val="24"/>
                <w:highlight w:val="none"/>
              </w:rPr>
            </w:pPr>
            <w:r>
              <w:rPr>
                <w:rFonts w:hint="eastAsia" w:ascii="Times New Roman" w:hAnsi="Times New Roman"/>
                <w:color w:val="auto"/>
                <w:sz w:val="24"/>
                <w:highlight w:val="none"/>
                <w:lang w:val="en-US" w:eastAsia="zh-CN"/>
              </w:rPr>
              <w:t>本项目共布设19个钻孔，分三批次施工，第一批为DG1-1～DG1-10共10个钻孔，第二批为DG1-11～DG1-14共4个钻孔，第三批为DG1-15～DG1-19共5个钻孔，单批次工期3个月，总钻井工期9个月，各井场采取逐批逐步开工的施工模式。钻井作业用水主要为泥浆配置用水，根据建设单位施工经验，单个钻孔新鲜水用量约60m³，19个钻孔钻井总新鲜用水量为1140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施工期日均循环水量约456m³/d。钻井作业产生的废水主要为钻井泥浆，全部收集至泥浆池，经沉淀处理后通过泥浆泵循环回用，施工过程无废水外排。施工结束后，泥浆池内剩余泥浆添加泥浆固化剂固化处理，固化后属于一般固体废物，统一交由建材公司进行综合利用。</w:t>
            </w:r>
          </w:p>
          <w:p w14:paraId="2BC4B460">
            <w:pPr>
              <w:numPr>
                <w:ilvl w:val="0"/>
                <w:numId w:val="0"/>
              </w:numPr>
              <w:spacing w:after="0" w:line="360" w:lineRule="auto"/>
              <w:ind w:left="0" w:leftChars="0" w:firstLine="480" w:firstLineChars="200"/>
              <w:rPr>
                <w:rFonts w:hint="eastAsia" w:ascii="Times New Roman" w:hAnsi="Times New Roman"/>
                <w:color w:val="auto"/>
                <w:sz w:val="24"/>
                <w:highlight w:val="none"/>
              </w:rPr>
            </w:pPr>
            <w:r>
              <w:rPr>
                <w:rFonts w:hint="eastAsia" w:ascii="Times New Roman" w:hAnsi="Times New Roman" w:eastAsia="宋体" w:cs="Times New Roman"/>
                <w:color w:val="auto"/>
                <w:kern w:val="2"/>
                <w:sz w:val="24"/>
                <w:szCs w:val="24"/>
                <w:lang w:val="en-US" w:eastAsia="zh-CN" w:bidi="ar-SA"/>
              </w:rPr>
              <w:t>（</w:t>
            </w:r>
            <w:r>
              <w:rPr>
                <w:rFonts w:hint="eastAsia" w:ascii="Times New Roman" w:hAnsi="Times New Roman" w:cs="Times New Roman"/>
                <w:color w:val="auto"/>
                <w:kern w:val="2"/>
                <w:sz w:val="24"/>
                <w:szCs w:val="24"/>
                <w:lang w:val="en-US" w:eastAsia="zh-CN" w:bidi="ar-SA"/>
              </w:rPr>
              <w:t>2</w:t>
            </w:r>
            <w:r>
              <w:rPr>
                <w:rFonts w:hint="eastAsia" w:ascii="Times New Roman" w:hAnsi="Times New Roman" w:eastAsia="宋体" w:cs="Times New Roman"/>
                <w:color w:val="auto"/>
                <w:kern w:val="2"/>
                <w:sz w:val="24"/>
                <w:szCs w:val="24"/>
                <w:lang w:val="en-US" w:eastAsia="zh-CN" w:bidi="ar-SA"/>
              </w:rPr>
              <w:t>）</w:t>
            </w:r>
            <w:r>
              <w:rPr>
                <w:rFonts w:ascii="Times New Roman" w:hAnsi="Times New Roman"/>
                <w:color w:val="auto"/>
                <w:sz w:val="24"/>
                <w:highlight w:val="none"/>
              </w:rPr>
              <w:t>办公生活用水：项目租赁周边农村民房，用于员工食宿，施工现场不设施工营地，项目员工</w:t>
            </w:r>
            <w:r>
              <w:rPr>
                <w:rFonts w:hint="eastAsia" w:ascii="Times New Roman" w:hAnsi="Times New Roman"/>
                <w:color w:val="auto"/>
                <w:sz w:val="24"/>
                <w:highlight w:val="none"/>
              </w:rPr>
              <w:t>总</w:t>
            </w:r>
            <w:r>
              <w:rPr>
                <w:rFonts w:ascii="Times New Roman" w:hAnsi="Times New Roman"/>
                <w:color w:val="auto"/>
                <w:sz w:val="24"/>
                <w:highlight w:val="none"/>
              </w:rPr>
              <w:t>人数</w:t>
            </w:r>
            <w:r>
              <w:rPr>
                <w:rFonts w:hint="eastAsia" w:ascii="Times New Roman" w:hAnsi="Times New Roman"/>
                <w:color w:val="auto"/>
                <w:sz w:val="24"/>
                <w:highlight w:val="none"/>
                <w:lang w:val="en-US" w:eastAsia="zh-CN"/>
              </w:rPr>
              <w:t>约</w:t>
            </w:r>
            <w:r>
              <w:rPr>
                <w:rFonts w:ascii="Times New Roman" w:hAnsi="Times New Roman"/>
                <w:color w:val="auto"/>
                <w:sz w:val="24"/>
                <w:highlight w:val="none"/>
              </w:rPr>
              <w:t>为</w:t>
            </w:r>
            <w:r>
              <w:rPr>
                <w:rFonts w:hint="eastAsia" w:ascii="Times New Roman" w:hAnsi="Times New Roman"/>
                <w:color w:val="auto"/>
                <w:sz w:val="24"/>
                <w:highlight w:val="none"/>
                <w:lang w:val="en-US" w:eastAsia="zh-CN"/>
              </w:rPr>
              <w:t>76</w:t>
            </w:r>
            <w:r>
              <w:rPr>
                <w:rFonts w:ascii="Times New Roman" w:hAnsi="Times New Roman"/>
                <w:color w:val="auto"/>
                <w:sz w:val="24"/>
                <w:highlight w:val="none"/>
              </w:rPr>
              <w:t>人，根据</w:t>
            </w:r>
            <w:r>
              <w:rPr>
                <w:rFonts w:hint="eastAsia" w:ascii="Times New Roman" w:hAnsi="Times New Roman"/>
                <w:color w:val="auto"/>
                <w:sz w:val="24"/>
                <w:highlight w:val="none"/>
              </w:rPr>
              <w:t>《安徽省行业用水定额》（DB34/T 679-2025）</w:t>
            </w:r>
            <w:r>
              <w:rPr>
                <w:rFonts w:ascii="Times New Roman" w:hAnsi="Times New Roman"/>
                <w:color w:val="auto"/>
                <w:sz w:val="24"/>
                <w:highlight w:val="none"/>
              </w:rPr>
              <w:t>，员工生活用水按</w:t>
            </w:r>
            <w:r>
              <w:rPr>
                <w:rFonts w:hint="eastAsia" w:ascii="Times New Roman" w:hAnsi="Times New Roman"/>
                <w:color w:val="auto"/>
                <w:sz w:val="24"/>
                <w:highlight w:val="none"/>
              </w:rPr>
              <w:t>38m</w:t>
            </w:r>
            <w:r>
              <w:rPr>
                <w:rFonts w:hint="eastAsia" w:ascii="Times New Roman" w:hAnsi="Times New Roman"/>
                <w:color w:val="auto"/>
                <w:sz w:val="24"/>
                <w:highlight w:val="none"/>
                <w:vertAlign w:val="superscript"/>
              </w:rPr>
              <w:t>3</w:t>
            </w:r>
            <w:r>
              <w:rPr>
                <w:rFonts w:ascii="Times New Roman" w:hAnsi="Times New Roman"/>
                <w:color w:val="auto"/>
                <w:sz w:val="24"/>
                <w:highlight w:val="none"/>
              </w:rPr>
              <w:t>/人·</w:t>
            </w:r>
            <w:r>
              <w:rPr>
                <w:rFonts w:hint="eastAsia" w:ascii="Times New Roman" w:hAnsi="Times New Roman"/>
                <w:color w:val="auto"/>
                <w:sz w:val="24"/>
                <w:highlight w:val="none"/>
              </w:rPr>
              <w:t>a</w:t>
            </w:r>
            <w:r>
              <w:rPr>
                <w:rFonts w:ascii="Times New Roman" w:hAnsi="Times New Roman"/>
                <w:color w:val="auto"/>
                <w:sz w:val="24"/>
                <w:highlight w:val="none"/>
              </w:rPr>
              <w:t>计</w:t>
            </w:r>
            <w:r>
              <w:rPr>
                <w:rFonts w:hint="eastAsia" w:ascii="Times New Roman" w:hAnsi="Times New Roman"/>
                <w:color w:val="auto"/>
                <w:sz w:val="24"/>
                <w:highlight w:val="none"/>
              </w:rPr>
              <w:t>（全年按250d计，折算每日用水量约152L/</w:t>
            </w:r>
            <w:r>
              <w:rPr>
                <w:rFonts w:ascii="Times New Roman" w:hAnsi="Times New Roman"/>
                <w:color w:val="auto"/>
                <w:sz w:val="24"/>
                <w:highlight w:val="none"/>
              </w:rPr>
              <w:t>人·</w:t>
            </w:r>
            <w:r>
              <w:rPr>
                <w:rFonts w:hint="eastAsia" w:ascii="Times New Roman" w:hAnsi="Times New Roman"/>
                <w:color w:val="auto"/>
                <w:sz w:val="24"/>
                <w:highlight w:val="none"/>
              </w:rPr>
              <w:t>d）</w:t>
            </w:r>
            <w:r>
              <w:rPr>
                <w:rFonts w:ascii="Times New Roman" w:hAnsi="Times New Roman"/>
                <w:color w:val="auto"/>
                <w:sz w:val="24"/>
                <w:highlight w:val="none"/>
              </w:rPr>
              <w:t>，用水量约为</w:t>
            </w:r>
            <w:r>
              <w:rPr>
                <w:rFonts w:hint="eastAsia" w:ascii="Times New Roman" w:hAnsi="Times New Roman"/>
                <w:color w:val="auto"/>
                <w:sz w:val="24"/>
                <w:highlight w:val="none"/>
                <w:lang w:val="en-US" w:eastAsia="zh-CN"/>
              </w:rPr>
              <w:t>11.6</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施工期</w:t>
            </w:r>
            <w:r>
              <w:rPr>
                <w:rFonts w:ascii="Times New Roman" w:hAnsi="Times New Roman"/>
                <w:color w:val="auto"/>
                <w:sz w:val="24"/>
                <w:highlight w:val="none"/>
              </w:rPr>
              <w:t>用水量为</w:t>
            </w:r>
            <w:r>
              <w:rPr>
                <w:rFonts w:hint="eastAsia" w:ascii="Times New Roman" w:hAnsi="Times New Roman"/>
                <w:color w:val="auto"/>
                <w:sz w:val="24"/>
                <w:highlight w:val="none"/>
                <w:lang w:val="en-US" w:eastAsia="zh-CN"/>
              </w:rPr>
              <w:t>3132</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ascii="Times New Roman" w:hAnsi="Times New Roman"/>
                <w:color w:val="auto"/>
                <w:sz w:val="24"/>
                <w:highlight w:val="none"/>
              </w:rPr>
              <w:t>。</w:t>
            </w:r>
            <w:r>
              <w:rPr>
                <w:rFonts w:hint="eastAsia" w:ascii="Times New Roman" w:hAnsi="Times New Roman"/>
                <w:color w:val="auto"/>
                <w:sz w:val="24"/>
                <w:highlight w:val="none"/>
              </w:rPr>
              <w:t>生活污水</w:t>
            </w:r>
            <w:r>
              <w:rPr>
                <w:rFonts w:hint="eastAsia" w:ascii="Times New Roman" w:hAnsi="Times New Roman"/>
                <w:color w:val="auto"/>
                <w:sz w:val="24"/>
                <w:highlight w:val="none"/>
                <w:lang w:val="en-US" w:eastAsia="zh-CN"/>
              </w:rPr>
              <w:t>依托</w:t>
            </w:r>
            <w:r>
              <w:rPr>
                <w:rFonts w:ascii="Times New Roman" w:hAnsi="Times New Roman"/>
                <w:color w:val="auto"/>
                <w:sz w:val="24"/>
                <w:highlight w:val="none"/>
              </w:rPr>
              <w:t>周边农村</w:t>
            </w:r>
            <w:r>
              <w:rPr>
                <w:rFonts w:hint="eastAsia" w:ascii="Times New Roman" w:hAnsi="Times New Roman"/>
                <w:color w:val="auto"/>
                <w:sz w:val="24"/>
                <w:highlight w:val="none"/>
              </w:rPr>
              <w:t>化粪池，定期清掏肥田，排放系数按0.9计，则清掏量约为</w:t>
            </w:r>
            <w:r>
              <w:rPr>
                <w:rFonts w:hint="eastAsia" w:ascii="Times New Roman" w:hAnsi="Times New Roman"/>
                <w:color w:val="auto"/>
                <w:sz w:val="24"/>
                <w:highlight w:val="none"/>
                <w:lang w:val="en-US" w:eastAsia="zh-CN"/>
              </w:rPr>
              <w:t>10.4</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2819</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w:t>
            </w:r>
            <w:r>
              <w:rPr>
                <w:rFonts w:hint="eastAsia" w:ascii="Times New Roman" w:hAnsi="Times New Roman"/>
                <w:color w:val="auto"/>
                <w:sz w:val="24"/>
                <w:highlight w:val="none"/>
                <w:lang w:val="en-US" w:eastAsia="zh-CN"/>
              </w:rPr>
              <w:t>施工期</w:t>
            </w:r>
            <w:r>
              <w:rPr>
                <w:rFonts w:hint="eastAsia" w:ascii="Times New Roman" w:hAnsi="Times New Roman"/>
                <w:color w:val="auto"/>
                <w:sz w:val="24"/>
                <w:highlight w:val="none"/>
              </w:rPr>
              <w:t>）。</w:t>
            </w:r>
          </w:p>
          <w:p w14:paraId="46DF568C">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（3）车辆冲洗水</w:t>
            </w:r>
            <w:r>
              <w:rPr>
                <w:rFonts w:hint="eastAsia" w:ascii="Times New Roman" w:hAnsi="Times New Roman"/>
                <w:color w:val="auto"/>
                <w:sz w:val="24"/>
                <w:highlight w:val="none"/>
              </w:rPr>
              <w:t>：</w:t>
            </w:r>
            <w:r>
              <w:rPr>
                <w:rFonts w:ascii="Times New Roman" w:hAnsi="Times New Roman"/>
                <w:color w:val="auto"/>
                <w:sz w:val="24"/>
                <w:highlight w:val="none"/>
              </w:rPr>
              <w:t>对于项目所有运输车辆进出厂区时均需冲洗。</w:t>
            </w:r>
            <w:r>
              <w:rPr>
                <w:rFonts w:hint="eastAsia" w:ascii="Times New Roman" w:hAnsi="Times New Roman"/>
                <w:color w:val="auto"/>
                <w:sz w:val="24"/>
                <w:highlight w:val="none"/>
              </w:rPr>
              <w:t>参考《建筑给水排水设计标准》（GB50015-2019），每次清洗用水量按80L/辆·次计</w:t>
            </w:r>
            <w:r>
              <w:rPr>
                <w:rFonts w:ascii="Times New Roman" w:hAnsi="Times New Roman"/>
                <w:color w:val="auto"/>
                <w:sz w:val="24"/>
                <w:highlight w:val="none"/>
              </w:rPr>
              <w:t>。根据</w:t>
            </w:r>
            <w:r>
              <w:rPr>
                <w:rFonts w:hint="eastAsia" w:ascii="Times New Roman" w:hAnsi="Times New Roman"/>
                <w:color w:val="auto"/>
                <w:sz w:val="24"/>
                <w:highlight w:val="none"/>
              </w:rPr>
              <w:t>施工单位提供的</w:t>
            </w:r>
            <w:r>
              <w:rPr>
                <w:rFonts w:ascii="Times New Roman" w:hAnsi="Times New Roman"/>
                <w:color w:val="auto"/>
                <w:sz w:val="24"/>
                <w:highlight w:val="none"/>
              </w:rPr>
              <w:t>资料，项目施工期</w:t>
            </w:r>
            <w:r>
              <w:rPr>
                <w:rFonts w:hint="eastAsia" w:ascii="Times New Roman" w:hAnsi="Times New Roman"/>
                <w:color w:val="auto"/>
                <w:sz w:val="24"/>
                <w:highlight w:val="none"/>
              </w:rPr>
              <w:t>每个井场</w:t>
            </w:r>
            <w:r>
              <w:rPr>
                <w:rFonts w:ascii="Times New Roman" w:hAnsi="Times New Roman"/>
                <w:color w:val="auto"/>
                <w:sz w:val="24"/>
                <w:highlight w:val="none"/>
              </w:rPr>
              <w:t>每天进出车辆共约</w:t>
            </w:r>
            <w:r>
              <w:rPr>
                <w:rFonts w:hint="eastAsia" w:ascii="Times New Roman" w:hAnsi="Times New Roman"/>
                <w:color w:val="auto"/>
                <w:sz w:val="24"/>
                <w:highlight w:val="none"/>
              </w:rPr>
              <w:t>4</w:t>
            </w:r>
            <w:r>
              <w:rPr>
                <w:rFonts w:ascii="Times New Roman" w:hAnsi="Times New Roman"/>
                <w:color w:val="auto"/>
                <w:sz w:val="24"/>
                <w:highlight w:val="none"/>
              </w:rPr>
              <w:t>辆次，则</w:t>
            </w:r>
            <w:r>
              <w:rPr>
                <w:rFonts w:hint="eastAsia" w:ascii="Times New Roman" w:hAnsi="Times New Roman"/>
                <w:color w:val="auto"/>
                <w:sz w:val="24"/>
                <w:highlight w:val="none"/>
              </w:rPr>
              <w:t>施工期</w:t>
            </w:r>
            <w:r>
              <w:rPr>
                <w:rFonts w:ascii="Times New Roman" w:hAnsi="Times New Roman"/>
                <w:color w:val="auto"/>
                <w:sz w:val="24"/>
                <w:highlight w:val="none"/>
              </w:rPr>
              <w:t>冲洗用水量约为</w:t>
            </w:r>
            <w:r>
              <w:rPr>
                <w:rFonts w:hint="eastAsia" w:ascii="Times New Roman" w:hAnsi="Times New Roman"/>
                <w:color w:val="auto"/>
                <w:sz w:val="24"/>
                <w:highlight w:val="none"/>
                <w:lang w:val="en-US" w:eastAsia="zh-CN"/>
              </w:rPr>
              <w:t>547.2</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vertAlign w:val="baseline"/>
                <w:lang w:val="en-US" w:eastAsia="zh-CN"/>
              </w:rPr>
              <w:t>/施工期</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6.08</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w:t>
            </w:r>
            <w:r>
              <w:rPr>
                <w:rFonts w:ascii="Times New Roman" w:hAnsi="Times New Roman"/>
                <w:color w:val="auto"/>
                <w:sz w:val="24"/>
                <w:highlight w:val="none"/>
              </w:rPr>
              <w:t>。冲洗水约有</w:t>
            </w:r>
            <w:r>
              <w:rPr>
                <w:rFonts w:hint="eastAsia" w:ascii="Times New Roman" w:hAnsi="Times New Roman"/>
                <w:color w:val="auto"/>
                <w:sz w:val="24"/>
                <w:highlight w:val="none"/>
              </w:rPr>
              <w:t>2</w:t>
            </w:r>
            <w:r>
              <w:rPr>
                <w:rFonts w:ascii="Times New Roman" w:hAnsi="Times New Roman"/>
                <w:color w:val="auto"/>
                <w:sz w:val="24"/>
                <w:highlight w:val="none"/>
              </w:rPr>
              <w:t>0%蒸发，其余</w:t>
            </w:r>
            <w:r>
              <w:rPr>
                <w:rFonts w:hint="eastAsia" w:ascii="Times New Roman" w:hAnsi="Times New Roman"/>
                <w:color w:val="auto"/>
                <w:sz w:val="24"/>
                <w:highlight w:val="none"/>
              </w:rPr>
              <w:t>约</w:t>
            </w:r>
            <w:r>
              <w:rPr>
                <w:rFonts w:hint="eastAsia" w:ascii="Times New Roman" w:hAnsi="Times New Roman"/>
                <w:color w:val="auto"/>
                <w:sz w:val="24"/>
                <w:highlight w:val="none"/>
                <w:lang w:val="en-US" w:eastAsia="zh-CN"/>
              </w:rPr>
              <w:t>437.8</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hint="eastAsia" w:ascii="Times New Roman" w:hAnsi="Times New Roman"/>
                <w:color w:val="auto"/>
                <w:sz w:val="24"/>
                <w:highlight w:val="none"/>
                <w:vertAlign w:val="baseline"/>
                <w:lang w:val="en-US" w:eastAsia="zh-CN"/>
              </w:rPr>
              <w:t>/施工期</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4.86</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w:t>
            </w:r>
            <w:r>
              <w:rPr>
                <w:rFonts w:ascii="Times New Roman" w:hAnsi="Times New Roman"/>
                <w:color w:val="auto"/>
                <w:sz w:val="24"/>
                <w:highlight w:val="none"/>
              </w:rPr>
              <w:t>水进入沉淀池沉淀后循环使用。井场</w:t>
            </w:r>
            <w:r>
              <w:rPr>
                <w:rFonts w:hint="eastAsia" w:ascii="Times New Roman" w:hAnsi="Times New Roman"/>
                <w:color w:val="auto"/>
                <w:sz w:val="24"/>
                <w:highlight w:val="none"/>
              </w:rPr>
              <w:t>内设有</w:t>
            </w:r>
            <w:r>
              <w:rPr>
                <w:rFonts w:ascii="Times New Roman" w:hAnsi="Times New Roman"/>
                <w:color w:val="auto"/>
                <w:sz w:val="24"/>
                <w:highlight w:val="none"/>
              </w:rPr>
              <w:t>沉淀池，冲洗废水沉淀后循环使用。冲洗用水因自然蒸发、车辆带走等损耗，日补充量约为</w:t>
            </w:r>
            <w:r>
              <w:rPr>
                <w:rFonts w:hint="eastAsia" w:ascii="Times New Roman" w:hAnsi="Times New Roman"/>
                <w:color w:val="auto"/>
                <w:sz w:val="24"/>
                <w:highlight w:val="none"/>
                <w:lang w:val="en-US" w:eastAsia="zh-CN"/>
              </w:rPr>
              <w:t>1.216</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施工期</w:t>
            </w:r>
            <w:r>
              <w:rPr>
                <w:rFonts w:hint="eastAsia" w:ascii="Times New Roman" w:hAnsi="Times New Roman"/>
                <w:color w:val="auto"/>
                <w:sz w:val="24"/>
                <w:highlight w:val="none"/>
              </w:rPr>
              <w:t>用水量为</w:t>
            </w:r>
            <w:r>
              <w:rPr>
                <w:rFonts w:hint="eastAsia" w:ascii="Times New Roman" w:hAnsi="Times New Roman"/>
                <w:color w:val="auto"/>
                <w:sz w:val="24"/>
                <w:highlight w:val="none"/>
                <w:lang w:val="en-US" w:eastAsia="zh-CN"/>
              </w:rPr>
              <w:t>109.4</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hint="eastAsia" w:ascii="Times New Roman" w:hAnsi="Times New Roman"/>
                <w:color w:val="auto"/>
                <w:sz w:val="24"/>
                <w:highlight w:val="none"/>
              </w:rPr>
              <w:t>。</w:t>
            </w:r>
          </w:p>
          <w:p w14:paraId="5EB6743B">
            <w:pPr>
              <w:pStyle w:val="39"/>
              <w:spacing w:after="0" w:line="360" w:lineRule="auto"/>
              <w:ind w:firstLine="482" w:firstLineChars="201"/>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道路、场地喷雾降尘用水：为控制施工扬尘，需对井场道路及作业场地进行喷雾降尘。参考同类项目施工经验，结合本项目19个井场总临时用地28268m²，按每日喷雾降尘3次、单位面积用水量0.5L/m²・次核算，日喷雾降尘用水量约为42.4m³/d（28268m²×0.5L/m²・次×3次÷1000）。喷雾降尘用水全部自然蒸发损耗，无废水产生，施工期（平均为3个月，按90d计）总用水量约为3816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p>
          <w:p w14:paraId="625D5757">
            <w:pPr>
              <w:pStyle w:val="39"/>
              <w:spacing w:after="0" w:line="360" w:lineRule="auto"/>
              <w:ind w:firstLine="482" w:firstLineChars="201"/>
              <w:rPr>
                <w:rFonts w:eastAsia="宋体"/>
                <w:color w:val="auto"/>
                <w:sz w:val="24"/>
                <w:highlight w:val="none"/>
              </w:rPr>
            </w:pPr>
            <w:r>
              <w:rPr>
                <w:rFonts w:hint="eastAsia" w:eastAsia="宋体"/>
                <w:color w:val="auto"/>
                <w:sz w:val="24"/>
                <w:highlight w:val="none"/>
              </w:rPr>
              <w:t>综上，</w:t>
            </w:r>
            <w:r>
              <w:rPr>
                <w:rFonts w:eastAsia="宋体"/>
                <w:color w:val="auto"/>
                <w:sz w:val="24"/>
                <w:highlight w:val="none"/>
              </w:rPr>
              <w:t>项目水平衡图见下图所示。</w:t>
            </w:r>
          </w:p>
          <w:p w14:paraId="56046D0D">
            <w:pPr>
              <w:pStyle w:val="12"/>
              <w:spacing w:after="0" w:line="360" w:lineRule="auto"/>
              <w:ind w:left="0" w:leftChars="0" w:firstLine="0"/>
              <w:jc w:val="center"/>
              <w:rPr>
                <w:rFonts w:ascii="Times New Roman" w:hAnsi="Times New Roman" w:eastAsia="宋体"/>
                <w:b/>
                <w:color w:val="auto"/>
                <w:sz w:val="21"/>
                <w:szCs w:val="21"/>
                <w:highlight w:val="none"/>
              </w:rPr>
            </w:pPr>
            <w:r>
              <w:rPr>
                <w:rFonts w:hint="eastAsia" w:ascii="Times New Roman" w:hAnsi="Times New Roman"/>
                <w:color w:val="auto"/>
                <w:highlight w:val="none"/>
              </w:rPr>
              <w:drawing>
                <wp:inline distT="0" distB="0" distL="114300" distR="114300">
                  <wp:extent cx="4594225" cy="3063240"/>
                  <wp:effectExtent l="0" t="0" r="3175" b="10160"/>
                  <wp:docPr id="3" name="F360BE8B-6686-4F3D-AEAF-501FE73E4058-2" descr="C:/Users/11279/AppData/Local/Temp/绘图1(2).png绘图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360BE8B-6686-4F3D-AEAF-501FE73E4058-2" descr="C:/Users/11279/AppData/Local/Temp/绘图1(2).png绘图1(2)"/>
                          <pic:cNvPicPr>
                            <a:picLocks noChangeAspect="1"/>
                          </pic:cNvPicPr>
                        </pic:nvPicPr>
                        <pic:blipFill>
                          <a:blip r:embed="rId32"/>
                          <a:stretch>
                            <a:fillRect/>
                          </a:stretch>
                        </pic:blipFill>
                        <pic:spPr>
                          <a:xfrm>
                            <a:off x="0" y="0"/>
                            <a:ext cx="4594225" cy="3063240"/>
                          </a:xfrm>
                          <a:prstGeom prst="rect">
                            <a:avLst/>
                          </a:prstGeom>
                        </pic:spPr>
                      </pic:pic>
                    </a:graphicData>
                  </a:graphic>
                </wp:inline>
              </w:drawing>
            </w:r>
          </w:p>
          <w:p w14:paraId="73CB8B1B">
            <w:pPr>
              <w:spacing w:after="0" w:line="360" w:lineRule="auto"/>
              <w:jc w:val="center"/>
              <w:rPr>
                <w:rFonts w:ascii="Times New Roman" w:hAnsi="Times New Roman"/>
                <w:b/>
                <w:color w:val="auto"/>
                <w:highlight w:val="none"/>
              </w:rPr>
            </w:pPr>
            <w:r>
              <w:rPr>
                <w:rFonts w:ascii="Times New Roman" w:hAnsi="Times New Roman"/>
                <w:b/>
                <w:color w:val="auto"/>
                <w:szCs w:val="21"/>
                <w:highlight w:val="none"/>
              </w:rPr>
              <w:t>图</w:t>
            </w:r>
            <w:r>
              <w:rPr>
                <w:rFonts w:hint="eastAsia" w:ascii="Times New Roman" w:hAnsi="Times New Roman"/>
                <w:b/>
                <w:color w:val="auto"/>
                <w:szCs w:val="21"/>
                <w:highlight w:val="none"/>
              </w:rPr>
              <w:t xml:space="preserve">2-3 </w:t>
            </w:r>
            <w:r>
              <w:rPr>
                <w:rFonts w:ascii="Times New Roman" w:hAnsi="Times New Roman"/>
                <w:b/>
                <w:color w:val="auto"/>
                <w:szCs w:val="21"/>
                <w:highlight w:val="none"/>
              </w:rPr>
              <w:t xml:space="preserve"> 项目水平衡图（</w:t>
            </w:r>
            <w:r>
              <w:rPr>
                <w:rFonts w:hint="eastAsia" w:ascii="Times New Roman" w:hAnsi="Times New Roman"/>
                <w:b/>
                <w:color w:val="auto"/>
                <w:szCs w:val="21"/>
                <w:highlight w:val="none"/>
              </w:rPr>
              <w:t>m</w:t>
            </w:r>
            <w:r>
              <w:rPr>
                <w:rFonts w:hint="eastAsia" w:ascii="Times New Roman" w:hAnsi="Times New Roman"/>
                <w:b/>
                <w:color w:val="auto"/>
                <w:szCs w:val="21"/>
                <w:highlight w:val="none"/>
                <w:vertAlign w:val="superscript"/>
              </w:rPr>
              <w:t>3</w:t>
            </w:r>
            <w:r>
              <w:rPr>
                <w:rFonts w:hint="eastAsia" w:ascii="Times New Roman" w:hAnsi="Times New Roman"/>
                <w:b/>
                <w:color w:val="auto"/>
                <w:szCs w:val="21"/>
                <w:highlight w:val="none"/>
                <w:vertAlign w:val="baseline"/>
              </w:rPr>
              <w:t>/</w:t>
            </w:r>
            <w:r>
              <w:rPr>
                <w:rFonts w:hint="eastAsia" w:ascii="Times New Roman" w:hAnsi="Times New Roman"/>
                <w:b/>
                <w:color w:val="auto"/>
                <w:szCs w:val="21"/>
                <w:highlight w:val="none"/>
                <w:lang w:val="en-US" w:eastAsia="zh-CN"/>
              </w:rPr>
              <w:t>施工期</w:t>
            </w:r>
            <w:r>
              <w:rPr>
                <w:rFonts w:ascii="Times New Roman" w:hAnsi="Times New Roman"/>
                <w:b/>
                <w:color w:val="auto"/>
                <w:szCs w:val="21"/>
                <w:highlight w:val="none"/>
              </w:rPr>
              <w:t>）</w:t>
            </w:r>
          </w:p>
          <w:p w14:paraId="20E83F5C">
            <w:pPr>
              <w:pStyle w:val="31"/>
              <w:adjustRightInd/>
              <w:spacing w:after="0" w:line="360" w:lineRule="auto"/>
              <w:ind w:firstLine="482" w:firstLineChars="200"/>
              <w:jc w:val="both"/>
              <w:rPr>
                <w:rFonts w:ascii="Times New Roman" w:hAnsi="Times New Roman"/>
                <w:b/>
                <w:color w:val="auto"/>
                <w:highlight w:val="none"/>
              </w:rPr>
            </w:pPr>
            <w:r>
              <w:rPr>
                <w:rFonts w:ascii="Times New Roman" w:hAnsi="Times New Roman"/>
                <w:b/>
                <w:color w:val="auto"/>
                <w:highlight w:val="none"/>
              </w:rPr>
              <w:t>5</w:t>
            </w:r>
            <w:r>
              <w:rPr>
                <w:rFonts w:ascii="Times New Roman" w:hAnsi="宋体"/>
                <w:b/>
                <w:color w:val="auto"/>
                <w:highlight w:val="none"/>
              </w:rPr>
              <w:t>、建设周期和项目劳动定员及工作制度</w:t>
            </w:r>
          </w:p>
          <w:p w14:paraId="351A1B9C">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宋体" w:eastAsia="宋体" w:cs="Times New Roman"/>
                <w:bCs/>
                <w:color w:val="auto"/>
                <w:kern w:val="0"/>
                <w:sz w:val="24"/>
                <w:szCs w:val="24"/>
                <w:highlight w:val="none"/>
                <w:lang w:val="en-US" w:eastAsia="zh-CN" w:bidi="ar-SA"/>
              </w:rPr>
            </w:pPr>
            <w:r>
              <w:rPr>
                <w:rFonts w:ascii="Times New Roman" w:hAnsi="宋体" w:eastAsia="宋体" w:cs="Times New Roman"/>
                <w:bCs/>
                <w:color w:val="auto"/>
                <w:kern w:val="0"/>
                <w:sz w:val="24"/>
                <w:szCs w:val="24"/>
                <w:highlight w:val="none"/>
                <w:lang w:val="en-US" w:eastAsia="zh-CN" w:bidi="ar-SA"/>
              </w:rPr>
              <w:t>本项目为采掘面瓦斯抽采配套钻前、钻井及土地复垦前置工程，项目建设目的为消除煤炭开采安全隐患，为后期采掘面瓦斯预抽采作业提供前期施工保障。本项目仅实施钻井相关配套工程，不涉及后期瓦斯抽采、瓦斯输送管线等后续工程，因此项目仅存在施工期，无运营期。</w:t>
            </w:r>
          </w:p>
          <w:p w14:paraId="2D06615F">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宋体" w:eastAsia="宋体" w:cs="Times New Roman"/>
                <w:bCs/>
                <w:color w:val="auto"/>
                <w:kern w:val="0"/>
                <w:sz w:val="24"/>
                <w:szCs w:val="24"/>
                <w:highlight w:val="none"/>
                <w:lang w:val="en-US" w:eastAsia="zh-CN" w:bidi="ar-SA"/>
              </w:rPr>
            </w:pPr>
            <w:r>
              <w:rPr>
                <w:rFonts w:ascii="Times New Roman" w:hAnsi="宋体" w:eastAsia="宋体" w:cs="Times New Roman"/>
                <w:bCs/>
                <w:color w:val="auto"/>
                <w:kern w:val="0"/>
                <w:sz w:val="24"/>
                <w:szCs w:val="24"/>
                <w:highlight w:val="none"/>
                <w:lang w:val="en-US" w:eastAsia="zh-CN" w:bidi="ar-SA"/>
              </w:rPr>
              <w:t>本项目共布设19个钻孔，分为三个批次分期施工，各批次钻孔独立施工、工期均为3个月，项目整体施工总周期9个月。其中第一批施工钻孔10个（DG1-1～DG1-10），施工工期3个月；第二批施工钻孔4个（DG1-11～DG1-14），施工工期3个月；第三批施工钻孔5个（DG1-15～DG1-19），施工工期3个月，整体钻井施工工期覆盖全部9个月建设周期。项目采用分批次轮换施工模式，单批次施工期间在岗作业人员配置统一，单个施工井场每日施工人数为12人。项目19个钻孔分三批次错峰施工，根据钻探作业需求合理安排施工班次，保障各批次钻井工程有序推进。</w:t>
            </w:r>
          </w:p>
          <w:p w14:paraId="462AF621">
            <w:pPr>
              <w:pStyle w:val="31"/>
              <w:adjustRightInd/>
              <w:spacing w:after="0" w:line="360" w:lineRule="auto"/>
              <w:ind w:firstLine="482" w:firstLineChars="200"/>
              <w:jc w:val="both"/>
              <w:rPr>
                <w:rFonts w:ascii="Times New Roman" w:hAnsi="Times New Roman"/>
                <w:b/>
                <w:bCs/>
                <w:color w:val="auto"/>
                <w:highlight w:val="none"/>
              </w:rPr>
            </w:pPr>
            <w:r>
              <w:rPr>
                <w:rFonts w:ascii="Times New Roman" w:hAnsi="Times New Roman"/>
                <w:b/>
                <w:color w:val="auto"/>
                <w:highlight w:val="none"/>
              </w:rPr>
              <w:t>6</w:t>
            </w:r>
            <w:r>
              <w:rPr>
                <w:rFonts w:ascii="Times New Roman" w:hAnsi="宋体"/>
                <w:b/>
                <w:color w:val="auto"/>
                <w:highlight w:val="none"/>
              </w:rPr>
              <w:t>、</w:t>
            </w:r>
            <w:r>
              <w:rPr>
                <w:rFonts w:ascii="Times New Roman" w:hAnsi="宋体"/>
                <w:b/>
                <w:bCs/>
                <w:color w:val="auto"/>
                <w:highlight w:val="none"/>
              </w:rPr>
              <w:t>施工时序</w:t>
            </w:r>
          </w:p>
          <w:p w14:paraId="53EB593A">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宋体" w:eastAsia="宋体" w:cs="Times New Roman"/>
                <w:bCs/>
                <w:color w:val="auto"/>
                <w:kern w:val="0"/>
                <w:sz w:val="24"/>
                <w:szCs w:val="24"/>
                <w:highlight w:val="none"/>
                <w:lang w:val="en-US" w:eastAsia="zh-CN" w:bidi="ar-SA"/>
              </w:rPr>
            </w:pPr>
            <w:r>
              <w:rPr>
                <w:rFonts w:ascii="Times New Roman" w:hAnsi="宋体" w:eastAsia="宋体" w:cs="Times New Roman"/>
                <w:bCs/>
                <w:color w:val="auto"/>
                <w:kern w:val="0"/>
                <w:sz w:val="24"/>
                <w:szCs w:val="24"/>
                <w:highlight w:val="none"/>
                <w:lang w:val="en-US" w:eastAsia="zh-CN" w:bidi="ar-SA"/>
              </w:rPr>
              <w:t>本项目共布设19个钻孔，分三批次分期实施钻井施工，整体施工时序遵循</w:t>
            </w:r>
            <w:r>
              <w:rPr>
                <w:rFonts w:hint="eastAsia" w:ascii="Times New Roman" w:hAnsi="宋体" w:cs="Times New Roman"/>
                <w:bCs/>
                <w:color w:val="auto"/>
                <w:kern w:val="0"/>
                <w:sz w:val="24"/>
                <w:szCs w:val="24"/>
                <w:highlight w:val="none"/>
                <w:lang w:val="en-US" w:eastAsia="zh-CN" w:bidi="ar-SA"/>
              </w:rPr>
              <w:t>“</w:t>
            </w:r>
            <w:r>
              <w:rPr>
                <w:rFonts w:ascii="Times New Roman" w:hAnsi="宋体" w:eastAsia="宋体" w:cs="Times New Roman"/>
                <w:bCs/>
                <w:color w:val="auto"/>
                <w:kern w:val="0"/>
                <w:sz w:val="24"/>
                <w:szCs w:val="24"/>
                <w:highlight w:val="none"/>
                <w:lang w:val="en-US" w:eastAsia="zh-CN" w:bidi="ar-SA"/>
              </w:rPr>
              <w:t>先钻前、后钻井、完工后生态复垦</w:t>
            </w:r>
            <w:r>
              <w:rPr>
                <w:rFonts w:hint="eastAsia" w:ascii="Times New Roman" w:hAnsi="宋体" w:cs="Times New Roman"/>
                <w:bCs/>
                <w:color w:val="auto"/>
                <w:kern w:val="0"/>
                <w:sz w:val="24"/>
                <w:szCs w:val="24"/>
                <w:highlight w:val="none"/>
                <w:lang w:val="en-US" w:eastAsia="zh-CN" w:bidi="ar-SA"/>
              </w:rPr>
              <w:t>”</w:t>
            </w:r>
            <w:r>
              <w:rPr>
                <w:rFonts w:ascii="Times New Roman" w:hAnsi="宋体" w:eastAsia="宋体" w:cs="Times New Roman"/>
                <w:bCs/>
                <w:color w:val="auto"/>
                <w:kern w:val="0"/>
                <w:sz w:val="24"/>
                <w:szCs w:val="24"/>
                <w:highlight w:val="none"/>
                <w:lang w:val="en-US" w:eastAsia="zh-CN" w:bidi="ar-SA"/>
              </w:rPr>
              <w:t>的总体流程有序推进，各阶段施工时序如下：</w:t>
            </w:r>
          </w:p>
          <w:p w14:paraId="3E288E4F">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宋体" w:eastAsia="宋体" w:cs="Times New Roman"/>
                <w:bCs/>
                <w:color w:val="auto"/>
                <w:kern w:val="0"/>
                <w:sz w:val="24"/>
                <w:szCs w:val="24"/>
                <w:highlight w:val="none"/>
                <w:lang w:val="en-US" w:eastAsia="zh-CN" w:bidi="ar-SA"/>
              </w:rPr>
            </w:pPr>
            <w:r>
              <w:rPr>
                <w:rFonts w:ascii="Times New Roman" w:hAnsi="宋体" w:eastAsia="宋体" w:cs="Times New Roman"/>
                <w:bCs/>
                <w:color w:val="auto"/>
                <w:kern w:val="0"/>
                <w:sz w:val="24"/>
                <w:szCs w:val="24"/>
                <w:highlight w:val="none"/>
                <w:lang w:val="en-US" w:eastAsia="zh-CN" w:bidi="ar-SA"/>
              </w:rPr>
              <w:t>①钻前工程：各批次钻孔施工前，依次完成对应井场场地平整、临时设施搭建、泥浆池及沉淀池布设、施工设备进场安装调试等钻前准备工程</w:t>
            </w:r>
            <w:r>
              <w:rPr>
                <w:rFonts w:hint="eastAsia" w:ascii="Times New Roman" w:hAnsi="宋体" w:cs="Times New Roman"/>
                <w:bCs/>
                <w:color w:val="auto"/>
                <w:kern w:val="0"/>
                <w:sz w:val="24"/>
                <w:szCs w:val="24"/>
                <w:highlight w:val="none"/>
                <w:lang w:val="en-US" w:eastAsia="zh-CN" w:bidi="ar-SA"/>
              </w:rPr>
              <w:t>。</w:t>
            </w:r>
          </w:p>
          <w:p w14:paraId="1F9169E8">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宋体" w:eastAsia="宋体" w:cs="Times New Roman"/>
                <w:bCs/>
                <w:color w:val="auto"/>
                <w:kern w:val="0"/>
                <w:sz w:val="24"/>
                <w:szCs w:val="24"/>
                <w:highlight w:val="none"/>
                <w:lang w:val="en-US" w:eastAsia="zh-CN" w:bidi="ar-SA"/>
              </w:rPr>
            </w:pPr>
            <w:r>
              <w:rPr>
                <w:rFonts w:ascii="Times New Roman" w:hAnsi="宋体" w:eastAsia="宋体" w:cs="Times New Roman"/>
                <w:bCs/>
                <w:color w:val="auto"/>
                <w:kern w:val="0"/>
                <w:sz w:val="24"/>
                <w:szCs w:val="24"/>
                <w:highlight w:val="none"/>
                <w:lang w:val="en-US" w:eastAsia="zh-CN" w:bidi="ar-SA"/>
              </w:rPr>
              <w:t>②钻井工程：本项目19个钻孔分三批次错开施工，单批次施工工期均为3个月，整体钻井总工期9个月。其中第一批施工钻孔10个（DG1-1～DG1-10）、第二批施工钻孔4个（DG1-11～DG1-14）、第三批施工钻孔5个（DG1-15～DG1-19），逐批次完成全部钻孔钻井作业。</w:t>
            </w:r>
          </w:p>
          <w:p w14:paraId="07D0C7B3">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color w:val="auto"/>
                <w:highlight w:val="none"/>
              </w:rPr>
            </w:pPr>
            <w:r>
              <w:rPr>
                <w:rFonts w:ascii="Times New Roman" w:hAnsi="宋体" w:eastAsia="宋体" w:cs="Times New Roman"/>
                <w:bCs/>
                <w:color w:val="auto"/>
                <w:kern w:val="0"/>
                <w:sz w:val="24"/>
                <w:szCs w:val="24"/>
                <w:highlight w:val="none"/>
                <w:lang w:val="en-US" w:eastAsia="zh-CN" w:bidi="ar-SA"/>
              </w:rPr>
              <w:t>③生态恢复工程：项目各井场临时用地使用结束、单批次钻井工程完工后，及时开展场地清理、废渣清运、地貌修整工作，所有临时用地自用地期满之日起12个月内全面完成土地复垦及生态恢复工程，恢复土地原有耕作功能，确保项目占用耕地数量不减少、耕地质量不降低，实现施工区域生态环境闭环恢复。</w:t>
            </w:r>
          </w:p>
        </w:tc>
      </w:tr>
    </w:tbl>
    <w:p w14:paraId="105B01AE">
      <w:pPr>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br w:type="page"/>
      </w:r>
    </w:p>
    <w:p w14:paraId="3DE20219">
      <w:pPr>
        <w:pStyle w:val="20"/>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bookmarkStart w:id="6" w:name="_Toc22394"/>
      <w:r>
        <w:rPr>
          <w:rFonts w:ascii="Times New Roman" w:hAnsi="Times New Roman" w:eastAsia="黑体"/>
          <w:snapToGrid w:val="0"/>
          <w:color w:val="auto"/>
          <w:sz w:val="30"/>
          <w:szCs w:val="30"/>
          <w:highlight w:val="none"/>
        </w:rPr>
        <w:t>三、生态环境现状、保护目标及评价标准</w:t>
      </w:r>
      <w:bookmarkEnd w:id="6"/>
    </w:p>
    <w:tbl>
      <w:tblPr>
        <w:tblStyle w:val="22"/>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068"/>
      </w:tblGrid>
      <w:tr w14:paraId="107831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1" w:hRule="atLeast"/>
          <w:jc w:val="center"/>
        </w:trPr>
        <w:tc>
          <w:tcPr>
            <w:tcW w:w="454" w:type="dxa"/>
            <w:vAlign w:val="center"/>
          </w:tcPr>
          <w:p w14:paraId="57331F60">
            <w:pPr>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生态环境现状</w:t>
            </w:r>
          </w:p>
        </w:tc>
        <w:tc>
          <w:tcPr>
            <w:tcW w:w="8068" w:type="dxa"/>
            <w:vAlign w:val="center"/>
          </w:tcPr>
          <w:p w14:paraId="1D126BF0">
            <w:pPr>
              <w:pStyle w:val="13"/>
              <w:tabs>
                <w:tab w:val="left" w:pos="0"/>
              </w:tabs>
              <w:snapToGrid/>
              <w:spacing w:after="0" w:line="360" w:lineRule="auto"/>
              <w:rPr>
                <w:rFonts w:ascii="Times New Roman" w:hAnsi="Times New Roman"/>
                <w:b/>
                <w:bCs/>
                <w:color w:val="auto"/>
                <w:sz w:val="24"/>
                <w:highlight w:val="none"/>
              </w:rPr>
            </w:pPr>
            <w:r>
              <w:rPr>
                <w:rFonts w:ascii="Times New Roman" w:hAnsi="Times New Roman"/>
                <w:b/>
                <w:bCs/>
                <w:color w:val="auto"/>
                <w:sz w:val="24"/>
                <w:highlight w:val="none"/>
              </w:rPr>
              <w:t>一、自然环境简介</w:t>
            </w:r>
          </w:p>
          <w:p w14:paraId="57366597">
            <w:pPr>
              <w:pStyle w:val="13"/>
              <w:tabs>
                <w:tab w:val="left" w:pos="0"/>
              </w:tabs>
              <w:snapToGrid/>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1、生态现状调查</w:t>
            </w:r>
          </w:p>
          <w:p w14:paraId="502AE53D">
            <w:pPr>
              <w:spacing w:after="0" w:line="360" w:lineRule="auto"/>
              <w:ind w:firstLine="480"/>
              <w:rPr>
                <w:rFonts w:ascii="Times New Roman" w:hAnsi="Times New Roman"/>
                <w:color w:val="auto"/>
                <w:sz w:val="24"/>
                <w:highlight w:val="none"/>
              </w:rPr>
            </w:pPr>
            <w:r>
              <w:rPr>
                <w:rFonts w:ascii="Times New Roman" w:hAnsi="Times New Roman"/>
                <w:color w:val="auto"/>
                <w:sz w:val="24"/>
                <w:highlight w:val="none"/>
              </w:rPr>
              <w:t>（1）主体功能区规划</w:t>
            </w:r>
          </w:p>
          <w:p w14:paraId="34AC2AE6">
            <w:pPr>
              <w:keepNext/>
              <w:keepLines/>
              <w:spacing w:after="0" w:line="360" w:lineRule="auto"/>
              <w:ind w:firstLine="480" w:firstLineChars="200"/>
              <w:outlineLvl w:val="2"/>
              <w:rPr>
                <w:rFonts w:ascii="Times New Roman" w:hAnsi="Times New Roman"/>
                <w:color w:val="auto"/>
                <w:sz w:val="24"/>
                <w:highlight w:val="none"/>
              </w:rPr>
            </w:pPr>
            <w:r>
              <w:rPr>
                <w:rFonts w:hint="eastAsia" w:ascii="Times New Roman" w:hAnsi="Times New Roman"/>
                <w:color w:val="auto"/>
                <w:sz w:val="24"/>
                <w:highlight w:val="none"/>
              </w:rPr>
              <w:t>本工程位于潘集区贺</w:t>
            </w:r>
            <w:r>
              <w:rPr>
                <w:rFonts w:hint="eastAsia" w:ascii="Times New Roman" w:hAnsi="Times New Roman"/>
                <w:color w:val="auto"/>
                <w:sz w:val="24"/>
                <w:highlight w:val="none"/>
                <w:lang w:val="en-US" w:eastAsia="zh-CN"/>
              </w:rPr>
              <w:t>疃</w:t>
            </w:r>
            <w:r>
              <w:rPr>
                <w:rFonts w:hint="eastAsia" w:ascii="Times New Roman" w:hAnsi="Times New Roman"/>
                <w:color w:val="auto"/>
                <w:sz w:val="24"/>
                <w:highlight w:val="none"/>
              </w:rPr>
              <w:t>镇境内，根据《关于印发安徽省主体功能区划的通知》（皖政〔2013〕82号），工程所在位置属于省重点开发区域。安徽省主体功能区划图详见附图9。</w:t>
            </w:r>
          </w:p>
          <w:p w14:paraId="095B468F">
            <w:pPr>
              <w:keepNext/>
              <w:keepLines/>
              <w:spacing w:after="0" w:line="360" w:lineRule="auto"/>
              <w:ind w:firstLine="480" w:firstLineChars="200"/>
              <w:outlineLvl w:val="2"/>
              <w:rPr>
                <w:rFonts w:ascii="Times New Roman" w:hAnsi="Times New Roman"/>
                <w:color w:val="auto"/>
                <w:sz w:val="24"/>
                <w:highlight w:val="none"/>
              </w:rPr>
            </w:pPr>
            <w:r>
              <w:rPr>
                <w:rFonts w:hint="eastAsia" w:ascii="Times New Roman" w:hAnsi="Times New Roman"/>
                <w:color w:val="auto"/>
                <w:sz w:val="24"/>
                <w:highlight w:val="none"/>
              </w:rPr>
              <w:t>该片区是皖北城镇群的重要节点城市，包括淮南市5个市辖区和蚌埠市4个市辖区。</w:t>
            </w:r>
          </w:p>
          <w:p w14:paraId="024DB742">
            <w:pPr>
              <w:keepNext/>
              <w:keepLines/>
              <w:spacing w:after="0" w:line="360" w:lineRule="auto"/>
              <w:ind w:firstLine="480" w:firstLineChars="200"/>
              <w:outlineLvl w:val="2"/>
              <w:rPr>
                <w:rFonts w:ascii="Times New Roman" w:hAnsi="Times New Roman"/>
                <w:color w:val="auto"/>
                <w:sz w:val="24"/>
                <w:highlight w:val="none"/>
              </w:rPr>
            </w:pPr>
            <w:r>
              <w:rPr>
                <w:rFonts w:hint="eastAsia" w:ascii="Times New Roman" w:hAnsi="Times New Roman"/>
                <w:color w:val="auto"/>
                <w:sz w:val="24"/>
                <w:highlight w:val="none"/>
              </w:rPr>
              <w:t>功能定位：全国重要的能源基地、先进制造业基地、煤化工及化工新材料基地和创新基地，全国重要的商品粮基地和农副产品加工基地，全省重要的生物医药基地。</w:t>
            </w:r>
          </w:p>
          <w:p w14:paraId="46AD717F">
            <w:pPr>
              <w:keepNext/>
              <w:keepLines/>
              <w:spacing w:after="0" w:line="360" w:lineRule="auto"/>
              <w:ind w:firstLine="480" w:firstLineChars="200"/>
              <w:outlineLvl w:val="2"/>
              <w:rPr>
                <w:rFonts w:ascii="Times New Roman" w:hAnsi="Times New Roman"/>
                <w:color w:val="auto"/>
                <w:sz w:val="24"/>
                <w:highlight w:val="none"/>
              </w:rPr>
            </w:pPr>
            <w:r>
              <w:rPr>
                <w:rFonts w:hint="eastAsia" w:ascii="Times New Roman" w:hAnsi="Times New Roman"/>
                <w:color w:val="auto"/>
                <w:sz w:val="24"/>
                <w:highlight w:val="none"/>
              </w:rPr>
              <w:t>——加快蚌埠区域性中心城市建设，形成以市区为中心、县城为骨干、中心镇为节点的城镇体系；加强交通等基础设施规划和建设，巩固提升区域性综合交通枢纽地位。加快淮南资源枯竭型城市转型，优化城市空间布局，强化城市基础设施支撑能力，建设成为沿淮经济带重要的现代化大城市。</w:t>
            </w:r>
          </w:p>
          <w:p w14:paraId="15EAE496">
            <w:pPr>
              <w:keepNext/>
              <w:keepLines/>
              <w:spacing w:after="0" w:line="360" w:lineRule="auto"/>
              <w:ind w:firstLine="480" w:firstLineChars="200"/>
              <w:outlineLvl w:val="2"/>
              <w:rPr>
                <w:rFonts w:ascii="Times New Roman" w:hAnsi="Times New Roman"/>
                <w:color w:val="auto"/>
                <w:sz w:val="24"/>
                <w:highlight w:val="none"/>
              </w:rPr>
            </w:pPr>
            <w:r>
              <w:rPr>
                <w:rFonts w:hint="eastAsia" w:ascii="Times New Roman" w:hAnsi="Times New Roman"/>
                <w:color w:val="auto"/>
                <w:sz w:val="24"/>
                <w:highlight w:val="none"/>
              </w:rPr>
              <w:t>——加强重点产业基地建设，培育壮大机械制造、新能源汽车及汽车零部件、煤化工及化工新材料、硅基新材料基地、商贸物流及电子信息、新能源等产业。</w:t>
            </w:r>
          </w:p>
          <w:p w14:paraId="261B31AD">
            <w:pPr>
              <w:keepNext/>
              <w:keepLines/>
              <w:spacing w:after="0" w:line="360" w:lineRule="auto"/>
              <w:ind w:firstLine="480" w:firstLineChars="200"/>
              <w:outlineLvl w:val="2"/>
              <w:rPr>
                <w:rFonts w:ascii="Times New Roman" w:hAnsi="Times New Roman"/>
                <w:color w:val="auto"/>
                <w:sz w:val="24"/>
                <w:highlight w:val="none"/>
              </w:rPr>
            </w:pPr>
            <w:r>
              <w:rPr>
                <w:rFonts w:hint="eastAsia" w:ascii="Times New Roman" w:hAnsi="Times New Roman"/>
                <w:color w:val="auto"/>
                <w:sz w:val="24"/>
                <w:highlight w:val="none"/>
              </w:rPr>
              <w:t>——大力发展都市农业，兴建具有观光农业、休闲农业等功能的农业科技园（区）。推进采煤塌陷区综合治理及土地复垦。</w:t>
            </w:r>
          </w:p>
          <w:p w14:paraId="281C2AF4">
            <w:pPr>
              <w:keepNext/>
              <w:keepLines/>
              <w:spacing w:after="0" w:line="360" w:lineRule="auto"/>
              <w:ind w:firstLine="480" w:firstLineChars="200"/>
              <w:outlineLvl w:val="2"/>
              <w:rPr>
                <w:rFonts w:ascii="Times New Roman" w:hAnsi="Times New Roman"/>
                <w:color w:val="auto"/>
                <w:sz w:val="24"/>
                <w:highlight w:val="none"/>
              </w:rPr>
            </w:pPr>
            <w:r>
              <w:rPr>
                <w:rFonts w:ascii="Times New Roman" w:hAnsi="Times New Roman"/>
                <w:color w:val="auto"/>
                <w:sz w:val="24"/>
                <w:highlight w:val="none"/>
              </w:rPr>
              <w:t>（2）生态功能区概述</w:t>
            </w:r>
          </w:p>
          <w:p w14:paraId="0983978F">
            <w:pPr>
              <w:spacing w:after="0" w:line="360" w:lineRule="auto"/>
              <w:ind w:firstLine="480"/>
              <w:rPr>
                <w:rFonts w:ascii="Times New Roman" w:hAnsi="Times New Roman"/>
                <w:color w:val="auto"/>
                <w:sz w:val="24"/>
                <w:highlight w:val="none"/>
              </w:rPr>
            </w:pPr>
            <w:r>
              <w:rPr>
                <w:rFonts w:ascii="Times New Roman" w:hAnsi="Times New Roman"/>
                <w:color w:val="auto"/>
                <w:sz w:val="24"/>
                <w:highlight w:val="none"/>
              </w:rPr>
              <w:t>根据原环保部、中国科学院制定的《全国生态功能区规划（修编版）》，中安联合煤化有限责任公司朱集西煤矿位于黄淮平原农产品提供三级功能区（II-01-15）。根据《安徽省生态环境保护规划》，中安联合煤化有限责任公司位于沿淮淮北平原生态区的淮南农业与城镇生态功能区（I3-3）。根据《淮南市生态功能分区》，朱集西煤矿井田属于北部平原旱作农业与矿业发展区，本项目与安徽省生态功能区划关系图见附图</w:t>
            </w:r>
            <w:r>
              <w:rPr>
                <w:rFonts w:hint="eastAsia" w:ascii="Times New Roman" w:hAnsi="Times New Roman"/>
                <w:color w:val="auto"/>
                <w:sz w:val="24"/>
                <w:highlight w:val="none"/>
              </w:rPr>
              <w:t>10</w:t>
            </w:r>
            <w:r>
              <w:rPr>
                <w:rFonts w:ascii="Times New Roman" w:hAnsi="Times New Roman"/>
                <w:color w:val="auto"/>
                <w:sz w:val="24"/>
                <w:highlight w:val="none"/>
              </w:rPr>
              <w:t>。</w:t>
            </w:r>
          </w:p>
          <w:p w14:paraId="34CD9B9B">
            <w:pPr>
              <w:pStyle w:val="40"/>
              <w:adjustRightInd/>
              <w:snapToGrid/>
              <w:spacing w:after="0"/>
              <w:rPr>
                <w:rFonts w:ascii="Times New Roman" w:hAnsi="Times New Roman"/>
                <w:color w:val="auto"/>
                <w:kern w:val="2"/>
                <w:highlight w:val="none"/>
                <w:shd w:val="clear" w:color="auto" w:fill="auto"/>
                <w:lang w:val="en-US"/>
              </w:rPr>
            </w:pPr>
            <w:r>
              <w:rPr>
                <w:rFonts w:ascii="Times New Roman" w:hAnsi="Times New Roman"/>
                <w:color w:val="auto"/>
                <w:kern w:val="2"/>
                <w:highlight w:val="none"/>
                <w:shd w:val="clear" w:color="auto" w:fill="auto"/>
                <w:lang w:val="en-US"/>
              </w:rPr>
              <w:t>本区地貌有以平原为主，丘岗嵌于其中。</w:t>
            </w:r>
            <w:r>
              <w:rPr>
                <w:rFonts w:hint="eastAsia" w:ascii="Times New Roman" w:hAnsi="Times New Roman"/>
                <w:color w:val="auto"/>
                <w:kern w:val="2"/>
                <w:highlight w:val="none"/>
                <w:shd w:val="clear" w:color="auto" w:fill="auto"/>
                <w:lang w:val="en-US"/>
              </w:rPr>
              <w:t>区</w:t>
            </w:r>
            <w:r>
              <w:rPr>
                <w:rFonts w:ascii="Times New Roman" w:hAnsi="Times New Roman"/>
                <w:color w:val="auto"/>
                <w:kern w:val="2"/>
                <w:highlight w:val="none"/>
                <w:shd w:val="clear" w:color="auto" w:fill="auto"/>
                <w:lang w:val="en-US"/>
              </w:rPr>
              <w:t>内工矿与城镇密集，主要安徽省重要工业城市淮南市，本区煤炭远景储量444×10</w:t>
            </w:r>
            <w:r>
              <w:rPr>
                <w:rFonts w:ascii="Times New Roman" w:hAnsi="Times New Roman"/>
                <w:color w:val="auto"/>
                <w:kern w:val="2"/>
                <w:highlight w:val="none"/>
                <w:shd w:val="clear" w:color="auto" w:fill="auto"/>
                <w:vertAlign w:val="superscript"/>
                <w:lang w:val="en-US"/>
              </w:rPr>
              <w:t>8</w:t>
            </w:r>
            <w:r>
              <w:rPr>
                <w:rFonts w:ascii="Times New Roman" w:hAnsi="Times New Roman"/>
                <w:color w:val="auto"/>
                <w:kern w:val="2"/>
                <w:highlight w:val="none"/>
                <w:shd w:val="clear" w:color="auto" w:fill="auto"/>
                <w:lang w:val="en-US"/>
              </w:rPr>
              <w:t>t，探明储量145×10</w:t>
            </w:r>
            <w:r>
              <w:rPr>
                <w:rFonts w:ascii="Times New Roman" w:hAnsi="Times New Roman"/>
                <w:color w:val="auto"/>
                <w:kern w:val="2"/>
                <w:highlight w:val="none"/>
                <w:shd w:val="clear" w:color="auto" w:fill="auto"/>
                <w:vertAlign w:val="superscript"/>
                <w:lang w:val="en-US"/>
              </w:rPr>
              <w:t>8</w:t>
            </w:r>
            <w:r>
              <w:rPr>
                <w:rFonts w:ascii="Times New Roman" w:hAnsi="Times New Roman"/>
                <w:color w:val="auto"/>
                <w:kern w:val="2"/>
                <w:highlight w:val="none"/>
                <w:shd w:val="clear" w:color="auto" w:fill="auto"/>
                <w:lang w:val="en-US"/>
              </w:rPr>
              <w:t>t，是全国十大煤田之一，占安徽省储量的63％，且煤质好，煤种多。</w:t>
            </w:r>
          </w:p>
          <w:p w14:paraId="7347A7EC">
            <w:pPr>
              <w:pStyle w:val="40"/>
              <w:adjustRightInd/>
              <w:snapToGrid/>
              <w:spacing w:after="0"/>
              <w:rPr>
                <w:rFonts w:ascii="Times New Roman" w:hAnsi="Times New Roman"/>
                <w:color w:val="auto"/>
                <w:highlight w:val="none"/>
              </w:rPr>
            </w:pPr>
            <w:r>
              <w:rPr>
                <w:rFonts w:ascii="Times New Roman" w:hAnsi="Times New Roman"/>
                <w:color w:val="auto"/>
                <w:highlight w:val="none"/>
              </w:rPr>
              <w:t>本</w:t>
            </w:r>
            <w:r>
              <w:rPr>
                <w:rFonts w:hint="eastAsia" w:ascii="Times New Roman" w:hAnsi="Times New Roman"/>
                <w:color w:val="auto"/>
                <w:highlight w:val="none"/>
                <w:lang w:val="en-US"/>
              </w:rPr>
              <w:t>项目</w:t>
            </w:r>
            <w:r>
              <w:rPr>
                <w:rFonts w:ascii="Times New Roman" w:hAnsi="Times New Roman"/>
                <w:color w:val="auto"/>
                <w:highlight w:val="none"/>
              </w:rPr>
              <w:t>生态功能区内潴育水稻土、黄潮土和黄褐土广泛分布，在丘岗区有石灰岩土分布，部分地区裸岩出露，石材开采盛行。耕作制度多为一年两熟为主，主要农作物有水稻、小麦等，经济作物有油菜、花生等。丘岗地区分布有地带性天然次生林，主要包括暖温带落叶阔叶林、暖温带针叶林和北亚热带针叶林等。由于农业生产所需要的水土等条件相对较好，本区也是重要的农业生产区，但容易受洪涝等灾害干扰。</w:t>
            </w:r>
          </w:p>
          <w:p w14:paraId="2C4B4EBC">
            <w:pPr>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根据</w:t>
            </w:r>
            <w:r>
              <w:rPr>
                <w:rFonts w:ascii="Times New Roman" w:hAnsi="Times New Roman"/>
                <w:color w:val="auto"/>
                <w:sz w:val="24"/>
                <w:highlight w:val="none"/>
                <w:lang w:val="zh-CN"/>
              </w:rPr>
              <w:t>评价区土地</w:t>
            </w:r>
            <w:r>
              <w:rPr>
                <w:rFonts w:hint="eastAsia" w:ascii="Times New Roman" w:hAnsi="Times New Roman"/>
                <w:color w:val="auto"/>
                <w:sz w:val="24"/>
                <w:highlight w:val="none"/>
                <w:lang w:val="zh-CN"/>
              </w:rPr>
              <w:t>利用</w:t>
            </w:r>
            <w:r>
              <w:rPr>
                <w:rFonts w:ascii="Times New Roman" w:hAnsi="Times New Roman"/>
                <w:color w:val="auto"/>
                <w:sz w:val="24"/>
                <w:highlight w:val="none"/>
                <w:lang w:val="zh-CN"/>
              </w:rPr>
              <w:t>类型</w:t>
            </w:r>
            <w:r>
              <w:rPr>
                <w:rFonts w:hint="eastAsia" w:ascii="Times New Roman" w:hAnsi="Times New Roman"/>
                <w:color w:val="auto"/>
                <w:sz w:val="24"/>
                <w:highlight w:val="none"/>
                <w:lang w:val="zh-CN"/>
              </w:rPr>
              <w:t>现状</w:t>
            </w:r>
            <w:r>
              <w:rPr>
                <w:rFonts w:ascii="Times New Roman" w:hAnsi="Times New Roman"/>
                <w:color w:val="auto"/>
                <w:sz w:val="24"/>
                <w:highlight w:val="none"/>
                <w:lang w:val="zh-CN"/>
              </w:rPr>
              <w:t>，结合</w:t>
            </w:r>
            <w:r>
              <w:rPr>
                <w:rFonts w:hint="eastAsia" w:ascii="Times New Roman" w:hAnsi="Times New Roman"/>
                <w:color w:val="auto"/>
                <w:sz w:val="24"/>
                <w:highlight w:val="none"/>
                <w:lang w:val="zh-CN"/>
              </w:rPr>
              <w:t>遥感影像数据</w:t>
            </w:r>
            <w:r>
              <w:rPr>
                <w:rFonts w:ascii="Times New Roman" w:hAnsi="Times New Roman"/>
                <w:color w:val="auto"/>
                <w:sz w:val="24"/>
                <w:highlight w:val="none"/>
                <w:lang w:val="zh-CN"/>
              </w:rPr>
              <w:t>，将</w:t>
            </w:r>
            <w:r>
              <w:rPr>
                <w:rFonts w:hint="eastAsia" w:ascii="Times New Roman" w:hAnsi="Times New Roman"/>
                <w:color w:val="auto"/>
                <w:sz w:val="24"/>
                <w:highlight w:val="none"/>
                <w:lang w:val="zh-CN"/>
              </w:rPr>
              <w:t>评价</w:t>
            </w:r>
            <w:r>
              <w:rPr>
                <w:rFonts w:ascii="Times New Roman" w:hAnsi="Times New Roman"/>
                <w:color w:val="auto"/>
                <w:sz w:val="24"/>
                <w:highlight w:val="none"/>
                <w:lang w:val="zh-CN"/>
              </w:rPr>
              <w:t>区域划分为湿地生态系统、农田生态系统和城镇生态系统。生态系统面积统计详见下表</w:t>
            </w:r>
            <w:r>
              <w:rPr>
                <w:rFonts w:hint="eastAsia" w:ascii="Times New Roman" w:hAnsi="Times New Roman"/>
                <w:color w:val="auto"/>
                <w:sz w:val="24"/>
                <w:highlight w:val="none"/>
                <w:lang w:val="zh-CN"/>
              </w:rPr>
              <w:t>所示</w:t>
            </w:r>
            <w:r>
              <w:rPr>
                <w:rFonts w:ascii="Times New Roman" w:hAnsi="Times New Roman"/>
                <w:color w:val="auto"/>
                <w:sz w:val="24"/>
                <w:highlight w:val="none"/>
                <w:lang w:val="zh-CN"/>
              </w:rPr>
              <w:t>。</w:t>
            </w:r>
          </w:p>
          <w:p w14:paraId="2BAD2EF2">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lang w:val="zh-CN"/>
              </w:rPr>
            </w:pPr>
            <w:r>
              <w:rPr>
                <w:rFonts w:hint="eastAsia" w:ascii="Times New Roman" w:hAnsi="Times New Roman"/>
                <w:b/>
                <w:color w:val="auto"/>
                <w:szCs w:val="21"/>
                <w:highlight w:val="none"/>
              </w:rPr>
              <w:t xml:space="preserve">表3-1  </w:t>
            </w:r>
            <w:r>
              <w:rPr>
                <w:rFonts w:hint="eastAsia" w:ascii="Times New Roman" w:hAnsi="Times New Roman"/>
                <w:b/>
                <w:color w:val="auto"/>
                <w:szCs w:val="21"/>
                <w:highlight w:val="none"/>
                <w:lang w:val="zh-CN"/>
              </w:rPr>
              <w:t>评价区生态系统现状表</w:t>
            </w:r>
          </w:p>
          <w:tbl>
            <w:tblPr>
              <w:tblStyle w:val="22"/>
              <w:tblW w:w="78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617"/>
              <w:gridCol w:w="2617"/>
              <w:gridCol w:w="2618"/>
            </w:tblGrid>
            <w:tr w14:paraId="27E9D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jc w:val="center"/>
              </w:trPr>
              <w:tc>
                <w:tcPr>
                  <w:tcW w:w="2617" w:type="dxa"/>
                  <w:tcBorders>
                    <w:top w:val="single" w:color="auto" w:sz="4" w:space="0"/>
                    <w:left w:val="single" w:color="CCCCCC"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8DE3D7">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一级分类</w:t>
                  </w:r>
                </w:p>
              </w:tc>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DEB308">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面积（m²）</w:t>
                  </w:r>
                </w:p>
              </w:tc>
              <w:tc>
                <w:tcPr>
                  <w:tcW w:w="26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7BCBD6">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占比 %</w:t>
                  </w:r>
                </w:p>
              </w:tc>
            </w:tr>
            <w:tr w14:paraId="2AF6C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5C577A">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农田生态系统</w:t>
                  </w:r>
                </w:p>
              </w:tc>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AE9148">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3,538,709.41</w:t>
                  </w:r>
                </w:p>
              </w:tc>
              <w:tc>
                <w:tcPr>
                  <w:tcW w:w="26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527043">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89.63%</w:t>
                  </w:r>
                </w:p>
              </w:tc>
            </w:tr>
            <w:tr w14:paraId="52E6D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096C5D">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湿地生态系统</w:t>
                  </w:r>
                </w:p>
              </w:tc>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E562B87">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110,559.86</w:t>
                  </w:r>
                </w:p>
              </w:tc>
              <w:tc>
                <w:tcPr>
                  <w:tcW w:w="26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0198B6">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2.80%</w:t>
                  </w:r>
                </w:p>
              </w:tc>
            </w:tr>
            <w:tr w14:paraId="0FFB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CE2311">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森林生态系统</w:t>
                  </w:r>
                </w:p>
              </w:tc>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3FC990">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39,088.05</w:t>
                  </w:r>
                </w:p>
              </w:tc>
              <w:tc>
                <w:tcPr>
                  <w:tcW w:w="26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611C0A">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0.99%</w:t>
                  </w:r>
                </w:p>
              </w:tc>
            </w:tr>
            <w:tr w14:paraId="3124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2E0040">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城镇生态系统</w:t>
                  </w:r>
                </w:p>
              </w:tc>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D4E6E8">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259,837.79</w:t>
                  </w:r>
                </w:p>
              </w:tc>
              <w:tc>
                <w:tcPr>
                  <w:tcW w:w="26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0C4A9A">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6.58%</w:t>
                  </w:r>
                </w:p>
              </w:tc>
            </w:tr>
            <w:tr w14:paraId="30F36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A8EC30">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合计</w:t>
                  </w:r>
                </w:p>
              </w:tc>
              <w:tc>
                <w:tcPr>
                  <w:tcW w:w="261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875AC02">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3,948,195.11</w:t>
                  </w:r>
                </w:p>
              </w:tc>
              <w:tc>
                <w:tcPr>
                  <w:tcW w:w="26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AFA04A">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hint="eastAsia"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100.00%</w:t>
                  </w:r>
                </w:p>
              </w:tc>
            </w:tr>
          </w:tbl>
          <w:p w14:paraId="6F0F15FA">
            <w:pPr>
              <w:pStyle w:val="13"/>
              <w:snapToGrid/>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（3）土地利用情况</w:t>
            </w:r>
          </w:p>
          <w:p w14:paraId="7190938F">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auto"/>
                <w:highlight w:val="none"/>
              </w:rPr>
              <w:t>本项目为盾构机探查钻孔项目，属于地质勘查技术服务项目，临时用地面积为</w:t>
            </w:r>
            <w:r>
              <w:rPr>
                <w:rFonts w:hint="eastAsia" w:ascii="Times New Roman" w:hAnsi="Times New Roman"/>
                <w:color w:val="auto"/>
                <w:highlight w:val="none"/>
                <w:lang w:eastAsia="zh-CN"/>
              </w:rPr>
              <w:t>31345</w:t>
            </w:r>
            <w:r>
              <w:rPr>
                <w:rFonts w:hint="eastAsia" w:ascii="Times New Roman" w:hAnsi="Times New Roman"/>
                <w:color w:val="auto"/>
                <w:highlight w:val="none"/>
              </w:rPr>
              <w:t>m</w:t>
            </w:r>
            <w:r>
              <w:rPr>
                <w:rFonts w:hint="eastAsia" w:ascii="Times New Roman" w:hAnsi="Times New Roman"/>
                <w:color w:val="auto"/>
                <w:highlight w:val="none"/>
                <w:vertAlign w:val="superscript"/>
              </w:rPr>
              <w:t>2</w:t>
            </w:r>
            <w:r>
              <w:rPr>
                <w:rFonts w:hint="eastAsia" w:ascii="Times New Roman" w:hAnsi="Times New Roman"/>
                <w:color w:val="auto"/>
                <w:highlight w:val="none"/>
              </w:rPr>
              <w:t>，用地时间预计为</w:t>
            </w:r>
            <w:r>
              <w:rPr>
                <w:rFonts w:hint="eastAsia" w:ascii="Times New Roman" w:hAnsi="Times New Roman"/>
                <w:color w:val="auto"/>
                <w:highlight w:val="none"/>
                <w:lang w:val="en-US" w:eastAsia="zh-CN"/>
              </w:rPr>
              <w:t>9</w:t>
            </w:r>
            <w:r>
              <w:rPr>
                <w:rFonts w:hint="eastAsia" w:ascii="Times New Roman" w:hAnsi="Times New Roman"/>
                <w:color w:val="auto"/>
                <w:highlight w:val="none"/>
              </w:rPr>
              <w:t>个月。中安联合煤化有限责任公司委托施工单位</w:t>
            </w:r>
            <w:r>
              <w:rPr>
                <w:rFonts w:hint="eastAsia" w:ascii="Times New Roman" w:hAnsi="Times New Roman"/>
                <w:color w:val="auto"/>
                <w:highlight w:val="none"/>
                <w:lang w:eastAsia="zh-CN"/>
              </w:rPr>
              <w:t>安徽晟辉地理信息技术有限公司</w:t>
            </w:r>
            <w:r>
              <w:rPr>
                <w:rFonts w:hint="eastAsia" w:ascii="Times New Roman" w:hAnsi="Times New Roman"/>
                <w:color w:val="auto"/>
                <w:highlight w:val="none"/>
              </w:rPr>
              <w:t>办理了项目临时用地相关手续。项目租用安徽省淮南市贺疃镇陈倪村、均刘村、史圩村境内的土地作为本项目的临时建设用地。本项目评价范围内土地利用现状图详见附图，评价区内主要为农村宅基地、水田、旱地、道路等。</w:t>
            </w:r>
          </w:p>
          <w:p w14:paraId="53861CC5">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表3-2  本项目评价区域土地利用现状</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2614"/>
              <w:gridCol w:w="2614"/>
              <w:gridCol w:w="2615"/>
            </w:tblGrid>
            <w:tr w14:paraId="7843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2614" w:type="dxa"/>
                  <w:shd w:val="clear" w:color="auto" w:fill="auto"/>
                  <w:tcMar>
                    <w:top w:w="120" w:type="dxa"/>
                    <w:left w:w="120" w:type="dxa"/>
                    <w:bottom w:w="120" w:type="dxa"/>
                    <w:right w:w="120" w:type="dxa"/>
                  </w:tcMar>
                  <w:vAlign w:val="center"/>
                </w:tcPr>
                <w:p w14:paraId="3DD4E6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地类名称</w:t>
                  </w:r>
                </w:p>
              </w:tc>
              <w:tc>
                <w:tcPr>
                  <w:tcW w:w="2614" w:type="dxa"/>
                  <w:shd w:val="clear" w:color="auto" w:fill="auto"/>
                  <w:tcMar>
                    <w:top w:w="120" w:type="dxa"/>
                    <w:left w:w="120" w:type="dxa"/>
                    <w:bottom w:w="120" w:type="dxa"/>
                    <w:right w:w="120" w:type="dxa"/>
                  </w:tcMar>
                  <w:vAlign w:val="center"/>
                </w:tcPr>
                <w:p w14:paraId="02F31E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面积（m</w:t>
                  </w:r>
                  <w:r>
                    <w:rPr>
                      <w:rFonts w:hint="eastAsia" w:ascii="Times New Roman" w:hAnsi="Times New Roman" w:eastAsia="宋体" w:cs="Times New Roman"/>
                      <w:b/>
                      <w:bCs/>
                      <w:color w:val="auto"/>
                      <w:kern w:val="0"/>
                      <w:sz w:val="21"/>
                      <w:szCs w:val="21"/>
                      <w:vertAlign w:val="superscript"/>
                      <w:lang w:val="en-US" w:eastAsia="zh-CN" w:bidi="ar"/>
                    </w:rPr>
                    <w:t>2</w:t>
                  </w:r>
                  <w:r>
                    <w:rPr>
                      <w:rFonts w:ascii="Times New Roman" w:hAnsi="Times New Roman" w:eastAsia="宋体" w:cs="Times New Roman"/>
                      <w:b/>
                      <w:bCs/>
                      <w:color w:val="auto"/>
                      <w:kern w:val="0"/>
                      <w:sz w:val="21"/>
                      <w:szCs w:val="21"/>
                      <w:lang w:val="en-US" w:eastAsia="zh-CN" w:bidi="ar"/>
                    </w:rPr>
                    <w:t>）</w:t>
                  </w:r>
                </w:p>
              </w:tc>
              <w:tc>
                <w:tcPr>
                  <w:tcW w:w="2615" w:type="dxa"/>
                  <w:shd w:val="clear" w:color="auto" w:fill="auto"/>
                  <w:tcMar>
                    <w:top w:w="120" w:type="dxa"/>
                    <w:left w:w="120" w:type="dxa"/>
                    <w:bottom w:w="120" w:type="dxa"/>
                    <w:right w:w="120" w:type="dxa"/>
                  </w:tcMar>
                  <w:vAlign w:val="center"/>
                </w:tcPr>
                <w:p w14:paraId="5B0784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面积占比（%）</w:t>
                  </w:r>
                </w:p>
              </w:tc>
            </w:tr>
            <w:tr w14:paraId="2E2F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27E3A5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农村宅基地</w:t>
                  </w:r>
                </w:p>
              </w:tc>
              <w:tc>
                <w:tcPr>
                  <w:tcW w:w="2614" w:type="dxa"/>
                  <w:shd w:val="clear" w:color="auto" w:fill="auto"/>
                  <w:tcMar>
                    <w:top w:w="120" w:type="dxa"/>
                    <w:left w:w="120" w:type="dxa"/>
                    <w:bottom w:w="120" w:type="dxa"/>
                    <w:right w:w="120" w:type="dxa"/>
                  </w:tcMar>
                  <w:vAlign w:val="center"/>
                </w:tcPr>
                <w:p w14:paraId="50D5D4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210,688.77</w:t>
                  </w:r>
                </w:p>
              </w:tc>
              <w:tc>
                <w:tcPr>
                  <w:tcW w:w="2615" w:type="dxa"/>
                  <w:shd w:val="clear" w:color="auto" w:fill="auto"/>
                  <w:tcMar>
                    <w:top w:w="120" w:type="dxa"/>
                    <w:left w:w="120" w:type="dxa"/>
                    <w:bottom w:w="120" w:type="dxa"/>
                    <w:right w:w="120" w:type="dxa"/>
                  </w:tcMar>
                  <w:vAlign w:val="center"/>
                </w:tcPr>
                <w:p w14:paraId="5DC0B7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5.34%</w:t>
                  </w:r>
                </w:p>
              </w:tc>
            </w:tr>
            <w:tr w14:paraId="6947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776589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沟渠</w:t>
                  </w:r>
                </w:p>
              </w:tc>
              <w:tc>
                <w:tcPr>
                  <w:tcW w:w="2614" w:type="dxa"/>
                  <w:shd w:val="clear" w:color="auto" w:fill="auto"/>
                  <w:tcMar>
                    <w:top w:w="120" w:type="dxa"/>
                    <w:left w:w="120" w:type="dxa"/>
                    <w:bottom w:w="120" w:type="dxa"/>
                    <w:right w:w="120" w:type="dxa"/>
                  </w:tcMar>
                  <w:vAlign w:val="center"/>
                </w:tcPr>
                <w:p w14:paraId="4EF47A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181,991.98</w:t>
                  </w:r>
                </w:p>
              </w:tc>
              <w:tc>
                <w:tcPr>
                  <w:tcW w:w="2615" w:type="dxa"/>
                  <w:shd w:val="clear" w:color="auto" w:fill="auto"/>
                  <w:tcMar>
                    <w:top w:w="120" w:type="dxa"/>
                    <w:left w:w="120" w:type="dxa"/>
                    <w:bottom w:w="120" w:type="dxa"/>
                    <w:right w:w="120" w:type="dxa"/>
                  </w:tcMar>
                  <w:vAlign w:val="center"/>
                </w:tcPr>
                <w:p w14:paraId="2311E4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4.61%</w:t>
                  </w:r>
                </w:p>
              </w:tc>
            </w:tr>
            <w:tr w14:paraId="3509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1392CE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水田</w:t>
                  </w:r>
                </w:p>
              </w:tc>
              <w:tc>
                <w:tcPr>
                  <w:tcW w:w="2614" w:type="dxa"/>
                  <w:shd w:val="clear" w:color="auto" w:fill="auto"/>
                  <w:tcMar>
                    <w:top w:w="120" w:type="dxa"/>
                    <w:left w:w="120" w:type="dxa"/>
                    <w:bottom w:w="120" w:type="dxa"/>
                    <w:right w:w="120" w:type="dxa"/>
                  </w:tcMar>
                  <w:vAlign w:val="center"/>
                </w:tcPr>
                <w:p w14:paraId="1F0AA0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3,292,309.79</w:t>
                  </w:r>
                </w:p>
              </w:tc>
              <w:tc>
                <w:tcPr>
                  <w:tcW w:w="2615" w:type="dxa"/>
                  <w:shd w:val="clear" w:color="auto" w:fill="auto"/>
                  <w:tcMar>
                    <w:top w:w="120" w:type="dxa"/>
                    <w:left w:w="120" w:type="dxa"/>
                    <w:bottom w:w="120" w:type="dxa"/>
                    <w:right w:w="120" w:type="dxa"/>
                  </w:tcMar>
                  <w:vAlign w:val="center"/>
                </w:tcPr>
                <w:p w14:paraId="7790E9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83.39%</w:t>
                  </w:r>
                </w:p>
              </w:tc>
            </w:tr>
            <w:tr w14:paraId="231F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216BF8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设施农用地</w:t>
                  </w:r>
                </w:p>
              </w:tc>
              <w:tc>
                <w:tcPr>
                  <w:tcW w:w="2614" w:type="dxa"/>
                  <w:shd w:val="clear" w:color="auto" w:fill="auto"/>
                  <w:tcMar>
                    <w:top w:w="120" w:type="dxa"/>
                    <w:left w:w="120" w:type="dxa"/>
                    <w:bottom w:w="120" w:type="dxa"/>
                    <w:right w:w="120" w:type="dxa"/>
                  </w:tcMar>
                  <w:vAlign w:val="center"/>
                </w:tcPr>
                <w:p w14:paraId="48EEFC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21,547.28</w:t>
                  </w:r>
                </w:p>
              </w:tc>
              <w:tc>
                <w:tcPr>
                  <w:tcW w:w="2615" w:type="dxa"/>
                  <w:shd w:val="clear" w:color="auto" w:fill="auto"/>
                  <w:tcMar>
                    <w:top w:w="120" w:type="dxa"/>
                    <w:left w:w="120" w:type="dxa"/>
                    <w:bottom w:w="120" w:type="dxa"/>
                    <w:right w:w="120" w:type="dxa"/>
                  </w:tcMar>
                  <w:vAlign w:val="center"/>
                </w:tcPr>
                <w:p w14:paraId="4A2D46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0.55%</w:t>
                  </w:r>
                </w:p>
              </w:tc>
            </w:tr>
            <w:tr w14:paraId="60D8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64135B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乔木林地</w:t>
                  </w:r>
                </w:p>
              </w:tc>
              <w:tc>
                <w:tcPr>
                  <w:tcW w:w="2614" w:type="dxa"/>
                  <w:shd w:val="clear" w:color="auto" w:fill="auto"/>
                  <w:tcMar>
                    <w:top w:w="120" w:type="dxa"/>
                    <w:left w:w="120" w:type="dxa"/>
                    <w:bottom w:w="120" w:type="dxa"/>
                    <w:right w:w="120" w:type="dxa"/>
                  </w:tcMar>
                  <w:vAlign w:val="center"/>
                </w:tcPr>
                <w:p w14:paraId="709EFB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19,798.05</w:t>
                  </w:r>
                </w:p>
              </w:tc>
              <w:tc>
                <w:tcPr>
                  <w:tcW w:w="2615" w:type="dxa"/>
                  <w:shd w:val="clear" w:color="auto" w:fill="auto"/>
                  <w:tcMar>
                    <w:top w:w="120" w:type="dxa"/>
                    <w:left w:w="120" w:type="dxa"/>
                    <w:bottom w:w="120" w:type="dxa"/>
                    <w:right w:w="120" w:type="dxa"/>
                  </w:tcMar>
                  <w:vAlign w:val="center"/>
                </w:tcPr>
                <w:p w14:paraId="7D695A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0.50%</w:t>
                  </w:r>
                </w:p>
              </w:tc>
            </w:tr>
            <w:tr w14:paraId="5641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736CDC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农村道路</w:t>
                  </w:r>
                </w:p>
              </w:tc>
              <w:tc>
                <w:tcPr>
                  <w:tcW w:w="2614" w:type="dxa"/>
                  <w:shd w:val="clear" w:color="auto" w:fill="auto"/>
                  <w:tcMar>
                    <w:top w:w="120" w:type="dxa"/>
                    <w:left w:w="120" w:type="dxa"/>
                    <w:bottom w:w="120" w:type="dxa"/>
                    <w:right w:w="120" w:type="dxa"/>
                  </w:tcMar>
                  <w:vAlign w:val="center"/>
                </w:tcPr>
                <w:p w14:paraId="75E2FF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28,601.36</w:t>
                  </w:r>
                </w:p>
              </w:tc>
              <w:tc>
                <w:tcPr>
                  <w:tcW w:w="2615" w:type="dxa"/>
                  <w:shd w:val="clear" w:color="auto" w:fill="auto"/>
                  <w:tcMar>
                    <w:top w:w="120" w:type="dxa"/>
                    <w:left w:w="120" w:type="dxa"/>
                    <w:bottom w:w="120" w:type="dxa"/>
                    <w:right w:w="120" w:type="dxa"/>
                  </w:tcMar>
                  <w:vAlign w:val="center"/>
                </w:tcPr>
                <w:p w14:paraId="04C43C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0.72%</w:t>
                  </w:r>
                </w:p>
              </w:tc>
            </w:tr>
            <w:tr w14:paraId="5AC5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41B5CA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坑塘水面</w:t>
                  </w:r>
                </w:p>
              </w:tc>
              <w:tc>
                <w:tcPr>
                  <w:tcW w:w="2614" w:type="dxa"/>
                  <w:shd w:val="clear" w:color="auto" w:fill="auto"/>
                  <w:tcMar>
                    <w:top w:w="120" w:type="dxa"/>
                    <w:left w:w="120" w:type="dxa"/>
                    <w:bottom w:w="120" w:type="dxa"/>
                    <w:right w:w="120" w:type="dxa"/>
                  </w:tcMar>
                  <w:vAlign w:val="center"/>
                </w:tcPr>
                <w:p w14:paraId="762890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95,625.57</w:t>
                  </w:r>
                </w:p>
              </w:tc>
              <w:tc>
                <w:tcPr>
                  <w:tcW w:w="2615" w:type="dxa"/>
                  <w:shd w:val="clear" w:color="auto" w:fill="auto"/>
                  <w:tcMar>
                    <w:top w:w="120" w:type="dxa"/>
                    <w:left w:w="120" w:type="dxa"/>
                    <w:bottom w:w="120" w:type="dxa"/>
                    <w:right w:w="120" w:type="dxa"/>
                  </w:tcMar>
                  <w:vAlign w:val="center"/>
                </w:tcPr>
                <w:p w14:paraId="5D15D3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2.42%</w:t>
                  </w:r>
                </w:p>
              </w:tc>
            </w:tr>
            <w:tr w14:paraId="4B70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4F415B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旱地</w:t>
                  </w:r>
                </w:p>
              </w:tc>
              <w:tc>
                <w:tcPr>
                  <w:tcW w:w="2614" w:type="dxa"/>
                  <w:shd w:val="clear" w:color="auto" w:fill="auto"/>
                  <w:tcMar>
                    <w:top w:w="120" w:type="dxa"/>
                    <w:left w:w="120" w:type="dxa"/>
                    <w:bottom w:w="120" w:type="dxa"/>
                    <w:right w:w="120" w:type="dxa"/>
                  </w:tcMar>
                  <w:vAlign w:val="center"/>
                </w:tcPr>
                <w:p w14:paraId="37656B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42,860.36</w:t>
                  </w:r>
                </w:p>
              </w:tc>
              <w:tc>
                <w:tcPr>
                  <w:tcW w:w="2615" w:type="dxa"/>
                  <w:shd w:val="clear" w:color="auto" w:fill="auto"/>
                  <w:tcMar>
                    <w:top w:w="120" w:type="dxa"/>
                    <w:left w:w="120" w:type="dxa"/>
                    <w:bottom w:w="120" w:type="dxa"/>
                    <w:right w:w="120" w:type="dxa"/>
                  </w:tcMar>
                  <w:vAlign w:val="center"/>
                </w:tcPr>
                <w:p w14:paraId="719888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1.09%</w:t>
                  </w:r>
                </w:p>
              </w:tc>
            </w:tr>
            <w:tr w14:paraId="02E8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614" w:type="dxa"/>
                  <w:shd w:val="clear" w:color="auto" w:fill="auto"/>
                  <w:tcMar>
                    <w:top w:w="120" w:type="dxa"/>
                    <w:left w:w="120" w:type="dxa"/>
                    <w:bottom w:w="120" w:type="dxa"/>
                    <w:right w:w="120" w:type="dxa"/>
                  </w:tcMar>
                  <w:vAlign w:val="center"/>
                </w:tcPr>
                <w:p w14:paraId="1A2979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城镇村道路用地</w:t>
                  </w:r>
                </w:p>
              </w:tc>
              <w:tc>
                <w:tcPr>
                  <w:tcW w:w="2614" w:type="dxa"/>
                  <w:shd w:val="clear" w:color="auto" w:fill="auto"/>
                  <w:tcMar>
                    <w:top w:w="120" w:type="dxa"/>
                    <w:left w:w="120" w:type="dxa"/>
                    <w:bottom w:w="120" w:type="dxa"/>
                    <w:right w:w="120" w:type="dxa"/>
                  </w:tcMar>
                  <w:vAlign w:val="center"/>
                </w:tcPr>
                <w:p w14:paraId="45C9FB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6,319.25</w:t>
                  </w:r>
                </w:p>
              </w:tc>
              <w:tc>
                <w:tcPr>
                  <w:tcW w:w="2615" w:type="dxa"/>
                  <w:shd w:val="clear" w:color="auto" w:fill="auto"/>
                  <w:tcMar>
                    <w:top w:w="120" w:type="dxa"/>
                    <w:left w:w="120" w:type="dxa"/>
                    <w:bottom w:w="120" w:type="dxa"/>
                    <w:right w:w="120" w:type="dxa"/>
                  </w:tcMar>
                  <w:vAlign w:val="center"/>
                </w:tcPr>
                <w:p w14:paraId="4FE3E2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kern w:val="0"/>
                      <w:sz w:val="21"/>
                      <w:szCs w:val="21"/>
                      <w:lang w:val="en-US" w:eastAsia="zh-CN" w:bidi="ar"/>
                    </w:rPr>
                    <w:t>0.16%</w:t>
                  </w:r>
                </w:p>
              </w:tc>
            </w:tr>
          </w:tbl>
          <w:p w14:paraId="023524AD">
            <w:pPr>
              <w:pStyle w:val="13"/>
              <w:snapToGrid/>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（4）土壤、植被类型及野生动植物</w:t>
            </w:r>
          </w:p>
          <w:p w14:paraId="603CA821">
            <w:pPr>
              <w:pStyle w:val="13"/>
              <w:snapToGrid/>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项目区地处淮河中游，地势平坦。由滩地、岗地伸向平原中心，一般分布着黄棕壤和水稻土。土层厚度约为30cm。根据现场调查并结合现有的资料，运用景观法（即以植被作为主导因素），并结合土壤、地貌等因子进行综合分析后对土地进行分类，将土地利用格局的拼块类型分为</w:t>
            </w:r>
            <w:r>
              <w:rPr>
                <w:rFonts w:hint="eastAsia" w:ascii="Times New Roman" w:hAnsi="Times New Roman"/>
                <w:bCs/>
                <w:color w:val="auto"/>
                <w:sz w:val="24"/>
                <w:highlight w:val="none"/>
              </w:rPr>
              <w:t>农村宅基地</w:t>
            </w:r>
            <w:r>
              <w:rPr>
                <w:rFonts w:ascii="Times New Roman" w:hAnsi="Times New Roman"/>
                <w:bCs/>
                <w:color w:val="auto"/>
                <w:sz w:val="24"/>
                <w:highlight w:val="none"/>
              </w:rPr>
              <w:t>、</w:t>
            </w:r>
            <w:r>
              <w:rPr>
                <w:rFonts w:hint="eastAsia" w:ascii="Times New Roman" w:hAnsi="Times New Roman"/>
                <w:bCs/>
                <w:color w:val="auto"/>
                <w:sz w:val="24"/>
                <w:highlight w:val="none"/>
              </w:rPr>
              <w:t>沟渠、水田、设施农用</w:t>
            </w:r>
            <w:r>
              <w:rPr>
                <w:rFonts w:ascii="Times New Roman" w:hAnsi="Times New Roman"/>
                <w:bCs/>
                <w:color w:val="auto"/>
                <w:sz w:val="24"/>
                <w:highlight w:val="none"/>
              </w:rPr>
              <w:t>地</w:t>
            </w:r>
            <w:r>
              <w:rPr>
                <w:rFonts w:hint="eastAsia" w:ascii="Times New Roman" w:hAnsi="Times New Roman"/>
                <w:bCs/>
                <w:color w:val="auto"/>
                <w:sz w:val="24"/>
                <w:highlight w:val="none"/>
              </w:rPr>
              <w:t>、乔木林地、农村道路</w:t>
            </w:r>
            <w:r>
              <w:rPr>
                <w:rFonts w:ascii="Times New Roman" w:hAnsi="Times New Roman"/>
                <w:bCs/>
                <w:color w:val="auto"/>
                <w:sz w:val="24"/>
                <w:highlight w:val="none"/>
              </w:rPr>
              <w:t>、耕地</w:t>
            </w:r>
            <w:r>
              <w:rPr>
                <w:rStyle w:val="27"/>
                <w:rFonts w:hint="eastAsia" w:ascii="Times New Roman" w:hAnsi="Times New Roman"/>
                <w:color w:val="auto"/>
                <w:kern w:val="0"/>
                <w:szCs w:val="20"/>
                <w:highlight w:val="none"/>
              </w:rPr>
              <w:t>等</w:t>
            </w:r>
            <w:r>
              <w:rPr>
                <w:rFonts w:hint="eastAsia" w:ascii="Times New Roman" w:hAnsi="Times New Roman"/>
                <w:bCs/>
                <w:color w:val="auto"/>
                <w:sz w:val="24"/>
                <w:highlight w:val="none"/>
              </w:rPr>
              <w:t>九</w:t>
            </w:r>
            <w:r>
              <w:rPr>
                <w:rFonts w:ascii="Times New Roman" w:hAnsi="Times New Roman"/>
                <w:bCs/>
                <w:color w:val="auto"/>
                <w:sz w:val="24"/>
                <w:highlight w:val="none"/>
              </w:rPr>
              <w:t>种类型。</w:t>
            </w:r>
          </w:p>
          <w:p w14:paraId="33CABD01">
            <w:pPr>
              <w:pStyle w:val="13"/>
              <w:snapToGrid/>
              <w:spacing w:after="0" w:line="360" w:lineRule="auto"/>
              <w:ind w:firstLine="480" w:firstLineChars="200"/>
              <w:rPr>
                <w:rFonts w:ascii="Times New Roman" w:hAnsi="Times New Roman"/>
                <w:bCs/>
                <w:color w:val="auto"/>
                <w:sz w:val="24"/>
                <w:highlight w:val="none"/>
              </w:rPr>
            </w:pPr>
            <w:r>
              <w:rPr>
                <w:rFonts w:ascii="Times New Roman" w:hAnsi="Times New Roman"/>
                <w:color w:val="auto"/>
                <w:sz w:val="24"/>
                <w:highlight w:val="none"/>
              </w:rPr>
              <w:t>评价区地势平坦，主要成土母质由第四纪物质构成，分布最广的是黄土型古河道沉积物质，近代黄泛沉积物次之，土壤可分为5个土类、7个亚类。主要土壤类型为：棕壤、粘盘黄棕壤亚类中的粘盘黄棕壤、马肝土、黄白土，水稻土中的马肝田土、黄白田土。局部低洼地为黄土性古河流沉积物质发育的黑粘土</w:t>
            </w:r>
            <w:r>
              <w:rPr>
                <w:rFonts w:ascii="Times New Roman" w:hAnsi="Times New Roman"/>
                <w:bCs/>
                <w:color w:val="auto"/>
                <w:sz w:val="24"/>
                <w:highlight w:val="none"/>
              </w:rPr>
              <w:t>。</w:t>
            </w:r>
          </w:p>
          <w:p w14:paraId="1B57DEAA">
            <w:pPr>
              <w:pStyle w:val="13"/>
              <w:snapToGrid/>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根据现场调查，本工程涉及区域植被主要为农作物、绿化植被和行道树，沿线分布少量林木、主要为杨树及灌木等。</w:t>
            </w:r>
          </w:p>
          <w:p w14:paraId="3E0DBB4C">
            <w:pPr>
              <w:pStyle w:val="13"/>
              <w:tabs>
                <w:tab w:val="left" w:pos="0"/>
              </w:tabs>
              <w:snapToGrid/>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所在地区由于人类活动和生态环境的改变，树木草丛之间早已没有大型野生动物，仅有鸟类、鼠类、蛙类小型动物以及各种昆虫等。随着人类的农业开发，项目所在区域的自然生态系统早已被人工农业生态环境所替代。</w:t>
            </w:r>
          </w:p>
          <w:p w14:paraId="436BA1C9">
            <w:pPr>
              <w:pStyle w:val="13"/>
              <w:tabs>
                <w:tab w:val="left" w:pos="0"/>
              </w:tabs>
              <w:snapToGrid/>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综上所述，项目未穿越自然保护区和森林公园。项目评价区域内人口分散，部分密集，沿线未发现珍稀、濒危植物，未见挂牌名木古树，沿线未发现珍稀、濒危动物，陆生动物以家禽、家畜为主。</w:t>
            </w:r>
          </w:p>
          <w:p w14:paraId="7BCCFF8B">
            <w:pPr>
              <w:spacing w:after="0" w:line="360" w:lineRule="auto"/>
              <w:ind w:firstLine="482" w:firstLineChars="200"/>
              <w:rPr>
                <w:rFonts w:ascii="Times New Roman" w:hAnsi="Times New Roman"/>
                <w:b/>
                <w:color w:val="auto"/>
                <w:sz w:val="24"/>
                <w:highlight w:val="none"/>
              </w:rPr>
            </w:pPr>
            <w:r>
              <w:rPr>
                <w:rFonts w:ascii="Times New Roman" w:hAnsi="Times New Roman"/>
                <w:b/>
                <w:bCs/>
                <w:color w:val="auto"/>
                <w:sz w:val="24"/>
                <w:highlight w:val="none"/>
              </w:rPr>
              <w:t>2、</w:t>
            </w:r>
            <w:r>
              <w:rPr>
                <w:rFonts w:ascii="Times New Roman" w:hAnsi="Times New Roman"/>
                <w:b/>
                <w:color w:val="auto"/>
                <w:sz w:val="24"/>
                <w:highlight w:val="none"/>
              </w:rPr>
              <w:t>地形地貌</w:t>
            </w:r>
          </w:p>
          <w:p w14:paraId="1A76E23D">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区域在构造单元上属于中朝准地台淮河台坳淮南陷褶断带（即华北地台豫淮褶皱带）东部的淮南复向斜。东界为郯庐断裂，西临周口坳陷，北接蚌埠隆起，南邻合肥坳陷，南北为洞山断裂和刘府断裂夹持。区内构造以北西西向构造占主导地位，受后期强烈改造，但总体形态变化不大，复式向斜内次一级褶皱及断裂发育。地质演化历史可分为前震旦纪、震旦纪—三叠纪、侏罗纪—第四纪3个阶段，前震旦纪，淮南地壳处于活动阶段；震旦纪—三叠纪属于剧烈运动时期，先后经历了蚌埠、凤阳、皖南、加里东、华西力、印支等运动。其间地壳几度隆起沉降，形成了海陆交互相地层。特别是晚石炭纪和二叠纪时期海陆交互相的沉积环境，为煤炭资源的生成提供了良好条件，从而形成了境内大量的煤炭资源。侏罗纪—第四纪，经过燕山运动和喜马拉雅运动，逐渐塑造出了今天的地貌特征。</w:t>
            </w:r>
          </w:p>
          <w:p w14:paraId="5660CE0B">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市境以淮河为界形成两种不同的地貌类型，淮河以南为丘陵，属于江淮丘陵的一部分；淮河以北为地势平坦的淮北平原，淮河南岸由东至西隆起不连续的低山丘陵，环山为一斜坡地带，宽约500米～1500米，坡度10°左右，海拔40米～75米；斜坡地带以下交错衔接洪冲积二级阶地，宽500米～2500米，海拔30米～40米，坡度2°左右；舜耕山以北二级阶地以下是淮河冲积一级阶地，宽2500米～3000米，海拔25米以下，坡度平缓；一级阶地以下是淮河高位漫滩，宽2000米～3000米，海拔17米～20米，漫滩以下是淮河滨河浅滩。舜耕山以南斜坡以下，东为高塘湖一、二级洪冲积阶地，西为瓦埠湖一、二级洪冲积阶地；中为丘陵岗地。</w:t>
            </w:r>
          </w:p>
          <w:p w14:paraId="7BDE289A">
            <w:pPr>
              <w:spacing w:after="0" w:line="360" w:lineRule="auto"/>
              <w:ind w:firstLine="482" w:firstLineChars="200"/>
              <w:rPr>
                <w:rFonts w:ascii="Times New Roman" w:hAnsi="Times New Roman"/>
                <w:b/>
                <w:color w:val="auto"/>
                <w:sz w:val="24"/>
                <w:highlight w:val="none"/>
              </w:rPr>
            </w:pPr>
            <w:r>
              <w:rPr>
                <w:rFonts w:ascii="Times New Roman" w:hAnsi="Times New Roman"/>
                <w:b/>
                <w:color w:val="auto"/>
                <w:sz w:val="24"/>
                <w:highlight w:val="none"/>
              </w:rPr>
              <w:t>3、气候、气象</w:t>
            </w:r>
          </w:p>
          <w:p w14:paraId="4AF6EBF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color w:val="auto"/>
                <w:sz w:val="24"/>
                <w:highlight w:val="none"/>
              </w:rPr>
            </w:pPr>
            <w:r>
              <w:rPr>
                <w:rFonts w:ascii="Times New Roman" w:hAnsi="Times New Roman"/>
                <w:color w:val="auto"/>
                <w:sz w:val="24"/>
                <w:highlight w:val="none"/>
                <w:lang w:val="en-US" w:eastAsia="zh-CN"/>
              </w:rPr>
              <w:t>淮南市地处亚热带与暖温带过渡区域，属季风气候，四季分明，春温多变、夏雨集中、秋高气爽、冬季干冷。2025年受全省大气候背景影响，区域整体气温显著偏高，高温过程多，阶段性干旱与局地强降雨交替出现。全市6月7日入梅，较常年偏早8天；7月1日出梅，较常年偏早11天，梅雨期24天，梅雨量接近常年水平；出梅后7月下旬出现持续高温少雨天气，8月多局地分散强阵雨过程。2025年安徽省全省年平均气温17.8℃，较常年偏高1.6℃，高温日数偏多，极端最高气温局地可达40℃以上；冬季气温整体偏高，阶段性低温过程较少；年内出现多次区域性暴雨过程，降水时空分布不均，秋季降水偏多。多年气象统计（1991</w:t>
            </w:r>
            <w:r>
              <w:rPr>
                <w:rFonts w:ascii="Times New Roman" w:hAnsi="Times New Roman"/>
                <w:color w:val="auto"/>
                <w:sz w:val="24"/>
                <w:highlight w:val="none"/>
                <w:lang w:val="en-US" w:eastAsia="zh-CN"/>
              </w:rPr>
              <w:noBreakHyphen/>
            </w:r>
            <w:r>
              <w:rPr>
                <w:rFonts w:ascii="Times New Roman" w:hAnsi="Times New Roman"/>
                <w:color w:val="auto"/>
                <w:sz w:val="24"/>
                <w:highlight w:val="none"/>
                <w:lang w:val="en-US" w:eastAsia="zh-CN"/>
              </w:rPr>
              <w:t>2020）：全市多年平均气温16.5℃；多年平均无霜期220</w:t>
            </w:r>
            <w:r>
              <w:rPr>
                <w:rFonts w:ascii="Times New Roman" w:hAnsi="Times New Roman"/>
                <w:color w:val="auto"/>
                <w:sz w:val="24"/>
                <w:highlight w:val="none"/>
                <w:lang w:val="en-US" w:eastAsia="zh-CN"/>
              </w:rPr>
              <w:noBreakHyphen/>
            </w:r>
            <w:r>
              <w:rPr>
                <w:rFonts w:ascii="Times New Roman" w:hAnsi="Times New Roman"/>
                <w:color w:val="auto"/>
                <w:sz w:val="24"/>
                <w:highlight w:val="none"/>
                <w:lang w:val="en-US" w:eastAsia="zh-CN"/>
              </w:rPr>
              <w:t>240天；初霜多出现在11月上旬，终霜多出现在3月中旬；多年平均年降水量984mm，降水集中于6</w:t>
            </w:r>
            <w:r>
              <w:rPr>
                <w:rFonts w:ascii="Times New Roman" w:hAnsi="Times New Roman"/>
                <w:color w:val="auto"/>
                <w:sz w:val="24"/>
                <w:highlight w:val="none"/>
                <w:lang w:val="en-US" w:eastAsia="zh-CN"/>
              </w:rPr>
              <w:noBreakHyphen/>
            </w:r>
            <w:r>
              <w:rPr>
                <w:rFonts w:ascii="Times New Roman" w:hAnsi="Times New Roman"/>
                <w:color w:val="auto"/>
                <w:sz w:val="24"/>
                <w:highlight w:val="none"/>
                <w:lang w:val="en-US" w:eastAsia="zh-CN"/>
              </w:rPr>
              <w:t>8月汛期；全年主导风向为东北偏东风，年平均风速2.3m/s。</w:t>
            </w:r>
          </w:p>
          <w:p w14:paraId="3CDBCFBC">
            <w:pPr>
              <w:spacing w:after="0" w:line="360" w:lineRule="auto"/>
              <w:ind w:firstLine="482" w:firstLineChars="200"/>
              <w:rPr>
                <w:rFonts w:ascii="Times New Roman" w:hAnsi="Times New Roman"/>
                <w:b/>
                <w:color w:val="auto"/>
                <w:sz w:val="24"/>
                <w:highlight w:val="none"/>
              </w:rPr>
            </w:pPr>
            <w:r>
              <w:rPr>
                <w:rFonts w:ascii="Times New Roman" w:hAnsi="Times New Roman"/>
                <w:b/>
                <w:color w:val="auto"/>
                <w:sz w:val="24"/>
                <w:highlight w:val="none"/>
              </w:rPr>
              <w:t>4、水文状况</w:t>
            </w:r>
          </w:p>
          <w:p w14:paraId="3A11B646">
            <w:pPr>
              <w:spacing w:after="0" w:line="360" w:lineRule="auto"/>
              <w:ind w:firstLine="480" w:firstLineChars="200"/>
              <w:rPr>
                <w:rFonts w:ascii="Times New Roman" w:hAnsi="Times New Roman"/>
                <w:snapToGrid w:val="0"/>
                <w:color w:val="auto"/>
                <w:sz w:val="24"/>
                <w:highlight w:val="none"/>
              </w:rPr>
            </w:pPr>
            <w:r>
              <w:rPr>
                <w:rFonts w:ascii="Times New Roman" w:hAnsi="Times New Roman"/>
                <w:snapToGrid w:val="0"/>
                <w:color w:val="auto"/>
                <w:sz w:val="24"/>
                <w:highlight w:val="none"/>
              </w:rPr>
              <w:t>淮河流域西起桐柏山和伏牛山，南以大别山和江淮丘陵与长江流域分界，北以黄河南堤和沂蒙山与黄河流域分界。淮河流域由淮河与泗、沂、沭河两大水系组成，流域面积29万km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，其中淮河水系为21万km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，泗、沂、沭河水系为8万km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w:t>
            </w:r>
          </w:p>
          <w:p w14:paraId="4647A74F">
            <w:pPr>
              <w:spacing w:after="0" w:line="360" w:lineRule="auto"/>
              <w:ind w:firstLine="480" w:firstLineChars="200"/>
              <w:rPr>
                <w:rFonts w:ascii="Times New Roman" w:hAnsi="Times New Roman"/>
                <w:snapToGrid w:val="0"/>
                <w:color w:val="auto"/>
                <w:sz w:val="24"/>
                <w:highlight w:val="none"/>
              </w:rPr>
            </w:pPr>
            <w:r>
              <w:rPr>
                <w:rFonts w:ascii="Times New Roman" w:hAnsi="Times New Roman"/>
                <w:snapToGrid w:val="0"/>
                <w:color w:val="auto"/>
                <w:sz w:val="24"/>
                <w:highlight w:val="none"/>
              </w:rPr>
              <w:t>淮河是我国五大水系之一，发源于河南省桐柏山北麓，流经河南、安徽至江苏扬州三江营入长江。历史上淮河是一条独流入海的河流，公元1194年黄河第四次决堤南泛夺淮，至1855年黄河改道北经山东利津入海的661年间，黄河挟带的大量泥沙淤塞了淮河入海尾闾，逐使淮河改道经三河、高宝湖穿运河至三江营流入长江。</w:t>
            </w:r>
          </w:p>
          <w:p w14:paraId="31086364">
            <w:pPr>
              <w:spacing w:after="0" w:line="360" w:lineRule="auto"/>
              <w:ind w:firstLine="480" w:firstLineChars="200"/>
              <w:rPr>
                <w:rFonts w:ascii="Times New Roman" w:hAnsi="Times New Roman"/>
                <w:snapToGrid w:val="0"/>
                <w:color w:val="auto"/>
                <w:sz w:val="24"/>
                <w:highlight w:val="none"/>
              </w:rPr>
            </w:pPr>
            <w:r>
              <w:rPr>
                <w:rFonts w:ascii="Times New Roman" w:hAnsi="Times New Roman"/>
                <w:snapToGrid w:val="0"/>
                <w:color w:val="auto"/>
                <w:sz w:val="24"/>
                <w:highlight w:val="none"/>
              </w:rPr>
              <w:t>淮河干流全长1000km，总落差200m，平均比降0.2‰。豫皖两省交界的洪河口以上为上游，长360km，落差177m，比降0.5‰，流域面积3万km2；洪河口至洪泽湖三河闸为中游，长490km，原有落差16m，自三河闸控制后，平均比降0.027‰，流域面积16万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；洪泽湖以下为下游，流域面积3万km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入江水道长150km，平均比降0.036‰。淮河干流安徽段上自阜南县洪河口，下至明光市洪山头，全长430km，上承河南大量迅猛来水，下受洪泽湖顶托，中间有天然三峡(峡山口、荆山峡、浮山峡)阻水。平水河槽宽一般为260～320m，平均深3～6m；洪水河槽宽度，蚌埠上下一般约1000～1250m，峡山口仅400m，平均深度6.5～7.5m。淮河干流安徽段地势平缓，蓄水能力差，汛期河水暴涨，易泛滥成灾，干旱时期则河流断流。1949年～2005年，安徽省淮河流域水灾面积在1000万亩以上的有10多年，灾旱面积在1000万亩以上的也有10多年。</w:t>
            </w:r>
          </w:p>
          <w:p w14:paraId="55C04274">
            <w:pPr>
              <w:spacing w:after="0" w:line="360" w:lineRule="auto"/>
              <w:ind w:firstLine="480" w:firstLineChars="200"/>
              <w:rPr>
                <w:rFonts w:ascii="Times New Roman" w:hAnsi="Times New Roman"/>
                <w:snapToGrid w:val="0"/>
                <w:color w:val="auto"/>
                <w:sz w:val="24"/>
                <w:highlight w:val="none"/>
              </w:rPr>
            </w:pPr>
            <w:r>
              <w:rPr>
                <w:rFonts w:ascii="Times New Roman" w:hAnsi="Times New Roman"/>
                <w:snapToGrid w:val="0"/>
                <w:color w:val="auto"/>
                <w:sz w:val="24"/>
                <w:highlight w:val="none"/>
              </w:rPr>
              <w:t>淮河中上游支流多，流域面积大于1000km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的一级支流21条，其中大于2000km</w:t>
            </w:r>
            <w:r>
              <w:rPr>
                <w:rFonts w:ascii="Times New Roman" w:hAnsi="Times New Roman"/>
                <w:snapToGrid w:val="0"/>
                <w:color w:val="auto"/>
                <w:sz w:val="24"/>
                <w:highlight w:val="none"/>
                <w:vertAlign w:val="superscript"/>
              </w:rPr>
              <w:t>2</w:t>
            </w:r>
            <w:r>
              <w:rPr>
                <w:rFonts w:ascii="Times New Roman" w:hAnsi="Times New Roman"/>
                <w:snapToGrid w:val="0"/>
                <w:color w:val="auto"/>
                <w:sz w:val="24"/>
                <w:highlight w:val="none"/>
              </w:rPr>
              <w:t>的有16条，其它小支流达180条以上。淮河主要支流北岸有洪河、颍河、黑茨河、汾泉河、包浍河、沱河、涡河、奎濉河等跨省河流，安徽省境内淮河北岸支流有谷河、润河、八里河、泥黑河、茨河、北淝河等，淮河南岸主要支流有史河、淠河、沣河、汲河、东淝河、窑河、天河、池河、白塔河等，均发源于安徽省境内，并在安徽境内入淮河。</w:t>
            </w:r>
          </w:p>
          <w:p w14:paraId="6B8D118D">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泥河自源头东南过徐圩入市境潘集区至徐桥再至刘隆集，河面宽4～10米，两岸支流多，汇水面积253平方公里；自刘隆集河面宽300米，东南流8公里，转东流7公里，左汇黑河，河面宽1.1公里。</w:t>
            </w:r>
          </w:p>
          <w:p w14:paraId="0591B643">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茨淮新河：淮河一级支流，人工河流，上起沙颍河茨淮铺，于荆山口上游入淮河，流经阜阳、利辛、蒙城、凤台、淮南、怀远四县两市，全长134.2km，流域总面积7127km</w:t>
            </w:r>
            <w:r>
              <w:rPr>
                <w:rFonts w:ascii="Times New Roman" w:hAnsi="Times New Roman"/>
                <w:color w:val="auto"/>
                <w:sz w:val="24"/>
                <w:highlight w:val="none"/>
                <w:vertAlign w:val="superscript"/>
              </w:rPr>
              <w:t>2</w:t>
            </w:r>
            <w:r>
              <w:rPr>
                <w:rFonts w:ascii="Times New Roman" w:hAnsi="Times New Roman"/>
                <w:color w:val="auto"/>
                <w:sz w:val="24"/>
                <w:highlight w:val="none"/>
              </w:rPr>
              <w:t>；凤台县流经长31.12km，境内河宽225~375m，1995~2004年最枯月平均流量1.98m</w:t>
            </w:r>
            <w:r>
              <w:rPr>
                <w:rFonts w:ascii="Times New Roman" w:hAnsi="Times New Roman"/>
                <w:color w:val="auto"/>
                <w:sz w:val="24"/>
                <w:highlight w:val="none"/>
                <w:vertAlign w:val="superscript"/>
              </w:rPr>
              <w:t>3</w:t>
            </w:r>
            <w:r>
              <w:rPr>
                <w:rFonts w:ascii="Times New Roman" w:hAnsi="Times New Roman"/>
                <w:color w:val="auto"/>
                <w:sz w:val="24"/>
                <w:highlight w:val="none"/>
              </w:rPr>
              <w:t>/s。</w:t>
            </w:r>
          </w:p>
          <w:p w14:paraId="6B2A8ACA">
            <w:pPr>
              <w:pStyle w:val="9"/>
              <w:spacing w:before="0" w:after="0" w:line="360" w:lineRule="auto"/>
              <w:ind w:right="0" w:firstLine="480" w:firstLineChars="200"/>
              <w:rPr>
                <w:color w:val="auto"/>
                <w:highlight w:val="none"/>
              </w:rPr>
            </w:pPr>
            <w:r>
              <w:rPr>
                <w:rFonts w:hint="eastAsia" w:ascii="Times New Roman" w:hAnsi="Times New Roman"/>
                <w:color w:val="auto"/>
                <w:kern w:val="2"/>
                <w:sz w:val="24"/>
                <w:szCs w:val="24"/>
                <w:highlight w:val="none"/>
              </w:rPr>
              <w:t>利民新河属于人工开挖河道，主要功能为灌溉和排涝，无通航功能，不承担防洪任务。河道全长约16km，河道宽约20～30m，利民新河汇水面积约32km</w:t>
            </w:r>
            <w:r>
              <w:rPr>
                <w:rFonts w:hint="eastAsia" w:ascii="Times New Roman" w:hAnsi="Times New Roman"/>
                <w:color w:val="auto"/>
                <w:kern w:val="2"/>
                <w:sz w:val="24"/>
                <w:szCs w:val="24"/>
                <w:highlight w:val="none"/>
                <w:vertAlign w:val="superscript"/>
              </w:rPr>
              <w:t>2</w:t>
            </w:r>
            <w:r>
              <w:rPr>
                <w:rFonts w:hint="eastAsia" w:ascii="Times New Roman" w:hAnsi="Times New Roman"/>
                <w:color w:val="auto"/>
                <w:kern w:val="2"/>
                <w:sz w:val="24"/>
                <w:szCs w:val="24"/>
                <w:highlight w:val="none"/>
              </w:rPr>
              <w:t>。</w:t>
            </w:r>
          </w:p>
          <w:p w14:paraId="43840952">
            <w:pPr>
              <w:spacing w:after="0" w:line="360" w:lineRule="auto"/>
              <w:ind w:firstLine="482" w:firstLineChars="200"/>
              <w:rPr>
                <w:rFonts w:ascii="Times New Roman" w:hAnsi="Times New Roman"/>
                <w:b/>
                <w:color w:val="auto"/>
                <w:sz w:val="24"/>
                <w:highlight w:val="none"/>
              </w:rPr>
            </w:pPr>
            <w:r>
              <w:rPr>
                <w:rFonts w:ascii="Times New Roman" w:hAnsi="Times New Roman"/>
                <w:b/>
                <w:color w:val="auto"/>
                <w:sz w:val="24"/>
                <w:highlight w:val="none"/>
              </w:rPr>
              <w:t>5、土壤植被</w:t>
            </w:r>
          </w:p>
          <w:p w14:paraId="22654BDB">
            <w:pPr>
              <w:spacing w:after="0" w:line="360" w:lineRule="auto"/>
              <w:ind w:firstLine="480" w:firstLineChars="200"/>
              <w:rPr>
                <w:rFonts w:ascii="Times New Roman" w:hAnsi="Times New Roman"/>
                <w:b/>
                <w:bCs/>
                <w:color w:val="auto"/>
                <w:sz w:val="24"/>
                <w:highlight w:val="none"/>
              </w:rPr>
            </w:pPr>
            <w:r>
              <w:rPr>
                <w:rFonts w:ascii="Times New Roman" w:hAnsi="Times New Roman"/>
                <w:color w:val="auto"/>
                <w:sz w:val="24"/>
                <w:highlight w:val="none"/>
              </w:rPr>
              <w:t>评价区地势平坦，由河谷平原与丘岗组成。主要成土母质由第四纪物质构成，分布最广的是黄土型古河道沉积物质，近代黄泛沉积物次之，土壤可分为5个土类、7个亚类。主要土壤类型为：棕壤、粘盘黄棕壤亚类中的粘盘黄棕壤、马肝土、黄白土，水稻土中的马肝田土、黄白田土。局部低洼地为黄土性古河流沉积物质发育的黑</w:t>
            </w:r>
            <w:r>
              <w:rPr>
                <w:rFonts w:hint="eastAsia" w:ascii="Times New Roman" w:hAnsi="Times New Roman"/>
                <w:color w:val="auto"/>
                <w:sz w:val="24"/>
                <w:highlight w:val="none"/>
                <w:lang w:eastAsia="zh-CN"/>
              </w:rPr>
              <w:t>黏土</w:t>
            </w:r>
            <w:r>
              <w:rPr>
                <w:rFonts w:ascii="Times New Roman" w:hAnsi="Times New Roman"/>
                <w:color w:val="auto"/>
                <w:sz w:val="24"/>
                <w:highlight w:val="none"/>
              </w:rPr>
              <w:t>，毗邻河流湖泊的地势较低地段为湖泊沉积物发育的湖泥土，目前项目区域主要为农田。</w:t>
            </w:r>
          </w:p>
          <w:p w14:paraId="6A4CC040">
            <w:pPr>
              <w:pStyle w:val="13"/>
              <w:tabs>
                <w:tab w:val="left" w:pos="0"/>
              </w:tabs>
              <w:snapToGrid/>
              <w:spacing w:after="0" w:line="360" w:lineRule="auto"/>
              <w:rPr>
                <w:rFonts w:ascii="Times New Roman" w:hAnsi="Times New Roman"/>
                <w:b/>
                <w:bCs/>
                <w:color w:val="auto"/>
                <w:sz w:val="24"/>
                <w:highlight w:val="none"/>
              </w:rPr>
            </w:pPr>
            <w:r>
              <w:rPr>
                <w:rFonts w:ascii="Times New Roman" w:hAnsi="Times New Roman"/>
                <w:b/>
                <w:bCs/>
                <w:color w:val="auto"/>
                <w:sz w:val="24"/>
                <w:highlight w:val="none"/>
              </w:rPr>
              <w:t>二、环境质量现状</w:t>
            </w:r>
          </w:p>
          <w:p w14:paraId="763FDFC2">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1、大气环境质量现状</w:t>
            </w:r>
          </w:p>
          <w:p w14:paraId="45F26E70">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auto"/>
                <w:highlight w:val="none"/>
              </w:rPr>
              <w:t>项目所在区域达标判定优先采用国家或地方生态环境主管部门公开发布的评价基准年环境质量公告或环境质量报告中的数据或结论。本工程位于淮南市潘集区境内，本次评价采用淮南市生态环境局于202</w:t>
            </w:r>
            <w:r>
              <w:rPr>
                <w:rFonts w:hint="eastAsia" w:ascii="Times New Roman" w:hAnsi="Times New Roman"/>
                <w:color w:val="auto"/>
                <w:highlight w:val="none"/>
                <w:lang w:val="en-US" w:eastAsia="zh-CN"/>
              </w:rPr>
              <w:t>6</w:t>
            </w:r>
            <w:r>
              <w:rPr>
                <w:rFonts w:hint="eastAsia" w:ascii="Times New Roman" w:hAnsi="Times New Roman"/>
                <w:color w:val="auto"/>
                <w:highlight w:val="none"/>
              </w:rPr>
              <w:t>年6月4日在其网站公开发布的《202</w:t>
            </w:r>
            <w:r>
              <w:rPr>
                <w:rFonts w:hint="eastAsia" w:ascii="Times New Roman" w:hAnsi="Times New Roman"/>
                <w:color w:val="auto"/>
                <w:highlight w:val="none"/>
                <w:lang w:val="en-US" w:eastAsia="zh-CN"/>
              </w:rPr>
              <w:t>5</w:t>
            </w:r>
            <w:r>
              <w:rPr>
                <w:rFonts w:hint="eastAsia" w:ascii="Times New Roman" w:hAnsi="Times New Roman"/>
                <w:color w:val="auto"/>
                <w:highlight w:val="none"/>
              </w:rPr>
              <w:t>年淮南市环境质量状况公报》，项目区域空气环境质量现状评价见下表。</w:t>
            </w:r>
          </w:p>
          <w:p w14:paraId="31E30793">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p>
          <w:p w14:paraId="19214096">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p>
          <w:p w14:paraId="4694A94F">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p>
          <w:p w14:paraId="650198D5">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p>
          <w:p w14:paraId="58044544">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p>
          <w:p w14:paraId="2848F83D">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表3-3  区域大气污染物浓度值</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981"/>
              <w:gridCol w:w="1629"/>
              <w:gridCol w:w="1307"/>
              <w:gridCol w:w="1308"/>
              <w:gridCol w:w="1308"/>
              <w:gridCol w:w="1309"/>
            </w:tblGrid>
            <w:tr w14:paraId="1D92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736" w:type="dxa"/>
                  <w:shd w:val="clear" w:color="auto" w:fill="auto"/>
                  <w:tcMar>
                    <w:top w:w="120" w:type="dxa"/>
                    <w:left w:w="120" w:type="dxa"/>
                    <w:bottom w:w="120" w:type="dxa"/>
                    <w:right w:w="120" w:type="dxa"/>
                  </w:tcMar>
                  <w:vAlign w:val="center"/>
                </w:tcPr>
                <w:p w14:paraId="46E974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bookmarkStart w:id="7" w:name="_Toc12167"/>
                  <w:r>
                    <w:rPr>
                      <w:rFonts w:ascii="Times New Roman" w:hAnsi="Times New Roman" w:eastAsia="宋体" w:cs="Times New Roman"/>
                      <w:b/>
                      <w:bCs/>
                      <w:color w:val="auto"/>
                      <w:kern w:val="0"/>
                      <w:sz w:val="21"/>
                      <w:szCs w:val="21"/>
                      <w:lang w:val="en-US" w:eastAsia="zh-CN" w:bidi="ar"/>
                    </w:rPr>
                    <w:t>污染物</w:t>
                  </w:r>
                </w:p>
              </w:tc>
              <w:tc>
                <w:tcPr>
                  <w:tcW w:w="1222" w:type="dxa"/>
                  <w:shd w:val="clear" w:color="auto" w:fill="auto"/>
                  <w:tcMar>
                    <w:top w:w="120" w:type="dxa"/>
                    <w:left w:w="120" w:type="dxa"/>
                    <w:bottom w:w="120" w:type="dxa"/>
                    <w:right w:w="120" w:type="dxa"/>
                  </w:tcMar>
                  <w:vAlign w:val="center"/>
                </w:tcPr>
                <w:p w14:paraId="2480B2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年评价指标</w:t>
                  </w:r>
                </w:p>
              </w:tc>
              <w:tc>
                <w:tcPr>
                  <w:tcW w:w="980" w:type="dxa"/>
                  <w:shd w:val="clear" w:color="auto" w:fill="auto"/>
                  <w:tcMar>
                    <w:top w:w="120" w:type="dxa"/>
                    <w:left w:w="120" w:type="dxa"/>
                    <w:bottom w:w="120" w:type="dxa"/>
                    <w:right w:w="120" w:type="dxa"/>
                  </w:tcMar>
                  <w:vAlign w:val="center"/>
                </w:tcPr>
                <w:p w14:paraId="45FA8C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现状浓度（μg/m³）</w:t>
                  </w:r>
                </w:p>
              </w:tc>
              <w:tc>
                <w:tcPr>
                  <w:tcW w:w="981" w:type="dxa"/>
                  <w:shd w:val="clear" w:color="auto" w:fill="auto"/>
                  <w:tcMar>
                    <w:top w:w="120" w:type="dxa"/>
                    <w:left w:w="120" w:type="dxa"/>
                    <w:bottom w:w="120" w:type="dxa"/>
                    <w:right w:w="120" w:type="dxa"/>
                  </w:tcMar>
                  <w:vAlign w:val="center"/>
                </w:tcPr>
                <w:p w14:paraId="13F8B4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（GB3095-2026）中过渡阶段标准值（μg/m³）</w:t>
                  </w:r>
                </w:p>
              </w:tc>
              <w:tc>
                <w:tcPr>
                  <w:tcW w:w="981" w:type="dxa"/>
                  <w:shd w:val="clear" w:color="auto" w:fill="auto"/>
                  <w:tcMar>
                    <w:top w:w="120" w:type="dxa"/>
                    <w:left w:w="120" w:type="dxa"/>
                    <w:bottom w:w="120" w:type="dxa"/>
                    <w:right w:w="120" w:type="dxa"/>
                  </w:tcMar>
                  <w:vAlign w:val="center"/>
                </w:tcPr>
                <w:p w14:paraId="740C0D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占标率</w:t>
                  </w:r>
                </w:p>
              </w:tc>
              <w:tc>
                <w:tcPr>
                  <w:tcW w:w="981" w:type="dxa"/>
                  <w:shd w:val="clear" w:color="auto" w:fill="auto"/>
                  <w:tcMar>
                    <w:top w:w="120" w:type="dxa"/>
                    <w:left w:w="120" w:type="dxa"/>
                    <w:bottom w:w="120" w:type="dxa"/>
                    <w:right w:w="120" w:type="dxa"/>
                  </w:tcMar>
                  <w:vAlign w:val="center"/>
                </w:tcPr>
                <w:p w14:paraId="1B3869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lang w:val="en-US" w:eastAsia="zh-CN" w:bidi="ar"/>
                    </w:rPr>
                    <w:t>达标情况</w:t>
                  </w:r>
                </w:p>
              </w:tc>
            </w:tr>
            <w:tr w14:paraId="7BB5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736" w:type="dxa"/>
                  <w:shd w:val="clear" w:color="auto" w:fill="auto"/>
                  <w:tcMar>
                    <w:top w:w="120" w:type="dxa"/>
                    <w:left w:w="120" w:type="dxa"/>
                    <w:bottom w:w="120" w:type="dxa"/>
                    <w:right w:w="120" w:type="dxa"/>
                  </w:tcMar>
                  <w:vAlign w:val="center"/>
                </w:tcPr>
                <w:p w14:paraId="783782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SO₂</w:t>
                  </w:r>
                </w:p>
              </w:tc>
              <w:tc>
                <w:tcPr>
                  <w:tcW w:w="1222" w:type="dxa"/>
                  <w:shd w:val="clear" w:color="auto" w:fill="auto"/>
                  <w:tcMar>
                    <w:top w:w="120" w:type="dxa"/>
                    <w:left w:w="120" w:type="dxa"/>
                    <w:bottom w:w="120" w:type="dxa"/>
                    <w:right w:w="120" w:type="dxa"/>
                  </w:tcMar>
                  <w:vAlign w:val="center"/>
                </w:tcPr>
                <w:p w14:paraId="50ED96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年平均质量浓度</w:t>
                  </w:r>
                </w:p>
              </w:tc>
              <w:tc>
                <w:tcPr>
                  <w:tcW w:w="980" w:type="dxa"/>
                  <w:shd w:val="clear" w:color="auto" w:fill="auto"/>
                  <w:tcMar>
                    <w:top w:w="120" w:type="dxa"/>
                    <w:left w:w="120" w:type="dxa"/>
                    <w:bottom w:w="120" w:type="dxa"/>
                    <w:right w:w="120" w:type="dxa"/>
                  </w:tcMar>
                  <w:vAlign w:val="center"/>
                </w:tcPr>
                <w:p w14:paraId="364157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7</w:t>
                  </w:r>
                </w:p>
              </w:tc>
              <w:tc>
                <w:tcPr>
                  <w:tcW w:w="981" w:type="dxa"/>
                  <w:shd w:val="clear" w:color="auto" w:fill="auto"/>
                  <w:tcMar>
                    <w:top w:w="120" w:type="dxa"/>
                    <w:left w:w="120" w:type="dxa"/>
                    <w:bottom w:w="120" w:type="dxa"/>
                    <w:right w:w="120" w:type="dxa"/>
                  </w:tcMar>
                  <w:vAlign w:val="center"/>
                </w:tcPr>
                <w:p w14:paraId="317F7B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60</w:t>
                  </w:r>
                </w:p>
              </w:tc>
              <w:tc>
                <w:tcPr>
                  <w:tcW w:w="981" w:type="dxa"/>
                  <w:shd w:val="clear" w:color="auto" w:fill="auto"/>
                  <w:tcMar>
                    <w:top w:w="120" w:type="dxa"/>
                    <w:left w:w="120" w:type="dxa"/>
                    <w:bottom w:w="120" w:type="dxa"/>
                    <w:right w:w="120" w:type="dxa"/>
                  </w:tcMar>
                  <w:vAlign w:val="center"/>
                </w:tcPr>
                <w:p w14:paraId="369BC2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11.7%</w:t>
                  </w:r>
                </w:p>
              </w:tc>
              <w:tc>
                <w:tcPr>
                  <w:tcW w:w="981" w:type="dxa"/>
                  <w:shd w:val="clear" w:color="auto" w:fill="auto"/>
                  <w:tcMar>
                    <w:top w:w="120" w:type="dxa"/>
                    <w:left w:w="120" w:type="dxa"/>
                    <w:bottom w:w="120" w:type="dxa"/>
                    <w:right w:w="120" w:type="dxa"/>
                  </w:tcMar>
                  <w:vAlign w:val="center"/>
                </w:tcPr>
                <w:p w14:paraId="13B855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达标</w:t>
                  </w:r>
                </w:p>
              </w:tc>
            </w:tr>
            <w:tr w14:paraId="76EE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736" w:type="dxa"/>
                  <w:shd w:val="clear" w:color="auto" w:fill="auto"/>
                  <w:tcMar>
                    <w:top w:w="120" w:type="dxa"/>
                    <w:left w:w="120" w:type="dxa"/>
                    <w:bottom w:w="120" w:type="dxa"/>
                    <w:right w:w="120" w:type="dxa"/>
                  </w:tcMar>
                  <w:vAlign w:val="center"/>
                </w:tcPr>
                <w:p w14:paraId="55DCDF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NO₂</w:t>
                  </w:r>
                </w:p>
              </w:tc>
              <w:tc>
                <w:tcPr>
                  <w:tcW w:w="1222" w:type="dxa"/>
                  <w:shd w:val="clear" w:color="auto" w:fill="auto"/>
                  <w:tcMar>
                    <w:top w:w="120" w:type="dxa"/>
                    <w:left w:w="120" w:type="dxa"/>
                    <w:bottom w:w="120" w:type="dxa"/>
                    <w:right w:w="120" w:type="dxa"/>
                  </w:tcMar>
                  <w:vAlign w:val="center"/>
                </w:tcPr>
                <w:p w14:paraId="70EC26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年平均质量浓度</w:t>
                  </w:r>
                </w:p>
              </w:tc>
              <w:tc>
                <w:tcPr>
                  <w:tcW w:w="980" w:type="dxa"/>
                  <w:shd w:val="clear" w:color="auto" w:fill="auto"/>
                  <w:tcMar>
                    <w:top w:w="120" w:type="dxa"/>
                    <w:left w:w="120" w:type="dxa"/>
                    <w:bottom w:w="120" w:type="dxa"/>
                    <w:right w:w="120" w:type="dxa"/>
                  </w:tcMar>
                  <w:vAlign w:val="center"/>
                </w:tcPr>
                <w:p w14:paraId="43F5CA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18</w:t>
                  </w:r>
                </w:p>
              </w:tc>
              <w:tc>
                <w:tcPr>
                  <w:tcW w:w="981" w:type="dxa"/>
                  <w:shd w:val="clear" w:color="auto" w:fill="auto"/>
                  <w:tcMar>
                    <w:top w:w="120" w:type="dxa"/>
                    <w:left w:w="120" w:type="dxa"/>
                    <w:bottom w:w="120" w:type="dxa"/>
                    <w:right w:w="120" w:type="dxa"/>
                  </w:tcMar>
                  <w:vAlign w:val="center"/>
                </w:tcPr>
                <w:p w14:paraId="63623B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40</w:t>
                  </w:r>
                </w:p>
              </w:tc>
              <w:tc>
                <w:tcPr>
                  <w:tcW w:w="981" w:type="dxa"/>
                  <w:shd w:val="clear" w:color="auto" w:fill="auto"/>
                  <w:tcMar>
                    <w:top w:w="120" w:type="dxa"/>
                    <w:left w:w="120" w:type="dxa"/>
                    <w:bottom w:w="120" w:type="dxa"/>
                    <w:right w:w="120" w:type="dxa"/>
                  </w:tcMar>
                  <w:vAlign w:val="center"/>
                </w:tcPr>
                <w:p w14:paraId="2995DA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45.0%</w:t>
                  </w:r>
                </w:p>
              </w:tc>
              <w:tc>
                <w:tcPr>
                  <w:tcW w:w="981" w:type="dxa"/>
                  <w:shd w:val="clear" w:color="auto" w:fill="auto"/>
                  <w:tcMar>
                    <w:top w:w="120" w:type="dxa"/>
                    <w:left w:w="120" w:type="dxa"/>
                    <w:bottom w:w="120" w:type="dxa"/>
                    <w:right w:w="120" w:type="dxa"/>
                  </w:tcMar>
                  <w:vAlign w:val="center"/>
                </w:tcPr>
                <w:p w14:paraId="407931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达标</w:t>
                  </w:r>
                </w:p>
              </w:tc>
            </w:tr>
            <w:tr w14:paraId="284C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736" w:type="dxa"/>
                  <w:shd w:val="clear" w:color="auto" w:fill="auto"/>
                  <w:tcMar>
                    <w:top w:w="120" w:type="dxa"/>
                    <w:left w:w="120" w:type="dxa"/>
                    <w:bottom w:w="120" w:type="dxa"/>
                    <w:right w:w="120" w:type="dxa"/>
                  </w:tcMar>
                  <w:vAlign w:val="center"/>
                </w:tcPr>
                <w:p w14:paraId="539CA2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PM₁₀</w:t>
                  </w:r>
                </w:p>
              </w:tc>
              <w:tc>
                <w:tcPr>
                  <w:tcW w:w="1222" w:type="dxa"/>
                  <w:shd w:val="clear" w:color="auto" w:fill="auto"/>
                  <w:tcMar>
                    <w:top w:w="120" w:type="dxa"/>
                    <w:left w:w="120" w:type="dxa"/>
                    <w:bottom w:w="120" w:type="dxa"/>
                    <w:right w:w="120" w:type="dxa"/>
                  </w:tcMar>
                  <w:vAlign w:val="center"/>
                </w:tcPr>
                <w:p w14:paraId="1B40E3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年平均质量浓度</w:t>
                  </w:r>
                </w:p>
              </w:tc>
              <w:tc>
                <w:tcPr>
                  <w:tcW w:w="980" w:type="dxa"/>
                  <w:shd w:val="clear" w:color="auto" w:fill="auto"/>
                  <w:tcMar>
                    <w:top w:w="120" w:type="dxa"/>
                    <w:left w:w="120" w:type="dxa"/>
                    <w:bottom w:w="120" w:type="dxa"/>
                    <w:right w:w="120" w:type="dxa"/>
                  </w:tcMar>
                  <w:vAlign w:val="center"/>
                </w:tcPr>
                <w:p w14:paraId="01D626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61</w:t>
                  </w:r>
                </w:p>
              </w:tc>
              <w:tc>
                <w:tcPr>
                  <w:tcW w:w="981" w:type="dxa"/>
                  <w:shd w:val="clear" w:color="auto" w:fill="auto"/>
                  <w:tcMar>
                    <w:top w:w="120" w:type="dxa"/>
                    <w:left w:w="120" w:type="dxa"/>
                    <w:bottom w:w="120" w:type="dxa"/>
                    <w:right w:w="120" w:type="dxa"/>
                  </w:tcMar>
                  <w:vAlign w:val="center"/>
                </w:tcPr>
                <w:p w14:paraId="5258A4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60</w:t>
                  </w:r>
                </w:p>
              </w:tc>
              <w:tc>
                <w:tcPr>
                  <w:tcW w:w="981" w:type="dxa"/>
                  <w:shd w:val="clear" w:color="auto" w:fill="BEBEBE" w:themeFill="background1" w:themeFillShade="BF"/>
                  <w:tcMar>
                    <w:top w:w="120" w:type="dxa"/>
                    <w:left w:w="120" w:type="dxa"/>
                    <w:bottom w:w="120" w:type="dxa"/>
                    <w:right w:w="120" w:type="dxa"/>
                  </w:tcMar>
                  <w:vAlign w:val="center"/>
                </w:tcPr>
                <w:p w14:paraId="727E23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Style w:val="25"/>
                      <w:rFonts w:ascii="Times New Roman" w:hAnsi="Times New Roman" w:eastAsia="宋体" w:cs="Times New Roman"/>
                      <w:b w:val="0"/>
                      <w:bCs w:val="0"/>
                      <w:color w:val="auto"/>
                      <w:kern w:val="0"/>
                      <w:sz w:val="21"/>
                      <w:szCs w:val="21"/>
                      <w:lang w:val="en-US" w:eastAsia="zh-CN" w:bidi="ar"/>
                    </w:rPr>
                    <w:t>101.7%</w:t>
                  </w:r>
                </w:p>
              </w:tc>
              <w:tc>
                <w:tcPr>
                  <w:tcW w:w="981" w:type="dxa"/>
                  <w:shd w:val="clear" w:color="auto" w:fill="auto"/>
                  <w:tcMar>
                    <w:top w:w="120" w:type="dxa"/>
                    <w:left w:w="120" w:type="dxa"/>
                    <w:bottom w:w="120" w:type="dxa"/>
                    <w:right w:w="120" w:type="dxa"/>
                  </w:tcMar>
                  <w:vAlign w:val="center"/>
                </w:tcPr>
                <w:p w14:paraId="6A3AA3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超标</w:t>
                  </w:r>
                </w:p>
              </w:tc>
            </w:tr>
            <w:tr w14:paraId="1CCF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36" w:type="dxa"/>
                  <w:shd w:val="clear" w:color="auto" w:fill="auto"/>
                  <w:tcMar>
                    <w:top w:w="120" w:type="dxa"/>
                    <w:left w:w="120" w:type="dxa"/>
                    <w:bottom w:w="120" w:type="dxa"/>
                    <w:right w:w="120" w:type="dxa"/>
                  </w:tcMar>
                  <w:vAlign w:val="center"/>
                </w:tcPr>
                <w:p w14:paraId="1AEE23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PM₂.₅</w:t>
                  </w:r>
                </w:p>
              </w:tc>
              <w:tc>
                <w:tcPr>
                  <w:tcW w:w="1222" w:type="dxa"/>
                  <w:shd w:val="clear" w:color="auto" w:fill="auto"/>
                  <w:tcMar>
                    <w:top w:w="120" w:type="dxa"/>
                    <w:left w:w="120" w:type="dxa"/>
                    <w:bottom w:w="120" w:type="dxa"/>
                    <w:right w:w="120" w:type="dxa"/>
                  </w:tcMar>
                  <w:vAlign w:val="center"/>
                </w:tcPr>
                <w:p w14:paraId="050FC7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年平均质量浓度</w:t>
                  </w:r>
                </w:p>
              </w:tc>
              <w:tc>
                <w:tcPr>
                  <w:tcW w:w="980" w:type="dxa"/>
                  <w:shd w:val="clear" w:color="auto" w:fill="auto"/>
                  <w:tcMar>
                    <w:top w:w="120" w:type="dxa"/>
                    <w:left w:w="120" w:type="dxa"/>
                    <w:bottom w:w="120" w:type="dxa"/>
                    <w:right w:w="120" w:type="dxa"/>
                  </w:tcMar>
                  <w:vAlign w:val="center"/>
                </w:tcPr>
                <w:p w14:paraId="401303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37.1</w:t>
                  </w:r>
                </w:p>
              </w:tc>
              <w:tc>
                <w:tcPr>
                  <w:tcW w:w="981" w:type="dxa"/>
                  <w:shd w:val="clear" w:color="auto" w:fill="auto"/>
                  <w:tcMar>
                    <w:top w:w="120" w:type="dxa"/>
                    <w:left w:w="120" w:type="dxa"/>
                    <w:bottom w:w="120" w:type="dxa"/>
                    <w:right w:w="120" w:type="dxa"/>
                  </w:tcMar>
                  <w:vAlign w:val="center"/>
                </w:tcPr>
                <w:p w14:paraId="388A5E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30</w:t>
                  </w:r>
                </w:p>
              </w:tc>
              <w:tc>
                <w:tcPr>
                  <w:tcW w:w="981" w:type="dxa"/>
                  <w:shd w:val="clear" w:color="auto" w:fill="BEBEBE" w:themeFill="background1" w:themeFillShade="BF"/>
                  <w:tcMar>
                    <w:top w:w="120" w:type="dxa"/>
                    <w:left w:w="120" w:type="dxa"/>
                    <w:bottom w:w="120" w:type="dxa"/>
                    <w:right w:w="120" w:type="dxa"/>
                  </w:tcMar>
                  <w:vAlign w:val="center"/>
                </w:tcPr>
                <w:p w14:paraId="1DB7AC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Style w:val="25"/>
                      <w:rFonts w:ascii="Times New Roman" w:hAnsi="Times New Roman" w:eastAsia="宋体" w:cs="Times New Roman"/>
                      <w:b w:val="0"/>
                      <w:bCs w:val="0"/>
                      <w:color w:val="auto"/>
                      <w:kern w:val="0"/>
                      <w:sz w:val="21"/>
                      <w:szCs w:val="21"/>
                      <w:lang w:val="en-US" w:eastAsia="zh-CN" w:bidi="ar"/>
                    </w:rPr>
                    <w:t>123.7%</w:t>
                  </w:r>
                </w:p>
              </w:tc>
              <w:tc>
                <w:tcPr>
                  <w:tcW w:w="981" w:type="dxa"/>
                  <w:shd w:val="clear" w:color="auto" w:fill="auto"/>
                  <w:tcMar>
                    <w:top w:w="120" w:type="dxa"/>
                    <w:left w:w="120" w:type="dxa"/>
                    <w:bottom w:w="120" w:type="dxa"/>
                    <w:right w:w="120" w:type="dxa"/>
                  </w:tcMar>
                  <w:vAlign w:val="center"/>
                </w:tcPr>
                <w:p w14:paraId="4C83F0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超标</w:t>
                  </w:r>
                </w:p>
              </w:tc>
            </w:tr>
            <w:tr w14:paraId="5BC6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736" w:type="dxa"/>
                  <w:shd w:val="clear" w:color="auto" w:fill="auto"/>
                  <w:tcMar>
                    <w:top w:w="120" w:type="dxa"/>
                    <w:left w:w="120" w:type="dxa"/>
                    <w:bottom w:w="120" w:type="dxa"/>
                    <w:right w:w="120" w:type="dxa"/>
                  </w:tcMar>
                  <w:vAlign w:val="center"/>
                </w:tcPr>
                <w:p w14:paraId="79CE4E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CO</w:t>
                  </w:r>
                </w:p>
              </w:tc>
              <w:tc>
                <w:tcPr>
                  <w:tcW w:w="1222" w:type="dxa"/>
                  <w:shd w:val="clear" w:color="auto" w:fill="auto"/>
                  <w:tcMar>
                    <w:top w:w="120" w:type="dxa"/>
                    <w:left w:w="120" w:type="dxa"/>
                    <w:bottom w:w="120" w:type="dxa"/>
                    <w:right w:w="120" w:type="dxa"/>
                  </w:tcMar>
                  <w:vAlign w:val="center"/>
                </w:tcPr>
                <w:p w14:paraId="5D3B82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第95百分位数日平均质量浓度</w:t>
                  </w:r>
                </w:p>
              </w:tc>
              <w:tc>
                <w:tcPr>
                  <w:tcW w:w="980" w:type="dxa"/>
                  <w:shd w:val="clear" w:color="auto" w:fill="auto"/>
                  <w:tcMar>
                    <w:top w:w="120" w:type="dxa"/>
                    <w:left w:w="120" w:type="dxa"/>
                    <w:bottom w:w="120" w:type="dxa"/>
                    <w:right w:w="120" w:type="dxa"/>
                  </w:tcMar>
                  <w:vAlign w:val="center"/>
                </w:tcPr>
                <w:p w14:paraId="11AB6B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800</w:t>
                  </w:r>
                </w:p>
              </w:tc>
              <w:tc>
                <w:tcPr>
                  <w:tcW w:w="981" w:type="dxa"/>
                  <w:shd w:val="clear" w:color="auto" w:fill="auto"/>
                  <w:tcMar>
                    <w:top w:w="120" w:type="dxa"/>
                    <w:left w:w="120" w:type="dxa"/>
                    <w:bottom w:w="120" w:type="dxa"/>
                    <w:right w:w="120" w:type="dxa"/>
                  </w:tcMar>
                  <w:vAlign w:val="center"/>
                </w:tcPr>
                <w:p w14:paraId="3CE47D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4000</w:t>
                  </w:r>
                </w:p>
              </w:tc>
              <w:tc>
                <w:tcPr>
                  <w:tcW w:w="981" w:type="dxa"/>
                  <w:shd w:val="clear" w:color="auto" w:fill="auto"/>
                  <w:tcMar>
                    <w:top w:w="120" w:type="dxa"/>
                    <w:left w:w="120" w:type="dxa"/>
                    <w:bottom w:w="120" w:type="dxa"/>
                    <w:right w:w="120" w:type="dxa"/>
                  </w:tcMar>
                  <w:vAlign w:val="center"/>
                </w:tcPr>
                <w:p w14:paraId="2B561C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20.0%</w:t>
                  </w:r>
                </w:p>
              </w:tc>
              <w:tc>
                <w:tcPr>
                  <w:tcW w:w="981" w:type="dxa"/>
                  <w:shd w:val="clear" w:color="auto" w:fill="auto"/>
                  <w:tcMar>
                    <w:top w:w="120" w:type="dxa"/>
                    <w:left w:w="120" w:type="dxa"/>
                    <w:bottom w:w="120" w:type="dxa"/>
                    <w:right w:w="120" w:type="dxa"/>
                  </w:tcMar>
                  <w:vAlign w:val="center"/>
                </w:tcPr>
                <w:p w14:paraId="7BEAA2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达标</w:t>
                  </w:r>
                </w:p>
              </w:tc>
            </w:tr>
            <w:tr w14:paraId="57FE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736" w:type="dxa"/>
                  <w:shd w:val="clear" w:color="auto" w:fill="auto"/>
                  <w:tcMar>
                    <w:top w:w="120" w:type="dxa"/>
                    <w:left w:w="120" w:type="dxa"/>
                    <w:bottom w:w="120" w:type="dxa"/>
                    <w:right w:w="120" w:type="dxa"/>
                  </w:tcMar>
                  <w:vAlign w:val="center"/>
                </w:tcPr>
                <w:p w14:paraId="46773B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O₃</w:t>
                  </w:r>
                </w:p>
              </w:tc>
              <w:tc>
                <w:tcPr>
                  <w:tcW w:w="1222" w:type="dxa"/>
                  <w:shd w:val="clear" w:color="auto" w:fill="auto"/>
                  <w:tcMar>
                    <w:top w:w="120" w:type="dxa"/>
                    <w:left w:w="120" w:type="dxa"/>
                    <w:bottom w:w="120" w:type="dxa"/>
                    <w:right w:w="120" w:type="dxa"/>
                  </w:tcMar>
                  <w:vAlign w:val="center"/>
                </w:tcPr>
                <w:p w14:paraId="50626E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第90百分位数日最大8小时平均质量浓度</w:t>
                  </w:r>
                </w:p>
              </w:tc>
              <w:tc>
                <w:tcPr>
                  <w:tcW w:w="980" w:type="dxa"/>
                  <w:shd w:val="clear" w:color="auto" w:fill="auto"/>
                  <w:tcMar>
                    <w:top w:w="120" w:type="dxa"/>
                    <w:left w:w="120" w:type="dxa"/>
                    <w:bottom w:w="120" w:type="dxa"/>
                    <w:right w:w="120" w:type="dxa"/>
                  </w:tcMar>
                  <w:vAlign w:val="center"/>
                </w:tcPr>
                <w:p w14:paraId="11CD44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149</w:t>
                  </w:r>
                </w:p>
              </w:tc>
              <w:tc>
                <w:tcPr>
                  <w:tcW w:w="981" w:type="dxa"/>
                  <w:shd w:val="clear" w:color="auto" w:fill="auto"/>
                  <w:tcMar>
                    <w:top w:w="120" w:type="dxa"/>
                    <w:left w:w="120" w:type="dxa"/>
                    <w:bottom w:w="120" w:type="dxa"/>
                    <w:right w:w="120" w:type="dxa"/>
                  </w:tcMar>
                  <w:vAlign w:val="center"/>
                </w:tcPr>
                <w:p w14:paraId="41914C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160</w:t>
                  </w:r>
                </w:p>
              </w:tc>
              <w:tc>
                <w:tcPr>
                  <w:tcW w:w="981" w:type="dxa"/>
                  <w:shd w:val="clear" w:color="auto" w:fill="auto"/>
                  <w:tcMar>
                    <w:top w:w="120" w:type="dxa"/>
                    <w:left w:w="120" w:type="dxa"/>
                    <w:bottom w:w="120" w:type="dxa"/>
                    <w:right w:w="120" w:type="dxa"/>
                  </w:tcMar>
                  <w:vAlign w:val="center"/>
                </w:tcPr>
                <w:p w14:paraId="19B65F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93.1%</w:t>
                  </w:r>
                </w:p>
              </w:tc>
              <w:tc>
                <w:tcPr>
                  <w:tcW w:w="981" w:type="dxa"/>
                  <w:shd w:val="clear" w:color="auto" w:fill="auto"/>
                  <w:tcMar>
                    <w:top w:w="120" w:type="dxa"/>
                    <w:left w:w="120" w:type="dxa"/>
                    <w:bottom w:w="120" w:type="dxa"/>
                    <w:right w:w="120" w:type="dxa"/>
                  </w:tcMar>
                  <w:vAlign w:val="center"/>
                </w:tcPr>
                <w:p w14:paraId="3CBE43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b w:val="0"/>
                      <w:bCs w:val="0"/>
                      <w:color w:val="auto"/>
                      <w:sz w:val="21"/>
                      <w:szCs w:val="21"/>
                    </w:rPr>
                  </w:pPr>
                  <w:r>
                    <w:rPr>
                      <w:rFonts w:ascii="Times New Roman" w:hAnsi="Times New Roman" w:eastAsia="宋体" w:cs="Times New Roman"/>
                      <w:b w:val="0"/>
                      <w:bCs w:val="0"/>
                      <w:color w:val="auto"/>
                      <w:kern w:val="0"/>
                      <w:sz w:val="21"/>
                      <w:szCs w:val="21"/>
                      <w:lang w:val="en-US" w:eastAsia="zh-CN" w:bidi="ar"/>
                    </w:rPr>
                    <w:t>达标</w:t>
                  </w:r>
                </w:p>
              </w:tc>
            </w:tr>
          </w:tbl>
          <w:p w14:paraId="37F51D20">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根据《</w:t>
            </w:r>
            <w:r>
              <w:rPr>
                <w:rFonts w:hint="default" w:ascii="Times New Roman" w:hAnsi="Times New Roman" w:eastAsia="宋体" w:cs="Times New Roman"/>
                <w:color w:val="auto"/>
                <w:kern w:val="2"/>
                <w:sz w:val="24"/>
                <w:szCs w:val="24"/>
                <w:highlight w:val="none"/>
                <w:lang w:val="en-US" w:eastAsia="zh-CN" w:bidi="ar-SA"/>
              </w:rPr>
              <w:t>2025</w:t>
            </w:r>
            <w:r>
              <w:rPr>
                <w:rFonts w:hint="eastAsia" w:ascii="Times New Roman" w:hAnsi="Times New Roman" w:eastAsia="宋体" w:cs="Times New Roman"/>
                <w:color w:val="auto"/>
                <w:kern w:val="2"/>
                <w:sz w:val="24"/>
                <w:szCs w:val="24"/>
                <w:highlight w:val="none"/>
                <w:lang w:val="en-US" w:eastAsia="zh-CN" w:bidi="ar-SA"/>
              </w:rPr>
              <w:t>年淮南市生态环境质量状况公报》</w:t>
            </w:r>
            <w:r>
              <w:rPr>
                <w:rFonts w:hint="eastAsia"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结合《环境空气质量标准》（</w:t>
            </w:r>
            <w:r>
              <w:rPr>
                <w:rFonts w:hint="default" w:ascii="Times New Roman" w:hAnsi="Times New Roman" w:eastAsia="宋体" w:cs="Times New Roman"/>
                <w:color w:val="auto"/>
                <w:kern w:val="2"/>
                <w:sz w:val="24"/>
                <w:szCs w:val="24"/>
                <w:highlight w:val="none"/>
                <w:lang w:val="en-US" w:eastAsia="zh-CN" w:bidi="ar-SA"/>
              </w:rPr>
              <w:t>GB3095-2026</w:t>
            </w:r>
            <w:r>
              <w:rPr>
                <w:rFonts w:hint="eastAsia" w:ascii="Times New Roman" w:hAnsi="Times New Roman" w:eastAsia="宋体" w:cs="Times New Roman"/>
                <w:color w:val="auto"/>
                <w:kern w:val="2"/>
                <w:sz w:val="24"/>
                <w:szCs w:val="24"/>
                <w:highlight w:val="none"/>
                <w:lang w:val="en-US" w:eastAsia="zh-CN" w:bidi="ar-SA"/>
              </w:rPr>
              <w:t>）中过渡阶段浓度限值二级标准可知，</w:t>
            </w:r>
            <w:r>
              <w:rPr>
                <w:rFonts w:hint="default" w:ascii="Times New Roman" w:hAnsi="Times New Roman" w:eastAsia="宋体" w:cs="Times New Roman"/>
                <w:color w:val="auto"/>
                <w:kern w:val="2"/>
                <w:sz w:val="24"/>
                <w:szCs w:val="24"/>
                <w:highlight w:val="none"/>
                <w:lang w:val="en-US" w:eastAsia="zh-CN" w:bidi="ar-SA"/>
              </w:rPr>
              <w:t>2025</w:t>
            </w:r>
            <w:r>
              <w:rPr>
                <w:rFonts w:hint="eastAsia" w:ascii="Times New Roman" w:hAnsi="Times New Roman" w:eastAsia="宋体" w:cs="Times New Roman"/>
                <w:color w:val="auto"/>
                <w:kern w:val="2"/>
                <w:sz w:val="24"/>
                <w:szCs w:val="24"/>
                <w:highlight w:val="none"/>
                <w:lang w:val="en-US" w:eastAsia="zh-CN" w:bidi="ar-SA"/>
              </w:rPr>
              <w:t>年淮南市环境空气中</w:t>
            </w:r>
            <w:r>
              <w:rPr>
                <w:rFonts w:hint="default" w:ascii="Times New Roman" w:hAnsi="Times New Roman" w:eastAsia="宋体" w:cs="Times New Roman"/>
                <w:color w:val="auto"/>
                <w:kern w:val="2"/>
                <w:sz w:val="24"/>
                <w:szCs w:val="24"/>
                <w:highlight w:val="none"/>
                <w:lang w:val="en-US" w:eastAsia="zh-CN" w:bidi="ar-SA"/>
              </w:rPr>
              <w:t>PM</w:t>
            </w:r>
            <w:r>
              <w:rPr>
                <w:rFonts w:hint="default" w:ascii="Times New Roman" w:hAnsi="Times New Roman" w:eastAsia="宋体" w:cs="Times New Roman"/>
                <w:color w:val="auto"/>
                <w:kern w:val="2"/>
                <w:sz w:val="24"/>
                <w:szCs w:val="24"/>
                <w:highlight w:val="none"/>
                <w:vertAlign w:val="subscript"/>
                <w:lang w:val="en-US" w:eastAsia="zh-CN" w:bidi="ar-SA"/>
              </w:rPr>
              <w:t>10</w:t>
            </w:r>
            <w:r>
              <w:rPr>
                <w:rFonts w:hint="eastAsia" w:ascii="Times New Roman" w:hAnsi="Times New Roman" w:eastAsia="宋体" w:cs="Times New Roman"/>
                <w:color w:val="auto"/>
                <w:kern w:val="2"/>
                <w:sz w:val="24"/>
                <w:szCs w:val="24"/>
                <w:highlight w:val="none"/>
                <w:lang w:val="en-US" w:eastAsia="zh-CN" w:bidi="ar-SA"/>
              </w:rPr>
              <w:t>占标率为</w:t>
            </w:r>
            <w:r>
              <w:rPr>
                <w:rFonts w:hint="default" w:ascii="Times New Roman" w:hAnsi="Times New Roman" w:eastAsia="宋体" w:cs="Times New Roman"/>
                <w:color w:val="auto"/>
                <w:kern w:val="2"/>
                <w:sz w:val="24"/>
                <w:szCs w:val="24"/>
                <w:highlight w:val="none"/>
                <w:lang w:val="en-US" w:eastAsia="zh-CN" w:bidi="ar-SA"/>
              </w:rPr>
              <w:t>101.7%</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PM</w:t>
            </w:r>
            <w:r>
              <w:rPr>
                <w:rFonts w:hint="default" w:ascii="Times New Roman" w:hAnsi="Times New Roman" w:eastAsia="宋体" w:cs="Times New Roman"/>
                <w:color w:val="auto"/>
                <w:kern w:val="2"/>
                <w:sz w:val="24"/>
                <w:szCs w:val="24"/>
                <w:highlight w:val="none"/>
                <w:vertAlign w:val="subscript"/>
                <w:lang w:val="en-US" w:eastAsia="zh-CN" w:bidi="ar-SA"/>
              </w:rPr>
              <w:t>2.5</w:t>
            </w:r>
            <w:r>
              <w:rPr>
                <w:rFonts w:hint="eastAsia" w:ascii="Times New Roman" w:hAnsi="Times New Roman" w:eastAsia="宋体" w:cs="Times New Roman"/>
                <w:color w:val="auto"/>
                <w:kern w:val="2"/>
                <w:sz w:val="24"/>
                <w:szCs w:val="24"/>
                <w:highlight w:val="none"/>
                <w:lang w:val="en-US" w:eastAsia="zh-CN" w:bidi="ar-SA"/>
              </w:rPr>
              <w:t>占标率为</w:t>
            </w:r>
            <w:r>
              <w:rPr>
                <w:rFonts w:hint="default" w:ascii="Times New Roman" w:hAnsi="Times New Roman" w:eastAsia="宋体" w:cs="Times New Roman"/>
                <w:color w:val="auto"/>
                <w:kern w:val="2"/>
                <w:sz w:val="24"/>
                <w:szCs w:val="24"/>
                <w:highlight w:val="none"/>
                <w:lang w:val="en-US" w:eastAsia="zh-CN" w:bidi="ar-SA"/>
              </w:rPr>
              <w:t>123.7%</w:t>
            </w:r>
            <w:r>
              <w:rPr>
                <w:rFonts w:hint="eastAsia" w:ascii="Times New Roman" w:hAnsi="Times New Roman" w:eastAsia="宋体" w:cs="Times New Roman"/>
                <w:color w:val="auto"/>
                <w:kern w:val="2"/>
                <w:sz w:val="24"/>
                <w:szCs w:val="24"/>
                <w:highlight w:val="none"/>
                <w:lang w:val="en-US" w:eastAsia="zh-CN" w:bidi="ar-SA"/>
              </w:rPr>
              <w:t>，年平均浓度均超过环境空气质量过渡阶段浓度限值二级标准，经判定，项目所在区为环境空气质量不达标区域。</w:t>
            </w:r>
            <w:r>
              <w:rPr>
                <w:rFonts w:hint="default" w:ascii="Times New Roman" w:hAnsi="Times New Roman" w:eastAsia="宋体" w:cs="Times New Roman"/>
                <w:color w:val="auto"/>
                <w:kern w:val="2"/>
                <w:sz w:val="24"/>
                <w:szCs w:val="24"/>
                <w:highlight w:val="none"/>
                <w:lang w:val="en-US" w:eastAsia="zh-CN" w:bidi="ar-SA"/>
              </w:rPr>
              <w:t>淮南市已实施工业、移动源、施工扬尘、秸秆禁烧等一系列大气污染综合治理攻坚措施，推动PM</w:t>
            </w:r>
            <w:r>
              <w:rPr>
                <w:rFonts w:hint="eastAsia" w:ascii="Times New Roman" w:hAnsi="Times New Roman" w:cs="Times New Roman"/>
                <w:color w:val="auto"/>
                <w:kern w:val="2"/>
                <w:sz w:val="24"/>
                <w:szCs w:val="24"/>
                <w:highlight w:val="none"/>
                <w:vertAlign w:val="subscript"/>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、PM</w:t>
            </w:r>
            <w:r>
              <w:rPr>
                <w:rFonts w:hint="eastAsia" w:ascii="Times New Roman" w:hAnsi="Times New Roman" w:cs="Times New Roman"/>
                <w:color w:val="auto"/>
                <w:kern w:val="2"/>
                <w:sz w:val="24"/>
                <w:szCs w:val="24"/>
                <w:highlight w:val="none"/>
                <w:vertAlign w:val="subscript"/>
                <w:lang w:val="en-US" w:eastAsia="zh-CN" w:bidi="ar-SA"/>
              </w:rPr>
              <w:t>2.5</w:t>
            </w:r>
            <w:r>
              <w:rPr>
                <w:rFonts w:hint="default" w:ascii="Times New Roman" w:hAnsi="Times New Roman" w:eastAsia="宋体" w:cs="Times New Roman"/>
                <w:color w:val="auto"/>
                <w:kern w:val="2"/>
                <w:sz w:val="24"/>
                <w:szCs w:val="24"/>
                <w:highlight w:val="none"/>
                <w:lang w:val="en-US" w:eastAsia="zh-CN" w:bidi="ar-SA"/>
              </w:rPr>
              <w:t>持续下降。本项目仅存在短期施工扬尘，无运营期、不新增工业大气污染物，施工期严格落实扬尘</w:t>
            </w:r>
            <w:r>
              <w:rPr>
                <w:rFonts w:hint="eastAsia"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六个百分之百</w:t>
            </w:r>
            <w:r>
              <w:rPr>
                <w:rFonts w:hint="eastAsia"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管控，施工结束后污染源消除，对区域大气质量改善目标不会形成制约。</w:t>
            </w:r>
          </w:p>
          <w:bookmarkEnd w:id="7"/>
          <w:p w14:paraId="360807EC">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2、地表水环境现状</w:t>
            </w:r>
          </w:p>
          <w:p w14:paraId="321A55B3">
            <w:pPr>
              <w:pStyle w:val="2"/>
              <w:spacing w:before="0" w:after="0" w:line="360" w:lineRule="auto"/>
              <w:ind w:firstLine="480"/>
              <w:rPr>
                <w:rFonts w:ascii="Times New Roman" w:hAnsi="Times New Roman"/>
                <w:b w:val="0"/>
                <w:color w:val="auto"/>
                <w:sz w:val="24"/>
                <w:szCs w:val="24"/>
                <w:highlight w:val="none"/>
              </w:rPr>
            </w:pPr>
            <w:r>
              <w:rPr>
                <w:rFonts w:hint="eastAsia" w:ascii="Times New Roman" w:hAnsi="Times New Roman"/>
                <w:b w:val="0"/>
                <w:color w:val="auto"/>
                <w:sz w:val="24"/>
                <w:szCs w:val="24"/>
                <w:highlight w:val="none"/>
              </w:rPr>
              <w:t>根据《202</w:t>
            </w:r>
            <w:r>
              <w:rPr>
                <w:rFonts w:hint="eastAsia" w:ascii="Times New Roman" w:hAnsi="Times New Roman"/>
                <w:b w:val="0"/>
                <w:color w:val="auto"/>
                <w:sz w:val="24"/>
                <w:szCs w:val="24"/>
                <w:highlight w:val="none"/>
                <w:lang w:val="en-US" w:eastAsia="zh-CN"/>
              </w:rPr>
              <w:t>5</w:t>
            </w:r>
            <w:r>
              <w:rPr>
                <w:rFonts w:hint="eastAsia" w:ascii="Times New Roman" w:hAnsi="Times New Roman"/>
                <w:b w:val="0"/>
                <w:color w:val="auto"/>
                <w:sz w:val="24"/>
                <w:szCs w:val="24"/>
                <w:highlight w:val="none"/>
              </w:rPr>
              <w:t>年淮南市生态环境质量状况公报》：</w:t>
            </w:r>
          </w:p>
          <w:p w14:paraId="72086391">
            <w:pPr>
              <w:pStyle w:val="2"/>
              <w:spacing w:before="0" w:after="0" w:line="360" w:lineRule="auto"/>
              <w:ind w:firstLine="480"/>
              <w:rPr>
                <w:rFonts w:hint="eastAsia" w:ascii="Times New Roman" w:hAnsi="Times New Roman"/>
                <w:b w:val="0"/>
                <w:color w:val="auto"/>
                <w:sz w:val="24"/>
                <w:szCs w:val="24"/>
                <w:highlight w:val="none"/>
              </w:rPr>
            </w:pPr>
            <w:r>
              <w:rPr>
                <w:rFonts w:hint="eastAsia" w:ascii="Times New Roman" w:hAnsi="Times New Roman"/>
                <w:b w:val="0"/>
                <w:color w:val="auto"/>
                <w:sz w:val="24"/>
                <w:szCs w:val="24"/>
                <w:highlight w:val="none"/>
              </w:rPr>
              <w:t>2025年</w:t>
            </w:r>
            <w:r>
              <w:rPr>
                <w:rFonts w:hint="eastAsia" w:ascii="Times New Roman" w:hAnsi="Times New Roman"/>
                <w:b w:val="0"/>
                <w:color w:val="auto"/>
                <w:sz w:val="24"/>
                <w:szCs w:val="24"/>
                <w:highlight w:val="none"/>
                <w:lang w:val="en-US" w:eastAsia="zh-CN"/>
              </w:rPr>
              <w:t>淮南</w:t>
            </w:r>
            <w:r>
              <w:rPr>
                <w:rFonts w:hint="eastAsia" w:ascii="Times New Roman" w:hAnsi="Times New Roman"/>
                <w:b w:val="0"/>
                <w:color w:val="auto"/>
                <w:sz w:val="24"/>
                <w:szCs w:val="24"/>
                <w:highlight w:val="none"/>
              </w:rPr>
              <w:t>市地表水24个监测断面中优良水质比例为95.8%，Ⅳ类水质比例4.2%，总体水质状况优，比上年上升了4.1个百分点。</w:t>
            </w:r>
          </w:p>
          <w:p w14:paraId="775AFE67">
            <w:pPr>
              <w:pStyle w:val="5"/>
              <w:spacing w:after="0" w:line="360" w:lineRule="auto"/>
              <w:ind w:firstLine="482"/>
              <w:rPr>
                <w:rFonts w:ascii="Times New Roman" w:hAnsi="Times New Roman"/>
                <w:b/>
                <w:bCs/>
                <w:color w:val="auto"/>
                <w:sz w:val="24"/>
                <w:highlight w:val="none"/>
              </w:rPr>
            </w:pPr>
            <w:r>
              <w:rPr>
                <w:rFonts w:ascii="Times New Roman" w:hAnsi="Times New Roman"/>
                <w:b/>
                <w:bCs/>
                <w:color w:val="auto"/>
                <w:sz w:val="24"/>
                <w:highlight w:val="none"/>
              </w:rPr>
              <w:t>3、声环境质量现状</w:t>
            </w:r>
          </w:p>
          <w:p w14:paraId="623A1285">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2025年，全市区域环境噪声昼间平均等效声级为53.3分贝，噪声总体水平稳定保持二级，声环境质量较好。</w:t>
            </w:r>
          </w:p>
          <w:p w14:paraId="3F5B7CBE">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城市道路交通噪声昼间平均等效声级为66.4分贝，与上年相比下降0.2分贝，噪声强度等级稳定保持为一级，声环境质量级别为好。</w:t>
            </w:r>
          </w:p>
          <w:p w14:paraId="1747E084">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各功能区噪声平均等效声级达标率为93.1%，昼间达标率为94.5%，夜间达标率为91.7%。与上年相比，昼夜间达标率分别上升了11.2和33.4个百分点。</w:t>
            </w:r>
          </w:p>
          <w:p w14:paraId="7F99A878">
            <w:pPr>
              <w:spacing w:after="0" w:line="360" w:lineRule="auto"/>
              <w:ind w:firstLine="480" w:firstLineChars="200"/>
              <w:rPr>
                <w:rFonts w:ascii="Times New Roman"/>
                <w:color w:val="auto"/>
                <w:sz w:val="24"/>
                <w:highlight w:val="none"/>
              </w:rPr>
            </w:pPr>
            <w:r>
              <w:rPr>
                <w:rFonts w:ascii="Times New Roman"/>
                <w:color w:val="auto"/>
                <w:sz w:val="24"/>
                <w:highlight w:val="none"/>
              </w:rPr>
              <w:t>根据现场踏勘，项目</w:t>
            </w:r>
            <w:r>
              <w:rPr>
                <w:rFonts w:hint="eastAsia" w:ascii="Times New Roman"/>
                <w:color w:val="auto"/>
                <w:sz w:val="24"/>
                <w:highlight w:val="none"/>
                <w:lang w:val="en-US" w:eastAsia="zh-CN"/>
              </w:rPr>
              <w:t>9</w:t>
            </w:r>
            <w:r>
              <w:rPr>
                <w:rFonts w:hint="eastAsia" w:ascii="Times New Roman"/>
                <w:color w:val="auto"/>
                <w:sz w:val="24"/>
                <w:highlight w:val="none"/>
              </w:rPr>
              <w:t>号井场、</w:t>
            </w:r>
            <w:r>
              <w:rPr>
                <w:rFonts w:hint="eastAsia" w:ascii="Times New Roman"/>
                <w:color w:val="auto"/>
                <w:sz w:val="24"/>
                <w:highlight w:val="none"/>
                <w:lang w:val="en-US" w:eastAsia="zh-CN"/>
              </w:rPr>
              <w:t>10</w:t>
            </w:r>
            <w:r>
              <w:rPr>
                <w:rFonts w:hint="eastAsia" w:ascii="Times New Roman"/>
                <w:color w:val="auto"/>
                <w:sz w:val="24"/>
                <w:highlight w:val="none"/>
              </w:rPr>
              <w:t>号井场</w:t>
            </w:r>
            <w:r>
              <w:rPr>
                <w:rFonts w:hint="eastAsia" w:ascii="Times New Roman"/>
                <w:color w:val="auto"/>
                <w:sz w:val="24"/>
                <w:highlight w:val="none"/>
                <w:lang w:eastAsia="zh-CN"/>
              </w:rPr>
              <w:t>、</w:t>
            </w:r>
            <w:r>
              <w:rPr>
                <w:rFonts w:hint="eastAsia" w:ascii="Times New Roman"/>
                <w:color w:val="auto"/>
                <w:sz w:val="24"/>
                <w:highlight w:val="none"/>
                <w:lang w:val="en-US" w:eastAsia="zh-CN"/>
              </w:rPr>
              <w:t>17</w:t>
            </w:r>
            <w:r>
              <w:rPr>
                <w:rFonts w:hint="eastAsia" w:ascii="Times New Roman"/>
                <w:color w:val="auto"/>
                <w:sz w:val="24"/>
                <w:highlight w:val="none"/>
              </w:rPr>
              <w:t>号井场</w:t>
            </w:r>
            <w:r>
              <w:rPr>
                <w:rFonts w:hint="eastAsia" w:ascii="Times New Roman"/>
                <w:color w:val="auto"/>
                <w:sz w:val="24"/>
                <w:highlight w:val="none"/>
                <w:lang w:eastAsia="zh-CN"/>
              </w:rPr>
              <w:t>、</w:t>
            </w:r>
            <w:r>
              <w:rPr>
                <w:rFonts w:hint="eastAsia" w:ascii="Times New Roman"/>
                <w:color w:val="auto"/>
                <w:sz w:val="24"/>
                <w:highlight w:val="none"/>
                <w:lang w:val="en-US" w:eastAsia="zh-CN"/>
              </w:rPr>
              <w:t>18</w:t>
            </w:r>
            <w:r>
              <w:rPr>
                <w:rFonts w:hint="eastAsia" w:ascii="Times New Roman"/>
                <w:color w:val="auto"/>
                <w:sz w:val="24"/>
                <w:highlight w:val="none"/>
              </w:rPr>
              <w:t>号井场周边</w:t>
            </w:r>
            <w:r>
              <w:rPr>
                <w:rFonts w:ascii="Times New Roman"/>
                <w:color w:val="auto"/>
                <w:sz w:val="24"/>
                <w:highlight w:val="none"/>
              </w:rPr>
              <w:t>50米范围内存在声环境保护目标。故本项目需进行声环境质量现状监测。</w:t>
            </w:r>
          </w:p>
          <w:p w14:paraId="7EB01CDD">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表3-4  声环境现状监测点布设一览表</w:t>
            </w:r>
          </w:p>
          <w:tbl>
            <w:tblPr>
              <w:tblStyle w:val="22"/>
              <w:tblW w:w="7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7"/>
              <w:gridCol w:w="1308"/>
              <w:gridCol w:w="2350"/>
              <w:gridCol w:w="2347"/>
            </w:tblGrid>
            <w:tr w14:paraId="1E26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1837" w:type="dxa"/>
                  <w:vAlign w:val="center"/>
                </w:tcPr>
                <w:p w14:paraId="500CCC62">
                  <w:pPr>
                    <w:spacing w:after="0"/>
                    <w:jc w:val="center"/>
                    <w:rPr>
                      <w:rFonts w:ascii="Times New Roman" w:hAnsi="Times New Roman"/>
                      <w:color w:val="auto"/>
                      <w:szCs w:val="21"/>
                      <w:highlight w:val="none"/>
                    </w:rPr>
                  </w:pPr>
                  <w:r>
                    <w:rPr>
                      <w:rFonts w:ascii="Times New Roman"/>
                      <w:color w:val="auto"/>
                      <w:szCs w:val="21"/>
                      <w:highlight w:val="none"/>
                    </w:rPr>
                    <w:t>测点名称</w:t>
                  </w:r>
                </w:p>
              </w:tc>
              <w:tc>
                <w:tcPr>
                  <w:tcW w:w="1308" w:type="dxa"/>
                  <w:vAlign w:val="center"/>
                </w:tcPr>
                <w:p w14:paraId="61C777E6">
                  <w:pPr>
                    <w:spacing w:after="0"/>
                    <w:jc w:val="center"/>
                    <w:rPr>
                      <w:rFonts w:ascii="Times New Roman" w:hAnsi="Times New Roman"/>
                      <w:color w:val="auto"/>
                      <w:szCs w:val="21"/>
                      <w:highlight w:val="none"/>
                    </w:rPr>
                  </w:pPr>
                  <w:r>
                    <w:rPr>
                      <w:rFonts w:ascii="Times New Roman"/>
                      <w:color w:val="auto"/>
                      <w:szCs w:val="21"/>
                      <w:highlight w:val="none"/>
                    </w:rPr>
                    <w:t>方位</w:t>
                  </w:r>
                </w:p>
              </w:tc>
              <w:tc>
                <w:tcPr>
                  <w:tcW w:w="2350" w:type="dxa"/>
                  <w:vAlign w:val="center"/>
                </w:tcPr>
                <w:p w14:paraId="1E3EE6B9">
                  <w:pPr>
                    <w:spacing w:after="0"/>
                    <w:jc w:val="center"/>
                    <w:rPr>
                      <w:rFonts w:ascii="Times New Roman" w:hAnsi="Times New Roman"/>
                      <w:color w:val="auto"/>
                      <w:szCs w:val="21"/>
                      <w:highlight w:val="none"/>
                    </w:rPr>
                  </w:pPr>
                  <w:r>
                    <w:rPr>
                      <w:rFonts w:ascii="Times New Roman"/>
                      <w:color w:val="auto"/>
                      <w:szCs w:val="21"/>
                      <w:highlight w:val="none"/>
                    </w:rPr>
                    <w:t>监测点位性质</w:t>
                  </w:r>
                </w:p>
              </w:tc>
              <w:tc>
                <w:tcPr>
                  <w:tcW w:w="2347" w:type="dxa"/>
                  <w:vAlign w:val="center"/>
                </w:tcPr>
                <w:p w14:paraId="4B4D0150">
                  <w:pPr>
                    <w:spacing w:after="0"/>
                    <w:jc w:val="center"/>
                    <w:rPr>
                      <w:rFonts w:ascii="Times New Roman"/>
                      <w:color w:val="auto"/>
                      <w:szCs w:val="21"/>
                      <w:highlight w:val="none"/>
                    </w:rPr>
                  </w:pPr>
                  <w:r>
                    <w:rPr>
                      <w:rFonts w:hint="eastAsia" w:ascii="Times New Roman"/>
                      <w:color w:val="auto"/>
                      <w:szCs w:val="21"/>
                      <w:highlight w:val="none"/>
                    </w:rPr>
                    <w:t>相对距离</w:t>
                  </w:r>
                </w:p>
              </w:tc>
            </w:tr>
            <w:tr w14:paraId="3DA5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842" w:type="dxa"/>
                  <w:gridSpan w:val="4"/>
                  <w:vAlign w:val="center"/>
                </w:tcPr>
                <w:p w14:paraId="50B77321">
                  <w:pPr>
                    <w:spacing w:after="0"/>
                    <w:jc w:val="center"/>
                    <w:rPr>
                      <w:rFonts w:hint="default" w:ascii="Times New Roman" w:hAnsi="Times New Roman"/>
                      <w:color w:val="auto"/>
                      <w:szCs w:val="21"/>
                      <w:highlight w:val="none"/>
                      <w:lang w:val="en-US"/>
                    </w:rPr>
                  </w:pPr>
                  <w:r>
                    <w:rPr>
                      <w:rFonts w:hint="eastAsia" w:ascii="Times New Roman"/>
                      <w:color w:val="auto"/>
                      <w:szCs w:val="21"/>
                      <w:highlight w:val="none"/>
                      <w:lang w:val="en-US" w:eastAsia="zh-CN"/>
                    </w:rPr>
                    <w:t>D1-18</w:t>
                  </w:r>
                </w:p>
              </w:tc>
            </w:tr>
            <w:tr w14:paraId="033B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37" w:type="dxa"/>
                  <w:vAlign w:val="center"/>
                </w:tcPr>
                <w:p w14:paraId="073EA64F">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N1</w:t>
                  </w:r>
                  <w:r>
                    <w:rPr>
                      <w:rFonts w:ascii="Times New Roman"/>
                      <w:color w:val="auto"/>
                      <w:szCs w:val="21"/>
                      <w:highlight w:val="none"/>
                    </w:rPr>
                    <w:t>（</w:t>
                  </w:r>
                  <w:r>
                    <w:rPr>
                      <w:rFonts w:hint="eastAsia" w:ascii="Times New Roman"/>
                      <w:color w:val="auto"/>
                      <w:szCs w:val="21"/>
                      <w:highlight w:val="none"/>
                    </w:rPr>
                    <w:t>史圩孜</w:t>
                  </w:r>
                  <w:r>
                    <w:rPr>
                      <w:rFonts w:ascii="Times New Roman"/>
                      <w:color w:val="auto"/>
                      <w:szCs w:val="21"/>
                      <w:highlight w:val="none"/>
                    </w:rPr>
                    <w:t>）</w:t>
                  </w:r>
                </w:p>
              </w:tc>
              <w:tc>
                <w:tcPr>
                  <w:tcW w:w="1308" w:type="dxa"/>
                  <w:vAlign w:val="center"/>
                </w:tcPr>
                <w:p w14:paraId="24AE6436">
                  <w:pPr>
                    <w:spacing w:after="0"/>
                    <w:jc w:val="center"/>
                    <w:rPr>
                      <w:rFonts w:hint="eastAsia" w:ascii="Times New Roman" w:hAnsi="Times New Roman" w:eastAsia="宋体"/>
                      <w:color w:val="auto"/>
                      <w:szCs w:val="21"/>
                      <w:highlight w:val="none"/>
                      <w:lang w:eastAsia="zh-CN"/>
                    </w:rPr>
                  </w:pPr>
                  <w:r>
                    <w:rPr>
                      <w:rFonts w:hint="eastAsia" w:ascii="Times New Roman" w:hAnsi="Times New Roman"/>
                      <w:color w:val="auto"/>
                      <w:szCs w:val="21"/>
                      <w:highlight w:val="none"/>
                      <w:lang w:val="en-US" w:eastAsia="zh-CN"/>
                    </w:rPr>
                    <w:t>W</w:t>
                  </w:r>
                </w:p>
              </w:tc>
              <w:tc>
                <w:tcPr>
                  <w:tcW w:w="2350" w:type="dxa"/>
                  <w:vAlign w:val="center"/>
                </w:tcPr>
                <w:p w14:paraId="432E87C5">
                  <w:pPr>
                    <w:spacing w:after="0"/>
                    <w:jc w:val="center"/>
                    <w:rPr>
                      <w:rFonts w:ascii="Times New Roman" w:hAnsi="Times New Roman"/>
                      <w:color w:val="auto"/>
                      <w:szCs w:val="21"/>
                      <w:highlight w:val="none"/>
                    </w:rPr>
                  </w:pPr>
                  <w:r>
                    <w:rPr>
                      <w:rFonts w:ascii="Times New Roman"/>
                      <w:color w:val="auto"/>
                      <w:szCs w:val="21"/>
                      <w:highlight w:val="none"/>
                    </w:rPr>
                    <w:t>敏感点噪声</w:t>
                  </w:r>
                </w:p>
              </w:tc>
              <w:tc>
                <w:tcPr>
                  <w:tcW w:w="2347" w:type="dxa"/>
                  <w:vAlign w:val="center"/>
                </w:tcPr>
                <w:p w14:paraId="23F59701">
                  <w:pPr>
                    <w:spacing w:after="0"/>
                    <w:jc w:val="center"/>
                    <w:rPr>
                      <w:rFonts w:ascii="Times New Roman"/>
                      <w:color w:val="auto"/>
                      <w:szCs w:val="21"/>
                      <w:highlight w:val="none"/>
                    </w:rPr>
                  </w:pPr>
                  <w:r>
                    <w:rPr>
                      <w:rFonts w:hint="eastAsia" w:ascii="Times New Roman"/>
                      <w:color w:val="auto"/>
                      <w:szCs w:val="21"/>
                      <w:highlight w:val="none"/>
                      <w:lang w:val="en-US" w:eastAsia="zh-CN"/>
                    </w:rPr>
                    <w:t>18</w:t>
                  </w:r>
                  <w:r>
                    <w:rPr>
                      <w:rFonts w:hint="eastAsia" w:ascii="Times New Roman"/>
                      <w:color w:val="auto"/>
                      <w:szCs w:val="21"/>
                      <w:highlight w:val="none"/>
                    </w:rPr>
                    <w:t>m</w:t>
                  </w:r>
                </w:p>
              </w:tc>
            </w:tr>
            <w:tr w14:paraId="45F7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42" w:type="dxa"/>
                  <w:gridSpan w:val="4"/>
                  <w:vAlign w:val="center"/>
                </w:tcPr>
                <w:p w14:paraId="3E034396">
                  <w:pPr>
                    <w:spacing w:after="0"/>
                    <w:jc w:val="center"/>
                    <w:rPr>
                      <w:rFonts w:hint="default" w:ascii="Times New Roman" w:hAnsi="Times New Roman" w:eastAsia="宋体"/>
                      <w:color w:val="auto"/>
                      <w:szCs w:val="21"/>
                      <w:highlight w:val="none"/>
                      <w:lang w:val="en-US" w:eastAsia="zh-CN"/>
                    </w:rPr>
                  </w:pPr>
                  <w:r>
                    <w:rPr>
                      <w:rFonts w:hint="eastAsia" w:ascii="Times New Roman"/>
                      <w:color w:val="auto"/>
                      <w:szCs w:val="21"/>
                      <w:highlight w:val="none"/>
                      <w:lang w:val="en-US" w:eastAsia="zh-CN"/>
                    </w:rPr>
                    <w:t>D1-17</w:t>
                  </w:r>
                </w:p>
              </w:tc>
            </w:tr>
            <w:tr w14:paraId="5170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37" w:type="dxa"/>
                  <w:vAlign w:val="center"/>
                </w:tcPr>
                <w:p w14:paraId="455F7A74">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N2</w:t>
                  </w:r>
                  <w:r>
                    <w:rPr>
                      <w:rFonts w:ascii="Times New Roman"/>
                      <w:color w:val="auto"/>
                      <w:szCs w:val="21"/>
                      <w:highlight w:val="none"/>
                    </w:rPr>
                    <w:t>（</w:t>
                  </w:r>
                  <w:r>
                    <w:rPr>
                      <w:rFonts w:hint="eastAsia" w:ascii="Times New Roman"/>
                      <w:color w:val="auto"/>
                      <w:szCs w:val="21"/>
                      <w:highlight w:val="none"/>
                      <w:lang w:val="en-US" w:eastAsia="zh-CN"/>
                    </w:rPr>
                    <w:t>后王庄</w:t>
                  </w:r>
                  <w:r>
                    <w:rPr>
                      <w:rFonts w:ascii="Times New Roman"/>
                      <w:color w:val="auto"/>
                      <w:szCs w:val="21"/>
                      <w:highlight w:val="none"/>
                    </w:rPr>
                    <w:t>）</w:t>
                  </w:r>
                </w:p>
              </w:tc>
              <w:tc>
                <w:tcPr>
                  <w:tcW w:w="1308" w:type="dxa"/>
                  <w:vAlign w:val="center"/>
                </w:tcPr>
                <w:p w14:paraId="2D5322F7">
                  <w:pPr>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S</w:t>
                  </w:r>
                </w:p>
              </w:tc>
              <w:tc>
                <w:tcPr>
                  <w:tcW w:w="2350" w:type="dxa"/>
                  <w:vAlign w:val="center"/>
                </w:tcPr>
                <w:p w14:paraId="3A4DECD1">
                  <w:pPr>
                    <w:spacing w:after="0"/>
                    <w:jc w:val="center"/>
                    <w:rPr>
                      <w:rFonts w:ascii="Times New Roman" w:hAnsi="Times New Roman"/>
                      <w:color w:val="auto"/>
                      <w:szCs w:val="21"/>
                      <w:highlight w:val="none"/>
                    </w:rPr>
                  </w:pPr>
                  <w:r>
                    <w:rPr>
                      <w:rFonts w:ascii="Times New Roman"/>
                      <w:color w:val="auto"/>
                      <w:szCs w:val="21"/>
                      <w:highlight w:val="none"/>
                    </w:rPr>
                    <w:t>敏感点噪声</w:t>
                  </w:r>
                </w:p>
              </w:tc>
              <w:tc>
                <w:tcPr>
                  <w:tcW w:w="2347" w:type="dxa"/>
                  <w:vAlign w:val="center"/>
                </w:tcPr>
                <w:p w14:paraId="36C845B6">
                  <w:pPr>
                    <w:spacing w:after="0"/>
                    <w:jc w:val="center"/>
                    <w:rPr>
                      <w:rFonts w:ascii="Times New Roman"/>
                      <w:color w:val="auto"/>
                      <w:szCs w:val="21"/>
                      <w:highlight w:val="none"/>
                    </w:rPr>
                  </w:pPr>
                  <w:r>
                    <w:rPr>
                      <w:rFonts w:hint="eastAsia" w:ascii="Times New Roman"/>
                      <w:color w:val="auto"/>
                      <w:szCs w:val="21"/>
                      <w:highlight w:val="none"/>
                      <w:lang w:val="en-US" w:eastAsia="zh-CN"/>
                    </w:rPr>
                    <w:t>6</w:t>
                  </w:r>
                  <w:r>
                    <w:rPr>
                      <w:rFonts w:hint="eastAsia" w:ascii="Times New Roman"/>
                      <w:color w:val="auto"/>
                      <w:szCs w:val="21"/>
                      <w:highlight w:val="none"/>
                    </w:rPr>
                    <w:t>m</w:t>
                  </w:r>
                </w:p>
              </w:tc>
            </w:tr>
            <w:tr w14:paraId="4C8F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42" w:type="dxa"/>
                  <w:gridSpan w:val="4"/>
                  <w:vAlign w:val="center"/>
                </w:tcPr>
                <w:p w14:paraId="4B4BF490">
                  <w:pPr>
                    <w:spacing w:after="0"/>
                    <w:jc w:val="center"/>
                    <w:rPr>
                      <w:rFonts w:hint="eastAsia" w:ascii="Times New Roman"/>
                      <w:color w:val="auto"/>
                      <w:szCs w:val="21"/>
                      <w:highlight w:val="none"/>
                    </w:rPr>
                  </w:pPr>
                  <w:r>
                    <w:rPr>
                      <w:rFonts w:hint="eastAsia" w:ascii="Times New Roman"/>
                      <w:color w:val="auto"/>
                      <w:szCs w:val="21"/>
                      <w:highlight w:val="none"/>
                      <w:lang w:val="en-US" w:eastAsia="zh-CN"/>
                    </w:rPr>
                    <w:t>D1-9</w:t>
                  </w:r>
                </w:p>
              </w:tc>
            </w:tr>
            <w:tr w14:paraId="5A65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37" w:type="dxa"/>
                  <w:vAlign w:val="center"/>
                </w:tcPr>
                <w:p w14:paraId="1EC0790A">
                  <w:pPr>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N3（訾庄）</w:t>
                  </w:r>
                </w:p>
              </w:tc>
              <w:tc>
                <w:tcPr>
                  <w:tcW w:w="1308" w:type="dxa"/>
                  <w:vAlign w:val="center"/>
                </w:tcPr>
                <w:p w14:paraId="150AC3E4">
                  <w:pPr>
                    <w:spacing w:after="0"/>
                    <w:jc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E</w:t>
                  </w:r>
                </w:p>
              </w:tc>
              <w:tc>
                <w:tcPr>
                  <w:tcW w:w="2350" w:type="dxa"/>
                  <w:vAlign w:val="center"/>
                </w:tcPr>
                <w:p w14:paraId="76617CA0">
                  <w:pPr>
                    <w:spacing w:after="0"/>
                    <w:jc w:val="center"/>
                    <w:rPr>
                      <w:rFonts w:ascii="Times New Roman"/>
                      <w:color w:val="auto"/>
                      <w:szCs w:val="21"/>
                      <w:highlight w:val="none"/>
                    </w:rPr>
                  </w:pPr>
                  <w:r>
                    <w:rPr>
                      <w:rFonts w:ascii="Times New Roman"/>
                      <w:color w:val="auto"/>
                      <w:szCs w:val="21"/>
                      <w:highlight w:val="none"/>
                    </w:rPr>
                    <w:t>敏感点噪声</w:t>
                  </w:r>
                </w:p>
              </w:tc>
              <w:tc>
                <w:tcPr>
                  <w:tcW w:w="2347" w:type="dxa"/>
                  <w:vAlign w:val="center"/>
                </w:tcPr>
                <w:p w14:paraId="5EB16468">
                  <w:pPr>
                    <w:spacing w:after="0"/>
                    <w:jc w:val="center"/>
                    <w:rPr>
                      <w:rFonts w:hint="default" w:ascii="Times New Roman"/>
                      <w:color w:val="auto"/>
                      <w:szCs w:val="21"/>
                      <w:highlight w:val="none"/>
                      <w:lang w:val="en-US" w:eastAsia="zh-CN"/>
                    </w:rPr>
                  </w:pPr>
                  <w:r>
                    <w:rPr>
                      <w:rFonts w:hint="eastAsia" w:ascii="Times New Roman"/>
                      <w:color w:val="auto"/>
                      <w:szCs w:val="21"/>
                      <w:highlight w:val="none"/>
                      <w:lang w:val="en-US" w:eastAsia="zh-CN"/>
                    </w:rPr>
                    <w:t>41m</w:t>
                  </w:r>
                </w:p>
              </w:tc>
            </w:tr>
            <w:tr w14:paraId="2B68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42" w:type="dxa"/>
                  <w:gridSpan w:val="4"/>
                  <w:vAlign w:val="center"/>
                </w:tcPr>
                <w:p w14:paraId="55A199ED">
                  <w:pPr>
                    <w:spacing w:after="0"/>
                    <w:rPr>
                      <w:rFonts w:ascii="Times New Roman"/>
                      <w:color w:val="auto"/>
                      <w:szCs w:val="21"/>
                      <w:highlight w:val="none"/>
                    </w:rPr>
                  </w:pPr>
                </w:p>
              </w:tc>
            </w:tr>
          </w:tbl>
          <w:p w14:paraId="0F1D2977">
            <w:pPr>
              <w:pStyle w:val="31"/>
              <w:spacing w:after="0"/>
              <w:jc w:val="center"/>
              <w:rPr>
                <w:rFonts w:hint="eastAsia" w:ascii="Times New Roman" w:hAnsi="Times New Roman" w:eastAsia="宋体" w:cs="Times New Roman"/>
                <w:b/>
                <w:color w:val="auto"/>
                <w:kern w:val="2"/>
                <w:sz w:val="21"/>
                <w:szCs w:val="21"/>
                <w:highlight w:val="none"/>
                <w:lang w:val="en-US" w:eastAsia="zh-CN" w:bidi="ar-SA"/>
              </w:rPr>
            </w:pPr>
            <w:r>
              <w:rPr>
                <w:color w:val="auto"/>
                <w:highlight w:val="none"/>
              </w:rPr>
              <w:pict>
                <v:shape id="_x0000_s1027" o:spid="_x0000_s1027" o:spt="202" type="#_x0000_t202" style="position:absolute;left:0pt;margin-left:44.6pt;margin-top:51.5pt;height:22.5pt;width:53.95pt;z-index:251659264;mso-width-relative:page;mso-height-relative:page;" filled="f" stroked="f" coordsize="21600,21600" o:gfxdata="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8Mq5T2gAAAAoBAAAPAAAAAAAAAAEA&#10;IAAAACIAAABkcnMvZG93bnJldi54bWxQSwECFAAUAAAACACHTuJAR6PZOUYCAABxBAAADgAAAAAA&#10;AAABACAAAAApAQAAZHJzL2Uyb0RvYy54bWxQSwUGAAAAAAYABgBZAQAA4QUAAAAA&#10;">
                  <v:path/>
                  <v:fill on="f" focussize="0,0"/>
                  <v:stroke on="f" weight="0.5pt" joinstyle="miter"/>
                  <v:imagedata o:title=""/>
                  <o:lock v:ext="edit"/>
                  <v:textbox>
                    <w:txbxContent>
                      <w:p w14:paraId="6E1CA5DD">
                        <w:pPr>
                          <w:rPr>
                            <w:b/>
                            <w:bCs/>
                            <w:color w:val="F4B382" w:themeColor="accent2" w:themeTint="99"/>
                          </w:rPr>
                        </w:pPr>
                        <w:r>
                          <w:rPr>
                            <w:rFonts w:hint="eastAsia"/>
                            <w:b/>
                            <w:bCs/>
                            <w:color w:val="F4B382" w:themeColor="accent2" w:themeTint="99"/>
                          </w:rPr>
                          <w:t>史圩孜</w:t>
                        </w:r>
                      </w:p>
                    </w:txbxContent>
                  </v:textbox>
                </v:shape>
              </w:pict>
            </w:r>
            <w:r>
              <w:rPr>
                <w:color w:val="auto"/>
                <w:highlight w:val="none"/>
              </w:rPr>
              <w:drawing>
                <wp:anchor distT="0" distB="0" distL="114300" distR="114300" simplePos="0" relativeHeight="251661312" behindDoc="0" locked="0" layoutInCell="1" allowOverlap="1">
                  <wp:simplePos x="0" y="0"/>
                  <wp:positionH relativeFrom="column">
                    <wp:posOffset>4511675</wp:posOffset>
                  </wp:positionH>
                  <wp:positionV relativeFrom="paragraph">
                    <wp:posOffset>24130</wp:posOffset>
                  </wp:positionV>
                  <wp:extent cx="468630" cy="488950"/>
                  <wp:effectExtent l="0" t="0" r="7620" b="6350"/>
                  <wp:wrapNone/>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33" cstate="print"/>
                          <a:stretch>
                            <a:fillRect/>
                          </a:stretch>
                        </pic:blipFill>
                        <pic:spPr>
                          <a:xfrm>
                            <a:off x="0" y="0"/>
                            <a:ext cx="468630" cy="488950"/>
                          </a:xfrm>
                          <a:prstGeom prst="rect">
                            <a:avLst/>
                          </a:prstGeom>
                          <a:noFill/>
                          <a:ln>
                            <a:noFill/>
                          </a:ln>
                        </pic:spPr>
                      </pic:pic>
                    </a:graphicData>
                  </a:graphic>
                </wp:anchor>
              </w:drawing>
            </w:r>
            <w:r>
              <w:rPr>
                <w:color w:val="auto"/>
              </w:rPr>
              <w:drawing>
                <wp:inline distT="0" distB="0" distL="114300" distR="114300">
                  <wp:extent cx="4977130" cy="3348990"/>
                  <wp:effectExtent l="0" t="0" r="1270"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34"/>
                          <a:stretch>
                            <a:fillRect/>
                          </a:stretch>
                        </pic:blipFill>
                        <pic:spPr>
                          <a:xfrm>
                            <a:off x="0" y="0"/>
                            <a:ext cx="4977130" cy="3348990"/>
                          </a:xfrm>
                          <a:prstGeom prst="rect">
                            <a:avLst/>
                          </a:prstGeom>
                          <a:noFill/>
                          <a:ln>
                            <a:noFill/>
                          </a:ln>
                        </pic:spPr>
                      </pic:pic>
                    </a:graphicData>
                  </a:graphic>
                </wp:inline>
              </w:drawing>
            </w:r>
            <w:r>
              <w:rPr>
                <w:rFonts w:hint="eastAsia" w:ascii="Times New Roman" w:hAnsi="Times New Roman" w:eastAsia="宋体" w:cs="Times New Roman"/>
                <w:b/>
                <w:color w:val="auto"/>
                <w:kern w:val="2"/>
                <w:sz w:val="21"/>
                <w:szCs w:val="21"/>
                <w:highlight w:val="none"/>
                <w:lang w:val="en-US" w:eastAsia="zh-CN" w:bidi="ar-SA"/>
              </w:rPr>
              <w:t>图3-1  噪声监测点位图（18号井场）</w:t>
            </w:r>
          </w:p>
          <w:p w14:paraId="7B273679">
            <w:pPr>
              <w:spacing w:after="0" w:line="360" w:lineRule="auto"/>
              <w:jc w:val="center"/>
              <w:rPr>
                <w:rFonts w:hAnsi="宋体"/>
                <w:b/>
                <w:bCs/>
                <w:snapToGrid w:val="0"/>
                <w:color w:val="auto"/>
                <w:szCs w:val="21"/>
                <w:highlight w:val="none"/>
              </w:rPr>
            </w:pPr>
            <w:r>
              <w:rPr>
                <w:color w:val="auto"/>
                <w:sz w:val="24"/>
                <w:highlight w:val="none"/>
              </w:rPr>
              <w:pict>
                <v:shape id="_x0000_s1028" o:spid="_x0000_s1028" o:spt="202" type="#_x0000_t202" style="position:absolute;left:0pt;margin-left:178.05pt;margin-top:190pt;height:22.5pt;width:53.95pt;z-index:251660288;mso-width-relative:page;mso-height-relative:page;" filled="f" stroked="f" coordsize="21600,21600" o:gfxdata="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MmQp/2gAAAAoBAAAPAAAAAAAAAAEAIAAAACIAAABkcnMv&#10;ZG93bnJldi54bWxQSwECFAAUAAAACACHTuJASzmHHDoCAABlBAAADgAAAAAAAAABACAAAAApAQAA&#10;ZHJzL2Uyb0RvYy54bWxQSwUGAAAAAAYABgBZAQAA1QUAAAAA&#10;">
                  <v:path/>
                  <v:fill on="f" focussize="0,0"/>
                  <v:stroke on="f" weight="0.5pt" joinstyle="miter"/>
                  <v:imagedata o:title=""/>
                  <o:lock v:ext="edit"/>
                  <v:textbox>
                    <w:txbxContent>
                      <w:p w14:paraId="2EEDA7A3">
                        <w:pPr>
                          <w:rPr>
                            <w:rFonts w:hint="default" w:eastAsia="宋体"/>
                            <w:b/>
                            <w:bCs/>
                            <w:color w:val="F4B382" w:themeColor="accent2" w:themeTint="99"/>
                            <w:lang w:val="en-US" w:eastAsia="zh-CN"/>
                          </w:rPr>
                        </w:pPr>
                        <w:r>
                          <w:rPr>
                            <w:rFonts w:hint="eastAsia"/>
                            <w:b/>
                            <w:bCs/>
                            <w:color w:val="F4B382" w:themeColor="accent2" w:themeTint="99"/>
                            <w:lang w:val="en-US" w:eastAsia="zh-CN"/>
                          </w:rPr>
                          <w:t>后王庄</w:t>
                        </w:r>
                      </w:p>
                    </w:txbxContent>
                  </v:textbox>
                </v:shape>
              </w:pict>
            </w:r>
            <w:r>
              <w:rPr>
                <w:color w:val="auto"/>
              </w:rPr>
              <w:drawing>
                <wp:inline distT="0" distB="0" distL="114300" distR="114300">
                  <wp:extent cx="4980305" cy="3181350"/>
                  <wp:effectExtent l="0" t="0" r="10795" b="635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5"/>
                          <a:stretch>
                            <a:fillRect/>
                          </a:stretch>
                        </pic:blipFill>
                        <pic:spPr>
                          <a:xfrm>
                            <a:off x="0" y="0"/>
                            <a:ext cx="4980305" cy="3181350"/>
                          </a:xfrm>
                          <a:prstGeom prst="rect">
                            <a:avLst/>
                          </a:prstGeom>
                          <a:noFill/>
                          <a:ln>
                            <a:noFill/>
                          </a:ln>
                        </pic:spPr>
                      </pic:pic>
                    </a:graphicData>
                  </a:graphic>
                </wp:inline>
              </w:drawing>
            </w:r>
            <w:r>
              <w:rPr>
                <w:color w:val="auto"/>
                <w:highlight w:val="none"/>
              </w:rPr>
              <w:drawing>
                <wp:anchor distT="0" distB="0" distL="114300" distR="114300" simplePos="0" relativeHeight="251662336" behindDoc="0" locked="0" layoutInCell="1" allowOverlap="1">
                  <wp:simplePos x="0" y="0"/>
                  <wp:positionH relativeFrom="column">
                    <wp:posOffset>4523105</wp:posOffset>
                  </wp:positionH>
                  <wp:positionV relativeFrom="paragraph">
                    <wp:posOffset>-16510</wp:posOffset>
                  </wp:positionV>
                  <wp:extent cx="468630" cy="488950"/>
                  <wp:effectExtent l="0" t="0" r="7620" b="6350"/>
                  <wp:wrapNone/>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33" cstate="print"/>
                          <a:stretch>
                            <a:fillRect/>
                          </a:stretch>
                        </pic:blipFill>
                        <pic:spPr>
                          <a:xfrm>
                            <a:off x="0" y="0"/>
                            <a:ext cx="468630" cy="488950"/>
                          </a:xfrm>
                          <a:prstGeom prst="rect">
                            <a:avLst/>
                          </a:prstGeom>
                          <a:noFill/>
                          <a:ln>
                            <a:noFill/>
                          </a:ln>
                        </pic:spPr>
                      </pic:pic>
                    </a:graphicData>
                  </a:graphic>
                </wp:anchor>
              </w:drawing>
            </w:r>
          </w:p>
          <w:p w14:paraId="75D0E205">
            <w:pPr>
              <w:spacing w:after="0" w:line="360" w:lineRule="auto"/>
              <w:jc w:val="center"/>
              <w:rPr>
                <w:rFonts w:ascii="Times New Roman" w:hAnsi="Times New Roman"/>
                <w:b/>
                <w:color w:val="auto"/>
                <w:szCs w:val="21"/>
                <w:highlight w:val="none"/>
              </w:rPr>
            </w:pPr>
            <w:r>
              <w:rPr>
                <w:color w:val="auto"/>
                <w:highlight w:val="none"/>
              </w:rPr>
              <w:drawing>
                <wp:anchor distT="0" distB="0" distL="114300" distR="114300" simplePos="0" relativeHeight="251664384" behindDoc="0" locked="0" layoutInCell="1" allowOverlap="1">
                  <wp:simplePos x="0" y="0"/>
                  <wp:positionH relativeFrom="column">
                    <wp:posOffset>4514215</wp:posOffset>
                  </wp:positionH>
                  <wp:positionV relativeFrom="paragraph">
                    <wp:posOffset>259080</wp:posOffset>
                  </wp:positionV>
                  <wp:extent cx="468630" cy="488950"/>
                  <wp:effectExtent l="0" t="0" r="1270" b="6350"/>
                  <wp:wrapNone/>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33" cstate="print"/>
                          <a:stretch>
                            <a:fillRect/>
                          </a:stretch>
                        </pic:blipFill>
                        <pic:spPr>
                          <a:xfrm>
                            <a:off x="0" y="0"/>
                            <a:ext cx="468630" cy="488950"/>
                          </a:xfrm>
                          <a:prstGeom prst="rect">
                            <a:avLst/>
                          </a:prstGeom>
                          <a:noFill/>
                          <a:ln>
                            <a:noFill/>
                          </a:ln>
                        </pic:spPr>
                      </pic:pic>
                    </a:graphicData>
                  </a:graphic>
                </wp:anchor>
              </w:drawing>
            </w:r>
            <w:r>
              <w:rPr>
                <w:rFonts w:ascii="Times New Roman" w:hAnsi="Times New Roman"/>
                <w:b/>
                <w:color w:val="auto"/>
                <w:szCs w:val="21"/>
                <w:highlight w:val="none"/>
              </w:rPr>
              <w:t>图3-2 噪声监测点位图（</w:t>
            </w:r>
            <w:r>
              <w:rPr>
                <w:rFonts w:hint="eastAsia" w:ascii="Times New Roman" w:hAnsi="Times New Roman"/>
                <w:b/>
                <w:color w:val="auto"/>
                <w:szCs w:val="21"/>
                <w:highlight w:val="none"/>
                <w:lang w:val="en-US" w:eastAsia="zh-CN"/>
              </w:rPr>
              <w:t>17</w:t>
            </w:r>
            <w:r>
              <w:rPr>
                <w:rFonts w:ascii="Times New Roman" w:hAnsi="Times New Roman"/>
                <w:b/>
                <w:color w:val="auto"/>
                <w:szCs w:val="21"/>
                <w:highlight w:val="none"/>
              </w:rPr>
              <w:t>号井场）</w:t>
            </w:r>
          </w:p>
          <w:p w14:paraId="6E4DFD5C">
            <w:pPr>
              <w:spacing w:after="0" w:line="360" w:lineRule="auto"/>
              <w:jc w:val="center"/>
              <w:rPr>
                <w:rFonts w:ascii="Times New Roman" w:hAnsi="Times New Roman"/>
                <w:b/>
                <w:color w:val="auto"/>
                <w:szCs w:val="21"/>
                <w:highlight w:val="none"/>
              </w:rPr>
            </w:pPr>
            <w:r>
              <w:rPr>
                <w:color w:val="auto"/>
                <w:sz w:val="24"/>
                <w:highlight w:val="none"/>
              </w:rPr>
              <w:pict>
                <v:shape id="_x0000_s1029" o:spid="_x0000_s1029" o:spt="202" type="#_x0000_t202" style="position:absolute;left:0pt;margin-left:305.55pt;margin-top:65.2pt;height:22.5pt;width:53.95pt;z-index:251665408;mso-width-relative:page;mso-height-relative:page;" filled="f" stroked="f" coordsize="21600,21600" o:gfxdata="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MmQp/2gAAAAoBAAAPAAAAAAAAAAEAIAAAACIAAABkcnMv&#10;ZG93bnJldi54bWxQSwECFAAUAAAACACHTuJASzmHHDoCAABlBAAADgAAAAAAAAABACAAAAApAQAA&#10;ZHJzL2Uyb0RvYy54bWxQSwUGAAAAAAYABgBZAQAA1QUAAAAA&#10;">
                  <v:path/>
                  <v:fill on="f" focussize="0,0"/>
                  <v:stroke on="f" weight="0.5pt" joinstyle="miter"/>
                  <v:imagedata o:title=""/>
                  <o:lock v:ext="edit"/>
                  <v:textbox>
                    <w:txbxContent>
                      <w:p w14:paraId="2961C4C3">
                        <w:pPr>
                          <w:rPr>
                            <w:rFonts w:hint="default" w:eastAsia="宋体"/>
                            <w:b/>
                            <w:bCs/>
                            <w:color w:val="F4B382" w:themeColor="accent2" w:themeTint="99"/>
                            <w:lang w:val="en-US" w:eastAsia="zh-CN"/>
                          </w:rPr>
                        </w:pPr>
                        <w:r>
                          <w:rPr>
                            <w:rFonts w:hint="eastAsia"/>
                            <w:b/>
                            <w:bCs/>
                            <w:color w:val="F4B382" w:themeColor="accent2" w:themeTint="99"/>
                            <w:lang w:val="en-US" w:eastAsia="zh-CN"/>
                          </w:rPr>
                          <w:t>訾庄</w:t>
                        </w:r>
                      </w:p>
                    </w:txbxContent>
                  </v:textbox>
                </v:shape>
              </w:pict>
            </w:r>
            <w:r>
              <w:rPr>
                <w:color w:val="auto"/>
              </w:rPr>
              <w:drawing>
                <wp:inline distT="0" distB="0" distL="114300" distR="114300">
                  <wp:extent cx="4983480" cy="3476625"/>
                  <wp:effectExtent l="0" t="0" r="7620" b="317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36"/>
                          <a:stretch>
                            <a:fillRect/>
                          </a:stretch>
                        </pic:blipFill>
                        <pic:spPr>
                          <a:xfrm>
                            <a:off x="0" y="0"/>
                            <a:ext cx="4983480" cy="3476625"/>
                          </a:xfrm>
                          <a:prstGeom prst="rect">
                            <a:avLst/>
                          </a:prstGeom>
                          <a:noFill/>
                          <a:ln>
                            <a:noFill/>
                          </a:ln>
                        </pic:spPr>
                      </pic:pic>
                    </a:graphicData>
                  </a:graphic>
                </wp:inline>
              </w:drawing>
            </w:r>
          </w:p>
          <w:p w14:paraId="4A6BCF28">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图3-</w:t>
            </w:r>
            <w:r>
              <w:rPr>
                <w:rFonts w:hint="eastAsia" w:ascii="Times New Roman" w:hAnsi="Times New Roman"/>
                <w:b/>
                <w:color w:val="auto"/>
                <w:szCs w:val="21"/>
                <w:highlight w:val="none"/>
                <w:lang w:val="en-US" w:eastAsia="zh-CN"/>
              </w:rPr>
              <w:t>3</w:t>
            </w:r>
            <w:r>
              <w:rPr>
                <w:rFonts w:hint="eastAsia" w:ascii="Times New Roman" w:hAnsi="Times New Roman"/>
                <w:b/>
                <w:color w:val="auto"/>
                <w:szCs w:val="21"/>
                <w:highlight w:val="none"/>
              </w:rPr>
              <w:t xml:space="preserve"> 噪声监测点位图（</w:t>
            </w:r>
            <w:r>
              <w:rPr>
                <w:rFonts w:hint="eastAsia" w:ascii="Times New Roman" w:hAnsi="Times New Roman"/>
                <w:b/>
                <w:color w:val="auto"/>
                <w:szCs w:val="21"/>
                <w:highlight w:val="none"/>
                <w:lang w:val="en-US" w:eastAsia="zh-CN"/>
              </w:rPr>
              <w:t>9、10</w:t>
            </w:r>
            <w:r>
              <w:rPr>
                <w:rFonts w:hint="eastAsia" w:ascii="Times New Roman" w:hAnsi="Times New Roman"/>
                <w:b/>
                <w:color w:val="auto"/>
                <w:szCs w:val="21"/>
                <w:highlight w:val="none"/>
              </w:rPr>
              <w:t>号井场）</w:t>
            </w:r>
          </w:p>
          <w:p w14:paraId="0D54B8D6">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表3-5  环境噪声监测结果  单位：LeqdB（A）</w:t>
            </w:r>
          </w:p>
          <w:tbl>
            <w:tblPr>
              <w:tblStyle w:val="22"/>
              <w:tblW w:w="7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3"/>
              <w:gridCol w:w="2696"/>
              <w:gridCol w:w="2693"/>
            </w:tblGrid>
            <w:tr w14:paraId="25CE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53" w:type="dxa"/>
                  <w:vMerge w:val="restart"/>
                  <w:vAlign w:val="center"/>
                </w:tcPr>
                <w:p w14:paraId="47CFF707">
                  <w:pPr>
                    <w:spacing w:after="0"/>
                    <w:jc w:val="center"/>
                    <w:rPr>
                      <w:rFonts w:ascii="Times New Roman" w:hAnsi="Times New Roman"/>
                      <w:color w:val="auto"/>
                      <w:szCs w:val="21"/>
                      <w:highlight w:val="none"/>
                    </w:rPr>
                  </w:pPr>
                  <w:r>
                    <w:rPr>
                      <w:rFonts w:ascii="Times New Roman" w:hAnsi="Times New Roman"/>
                      <w:color w:val="auto"/>
                      <w:szCs w:val="21"/>
                      <w:highlight w:val="none"/>
                    </w:rPr>
                    <w:t>监测点位</w:t>
                  </w:r>
                </w:p>
              </w:tc>
              <w:tc>
                <w:tcPr>
                  <w:tcW w:w="5389" w:type="dxa"/>
                  <w:gridSpan w:val="2"/>
                  <w:vAlign w:val="center"/>
                </w:tcPr>
                <w:p w14:paraId="3A4507AE">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检测值</w:t>
                  </w:r>
                </w:p>
              </w:tc>
            </w:tr>
            <w:tr w14:paraId="16B4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53" w:type="dxa"/>
                  <w:vMerge w:val="continue"/>
                  <w:vAlign w:val="center"/>
                </w:tcPr>
                <w:p w14:paraId="5F7462CC">
                  <w:pPr>
                    <w:spacing w:after="0"/>
                    <w:jc w:val="center"/>
                    <w:rPr>
                      <w:rFonts w:ascii="Times New Roman" w:hAnsi="Times New Roman"/>
                      <w:color w:val="auto"/>
                      <w:szCs w:val="21"/>
                      <w:highlight w:val="none"/>
                    </w:rPr>
                  </w:pPr>
                </w:p>
              </w:tc>
              <w:tc>
                <w:tcPr>
                  <w:tcW w:w="5389" w:type="dxa"/>
                  <w:gridSpan w:val="2"/>
                  <w:vAlign w:val="center"/>
                </w:tcPr>
                <w:p w14:paraId="2E464346">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2025.7.28</w:t>
                  </w:r>
                </w:p>
              </w:tc>
            </w:tr>
            <w:tr w14:paraId="555B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53" w:type="dxa"/>
                  <w:vMerge w:val="continue"/>
                  <w:vAlign w:val="center"/>
                </w:tcPr>
                <w:p w14:paraId="3B5B398D">
                  <w:pPr>
                    <w:spacing w:after="0"/>
                    <w:jc w:val="center"/>
                    <w:rPr>
                      <w:rFonts w:ascii="Times New Roman" w:hAnsi="Times New Roman"/>
                      <w:color w:val="auto"/>
                      <w:szCs w:val="21"/>
                      <w:highlight w:val="none"/>
                    </w:rPr>
                  </w:pPr>
                </w:p>
              </w:tc>
              <w:tc>
                <w:tcPr>
                  <w:tcW w:w="2696" w:type="dxa"/>
                  <w:vAlign w:val="center"/>
                </w:tcPr>
                <w:p w14:paraId="343713B1">
                  <w:pPr>
                    <w:widowControl/>
                    <w:spacing w:after="0"/>
                    <w:jc w:val="center"/>
                    <w:rPr>
                      <w:rFonts w:ascii="Times New Roman" w:hAnsi="Times New Roman"/>
                      <w:color w:val="auto"/>
                      <w:szCs w:val="21"/>
                      <w:highlight w:val="none"/>
                    </w:rPr>
                  </w:pPr>
                  <w:r>
                    <w:rPr>
                      <w:rFonts w:ascii="Times New Roman" w:hAnsi="Times New Roman"/>
                      <w:bCs/>
                      <w:color w:val="auto"/>
                      <w:szCs w:val="21"/>
                      <w:highlight w:val="none"/>
                    </w:rPr>
                    <w:t>昼间Leq</w:t>
                  </w:r>
                </w:p>
              </w:tc>
              <w:tc>
                <w:tcPr>
                  <w:tcW w:w="2693" w:type="dxa"/>
                  <w:vAlign w:val="center"/>
                </w:tcPr>
                <w:p w14:paraId="31A5C885">
                  <w:pPr>
                    <w:widowControl/>
                    <w:spacing w:after="0"/>
                    <w:jc w:val="center"/>
                    <w:rPr>
                      <w:rFonts w:ascii="Times New Roman" w:hAnsi="Times New Roman"/>
                      <w:bCs/>
                      <w:color w:val="auto"/>
                      <w:szCs w:val="21"/>
                      <w:highlight w:val="none"/>
                    </w:rPr>
                  </w:pPr>
                  <w:r>
                    <w:rPr>
                      <w:rFonts w:ascii="Times New Roman" w:hAnsi="Times New Roman"/>
                      <w:bCs/>
                      <w:color w:val="auto"/>
                      <w:szCs w:val="21"/>
                      <w:highlight w:val="none"/>
                    </w:rPr>
                    <w:t>夜间Leq</w:t>
                  </w:r>
                </w:p>
              </w:tc>
            </w:tr>
            <w:tr w14:paraId="7CE4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842" w:type="dxa"/>
                  <w:gridSpan w:val="3"/>
                  <w:vAlign w:val="center"/>
                </w:tcPr>
                <w:p w14:paraId="58B543C3">
                  <w:pPr>
                    <w:widowControl/>
                    <w:spacing w:after="0"/>
                    <w:jc w:val="center"/>
                    <w:rPr>
                      <w:rFonts w:hint="default" w:ascii="Times New Roman" w:hAnsi="Times New Roman"/>
                      <w:bCs/>
                      <w:color w:val="auto"/>
                      <w:szCs w:val="21"/>
                      <w:highlight w:val="none"/>
                      <w:lang w:val="en-US"/>
                    </w:rPr>
                  </w:pPr>
                  <w:r>
                    <w:rPr>
                      <w:rFonts w:hint="eastAsia" w:ascii="Times New Roman" w:hAnsi="Times New Roman"/>
                      <w:bCs/>
                      <w:color w:val="auto"/>
                      <w:szCs w:val="21"/>
                      <w:highlight w:val="none"/>
                      <w:lang w:val="en-US" w:eastAsia="zh-CN"/>
                    </w:rPr>
                    <w:t>D1-18</w:t>
                  </w:r>
                </w:p>
              </w:tc>
            </w:tr>
            <w:tr w14:paraId="6616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53" w:type="dxa"/>
                  <w:vAlign w:val="center"/>
                </w:tcPr>
                <w:p w14:paraId="1037C437">
                  <w:pPr>
                    <w:spacing w:after="0"/>
                    <w:jc w:val="center"/>
                    <w:rPr>
                      <w:rFonts w:ascii="Times New Roman" w:hAnsi="Times New Roman"/>
                      <w:color w:val="auto"/>
                      <w:szCs w:val="21"/>
                      <w:highlight w:val="none"/>
                    </w:rPr>
                  </w:pPr>
                  <w:r>
                    <w:rPr>
                      <w:rFonts w:ascii="Times New Roman" w:hAnsi="Times New Roman"/>
                      <w:color w:val="auto"/>
                      <w:szCs w:val="21"/>
                      <w:highlight w:val="none"/>
                    </w:rPr>
                    <w:t>N</w:t>
                  </w:r>
                  <w:r>
                    <w:rPr>
                      <w:rFonts w:hint="eastAsia" w:ascii="Times New Roman" w:hAnsi="Times New Roman"/>
                      <w:color w:val="auto"/>
                      <w:szCs w:val="21"/>
                      <w:highlight w:val="none"/>
                    </w:rPr>
                    <w:t>1</w:t>
                  </w:r>
                  <w:r>
                    <w:rPr>
                      <w:rFonts w:ascii="Times New Roman" w:hAnsi="Times New Roman"/>
                      <w:color w:val="auto"/>
                      <w:szCs w:val="21"/>
                      <w:highlight w:val="none"/>
                    </w:rPr>
                    <w:t>：史圩孜</w:t>
                  </w:r>
                </w:p>
              </w:tc>
              <w:tc>
                <w:tcPr>
                  <w:tcW w:w="2696" w:type="dxa"/>
                  <w:vAlign w:val="center"/>
                </w:tcPr>
                <w:p w14:paraId="7B39D44C">
                  <w:pPr>
                    <w:widowControl/>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58</w:t>
                  </w:r>
                </w:p>
              </w:tc>
              <w:tc>
                <w:tcPr>
                  <w:tcW w:w="2693" w:type="dxa"/>
                  <w:vAlign w:val="center"/>
                </w:tcPr>
                <w:p w14:paraId="56A24A81">
                  <w:pPr>
                    <w:widowControl/>
                    <w:spacing w:after="0"/>
                    <w:jc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rPr>
                    <w:t>4</w:t>
                  </w:r>
                  <w:r>
                    <w:rPr>
                      <w:rFonts w:hint="eastAsia" w:ascii="Times New Roman" w:hAnsi="Times New Roman"/>
                      <w:color w:val="auto"/>
                      <w:szCs w:val="21"/>
                      <w:highlight w:val="none"/>
                      <w:lang w:val="en-US" w:eastAsia="zh-CN"/>
                    </w:rPr>
                    <w:t>7</w:t>
                  </w:r>
                </w:p>
              </w:tc>
            </w:tr>
            <w:tr w14:paraId="78ED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842" w:type="dxa"/>
                  <w:gridSpan w:val="3"/>
                  <w:vAlign w:val="center"/>
                </w:tcPr>
                <w:p w14:paraId="3E7B5C38">
                  <w:pPr>
                    <w:widowControl/>
                    <w:spacing w:after="0"/>
                    <w:jc w:val="center"/>
                    <w:rPr>
                      <w:rFonts w:hint="default" w:ascii="Times New Roman" w:hAnsi="Times New Roman"/>
                      <w:color w:val="auto"/>
                      <w:szCs w:val="21"/>
                      <w:highlight w:val="none"/>
                      <w:lang w:val="en-US"/>
                    </w:rPr>
                  </w:pPr>
                  <w:r>
                    <w:rPr>
                      <w:rFonts w:hint="eastAsia" w:ascii="Times New Roman" w:hAnsi="Times New Roman"/>
                      <w:color w:val="auto"/>
                      <w:szCs w:val="21"/>
                      <w:highlight w:val="none"/>
                      <w:lang w:val="en-US" w:eastAsia="zh-CN"/>
                    </w:rPr>
                    <w:t>D1-17</w:t>
                  </w:r>
                </w:p>
              </w:tc>
            </w:tr>
            <w:tr w14:paraId="4F3D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53" w:type="dxa"/>
                  <w:vAlign w:val="center"/>
                </w:tcPr>
                <w:p w14:paraId="78854445">
                  <w:pPr>
                    <w:spacing w:after="0"/>
                    <w:jc w:val="center"/>
                    <w:rPr>
                      <w:rFonts w:ascii="Times New Roman" w:hAnsi="Times New Roman"/>
                      <w:color w:val="auto"/>
                      <w:szCs w:val="21"/>
                      <w:highlight w:val="none"/>
                    </w:rPr>
                  </w:pPr>
                  <w:r>
                    <w:rPr>
                      <w:rFonts w:ascii="Times New Roman" w:hAnsi="Times New Roman"/>
                      <w:color w:val="auto"/>
                      <w:szCs w:val="21"/>
                      <w:highlight w:val="none"/>
                    </w:rPr>
                    <w:t>N2：</w:t>
                  </w:r>
                  <w:r>
                    <w:rPr>
                      <w:rFonts w:hint="eastAsia" w:ascii="Times New Roman"/>
                      <w:color w:val="auto"/>
                      <w:szCs w:val="21"/>
                      <w:highlight w:val="none"/>
                      <w:lang w:val="en-US" w:eastAsia="zh-CN"/>
                    </w:rPr>
                    <w:t>后王庄</w:t>
                  </w:r>
                </w:p>
              </w:tc>
              <w:tc>
                <w:tcPr>
                  <w:tcW w:w="2696" w:type="dxa"/>
                  <w:vAlign w:val="center"/>
                </w:tcPr>
                <w:p w14:paraId="55D31A32">
                  <w:pPr>
                    <w:widowControl/>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51</w:t>
                  </w:r>
                </w:p>
              </w:tc>
              <w:tc>
                <w:tcPr>
                  <w:tcW w:w="2693" w:type="dxa"/>
                  <w:vAlign w:val="center"/>
                </w:tcPr>
                <w:p w14:paraId="56F62A5D">
                  <w:pPr>
                    <w:widowControl/>
                    <w:spacing w:after="0"/>
                    <w:jc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rPr>
                    <w:t>4</w:t>
                  </w:r>
                  <w:r>
                    <w:rPr>
                      <w:rFonts w:hint="eastAsia" w:ascii="Times New Roman" w:hAnsi="Times New Roman"/>
                      <w:color w:val="auto"/>
                      <w:szCs w:val="21"/>
                      <w:highlight w:val="none"/>
                      <w:lang w:val="en-US" w:eastAsia="zh-CN"/>
                    </w:rPr>
                    <w:t>2</w:t>
                  </w:r>
                </w:p>
              </w:tc>
            </w:tr>
            <w:tr w14:paraId="3904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842" w:type="dxa"/>
                  <w:gridSpan w:val="3"/>
                  <w:vAlign w:val="center"/>
                </w:tcPr>
                <w:p w14:paraId="18122627">
                  <w:pPr>
                    <w:widowControl/>
                    <w:spacing w:after="0"/>
                    <w:jc w:val="center"/>
                    <w:rPr>
                      <w:rFonts w:hint="default" w:ascii="Times New Roman" w:hAnsi="Times New Roman"/>
                      <w:color w:val="auto"/>
                      <w:szCs w:val="21"/>
                      <w:highlight w:val="none"/>
                      <w:lang w:val="en-US"/>
                    </w:rPr>
                  </w:pPr>
                  <w:r>
                    <w:rPr>
                      <w:rFonts w:hint="eastAsia" w:ascii="Times New Roman"/>
                      <w:color w:val="auto"/>
                      <w:szCs w:val="21"/>
                      <w:highlight w:val="none"/>
                      <w:lang w:val="en-US" w:eastAsia="zh-CN"/>
                    </w:rPr>
                    <w:t>D1-9</w:t>
                  </w:r>
                </w:p>
              </w:tc>
            </w:tr>
            <w:tr w14:paraId="2D0F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53" w:type="dxa"/>
                  <w:vAlign w:val="center"/>
                </w:tcPr>
                <w:p w14:paraId="2258C2BD">
                  <w:pPr>
                    <w:spacing w:after="0"/>
                    <w:jc w:val="center"/>
                    <w:rPr>
                      <w:rFonts w:ascii="Times New Roman" w:hAnsi="Times New Roman"/>
                      <w:color w:val="auto"/>
                      <w:szCs w:val="21"/>
                      <w:highlight w:val="none"/>
                    </w:rPr>
                  </w:pPr>
                  <w:r>
                    <w:rPr>
                      <w:rFonts w:ascii="Times New Roman" w:hAnsi="Times New Roman"/>
                      <w:color w:val="auto"/>
                      <w:szCs w:val="21"/>
                      <w:highlight w:val="none"/>
                    </w:rPr>
                    <w:t>N</w:t>
                  </w:r>
                  <w:r>
                    <w:rPr>
                      <w:rFonts w:hint="eastAsia" w:ascii="Times New Roman" w:hAnsi="Times New Roman"/>
                      <w:color w:val="auto"/>
                      <w:szCs w:val="21"/>
                      <w:highlight w:val="none"/>
                      <w:lang w:val="en-US" w:eastAsia="zh-CN"/>
                    </w:rPr>
                    <w:t>3</w:t>
                  </w:r>
                  <w:r>
                    <w:rPr>
                      <w:rFonts w:ascii="Times New Roman" w:hAnsi="Times New Roman"/>
                      <w:color w:val="auto"/>
                      <w:szCs w:val="21"/>
                      <w:highlight w:val="none"/>
                    </w:rPr>
                    <w:t>：</w:t>
                  </w:r>
                  <w:r>
                    <w:rPr>
                      <w:rFonts w:hint="eastAsia" w:ascii="Times New Roman" w:hAnsi="Times New Roman"/>
                      <w:color w:val="auto"/>
                      <w:szCs w:val="21"/>
                      <w:highlight w:val="none"/>
                      <w:lang w:val="en-US" w:eastAsia="zh-CN"/>
                    </w:rPr>
                    <w:t>訾庄</w:t>
                  </w:r>
                </w:p>
              </w:tc>
              <w:tc>
                <w:tcPr>
                  <w:tcW w:w="2696" w:type="dxa"/>
                  <w:vAlign w:val="center"/>
                </w:tcPr>
                <w:p w14:paraId="691A44A2">
                  <w:pPr>
                    <w:widowControl/>
                    <w:spacing w:after="0"/>
                    <w:jc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rPr>
                    <w:t>4</w:t>
                  </w:r>
                  <w:r>
                    <w:rPr>
                      <w:rFonts w:hint="eastAsia" w:ascii="Times New Roman" w:hAnsi="Times New Roman"/>
                      <w:color w:val="auto"/>
                      <w:szCs w:val="21"/>
                      <w:highlight w:val="none"/>
                      <w:lang w:val="en-US" w:eastAsia="zh-CN"/>
                    </w:rPr>
                    <w:t>9</w:t>
                  </w:r>
                </w:p>
              </w:tc>
              <w:tc>
                <w:tcPr>
                  <w:tcW w:w="2693" w:type="dxa"/>
                  <w:vAlign w:val="center"/>
                </w:tcPr>
                <w:p w14:paraId="7E708AF6">
                  <w:pPr>
                    <w:widowControl/>
                    <w:spacing w:after="0"/>
                    <w:jc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rPr>
                    <w:t>4</w:t>
                  </w:r>
                  <w:r>
                    <w:rPr>
                      <w:rFonts w:hint="eastAsia" w:ascii="Times New Roman" w:hAnsi="Times New Roman"/>
                      <w:color w:val="auto"/>
                      <w:szCs w:val="21"/>
                      <w:highlight w:val="none"/>
                      <w:lang w:val="en-US" w:eastAsia="zh-CN"/>
                    </w:rPr>
                    <w:t>0</w:t>
                  </w:r>
                </w:p>
              </w:tc>
            </w:tr>
          </w:tbl>
          <w:p w14:paraId="07A93D6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eastAsia="宋体" w:cs="Times New Roman"/>
                <w:color w:val="auto"/>
                <w:sz w:val="24"/>
                <w:highlight w:val="none"/>
              </w:rPr>
            </w:pPr>
            <w:r>
              <w:rPr>
                <w:rFonts w:ascii="Times New Roman" w:hAnsi="Times New Roman" w:eastAsia="宋体" w:cs="Times New Roman"/>
                <w:color w:val="auto"/>
                <w:sz w:val="24"/>
                <w:szCs w:val="24"/>
              </w:rPr>
              <w:t>项目N2、N3敏感点噪声能够达到《声环境质量标准》（GB3096-2008）1类标准；N1敏感点临近省道S312（二级公路），距离省道</w:t>
            </w:r>
            <w:r>
              <w:rPr>
                <w:rFonts w:hint="eastAsia" w:ascii="Times New Roman" w:hAnsi="Times New Roman" w:eastAsia="宋体" w:cs="Times New Roman"/>
                <w:color w:val="auto"/>
                <w:sz w:val="24"/>
                <w:szCs w:val="24"/>
                <w:lang w:val="en-US" w:eastAsia="zh-CN"/>
              </w:rPr>
              <w:t>2</w:t>
            </w:r>
            <w:r>
              <w:rPr>
                <w:rFonts w:ascii="Times New Roman" w:hAnsi="Times New Roman" w:eastAsia="宋体" w:cs="Times New Roman"/>
                <w:color w:val="auto"/>
                <w:sz w:val="24"/>
                <w:szCs w:val="24"/>
              </w:rPr>
              <w:t>m，噪声满足《声环境质量标准》（GB3096-2008）4a类标准。</w:t>
            </w:r>
            <w:r>
              <w:rPr>
                <w:rFonts w:ascii="Times New Roman" w:hAnsi="Times New Roman" w:eastAsia="宋体" w:cs="Times New Roman"/>
                <w:color w:val="auto"/>
                <w:sz w:val="24"/>
                <w:highlight w:val="none"/>
              </w:rPr>
              <w:t>总体评价，项目所在区域声环境质量较好。</w:t>
            </w:r>
          </w:p>
          <w:p w14:paraId="7C2B51E5">
            <w:pPr>
              <w:spacing w:after="0" w:line="360" w:lineRule="auto"/>
              <w:ind w:firstLine="482" w:firstLineChars="200"/>
              <w:rPr>
                <w:rFonts w:ascii="Times New Roman" w:hAnsi="Times New Roman"/>
                <w:b/>
                <w:bCs/>
                <w:color w:val="auto"/>
                <w:kern w:val="0"/>
                <w:sz w:val="24"/>
                <w:highlight w:val="none"/>
              </w:rPr>
            </w:pPr>
            <w:r>
              <w:rPr>
                <w:rFonts w:ascii="Times New Roman" w:hAnsi="Times New Roman"/>
                <w:b/>
                <w:bCs/>
                <w:color w:val="auto"/>
                <w:kern w:val="0"/>
                <w:sz w:val="24"/>
                <w:highlight w:val="none"/>
              </w:rPr>
              <w:t>4、</w:t>
            </w:r>
            <w:r>
              <w:rPr>
                <w:rFonts w:hint="eastAsia" w:ascii="Times New Roman" w:hAnsi="Times New Roman"/>
                <w:b/>
                <w:bCs/>
                <w:color w:val="auto"/>
                <w:kern w:val="0"/>
                <w:sz w:val="24"/>
                <w:highlight w:val="none"/>
              </w:rPr>
              <w:t>土壤、地下水环境质量现状调查</w:t>
            </w:r>
          </w:p>
          <w:p w14:paraId="634EB2DB">
            <w:pPr>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根据《环境影响评价技术导则 土壤环境（试行）》（HJ964-2018），本项目属于其他行业，为Ⅳ类，可不开展土壤环境影响评价</w:t>
            </w:r>
            <w:r>
              <w:rPr>
                <w:rFonts w:hint="eastAsia" w:ascii="Times New Roman" w:hAnsi="Times New Roman"/>
                <w:color w:val="auto"/>
                <w:kern w:val="0"/>
                <w:sz w:val="24"/>
                <w:highlight w:val="none"/>
              </w:rPr>
              <w:t>；</w:t>
            </w:r>
            <w:r>
              <w:rPr>
                <w:rFonts w:hint="eastAsia" w:ascii="Times New Roman" w:hAnsi="Times New Roman"/>
                <w:color w:val="auto"/>
                <w:sz w:val="24"/>
                <w:highlight w:val="none"/>
              </w:rPr>
              <w:t>根据《环境影响评价技术导则 地下水环境》（HJ610-2016），本项目属于Ⅳ类项目，本项目可不开展地下水环境影响评价。</w:t>
            </w:r>
          </w:p>
          <w:p w14:paraId="03366B62">
            <w:pPr>
              <w:spacing w:after="0" w:line="360" w:lineRule="auto"/>
              <w:ind w:firstLine="482" w:firstLineChars="200"/>
              <w:rPr>
                <w:rFonts w:ascii="Times New Roman" w:hAnsi="Times New Roman"/>
                <w:b/>
                <w:bCs/>
                <w:color w:val="auto"/>
                <w:kern w:val="0"/>
                <w:sz w:val="24"/>
                <w:highlight w:val="none"/>
              </w:rPr>
            </w:pPr>
            <w:r>
              <w:rPr>
                <w:rFonts w:hint="eastAsia" w:ascii="Times New Roman" w:hAnsi="Times New Roman"/>
                <w:b/>
                <w:bCs/>
                <w:color w:val="auto"/>
                <w:kern w:val="0"/>
                <w:sz w:val="24"/>
                <w:highlight w:val="none"/>
              </w:rPr>
              <w:t>5、</w:t>
            </w:r>
            <w:r>
              <w:rPr>
                <w:rFonts w:ascii="Times New Roman" w:hAnsi="Times New Roman"/>
                <w:b/>
                <w:bCs/>
                <w:color w:val="auto"/>
                <w:kern w:val="0"/>
                <w:sz w:val="24"/>
                <w:highlight w:val="none"/>
              </w:rPr>
              <w:t>电磁辐射</w:t>
            </w:r>
          </w:p>
          <w:p w14:paraId="4A4F5446">
            <w:pPr>
              <w:spacing w:after="0" w:line="360" w:lineRule="auto"/>
              <w:ind w:firstLine="480" w:firstLineChars="200"/>
              <w:rPr>
                <w:rFonts w:ascii="Times New Roman" w:hAnsi="Times New Roman"/>
                <w:color w:val="auto"/>
                <w:highlight w:val="none"/>
              </w:rPr>
            </w:pPr>
            <w:r>
              <w:rPr>
                <w:rFonts w:ascii="Times New Roman" w:hAnsi="Times New Roman"/>
                <w:bCs/>
                <w:color w:val="auto"/>
                <w:sz w:val="24"/>
                <w:highlight w:val="none"/>
              </w:rPr>
              <w:t>本项目不属于新建或改建、扩建广播电台、差转台、电视塔台、卫星地球上行站、雷达等电磁辐射类项目。因此，不进行电磁辐射现状监测和评价。</w:t>
            </w:r>
          </w:p>
        </w:tc>
      </w:tr>
      <w:tr w14:paraId="34AA6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454" w:type="dxa"/>
            <w:vAlign w:val="center"/>
          </w:tcPr>
          <w:p w14:paraId="6E968CBF">
            <w:pPr>
              <w:adjustRightInd w:val="0"/>
              <w:snapToGrid w:val="0"/>
              <w:spacing w:after="0"/>
              <w:jc w:val="center"/>
              <w:rPr>
                <w:rFonts w:ascii="Times New Roman" w:hAnsi="Times New Roman"/>
                <w:bCs/>
                <w:color w:val="auto"/>
                <w:sz w:val="24"/>
                <w:highlight w:val="none"/>
              </w:rPr>
            </w:pPr>
            <w:r>
              <w:rPr>
                <w:rFonts w:ascii="Times New Roman" w:hAnsi="Times New Roman"/>
                <w:bCs/>
                <w:color w:val="auto"/>
                <w:sz w:val="24"/>
                <w:highlight w:val="none"/>
              </w:rPr>
              <w:t>与项目有关的原有环境污染和生态破坏问题</w:t>
            </w:r>
          </w:p>
        </w:tc>
        <w:tc>
          <w:tcPr>
            <w:tcW w:w="8068" w:type="dxa"/>
            <w:vAlign w:val="center"/>
          </w:tcPr>
          <w:p w14:paraId="5B8E76A1">
            <w:pPr>
              <w:autoSpaceDE w:val="0"/>
              <w:autoSpaceDN w:val="0"/>
              <w:spacing w:after="0" w:line="360" w:lineRule="auto"/>
              <w:ind w:firstLine="480" w:firstLineChars="200"/>
              <w:rPr>
                <w:rFonts w:ascii="Times New Roman" w:hAnsi="Times New Roman"/>
                <w:color w:val="auto"/>
                <w:highlight w:val="none"/>
              </w:rPr>
            </w:pPr>
            <w:r>
              <w:rPr>
                <w:rFonts w:ascii="Times New Roman" w:hAnsi="Times New Roman"/>
                <w:color w:val="auto"/>
                <w:sz w:val="24"/>
                <w:highlight w:val="none"/>
              </w:rPr>
              <w:t>本项目为新建项目，</w:t>
            </w:r>
            <w:r>
              <w:rPr>
                <w:rFonts w:ascii="Times New Roman" w:hAnsi="Times New Roman"/>
                <w:color w:val="auto"/>
                <w:kern w:val="0"/>
                <w:sz w:val="24"/>
                <w:highlight w:val="none"/>
              </w:rPr>
              <w:t>项目区域现状为农田，不存在原有污染问题。</w:t>
            </w:r>
          </w:p>
        </w:tc>
      </w:tr>
      <w:tr w14:paraId="20DFD4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dxa"/>
            <w:vAlign w:val="center"/>
          </w:tcPr>
          <w:p w14:paraId="6C040554">
            <w:pPr>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生态环境保护目标</w:t>
            </w:r>
          </w:p>
        </w:tc>
        <w:tc>
          <w:tcPr>
            <w:tcW w:w="8068" w:type="dxa"/>
            <w:tcBorders>
              <w:right w:val="single" w:color="auto" w:sz="4" w:space="0"/>
            </w:tcBorders>
            <w:vAlign w:val="center"/>
          </w:tcPr>
          <w:p w14:paraId="63CB5D0E">
            <w:pPr>
              <w:pStyle w:val="13"/>
              <w:tabs>
                <w:tab w:val="left" w:pos="0"/>
              </w:tabs>
              <w:spacing w:after="0" w:line="360" w:lineRule="auto"/>
              <w:ind w:firstLine="480" w:firstLineChars="200"/>
              <w:contextualSpacing/>
              <w:rPr>
                <w:rFonts w:ascii="Times New Roman" w:hAnsi="Times New Roman"/>
                <w:b/>
                <w:color w:val="auto"/>
                <w:sz w:val="24"/>
                <w:highlight w:val="none"/>
              </w:rPr>
            </w:pPr>
            <w:r>
              <w:rPr>
                <w:rFonts w:ascii="Times New Roman" w:hAnsi="Times New Roman"/>
                <w:color w:val="auto"/>
                <w:sz w:val="24"/>
                <w:highlight w:val="none"/>
              </w:rPr>
              <w:t>根据对建设项目所地块周边环境现状的踏勘，建设项目附近无文物保护、风景名胜区、饮用水源地等敏感环境保护目标，本项目主要环境保护目标见下表。</w:t>
            </w:r>
          </w:p>
          <w:p w14:paraId="45FD30D3">
            <w:pPr>
              <w:spacing w:after="0" w:line="360" w:lineRule="auto"/>
              <w:ind w:firstLine="482" w:firstLineChars="200"/>
              <w:rPr>
                <w:rFonts w:ascii="Times New Roman" w:hAnsi="Times New Roman"/>
                <w:b/>
                <w:color w:val="auto"/>
                <w:sz w:val="24"/>
                <w:szCs w:val="24"/>
                <w:highlight w:val="none"/>
              </w:rPr>
            </w:pPr>
            <w:r>
              <w:rPr>
                <w:rFonts w:hint="eastAsia" w:ascii="Times New Roman" w:hAnsi="Times New Roman"/>
                <w:b/>
                <w:color w:val="auto"/>
                <w:sz w:val="24"/>
                <w:szCs w:val="24"/>
                <w:highlight w:val="none"/>
              </w:rPr>
              <w:t>1、大气环境</w:t>
            </w:r>
          </w:p>
          <w:p w14:paraId="024C753B">
            <w:pPr>
              <w:spacing w:after="0" w:line="360" w:lineRule="auto"/>
              <w:ind w:firstLine="480" w:firstLineChars="200"/>
              <w:rPr>
                <w:rFonts w:ascii="Times New Roman" w:hAnsi="Times New Roman"/>
                <w:bCs/>
                <w:color w:val="auto"/>
                <w:sz w:val="24"/>
                <w:szCs w:val="24"/>
                <w:highlight w:val="none"/>
              </w:rPr>
            </w:pPr>
            <w:r>
              <w:rPr>
                <w:rFonts w:hint="eastAsia" w:ascii="Times New Roman" w:hAnsi="Times New Roman"/>
                <w:bCs/>
                <w:color w:val="auto"/>
                <w:sz w:val="24"/>
                <w:szCs w:val="24"/>
                <w:highlight w:val="none"/>
              </w:rPr>
              <w:t>本项目各井场外500m范围内大气环境保护目标详见下表。</w:t>
            </w:r>
          </w:p>
          <w:p w14:paraId="6FE86C8A">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表3-6  项目大气环境保护目标一览表</w:t>
            </w:r>
          </w:p>
          <w:tbl>
            <w:tblPr>
              <w:tblStyle w:val="22"/>
              <w:tblW w:w="7852" w:type="dxa"/>
              <w:jc w:val="center"/>
              <w:tblLayout w:type="fixed"/>
              <w:tblCellMar>
                <w:top w:w="0" w:type="dxa"/>
                <w:left w:w="108" w:type="dxa"/>
                <w:bottom w:w="0" w:type="dxa"/>
                <w:right w:w="108" w:type="dxa"/>
              </w:tblCellMar>
            </w:tblPr>
            <w:tblGrid>
              <w:gridCol w:w="448"/>
              <w:gridCol w:w="570"/>
              <w:gridCol w:w="899"/>
              <w:gridCol w:w="615"/>
              <w:gridCol w:w="705"/>
              <w:gridCol w:w="718"/>
              <w:gridCol w:w="705"/>
              <w:gridCol w:w="1029"/>
              <w:gridCol w:w="641"/>
              <w:gridCol w:w="761"/>
              <w:gridCol w:w="761"/>
            </w:tblGrid>
            <w:tr w14:paraId="3AA7973E">
              <w:tblPrEx>
                <w:tblCellMar>
                  <w:top w:w="0" w:type="dxa"/>
                  <w:left w:w="108" w:type="dxa"/>
                  <w:bottom w:w="0" w:type="dxa"/>
                  <w:right w:w="108" w:type="dxa"/>
                </w:tblCellMar>
              </w:tblPrEx>
              <w:trPr>
                <w:trHeight w:val="540" w:hRule="atLeast"/>
                <w:jc w:val="center"/>
              </w:trPr>
              <w:tc>
                <w:tcPr>
                  <w:tcW w:w="448" w:type="dxa"/>
                  <w:tcBorders>
                    <w:top w:val="single" w:color="auto" w:sz="4" w:space="0"/>
                    <w:left w:val="single" w:color="000000" w:sz="4" w:space="0"/>
                    <w:bottom w:val="single" w:color="auto" w:sz="4" w:space="0"/>
                    <w:right w:val="single" w:color="auto" w:sz="4" w:space="0"/>
                  </w:tcBorders>
                  <w:vAlign w:val="center"/>
                </w:tcPr>
                <w:p w14:paraId="0F988398">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环境要素</w:t>
                  </w:r>
                </w:p>
              </w:tc>
              <w:tc>
                <w:tcPr>
                  <w:tcW w:w="570" w:type="dxa"/>
                  <w:tcBorders>
                    <w:top w:val="single" w:color="auto" w:sz="4" w:space="0"/>
                    <w:left w:val="single" w:color="auto" w:sz="4" w:space="0"/>
                    <w:bottom w:val="single" w:color="auto" w:sz="4" w:space="0"/>
                    <w:right w:val="single" w:color="auto" w:sz="4" w:space="0"/>
                  </w:tcBorders>
                  <w:vAlign w:val="center"/>
                </w:tcPr>
                <w:p w14:paraId="7C1FB5BC">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区域</w:t>
                  </w:r>
                </w:p>
              </w:tc>
              <w:tc>
                <w:tcPr>
                  <w:tcW w:w="899" w:type="dxa"/>
                  <w:tcBorders>
                    <w:top w:val="single" w:color="auto" w:sz="4" w:space="0"/>
                    <w:left w:val="single" w:color="auto" w:sz="4" w:space="0"/>
                    <w:bottom w:val="single" w:color="auto" w:sz="4" w:space="0"/>
                    <w:right w:val="single" w:color="auto" w:sz="4" w:space="0"/>
                  </w:tcBorders>
                  <w:vAlign w:val="center"/>
                </w:tcPr>
                <w:p w14:paraId="48E17442">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名称</w:t>
                  </w:r>
                </w:p>
              </w:tc>
              <w:tc>
                <w:tcPr>
                  <w:tcW w:w="615" w:type="dxa"/>
                  <w:tcBorders>
                    <w:top w:val="single" w:color="auto" w:sz="4" w:space="0"/>
                    <w:left w:val="single" w:color="auto" w:sz="4" w:space="0"/>
                    <w:bottom w:val="single" w:color="auto" w:sz="4" w:space="0"/>
                    <w:right w:val="single" w:color="auto" w:sz="4" w:space="0"/>
                  </w:tcBorders>
                  <w:vAlign w:val="center"/>
                </w:tcPr>
                <w:p w14:paraId="0280FC79">
                  <w:pPr>
                    <w:widowControl/>
                    <w:spacing w:after="0"/>
                    <w:jc w:val="center"/>
                    <w:textAlignment w:val="center"/>
                    <w:rPr>
                      <w:rFonts w:ascii="Times New Roman" w:hAnsi="Times New Roman"/>
                      <w:b/>
                      <w:bCs/>
                      <w:color w:val="auto"/>
                      <w:szCs w:val="21"/>
                      <w:highlight w:val="none"/>
                    </w:rPr>
                  </w:pPr>
                  <w:r>
                    <w:rPr>
                      <w:rFonts w:ascii="Times New Roman" w:hAnsi="Times New Roman"/>
                      <w:b/>
                      <w:bCs/>
                      <w:color w:val="auto"/>
                      <w:kern w:val="0"/>
                      <w:szCs w:val="21"/>
                      <w:highlight w:val="none"/>
                    </w:rPr>
                    <w:t>X</w:t>
                  </w:r>
                </w:p>
              </w:tc>
              <w:tc>
                <w:tcPr>
                  <w:tcW w:w="705" w:type="dxa"/>
                  <w:tcBorders>
                    <w:top w:val="single" w:color="auto" w:sz="4" w:space="0"/>
                    <w:left w:val="single" w:color="auto" w:sz="4" w:space="0"/>
                    <w:bottom w:val="single" w:color="auto" w:sz="4" w:space="0"/>
                    <w:right w:val="single" w:color="auto" w:sz="4" w:space="0"/>
                  </w:tcBorders>
                  <w:vAlign w:val="center"/>
                </w:tcPr>
                <w:p w14:paraId="1C71543F">
                  <w:pPr>
                    <w:widowControl/>
                    <w:spacing w:after="0"/>
                    <w:jc w:val="center"/>
                    <w:textAlignment w:val="center"/>
                    <w:rPr>
                      <w:rFonts w:ascii="Times New Roman" w:hAnsi="Times New Roman"/>
                      <w:b/>
                      <w:bCs/>
                      <w:color w:val="auto"/>
                      <w:szCs w:val="21"/>
                      <w:highlight w:val="none"/>
                    </w:rPr>
                  </w:pPr>
                  <w:r>
                    <w:rPr>
                      <w:rFonts w:ascii="Times New Roman" w:hAnsi="Times New Roman"/>
                      <w:b/>
                      <w:bCs/>
                      <w:color w:val="auto"/>
                      <w:kern w:val="0"/>
                      <w:szCs w:val="21"/>
                      <w:highlight w:val="none"/>
                    </w:rPr>
                    <w:t>Y</w:t>
                  </w:r>
                </w:p>
              </w:tc>
              <w:tc>
                <w:tcPr>
                  <w:tcW w:w="718" w:type="dxa"/>
                  <w:tcBorders>
                    <w:top w:val="single" w:color="auto" w:sz="4" w:space="0"/>
                    <w:left w:val="single" w:color="auto" w:sz="4" w:space="0"/>
                    <w:bottom w:val="single" w:color="auto" w:sz="4" w:space="0"/>
                    <w:right w:val="single" w:color="auto" w:sz="4" w:space="0"/>
                  </w:tcBorders>
                  <w:vAlign w:val="center"/>
                </w:tcPr>
                <w:p w14:paraId="66009268">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保护对象</w:t>
                  </w:r>
                </w:p>
              </w:tc>
              <w:tc>
                <w:tcPr>
                  <w:tcW w:w="705" w:type="dxa"/>
                  <w:tcBorders>
                    <w:top w:val="single" w:color="auto" w:sz="4" w:space="0"/>
                    <w:left w:val="single" w:color="auto" w:sz="4" w:space="0"/>
                    <w:bottom w:val="single" w:color="auto" w:sz="4" w:space="0"/>
                    <w:right w:val="single" w:color="auto" w:sz="4" w:space="0"/>
                  </w:tcBorders>
                  <w:vAlign w:val="center"/>
                </w:tcPr>
                <w:p w14:paraId="095C2E05">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保护内容（人）</w:t>
                  </w:r>
                </w:p>
              </w:tc>
              <w:tc>
                <w:tcPr>
                  <w:tcW w:w="1029" w:type="dxa"/>
                  <w:tcBorders>
                    <w:top w:val="single" w:color="auto" w:sz="4" w:space="0"/>
                    <w:left w:val="single" w:color="auto" w:sz="4" w:space="0"/>
                    <w:bottom w:val="single" w:color="auto" w:sz="4" w:space="0"/>
                    <w:right w:val="single" w:color="auto" w:sz="4" w:space="0"/>
                  </w:tcBorders>
                  <w:vAlign w:val="center"/>
                </w:tcPr>
                <w:p w14:paraId="299F8E3D">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环境功能区</w:t>
                  </w:r>
                </w:p>
              </w:tc>
              <w:tc>
                <w:tcPr>
                  <w:tcW w:w="641" w:type="dxa"/>
                  <w:tcBorders>
                    <w:top w:val="single" w:color="auto" w:sz="4" w:space="0"/>
                    <w:left w:val="single" w:color="auto" w:sz="4" w:space="0"/>
                    <w:bottom w:val="single" w:color="auto" w:sz="4" w:space="0"/>
                    <w:right w:val="single" w:color="auto" w:sz="4" w:space="0"/>
                  </w:tcBorders>
                  <w:vAlign w:val="center"/>
                </w:tcPr>
                <w:p w14:paraId="1E37ABAD">
                  <w:pPr>
                    <w:widowControl/>
                    <w:spacing w:after="0"/>
                    <w:jc w:val="center"/>
                    <w:textAlignment w:val="center"/>
                    <w:rPr>
                      <w:rFonts w:ascii="Times New Roman" w:hAnsi="Times New Roman" w:cs="宋体"/>
                      <w:b/>
                      <w:bCs/>
                      <w:color w:val="auto"/>
                      <w:szCs w:val="21"/>
                      <w:highlight w:val="none"/>
                    </w:rPr>
                  </w:pPr>
                  <w:r>
                    <w:rPr>
                      <w:rFonts w:hint="eastAsia" w:ascii="Times New Roman" w:hAnsi="Times New Roman" w:cs="宋体"/>
                      <w:b/>
                      <w:bCs/>
                      <w:color w:val="auto"/>
                      <w:kern w:val="0"/>
                      <w:szCs w:val="21"/>
                      <w:highlight w:val="none"/>
                    </w:rPr>
                    <w:t>相对厂址方位</w:t>
                  </w:r>
                </w:p>
              </w:tc>
              <w:tc>
                <w:tcPr>
                  <w:tcW w:w="761" w:type="dxa"/>
                  <w:tcBorders>
                    <w:top w:val="single" w:color="auto" w:sz="4" w:space="0"/>
                    <w:left w:val="single" w:color="auto" w:sz="4" w:space="0"/>
                    <w:bottom w:val="single" w:color="auto" w:sz="4" w:space="0"/>
                    <w:right w:val="single" w:color="auto" w:sz="4" w:space="0"/>
                  </w:tcBorders>
                  <w:vAlign w:val="center"/>
                </w:tcPr>
                <w:p w14:paraId="291FF85B">
                  <w:pPr>
                    <w:widowControl/>
                    <w:spacing w:after="0"/>
                    <w:jc w:val="center"/>
                    <w:textAlignment w:val="center"/>
                    <w:rPr>
                      <w:rFonts w:ascii="Times New Roman" w:hAnsi="Times New Roman" w:cs="宋体"/>
                      <w:b/>
                      <w:bCs/>
                      <w:color w:val="auto"/>
                      <w:szCs w:val="21"/>
                      <w:highlight w:val="none"/>
                    </w:rPr>
                  </w:pPr>
                  <w:r>
                    <w:rPr>
                      <w:rStyle w:val="48"/>
                      <w:rFonts w:hint="default" w:ascii="Times New Roman" w:hAnsi="Times New Roman"/>
                      <w:b/>
                      <w:bCs/>
                      <w:color w:val="auto"/>
                      <w:highlight w:val="none"/>
                    </w:rPr>
                    <w:t>相对各井场边界距离</w:t>
                  </w:r>
                  <w:r>
                    <w:rPr>
                      <w:rStyle w:val="49"/>
                      <w:b/>
                      <w:bCs/>
                      <w:color w:val="auto"/>
                      <w:highlight w:val="none"/>
                    </w:rPr>
                    <w:t>/m</w:t>
                  </w:r>
                </w:p>
              </w:tc>
              <w:tc>
                <w:tcPr>
                  <w:tcW w:w="761" w:type="dxa"/>
                  <w:tcBorders>
                    <w:top w:val="single" w:color="auto" w:sz="4" w:space="0"/>
                    <w:left w:val="single" w:color="auto" w:sz="4" w:space="0"/>
                    <w:bottom w:val="single" w:color="auto" w:sz="4" w:space="0"/>
                    <w:right w:val="single" w:color="auto" w:sz="4" w:space="0"/>
                  </w:tcBorders>
                  <w:vAlign w:val="center"/>
                </w:tcPr>
                <w:p w14:paraId="2B41B94C">
                  <w:pPr>
                    <w:widowControl/>
                    <w:spacing w:after="0"/>
                    <w:jc w:val="center"/>
                    <w:textAlignment w:val="center"/>
                    <w:rPr>
                      <w:rStyle w:val="48"/>
                      <w:rFonts w:hint="default" w:ascii="Times New Roman" w:hAnsi="Times New Roman" w:eastAsia="宋体"/>
                      <w:b/>
                      <w:bCs/>
                      <w:color w:val="auto"/>
                      <w:highlight w:val="none"/>
                      <w:lang w:val="en-US" w:eastAsia="zh-CN"/>
                    </w:rPr>
                  </w:pPr>
                  <w:r>
                    <w:rPr>
                      <w:rStyle w:val="48"/>
                      <w:rFonts w:hint="eastAsia" w:ascii="Times New Roman" w:hAnsi="Times New Roman"/>
                      <w:b/>
                      <w:bCs/>
                      <w:color w:val="auto"/>
                      <w:highlight w:val="none"/>
                      <w:lang w:val="en-US" w:eastAsia="zh-CN"/>
                    </w:rPr>
                    <w:t>最近井场</w:t>
                  </w:r>
                </w:p>
              </w:tc>
            </w:tr>
            <w:tr w14:paraId="6E58153A">
              <w:tblPrEx>
                <w:tblCellMar>
                  <w:top w:w="0" w:type="dxa"/>
                  <w:left w:w="108" w:type="dxa"/>
                  <w:bottom w:w="0" w:type="dxa"/>
                  <w:right w:w="108" w:type="dxa"/>
                </w:tblCellMar>
              </w:tblPrEx>
              <w:trPr>
                <w:trHeight w:val="300" w:hRule="atLeast"/>
                <w:jc w:val="center"/>
              </w:trPr>
              <w:tc>
                <w:tcPr>
                  <w:tcW w:w="448" w:type="dxa"/>
                  <w:vMerge w:val="restart"/>
                  <w:tcBorders>
                    <w:top w:val="single" w:color="auto" w:sz="4" w:space="0"/>
                    <w:left w:val="single" w:color="auto" w:sz="4" w:space="0"/>
                    <w:right w:val="single" w:color="auto" w:sz="4" w:space="0"/>
                  </w:tcBorders>
                  <w:vAlign w:val="center"/>
                </w:tcPr>
                <w:p w14:paraId="75C69971">
                  <w:pPr>
                    <w:widowControl/>
                    <w:spacing w:after="0"/>
                    <w:jc w:val="center"/>
                    <w:textAlignment w:val="center"/>
                    <w:rPr>
                      <w:rFonts w:ascii="Times New Roman" w:hAnsi="Times New Roman" w:cs="宋体"/>
                      <w:color w:val="auto"/>
                      <w:szCs w:val="21"/>
                      <w:highlight w:val="none"/>
                    </w:rPr>
                  </w:pPr>
                  <w:r>
                    <w:rPr>
                      <w:rFonts w:hint="eastAsia" w:ascii="Times New Roman" w:hAnsi="Times New Roman" w:cs="宋体"/>
                      <w:color w:val="auto"/>
                      <w:kern w:val="0"/>
                      <w:szCs w:val="21"/>
                      <w:highlight w:val="none"/>
                    </w:rPr>
                    <w:t>大气环境</w:t>
                  </w:r>
                </w:p>
              </w:tc>
              <w:tc>
                <w:tcPr>
                  <w:tcW w:w="570" w:type="dxa"/>
                  <w:vMerge w:val="restart"/>
                  <w:tcBorders>
                    <w:top w:val="single" w:color="auto" w:sz="4" w:space="0"/>
                    <w:left w:val="single" w:color="auto" w:sz="4" w:space="0"/>
                    <w:right w:val="single" w:color="auto" w:sz="4" w:space="0"/>
                  </w:tcBorders>
                  <w:vAlign w:val="center"/>
                </w:tcPr>
                <w:p w14:paraId="084FD07C">
                  <w:pPr>
                    <w:widowControl/>
                    <w:spacing w:after="0"/>
                    <w:jc w:val="center"/>
                    <w:textAlignment w:val="center"/>
                    <w:rPr>
                      <w:rFonts w:ascii="Times New Roman" w:hAnsi="Times New Roman"/>
                      <w:color w:val="auto"/>
                      <w:szCs w:val="21"/>
                      <w:highlight w:val="none"/>
                    </w:rPr>
                  </w:pPr>
                  <w:r>
                    <w:rPr>
                      <w:rStyle w:val="49"/>
                      <w:rFonts w:hint="eastAsia"/>
                      <w:color w:val="auto"/>
                      <w:highlight w:val="none"/>
                    </w:rPr>
                    <w:t>DG-1</w:t>
                  </w:r>
                  <w:r>
                    <w:rPr>
                      <w:rStyle w:val="49"/>
                      <w:rFonts w:hint="eastAsia"/>
                      <w:color w:val="auto"/>
                      <w:highlight w:val="none"/>
                      <w:lang w:val="en-US" w:eastAsia="zh-CN"/>
                    </w:rPr>
                    <w:t>-14</w:t>
                  </w:r>
                  <w:r>
                    <w:rPr>
                      <w:rStyle w:val="48"/>
                      <w:rFonts w:hint="default" w:ascii="Times New Roman" w:hAnsi="Times New Roman"/>
                      <w:color w:val="auto"/>
                      <w:highlight w:val="none"/>
                    </w:rPr>
                    <w:t>井场</w:t>
                  </w:r>
                </w:p>
              </w:tc>
              <w:tc>
                <w:tcPr>
                  <w:tcW w:w="899" w:type="dxa"/>
                  <w:tcBorders>
                    <w:top w:val="single" w:color="auto" w:sz="4" w:space="0"/>
                    <w:left w:val="single" w:color="auto" w:sz="4" w:space="0"/>
                    <w:bottom w:val="single" w:color="auto" w:sz="4" w:space="0"/>
                    <w:right w:val="single" w:color="auto" w:sz="4" w:space="0"/>
                  </w:tcBorders>
                  <w:vAlign w:val="center"/>
                </w:tcPr>
                <w:p w14:paraId="373E9E6E">
                  <w:pPr>
                    <w:widowControl/>
                    <w:spacing w:after="0"/>
                    <w:jc w:val="center"/>
                    <w:textAlignment w:val="center"/>
                    <w:rPr>
                      <w:rFonts w:hint="default" w:ascii="Times New Roman" w:hAnsi="Times New Roman" w:eastAsia="宋体" w:cs="宋体"/>
                      <w:color w:val="auto"/>
                      <w:szCs w:val="21"/>
                      <w:highlight w:val="none"/>
                      <w:lang w:val="en-US" w:eastAsia="zh-CN"/>
                    </w:rPr>
                  </w:pPr>
                  <w:r>
                    <w:rPr>
                      <w:rFonts w:hint="eastAsia" w:ascii="Times New Roman" w:hAnsi="Times New Roman" w:cs="宋体"/>
                      <w:color w:val="auto"/>
                      <w:kern w:val="0"/>
                      <w:szCs w:val="21"/>
                      <w:highlight w:val="none"/>
                      <w:lang w:val="en-US" w:eastAsia="zh-CN"/>
                    </w:rPr>
                    <w:t>老王庄</w:t>
                  </w:r>
                </w:p>
              </w:tc>
              <w:tc>
                <w:tcPr>
                  <w:tcW w:w="615" w:type="dxa"/>
                  <w:tcBorders>
                    <w:top w:val="single" w:color="auto" w:sz="4" w:space="0"/>
                    <w:left w:val="single" w:color="auto" w:sz="4" w:space="0"/>
                    <w:bottom w:val="single" w:color="auto" w:sz="4" w:space="0"/>
                    <w:right w:val="single" w:color="auto" w:sz="4" w:space="0"/>
                  </w:tcBorders>
                  <w:vAlign w:val="center"/>
                </w:tcPr>
                <w:p w14:paraId="60D715C3">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highlight w:val="none"/>
                      <w:lang w:val="en-US" w:eastAsia="zh-CN"/>
                    </w:rPr>
                    <w:t>-274</w:t>
                  </w:r>
                </w:p>
              </w:tc>
              <w:tc>
                <w:tcPr>
                  <w:tcW w:w="705" w:type="dxa"/>
                  <w:tcBorders>
                    <w:top w:val="single" w:color="auto" w:sz="4" w:space="0"/>
                    <w:left w:val="single" w:color="auto" w:sz="4" w:space="0"/>
                    <w:bottom w:val="single" w:color="auto" w:sz="4" w:space="0"/>
                    <w:right w:val="single" w:color="auto" w:sz="4" w:space="0"/>
                  </w:tcBorders>
                  <w:vAlign w:val="center"/>
                </w:tcPr>
                <w:p w14:paraId="2ED277EC">
                  <w:pPr>
                    <w:widowControl/>
                    <w:spacing w:after="0"/>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0</w:t>
                  </w:r>
                </w:p>
              </w:tc>
              <w:tc>
                <w:tcPr>
                  <w:tcW w:w="718" w:type="dxa"/>
                  <w:tcBorders>
                    <w:top w:val="single" w:color="auto" w:sz="4" w:space="0"/>
                    <w:left w:val="single" w:color="auto" w:sz="4" w:space="0"/>
                    <w:bottom w:val="single" w:color="auto" w:sz="4" w:space="0"/>
                    <w:right w:val="single" w:color="auto" w:sz="4" w:space="0"/>
                  </w:tcBorders>
                  <w:vAlign w:val="center"/>
                </w:tcPr>
                <w:p w14:paraId="2767A816">
                  <w:pPr>
                    <w:widowControl/>
                    <w:spacing w:after="0"/>
                    <w:jc w:val="center"/>
                    <w:textAlignment w:val="center"/>
                    <w:rPr>
                      <w:rFonts w:ascii="Times New Roman" w:hAnsi="Times New Roman" w:cs="宋体"/>
                      <w:color w:val="auto"/>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498DFBF5">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220</w:t>
                  </w:r>
                </w:p>
              </w:tc>
              <w:tc>
                <w:tcPr>
                  <w:tcW w:w="1029" w:type="dxa"/>
                  <w:vMerge w:val="restart"/>
                  <w:tcBorders>
                    <w:top w:val="single" w:color="auto" w:sz="4" w:space="0"/>
                    <w:left w:val="single" w:color="auto" w:sz="4" w:space="0"/>
                    <w:right w:val="single" w:color="auto" w:sz="4" w:space="0"/>
                  </w:tcBorders>
                  <w:vAlign w:val="center"/>
                </w:tcPr>
                <w:p w14:paraId="5BD860C6">
                  <w:pPr>
                    <w:widowControl/>
                    <w:spacing w:after="0"/>
                    <w:jc w:val="center"/>
                    <w:textAlignment w:val="center"/>
                    <w:rPr>
                      <w:rFonts w:ascii="Times New Roman" w:hAnsi="Times New Roman" w:cs="宋体"/>
                      <w:color w:val="auto"/>
                      <w:szCs w:val="21"/>
                      <w:highlight w:val="none"/>
                    </w:rPr>
                  </w:pPr>
                  <w:r>
                    <w:rPr>
                      <w:rStyle w:val="48"/>
                      <w:rFonts w:hint="default" w:ascii="Times New Roman" w:hAnsi="Times New Roman"/>
                      <w:color w:val="auto"/>
                      <w:highlight w:val="none"/>
                    </w:rPr>
                    <w:t>环境功能区《环境空气质量标准》（</w:t>
                  </w:r>
                  <w:r>
                    <w:rPr>
                      <w:rStyle w:val="49"/>
                      <w:color w:val="auto"/>
                      <w:highlight w:val="none"/>
                    </w:rPr>
                    <w:t>GB3095-20</w:t>
                  </w:r>
                  <w:r>
                    <w:rPr>
                      <w:rStyle w:val="49"/>
                      <w:rFonts w:hint="eastAsia"/>
                      <w:color w:val="auto"/>
                      <w:highlight w:val="none"/>
                      <w:lang w:val="en-US" w:eastAsia="zh-CN"/>
                    </w:rPr>
                    <w:t>26</w:t>
                  </w:r>
                  <w:r>
                    <w:rPr>
                      <w:rStyle w:val="48"/>
                      <w:rFonts w:hint="default" w:ascii="Times New Roman" w:hAnsi="Times New Roman"/>
                      <w:color w:val="auto"/>
                      <w:highlight w:val="none"/>
                    </w:rPr>
                    <w:t>）二级标准</w:t>
                  </w:r>
                </w:p>
              </w:tc>
              <w:tc>
                <w:tcPr>
                  <w:tcW w:w="641" w:type="dxa"/>
                  <w:tcBorders>
                    <w:top w:val="single" w:color="auto" w:sz="4" w:space="0"/>
                    <w:left w:val="single" w:color="auto" w:sz="4" w:space="0"/>
                    <w:bottom w:val="single" w:color="auto" w:sz="4" w:space="0"/>
                    <w:right w:val="single" w:color="auto" w:sz="4" w:space="0"/>
                  </w:tcBorders>
                  <w:vAlign w:val="center"/>
                </w:tcPr>
                <w:p w14:paraId="43731DA5">
                  <w:pPr>
                    <w:widowControl/>
                    <w:spacing w:after="0"/>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W</w:t>
                  </w:r>
                </w:p>
              </w:tc>
              <w:tc>
                <w:tcPr>
                  <w:tcW w:w="761" w:type="dxa"/>
                  <w:tcBorders>
                    <w:top w:val="single" w:color="auto" w:sz="4" w:space="0"/>
                    <w:left w:val="single" w:color="auto" w:sz="4" w:space="0"/>
                    <w:bottom w:val="single" w:color="auto" w:sz="4" w:space="0"/>
                    <w:right w:val="single" w:color="auto" w:sz="4" w:space="0"/>
                  </w:tcBorders>
                  <w:vAlign w:val="center"/>
                </w:tcPr>
                <w:p w14:paraId="797E37E7">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highlight w:val="none"/>
                      <w:lang w:val="en-US" w:eastAsia="zh-CN"/>
                    </w:rPr>
                    <w:t>274</w:t>
                  </w:r>
                </w:p>
              </w:tc>
              <w:tc>
                <w:tcPr>
                  <w:tcW w:w="761" w:type="dxa"/>
                  <w:tcBorders>
                    <w:top w:val="single" w:color="auto" w:sz="4" w:space="0"/>
                    <w:left w:val="single" w:color="auto" w:sz="4" w:space="0"/>
                    <w:bottom w:val="single" w:color="auto" w:sz="4" w:space="0"/>
                    <w:right w:val="single" w:color="auto" w:sz="4" w:space="0"/>
                  </w:tcBorders>
                  <w:vAlign w:val="center"/>
                </w:tcPr>
                <w:p w14:paraId="42F733DD">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w:t>
                  </w:r>
                </w:p>
              </w:tc>
            </w:tr>
            <w:tr w14:paraId="41541AC6">
              <w:tblPrEx>
                <w:tblCellMar>
                  <w:top w:w="0" w:type="dxa"/>
                  <w:left w:w="108" w:type="dxa"/>
                  <w:bottom w:w="0" w:type="dxa"/>
                  <w:right w:w="108" w:type="dxa"/>
                </w:tblCellMar>
              </w:tblPrEx>
              <w:trPr>
                <w:trHeight w:val="462" w:hRule="atLeast"/>
                <w:jc w:val="center"/>
              </w:trPr>
              <w:tc>
                <w:tcPr>
                  <w:tcW w:w="448" w:type="dxa"/>
                  <w:vMerge w:val="continue"/>
                  <w:tcBorders>
                    <w:left w:val="single" w:color="auto" w:sz="4" w:space="0"/>
                    <w:right w:val="single" w:color="auto" w:sz="4" w:space="0"/>
                  </w:tcBorders>
                  <w:vAlign w:val="center"/>
                </w:tcPr>
                <w:p w14:paraId="2A7D5726">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56ABA9BD">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vAlign w:val="center"/>
                </w:tcPr>
                <w:p w14:paraId="5512C5D2">
                  <w:pPr>
                    <w:widowControl/>
                    <w:spacing w:after="0"/>
                    <w:jc w:val="center"/>
                    <w:textAlignment w:val="center"/>
                    <w:rPr>
                      <w:rFonts w:hint="default" w:ascii="Times New Roman" w:hAnsi="Times New Roman" w:eastAsia="宋体" w:cs="宋体"/>
                      <w:color w:val="auto"/>
                      <w:szCs w:val="21"/>
                      <w:highlight w:val="none"/>
                      <w:lang w:val="en-US" w:eastAsia="zh-CN"/>
                    </w:rPr>
                  </w:pPr>
                  <w:r>
                    <w:rPr>
                      <w:rFonts w:hint="eastAsia" w:ascii="Times New Roman" w:hAnsi="Times New Roman" w:cs="宋体"/>
                      <w:color w:val="auto"/>
                      <w:kern w:val="0"/>
                      <w:szCs w:val="21"/>
                      <w:highlight w:val="none"/>
                      <w:lang w:val="en-US" w:eastAsia="zh-CN"/>
                    </w:rPr>
                    <w:t>后小王</w:t>
                  </w:r>
                </w:p>
              </w:tc>
              <w:tc>
                <w:tcPr>
                  <w:tcW w:w="615" w:type="dxa"/>
                  <w:tcBorders>
                    <w:top w:val="single" w:color="auto" w:sz="4" w:space="0"/>
                    <w:left w:val="single" w:color="auto" w:sz="4" w:space="0"/>
                    <w:bottom w:val="single" w:color="auto" w:sz="4" w:space="0"/>
                    <w:right w:val="single" w:color="auto" w:sz="4" w:space="0"/>
                  </w:tcBorders>
                  <w:vAlign w:val="center"/>
                </w:tcPr>
                <w:p w14:paraId="01A9F1E1">
                  <w:pPr>
                    <w:widowControl/>
                    <w:spacing w:after="0"/>
                    <w:jc w:val="center"/>
                    <w:textAlignment w:val="center"/>
                    <w:rPr>
                      <w:rFonts w:hint="default" w:ascii="Times New Roman" w:hAnsi="Times New Roman"/>
                      <w:color w:val="auto"/>
                      <w:szCs w:val="21"/>
                      <w:highlight w:val="none"/>
                      <w:lang w:val="en-US"/>
                    </w:rPr>
                  </w:pPr>
                  <w:r>
                    <w:rPr>
                      <w:rFonts w:hint="eastAsia" w:ascii="Times New Roman" w:hAnsi="Times New Roman"/>
                      <w:color w:val="auto"/>
                      <w:szCs w:val="21"/>
                      <w:highlight w:val="none"/>
                      <w:lang w:val="en-US" w:eastAsia="zh-CN"/>
                    </w:rPr>
                    <w:t>-260</w:t>
                  </w:r>
                </w:p>
              </w:tc>
              <w:tc>
                <w:tcPr>
                  <w:tcW w:w="705" w:type="dxa"/>
                  <w:tcBorders>
                    <w:top w:val="single" w:color="auto" w:sz="4" w:space="0"/>
                    <w:left w:val="single" w:color="auto" w:sz="4" w:space="0"/>
                    <w:bottom w:val="single" w:color="auto" w:sz="4" w:space="0"/>
                    <w:right w:val="single" w:color="auto" w:sz="4" w:space="0"/>
                  </w:tcBorders>
                  <w:vAlign w:val="center"/>
                </w:tcPr>
                <w:p w14:paraId="3249FF95">
                  <w:pPr>
                    <w:widowControl/>
                    <w:spacing w:after="0"/>
                    <w:jc w:val="center"/>
                    <w:textAlignment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0</w:t>
                  </w:r>
                </w:p>
              </w:tc>
              <w:tc>
                <w:tcPr>
                  <w:tcW w:w="718" w:type="dxa"/>
                  <w:tcBorders>
                    <w:top w:val="single" w:color="auto" w:sz="4" w:space="0"/>
                    <w:left w:val="single" w:color="auto" w:sz="4" w:space="0"/>
                    <w:bottom w:val="single" w:color="auto" w:sz="4" w:space="0"/>
                    <w:right w:val="single" w:color="auto" w:sz="4" w:space="0"/>
                  </w:tcBorders>
                  <w:vAlign w:val="center"/>
                </w:tcPr>
                <w:p w14:paraId="06AFB818">
                  <w:pPr>
                    <w:widowControl/>
                    <w:spacing w:after="0"/>
                    <w:jc w:val="center"/>
                    <w:textAlignment w:val="center"/>
                    <w:rPr>
                      <w:rFonts w:ascii="Times New Roman" w:hAnsi="Times New Roman" w:cs="宋体"/>
                      <w:color w:val="auto"/>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2ABC2E0D">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120</w:t>
                  </w:r>
                </w:p>
              </w:tc>
              <w:tc>
                <w:tcPr>
                  <w:tcW w:w="1029" w:type="dxa"/>
                  <w:vMerge w:val="continue"/>
                  <w:tcBorders>
                    <w:left w:val="single" w:color="auto" w:sz="4" w:space="0"/>
                    <w:right w:val="single" w:color="auto" w:sz="4" w:space="0"/>
                  </w:tcBorders>
                  <w:vAlign w:val="center"/>
                </w:tcPr>
                <w:p w14:paraId="23E09524">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5C5A009C">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SW</w:t>
                  </w:r>
                </w:p>
              </w:tc>
              <w:tc>
                <w:tcPr>
                  <w:tcW w:w="761" w:type="dxa"/>
                  <w:tcBorders>
                    <w:top w:val="single" w:color="auto" w:sz="4" w:space="0"/>
                    <w:left w:val="single" w:color="auto" w:sz="4" w:space="0"/>
                    <w:bottom w:val="single" w:color="auto" w:sz="4" w:space="0"/>
                    <w:right w:val="single" w:color="auto" w:sz="4" w:space="0"/>
                  </w:tcBorders>
                  <w:vAlign w:val="center"/>
                </w:tcPr>
                <w:p w14:paraId="1F0F44D1">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highlight w:val="none"/>
                      <w:lang w:val="en-US" w:eastAsia="zh-CN"/>
                    </w:rPr>
                    <w:t>260</w:t>
                  </w:r>
                </w:p>
              </w:tc>
              <w:tc>
                <w:tcPr>
                  <w:tcW w:w="761" w:type="dxa"/>
                  <w:tcBorders>
                    <w:top w:val="single" w:color="auto" w:sz="4" w:space="0"/>
                    <w:left w:val="single" w:color="auto" w:sz="4" w:space="0"/>
                    <w:bottom w:val="single" w:color="auto" w:sz="4" w:space="0"/>
                    <w:right w:val="single" w:color="auto" w:sz="4" w:space="0"/>
                  </w:tcBorders>
                  <w:vAlign w:val="center"/>
                </w:tcPr>
                <w:p w14:paraId="2041D84D">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D1-5</w:t>
                  </w:r>
                </w:p>
              </w:tc>
            </w:tr>
            <w:tr w14:paraId="30444C25">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6B4E9D3A">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17827FA1">
                  <w:pPr>
                    <w:widowControl/>
                    <w:spacing w:after="0"/>
                    <w:jc w:val="center"/>
                    <w:textAlignment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vAlign w:val="center"/>
                </w:tcPr>
                <w:p w14:paraId="6A44C268">
                  <w:pPr>
                    <w:widowControl/>
                    <w:spacing w:after="0"/>
                    <w:jc w:val="center"/>
                    <w:textAlignment w:val="center"/>
                    <w:rPr>
                      <w:rFonts w:hint="default" w:ascii="Times New Roman" w:hAnsi="Times New Roman" w:eastAsia="宋体" w:cs="宋体"/>
                      <w:color w:val="auto"/>
                      <w:szCs w:val="21"/>
                      <w:highlight w:val="none"/>
                      <w:lang w:val="en-US" w:eastAsia="zh-CN"/>
                    </w:rPr>
                  </w:pPr>
                  <w:r>
                    <w:rPr>
                      <w:rFonts w:hint="eastAsia" w:ascii="Times New Roman" w:hAnsi="Times New Roman" w:cs="宋体"/>
                      <w:color w:val="auto"/>
                      <w:szCs w:val="21"/>
                      <w:highlight w:val="none"/>
                      <w:lang w:val="en-US" w:eastAsia="zh-CN"/>
                    </w:rPr>
                    <w:t>訾庄</w:t>
                  </w:r>
                </w:p>
              </w:tc>
              <w:tc>
                <w:tcPr>
                  <w:tcW w:w="615" w:type="dxa"/>
                  <w:tcBorders>
                    <w:top w:val="single" w:color="auto" w:sz="4" w:space="0"/>
                    <w:left w:val="single" w:color="auto" w:sz="4" w:space="0"/>
                    <w:bottom w:val="single" w:color="auto" w:sz="4" w:space="0"/>
                    <w:right w:val="single" w:color="auto" w:sz="4" w:space="0"/>
                  </w:tcBorders>
                  <w:vAlign w:val="center"/>
                </w:tcPr>
                <w:p w14:paraId="788BD174">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70</w:t>
                  </w:r>
                </w:p>
              </w:tc>
              <w:tc>
                <w:tcPr>
                  <w:tcW w:w="705" w:type="dxa"/>
                  <w:tcBorders>
                    <w:top w:val="single" w:color="auto" w:sz="4" w:space="0"/>
                    <w:left w:val="single" w:color="auto" w:sz="4" w:space="0"/>
                    <w:bottom w:val="single" w:color="auto" w:sz="4" w:space="0"/>
                    <w:right w:val="single" w:color="auto" w:sz="4" w:space="0"/>
                  </w:tcBorders>
                  <w:vAlign w:val="center"/>
                </w:tcPr>
                <w:p w14:paraId="2F3CA81E">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w:t>
                  </w:r>
                </w:p>
              </w:tc>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68C80037">
                  <w:pPr>
                    <w:widowControl/>
                    <w:spacing w:after="0"/>
                    <w:jc w:val="center"/>
                    <w:textAlignment w:val="center"/>
                    <w:rPr>
                      <w:rFonts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6FBDD859">
                  <w:pPr>
                    <w:widowControl/>
                    <w:spacing w:after="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250</w:t>
                  </w:r>
                </w:p>
              </w:tc>
              <w:tc>
                <w:tcPr>
                  <w:tcW w:w="1029" w:type="dxa"/>
                  <w:vMerge w:val="continue"/>
                  <w:tcBorders>
                    <w:left w:val="single" w:color="auto" w:sz="4" w:space="0"/>
                    <w:right w:val="single" w:color="auto" w:sz="4" w:space="0"/>
                  </w:tcBorders>
                  <w:vAlign w:val="center"/>
                </w:tcPr>
                <w:p w14:paraId="3B475842">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59D76E98">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SE</w:t>
                  </w:r>
                </w:p>
              </w:tc>
              <w:tc>
                <w:tcPr>
                  <w:tcW w:w="761" w:type="dxa"/>
                  <w:tcBorders>
                    <w:top w:val="single" w:color="auto" w:sz="4" w:space="0"/>
                    <w:left w:val="single" w:color="auto" w:sz="4" w:space="0"/>
                    <w:bottom w:val="single" w:color="auto" w:sz="4" w:space="0"/>
                    <w:right w:val="single" w:color="auto" w:sz="4" w:space="0"/>
                  </w:tcBorders>
                  <w:vAlign w:val="center"/>
                </w:tcPr>
                <w:p w14:paraId="1A07D61A">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70</w:t>
                  </w:r>
                </w:p>
              </w:tc>
              <w:tc>
                <w:tcPr>
                  <w:tcW w:w="761" w:type="dxa"/>
                  <w:tcBorders>
                    <w:top w:val="single" w:color="auto" w:sz="4" w:space="0"/>
                    <w:left w:val="single" w:color="auto" w:sz="4" w:space="0"/>
                    <w:bottom w:val="single" w:color="auto" w:sz="4" w:space="0"/>
                    <w:right w:val="single" w:color="auto" w:sz="4" w:space="0"/>
                  </w:tcBorders>
                  <w:vAlign w:val="center"/>
                </w:tcPr>
                <w:p w14:paraId="70FAE71E">
                  <w:pPr>
                    <w:widowControl/>
                    <w:spacing w:after="0"/>
                    <w:jc w:val="center"/>
                    <w:textAlignment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D1-9</w:t>
                  </w:r>
                </w:p>
              </w:tc>
            </w:tr>
            <w:tr w14:paraId="3AB1712B">
              <w:tblPrEx>
                <w:tblCellMar>
                  <w:top w:w="0" w:type="dxa"/>
                  <w:left w:w="108" w:type="dxa"/>
                  <w:bottom w:w="0" w:type="dxa"/>
                  <w:right w:w="108" w:type="dxa"/>
                </w:tblCellMar>
              </w:tblPrEx>
              <w:trPr>
                <w:trHeight w:val="285" w:hRule="atLeast"/>
                <w:jc w:val="center"/>
              </w:trPr>
              <w:tc>
                <w:tcPr>
                  <w:tcW w:w="448" w:type="dxa"/>
                  <w:vMerge w:val="continue"/>
                  <w:tcBorders>
                    <w:left w:val="single" w:color="auto" w:sz="4" w:space="0"/>
                    <w:right w:val="single" w:color="auto" w:sz="4" w:space="0"/>
                  </w:tcBorders>
                  <w:vAlign w:val="center"/>
                </w:tcPr>
                <w:p w14:paraId="3CC111A8">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2702E3E6">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vAlign w:val="center"/>
                </w:tcPr>
                <w:p w14:paraId="771E3681">
                  <w:pPr>
                    <w:widowControl/>
                    <w:spacing w:after="0"/>
                    <w:jc w:val="center"/>
                    <w:textAlignment w:val="center"/>
                    <w:rPr>
                      <w:rFonts w:hint="default" w:ascii="Times New Roman" w:hAnsi="Times New Roman" w:eastAsia="宋体" w:cs="宋体"/>
                      <w:color w:val="auto"/>
                      <w:szCs w:val="21"/>
                      <w:highlight w:val="none"/>
                      <w:lang w:val="en-US" w:eastAsia="zh-CN"/>
                    </w:rPr>
                  </w:pPr>
                  <w:r>
                    <w:rPr>
                      <w:rFonts w:hint="eastAsia" w:ascii="Times New Roman" w:hAnsi="Times New Roman" w:cs="宋体"/>
                      <w:color w:val="auto"/>
                      <w:szCs w:val="21"/>
                      <w:highlight w:val="none"/>
                      <w:lang w:val="en-US" w:eastAsia="zh-CN"/>
                    </w:rPr>
                    <w:t>杂巴地</w:t>
                  </w:r>
                </w:p>
              </w:tc>
              <w:tc>
                <w:tcPr>
                  <w:tcW w:w="615" w:type="dxa"/>
                  <w:tcBorders>
                    <w:top w:val="single" w:color="auto" w:sz="4" w:space="0"/>
                    <w:left w:val="single" w:color="auto" w:sz="4" w:space="0"/>
                    <w:bottom w:val="single" w:color="auto" w:sz="4" w:space="0"/>
                    <w:right w:val="single" w:color="auto" w:sz="4" w:space="0"/>
                  </w:tcBorders>
                  <w:vAlign w:val="center"/>
                </w:tcPr>
                <w:p w14:paraId="107444C8">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305</w:t>
                  </w:r>
                </w:p>
              </w:tc>
              <w:tc>
                <w:tcPr>
                  <w:tcW w:w="705" w:type="dxa"/>
                  <w:tcBorders>
                    <w:top w:val="single" w:color="auto" w:sz="4" w:space="0"/>
                    <w:left w:val="single" w:color="auto" w:sz="4" w:space="0"/>
                    <w:bottom w:val="single" w:color="auto" w:sz="4" w:space="0"/>
                    <w:right w:val="single" w:color="auto" w:sz="4" w:space="0"/>
                  </w:tcBorders>
                  <w:vAlign w:val="center"/>
                </w:tcPr>
                <w:p w14:paraId="3E57358F">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0</w:t>
                  </w:r>
                </w:p>
              </w:tc>
              <w:tc>
                <w:tcPr>
                  <w:tcW w:w="718" w:type="dxa"/>
                  <w:tcBorders>
                    <w:top w:val="single" w:color="auto" w:sz="4" w:space="0"/>
                    <w:left w:val="single" w:color="auto" w:sz="4" w:space="0"/>
                    <w:bottom w:val="single" w:color="auto" w:sz="4" w:space="0"/>
                    <w:right w:val="single" w:color="auto" w:sz="4" w:space="0"/>
                  </w:tcBorders>
                  <w:vAlign w:val="center"/>
                </w:tcPr>
                <w:p w14:paraId="13C96E09">
                  <w:pPr>
                    <w:widowControl/>
                    <w:spacing w:after="0"/>
                    <w:jc w:val="center"/>
                    <w:textAlignment w:val="center"/>
                    <w:rPr>
                      <w:rFonts w:ascii="Times New Roman" w:hAnsi="Times New Roman" w:cs="宋体"/>
                      <w:color w:val="auto"/>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7A8B1BC4">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240</w:t>
                  </w:r>
                </w:p>
              </w:tc>
              <w:tc>
                <w:tcPr>
                  <w:tcW w:w="1029" w:type="dxa"/>
                  <w:vMerge w:val="continue"/>
                  <w:tcBorders>
                    <w:left w:val="single" w:color="auto" w:sz="4" w:space="0"/>
                    <w:right w:val="single" w:color="auto" w:sz="4" w:space="0"/>
                  </w:tcBorders>
                  <w:vAlign w:val="center"/>
                </w:tcPr>
                <w:p w14:paraId="59937653">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5490F466">
                  <w:pPr>
                    <w:widowControl/>
                    <w:spacing w:after="0"/>
                    <w:jc w:val="center"/>
                    <w:textAlignment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E</w:t>
                  </w:r>
                </w:p>
              </w:tc>
              <w:tc>
                <w:tcPr>
                  <w:tcW w:w="761" w:type="dxa"/>
                  <w:tcBorders>
                    <w:top w:val="single" w:color="auto" w:sz="4" w:space="0"/>
                    <w:left w:val="single" w:color="auto" w:sz="4" w:space="0"/>
                    <w:bottom w:val="single" w:color="auto" w:sz="4" w:space="0"/>
                    <w:right w:val="single" w:color="auto" w:sz="4" w:space="0"/>
                  </w:tcBorders>
                  <w:vAlign w:val="center"/>
                </w:tcPr>
                <w:p w14:paraId="0BCBE155">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305</w:t>
                  </w:r>
                </w:p>
              </w:tc>
              <w:tc>
                <w:tcPr>
                  <w:tcW w:w="761" w:type="dxa"/>
                  <w:tcBorders>
                    <w:top w:val="single" w:color="auto" w:sz="4" w:space="0"/>
                    <w:left w:val="single" w:color="auto" w:sz="4" w:space="0"/>
                    <w:bottom w:val="single" w:color="auto" w:sz="4" w:space="0"/>
                    <w:right w:val="single" w:color="auto" w:sz="4" w:space="0"/>
                  </w:tcBorders>
                  <w:vAlign w:val="center"/>
                </w:tcPr>
                <w:p w14:paraId="390F2B66">
                  <w:pPr>
                    <w:widowControl/>
                    <w:spacing w:after="0"/>
                    <w:jc w:val="center"/>
                    <w:textAlignment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D1-12</w:t>
                  </w:r>
                </w:p>
              </w:tc>
            </w:tr>
            <w:tr w14:paraId="000873C8">
              <w:tblPrEx>
                <w:tblCellMar>
                  <w:top w:w="0" w:type="dxa"/>
                  <w:left w:w="108" w:type="dxa"/>
                  <w:bottom w:w="0" w:type="dxa"/>
                  <w:right w:w="108" w:type="dxa"/>
                </w:tblCellMar>
              </w:tblPrEx>
              <w:trPr>
                <w:trHeight w:val="285" w:hRule="atLeast"/>
                <w:jc w:val="center"/>
              </w:trPr>
              <w:tc>
                <w:tcPr>
                  <w:tcW w:w="448" w:type="dxa"/>
                  <w:vMerge w:val="continue"/>
                  <w:tcBorders>
                    <w:left w:val="single" w:color="auto" w:sz="4" w:space="0"/>
                    <w:right w:val="single" w:color="auto" w:sz="4" w:space="0"/>
                  </w:tcBorders>
                  <w:vAlign w:val="center"/>
                </w:tcPr>
                <w:p w14:paraId="4616659C">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109D103D">
                  <w:pPr>
                    <w:widowControl/>
                    <w:spacing w:after="0"/>
                    <w:jc w:val="center"/>
                    <w:textAlignment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313D2857">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小胡庄</w:t>
                  </w:r>
                </w:p>
              </w:tc>
              <w:tc>
                <w:tcPr>
                  <w:tcW w:w="615" w:type="dxa"/>
                  <w:tcBorders>
                    <w:top w:val="single" w:color="auto" w:sz="4" w:space="0"/>
                    <w:left w:val="single" w:color="auto" w:sz="4" w:space="0"/>
                    <w:bottom w:val="single" w:color="auto" w:sz="4" w:space="0"/>
                    <w:right w:val="single" w:color="auto" w:sz="4" w:space="0"/>
                  </w:tcBorders>
                  <w:vAlign w:val="center"/>
                </w:tcPr>
                <w:p w14:paraId="5FF66B8A">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164</w:t>
                  </w:r>
                </w:p>
              </w:tc>
              <w:tc>
                <w:tcPr>
                  <w:tcW w:w="705" w:type="dxa"/>
                  <w:tcBorders>
                    <w:top w:val="single" w:color="auto" w:sz="4" w:space="0"/>
                    <w:left w:val="single" w:color="auto" w:sz="4" w:space="0"/>
                    <w:bottom w:val="single" w:color="auto" w:sz="4" w:space="0"/>
                    <w:right w:val="single" w:color="auto" w:sz="4" w:space="0"/>
                  </w:tcBorders>
                  <w:vAlign w:val="center"/>
                </w:tcPr>
                <w:p w14:paraId="380C2F8A">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33</w:t>
                  </w:r>
                </w:p>
              </w:tc>
              <w:tc>
                <w:tcPr>
                  <w:tcW w:w="718" w:type="dxa"/>
                  <w:tcBorders>
                    <w:top w:val="single" w:color="auto" w:sz="4" w:space="0"/>
                    <w:left w:val="single" w:color="auto" w:sz="4" w:space="0"/>
                    <w:bottom w:val="single" w:color="auto" w:sz="4" w:space="0"/>
                    <w:right w:val="single" w:color="auto" w:sz="4" w:space="0"/>
                  </w:tcBorders>
                  <w:vAlign w:val="center"/>
                </w:tcPr>
                <w:p w14:paraId="716646AB">
                  <w:pPr>
                    <w:widowControl/>
                    <w:spacing w:after="0"/>
                    <w:jc w:val="center"/>
                    <w:textAlignment w:val="center"/>
                    <w:rPr>
                      <w:rFonts w:ascii="Times New Roman" w:hAnsi="Times New Roman" w:cs="宋体"/>
                      <w:color w:val="auto"/>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69A03EFF">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200</w:t>
                  </w:r>
                </w:p>
              </w:tc>
              <w:tc>
                <w:tcPr>
                  <w:tcW w:w="1029" w:type="dxa"/>
                  <w:vMerge w:val="continue"/>
                  <w:tcBorders>
                    <w:left w:val="single" w:color="auto" w:sz="4" w:space="0"/>
                    <w:right w:val="single" w:color="auto" w:sz="4" w:space="0"/>
                  </w:tcBorders>
                  <w:vAlign w:val="center"/>
                </w:tcPr>
                <w:p w14:paraId="77F91CBA">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63037D08">
                  <w:pPr>
                    <w:widowControl/>
                    <w:spacing w:after="0"/>
                    <w:jc w:val="center"/>
                    <w:textAlignment w:val="center"/>
                    <w:rPr>
                      <w:rFonts w:hint="eastAsia"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W</w:t>
                  </w:r>
                </w:p>
              </w:tc>
              <w:tc>
                <w:tcPr>
                  <w:tcW w:w="761" w:type="dxa"/>
                  <w:tcBorders>
                    <w:top w:val="single" w:color="auto" w:sz="4" w:space="0"/>
                    <w:left w:val="single" w:color="auto" w:sz="4" w:space="0"/>
                    <w:bottom w:val="single" w:color="auto" w:sz="4" w:space="0"/>
                    <w:right w:val="single" w:color="auto" w:sz="4" w:space="0"/>
                  </w:tcBorders>
                  <w:vAlign w:val="center"/>
                </w:tcPr>
                <w:p w14:paraId="7E5FA00C">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166</w:t>
                  </w:r>
                </w:p>
              </w:tc>
              <w:tc>
                <w:tcPr>
                  <w:tcW w:w="761" w:type="dxa"/>
                  <w:tcBorders>
                    <w:top w:val="single" w:color="auto" w:sz="4" w:space="0"/>
                    <w:left w:val="single" w:color="auto" w:sz="4" w:space="0"/>
                    <w:bottom w:val="single" w:color="auto" w:sz="4" w:space="0"/>
                    <w:right w:val="single" w:color="auto" w:sz="4" w:space="0"/>
                  </w:tcBorders>
                  <w:vAlign w:val="center"/>
                </w:tcPr>
                <w:p w14:paraId="45E1F5E3">
                  <w:pPr>
                    <w:widowControl/>
                    <w:spacing w:after="0"/>
                    <w:jc w:val="center"/>
                    <w:textAlignment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D1-8</w:t>
                  </w:r>
                </w:p>
              </w:tc>
            </w:tr>
            <w:tr w14:paraId="7CEB36CB">
              <w:tblPrEx>
                <w:tblCellMar>
                  <w:top w:w="0" w:type="dxa"/>
                  <w:left w:w="108" w:type="dxa"/>
                  <w:bottom w:w="0" w:type="dxa"/>
                  <w:right w:w="108" w:type="dxa"/>
                </w:tblCellMar>
              </w:tblPrEx>
              <w:trPr>
                <w:trHeight w:val="90" w:hRule="atLeast"/>
                <w:jc w:val="center"/>
              </w:trPr>
              <w:tc>
                <w:tcPr>
                  <w:tcW w:w="448" w:type="dxa"/>
                  <w:vMerge w:val="continue"/>
                  <w:tcBorders>
                    <w:left w:val="single" w:color="auto" w:sz="4" w:space="0"/>
                    <w:right w:val="single" w:color="auto" w:sz="4" w:space="0"/>
                  </w:tcBorders>
                  <w:vAlign w:val="center"/>
                </w:tcPr>
                <w:p w14:paraId="59545B23">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008745B5">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602A39BC">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后王庄</w:t>
                  </w:r>
                </w:p>
              </w:tc>
              <w:tc>
                <w:tcPr>
                  <w:tcW w:w="615" w:type="dxa"/>
                  <w:tcBorders>
                    <w:top w:val="single" w:color="auto" w:sz="4" w:space="0"/>
                    <w:left w:val="single" w:color="auto" w:sz="4" w:space="0"/>
                    <w:bottom w:val="single" w:color="auto" w:sz="4" w:space="0"/>
                    <w:right w:val="single" w:color="auto" w:sz="4" w:space="0"/>
                  </w:tcBorders>
                  <w:vAlign w:val="center"/>
                </w:tcPr>
                <w:p w14:paraId="6BCC8F7F">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-362</w:t>
                  </w:r>
                </w:p>
              </w:tc>
              <w:tc>
                <w:tcPr>
                  <w:tcW w:w="705" w:type="dxa"/>
                  <w:tcBorders>
                    <w:top w:val="single" w:color="auto" w:sz="4" w:space="0"/>
                    <w:left w:val="single" w:color="auto" w:sz="4" w:space="0"/>
                    <w:bottom w:val="single" w:color="auto" w:sz="4" w:space="0"/>
                    <w:right w:val="single" w:color="auto" w:sz="4" w:space="0"/>
                  </w:tcBorders>
                  <w:vAlign w:val="center"/>
                </w:tcPr>
                <w:p w14:paraId="2196E0AC">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0</w:t>
                  </w:r>
                </w:p>
              </w:tc>
              <w:tc>
                <w:tcPr>
                  <w:tcW w:w="718" w:type="dxa"/>
                  <w:tcBorders>
                    <w:top w:val="single" w:color="auto" w:sz="4" w:space="0"/>
                    <w:left w:val="single" w:color="auto" w:sz="4" w:space="0"/>
                    <w:bottom w:val="single" w:color="auto" w:sz="4" w:space="0"/>
                    <w:right w:val="single" w:color="auto" w:sz="4" w:space="0"/>
                  </w:tcBorders>
                  <w:vAlign w:val="center"/>
                </w:tcPr>
                <w:p w14:paraId="58938AEA">
                  <w:pPr>
                    <w:widowControl/>
                    <w:spacing w:after="0"/>
                    <w:jc w:val="center"/>
                    <w:textAlignment w:val="center"/>
                    <w:rPr>
                      <w:rFonts w:ascii="Times New Roman" w:hAnsi="Times New Roman" w:cs="宋体"/>
                      <w:color w:val="auto"/>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2EA6D136">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300</w:t>
                  </w:r>
                </w:p>
              </w:tc>
              <w:tc>
                <w:tcPr>
                  <w:tcW w:w="1029" w:type="dxa"/>
                  <w:vMerge w:val="continue"/>
                  <w:tcBorders>
                    <w:left w:val="single" w:color="auto" w:sz="4" w:space="0"/>
                    <w:right w:val="single" w:color="auto" w:sz="4" w:space="0"/>
                  </w:tcBorders>
                  <w:vAlign w:val="center"/>
                </w:tcPr>
                <w:p w14:paraId="3E40F6E0">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4EBC039F">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SW</w:t>
                  </w:r>
                </w:p>
              </w:tc>
              <w:tc>
                <w:tcPr>
                  <w:tcW w:w="761" w:type="dxa"/>
                  <w:tcBorders>
                    <w:top w:val="single" w:color="auto" w:sz="4" w:space="0"/>
                    <w:left w:val="single" w:color="auto" w:sz="4" w:space="0"/>
                    <w:bottom w:val="single" w:color="auto" w:sz="4" w:space="0"/>
                    <w:right w:val="single" w:color="auto" w:sz="4" w:space="0"/>
                  </w:tcBorders>
                  <w:vAlign w:val="center"/>
                </w:tcPr>
                <w:p w14:paraId="52671842">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362</w:t>
                  </w:r>
                </w:p>
              </w:tc>
              <w:tc>
                <w:tcPr>
                  <w:tcW w:w="761" w:type="dxa"/>
                  <w:tcBorders>
                    <w:top w:val="single" w:color="auto" w:sz="4" w:space="0"/>
                    <w:left w:val="single" w:color="auto" w:sz="4" w:space="0"/>
                    <w:bottom w:val="single" w:color="auto" w:sz="4" w:space="0"/>
                    <w:right w:val="single" w:color="auto" w:sz="4" w:space="0"/>
                  </w:tcBorders>
                  <w:vAlign w:val="center"/>
                </w:tcPr>
                <w:p w14:paraId="2EC08905">
                  <w:pPr>
                    <w:widowControl/>
                    <w:spacing w:after="0"/>
                    <w:jc w:val="center"/>
                    <w:textAlignment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D1-6</w:t>
                  </w:r>
                </w:p>
              </w:tc>
            </w:tr>
            <w:tr w14:paraId="2A3E426A">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6D664654">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61A1D0C5">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26B10624">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前王庄</w:t>
                  </w:r>
                </w:p>
              </w:tc>
              <w:tc>
                <w:tcPr>
                  <w:tcW w:w="615" w:type="dxa"/>
                  <w:tcBorders>
                    <w:top w:val="single" w:color="auto" w:sz="4" w:space="0"/>
                    <w:left w:val="single" w:color="auto" w:sz="4" w:space="0"/>
                    <w:bottom w:val="single" w:color="auto" w:sz="4" w:space="0"/>
                    <w:right w:val="single" w:color="auto" w:sz="4" w:space="0"/>
                  </w:tcBorders>
                  <w:vAlign w:val="center"/>
                </w:tcPr>
                <w:p w14:paraId="5D8D8F81">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-417</w:t>
                  </w:r>
                </w:p>
              </w:tc>
              <w:tc>
                <w:tcPr>
                  <w:tcW w:w="705" w:type="dxa"/>
                  <w:tcBorders>
                    <w:top w:val="single" w:color="auto" w:sz="4" w:space="0"/>
                    <w:left w:val="single" w:color="auto" w:sz="4" w:space="0"/>
                    <w:bottom w:val="single" w:color="auto" w:sz="4" w:space="0"/>
                    <w:right w:val="single" w:color="auto" w:sz="4" w:space="0"/>
                  </w:tcBorders>
                  <w:vAlign w:val="center"/>
                </w:tcPr>
                <w:p w14:paraId="20020B94">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-214</w:t>
                  </w:r>
                </w:p>
              </w:tc>
              <w:tc>
                <w:tcPr>
                  <w:tcW w:w="718" w:type="dxa"/>
                  <w:tcBorders>
                    <w:top w:val="single" w:color="auto" w:sz="4" w:space="0"/>
                    <w:left w:val="single" w:color="auto" w:sz="4" w:space="0"/>
                    <w:bottom w:val="single" w:color="auto" w:sz="4" w:space="0"/>
                    <w:right w:val="single" w:color="auto" w:sz="4" w:space="0"/>
                  </w:tcBorders>
                  <w:vAlign w:val="center"/>
                </w:tcPr>
                <w:p w14:paraId="3383BF5E">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6F776655">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100</w:t>
                  </w:r>
                </w:p>
              </w:tc>
              <w:tc>
                <w:tcPr>
                  <w:tcW w:w="1029" w:type="dxa"/>
                  <w:vMerge w:val="continue"/>
                  <w:tcBorders>
                    <w:left w:val="single" w:color="auto" w:sz="4" w:space="0"/>
                    <w:right w:val="single" w:color="auto" w:sz="4" w:space="0"/>
                  </w:tcBorders>
                  <w:vAlign w:val="center"/>
                </w:tcPr>
                <w:p w14:paraId="28427D71">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7D88B017">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SE</w:t>
                  </w:r>
                </w:p>
              </w:tc>
              <w:tc>
                <w:tcPr>
                  <w:tcW w:w="761" w:type="dxa"/>
                  <w:tcBorders>
                    <w:top w:val="single" w:color="auto" w:sz="4" w:space="0"/>
                    <w:left w:val="single" w:color="auto" w:sz="4" w:space="0"/>
                    <w:bottom w:val="single" w:color="auto" w:sz="4" w:space="0"/>
                    <w:right w:val="single" w:color="auto" w:sz="4" w:space="0"/>
                  </w:tcBorders>
                  <w:vAlign w:val="center"/>
                </w:tcPr>
                <w:p w14:paraId="6012DAC7">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478</w:t>
                  </w:r>
                </w:p>
              </w:tc>
              <w:tc>
                <w:tcPr>
                  <w:tcW w:w="761" w:type="dxa"/>
                  <w:tcBorders>
                    <w:top w:val="single" w:color="auto" w:sz="4" w:space="0"/>
                    <w:left w:val="single" w:color="auto" w:sz="4" w:space="0"/>
                    <w:bottom w:val="single" w:color="auto" w:sz="4" w:space="0"/>
                    <w:right w:val="single" w:color="auto" w:sz="4" w:space="0"/>
                  </w:tcBorders>
                  <w:vAlign w:val="center"/>
                </w:tcPr>
                <w:p w14:paraId="4833C3E1">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D1-6</w:t>
                  </w:r>
                </w:p>
              </w:tc>
            </w:tr>
            <w:tr w14:paraId="01B69815">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73C39C5E">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06B1BD43">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53E3487C">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倪圩孜</w:t>
                  </w:r>
                </w:p>
              </w:tc>
              <w:tc>
                <w:tcPr>
                  <w:tcW w:w="615" w:type="dxa"/>
                  <w:tcBorders>
                    <w:top w:val="single" w:color="auto" w:sz="4" w:space="0"/>
                    <w:left w:val="single" w:color="auto" w:sz="4" w:space="0"/>
                    <w:bottom w:val="single" w:color="auto" w:sz="4" w:space="0"/>
                    <w:right w:val="single" w:color="auto" w:sz="4" w:space="0"/>
                  </w:tcBorders>
                  <w:vAlign w:val="center"/>
                </w:tcPr>
                <w:p w14:paraId="188EB633">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-194</w:t>
                  </w:r>
                </w:p>
              </w:tc>
              <w:tc>
                <w:tcPr>
                  <w:tcW w:w="705" w:type="dxa"/>
                  <w:tcBorders>
                    <w:top w:val="single" w:color="auto" w:sz="4" w:space="0"/>
                    <w:left w:val="single" w:color="auto" w:sz="4" w:space="0"/>
                    <w:bottom w:val="single" w:color="auto" w:sz="4" w:space="0"/>
                    <w:right w:val="single" w:color="auto" w:sz="4" w:space="0"/>
                  </w:tcBorders>
                  <w:vAlign w:val="center"/>
                </w:tcPr>
                <w:p w14:paraId="4704C118">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-234</w:t>
                  </w:r>
                </w:p>
              </w:tc>
              <w:tc>
                <w:tcPr>
                  <w:tcW w:w="718" w:type="dxa"/>
                  <w:tcBorders>
                    <w:top w:val="single" w:color="auto" w:sz="4" w:space="0"/>
                    <w:left w:val="single" w:color="auto" w:sz="4" w:space="0"/>
                    <w:bottom w:val="single" w:color="auto" w:sz="4" w:space="0"/>
                    <w:right w:val="single" w:color="auto" w:sz="4" w:space="0"/>
                  </w:tcBorders>
                  <w:vAlign w:val="center"/>
                </w:tcPr>
                <w:p w14:paraId="539E2375">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6FF8F558">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120</w:t>
                  </w:r>
                </w:p>
              </w:tc>
              <w:tc>
                <w:tcPr>
                  <w:tcW w:w="1029" w:type="dxa"/>
                  <w:vMerge w:val="continue"/>
                  <w:tcBorders>
                    <w:left w:val="single" w:color="auto" w:sz="4" w:space="0"/>
                    <w:right w:val="single" w:color="auto" w:sz="4" w:space="0"/>
                  </w:tcBorders>
                  <w:vAlign w:val="center"/>
                </w:tcPr>
                <w:p w14:paraId="00EDC75D">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77F67B42">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NW</w:t>
                  </w:r>
                </w:p>
              </w:tc>
              <w:tc>
                <w:tcPr>
                  <w:tcW w:w="761" w:type="dxa"/>
                  <w:tcBorders>
                    <w:top w:val="single" w:color="auto" w:sz="4" w:space="0"/>
                    <w:left w:val="single" w:color="auto" w:sz="4" w:space="0"/>
                    <w:bottom w:val="single" w:color="auto" w:sz="4" w:space="0"/>
                    <w:right w:val="single" w:color="auto" w:sz="4" w:space="0"/>
                  </w:tcBorders>
                  <w:vAlign w:val="center"/>
                </w:tcPr>
                <w:p w14:paraId="24A75F64">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310</w:t>
                  </w:r>
                </w:p>
              </w:tc>
              <w:tc>
                <w:tcPr>
                  <w:tcW w:w="761" w:type="dxa"/>
                  <w:tcBorders>
                    <w:top w:val="single" w:color="auto" w:sz="4" w:space="0"/>
                    <w:left w:val="single" w:color="auto" w:sz="4" w:space="0"/>
                    <w:bottom w:val="single" w:color="auto" w:sz="4" w:space="0"/>
                    <w:right w:val="single" w:color="auto" w:sz="4" w:space="0"/>
                  </w:tcBorders>
                  <w:vAlign w:val="center"/>
                </w:tcPr>
                <w:p w14:paraId="2590B0FD">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D1-7</w:t>
                  </w:r>
                </w:p>
              </w:tc>
            </w:tr>
            <w:tr w14:paraId="1AFA2F20">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71EC3DA3">
                  <w:pPr>
                    <w:spacing w:after="0"/>
                    <w:jc w:val="center"/>
                    <w:rPr>
                      <w:rFonts w:ascii="Times New Roman" w:hAnsi="Times New Roman" w:cs="宋体"/>
                      <w:color w:val="auto"/>
                      <w:szCs w:val="21"/>
                      <w:highlight w:val="none"/>
                    </w:rPr>
                  </w:pPr>
                </w:p>
              </w:tc>
              <w:tc>
                <w:tcPr>
                  <w:tcW w:w="570" w:type="dxa"/>
                  <w:vMerge w:val="continue"/>
                  <w:tcBorders>
                    <w:left w:val="single" w:color="auto" w:sz="4" w:space="0"/>
                    <w:bottom w:val="single" w:color="auto" w:sz="4" w:space="0"/>
                    <w:right w:val="single" w:color="auto" w:sz="4" w:space="0"/>
                  </w:tcBorders>
                  <w:vAlign w:val="center"/>
                </w:tcPr>
                <w:p w14:paraId="649D5BD7">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7F29D712">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倪小庄</w:t>
                  </w:r>
                </w:p>
              </w:tc>
              <w:tc>
                <w:tcPr>
                  <w:tcW w:w="615" w:type="dxa"/>
                  <w:tcBorders>
                    <w:top w:val="single" w:color="auto" w:sz="4" w:space="0"/>
                    <w:left w:val="single" w:color="auto" w:sz="4" w:space="0"/>
                    <w:bottom w:val="single" w:color="auto" w:sz="4" w:space="0"/>
                    <w:right w:val="single" w:color="auto" w:sz="4" w:space="0"/>
                  </w:tcBorders>
                  <w:vAlign w:val="center"/>
                </w:tcPr>
                <w:p w14:paraId="5249F1EF">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159</w:t>
                  </w:r>
                </w:p>
              </w:tc>
              <w:tc>
                <w:tcPr>
                  <w:tcW w:w="705" w:type="dxa"/>
                  <w:tcBorders>
                    <w:top w:val="single" w:color="auto" w:sz="4" w:space="0"/>
                    <w:left w:val="single" w:color="auto" w:sz="4" w:space="0"/>
                    <w:bottom w:val="single" w:color="auto" w:sz="4" w:space="0"/>
                    <w:right w:val="single" w:color="auto" w:sz="4" w:space="0"/>
                  </w:tcBorders>
                  <w:vAlign w:val="center"/>
                </w:tcPr>
                <w:p w14:paraId="730BEC02">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-468</w:t>
                  </w:r>
                </w:p>
              </w:tc>
              <w:tc>
                <w:tcPr>
                  <w:tcW w:w="718" w:type="dxa"/>
                  <w:tcBorders>
                    <w:top w:val="single" w:color="auto" w:sz="4" w:space="0"/>
                    <w:left w:val="single" w:color="auto" w:sz="4" w:space="0"/>
                    <w:bottom w:val="single" w:color="auto" w:sz="4" w:space="0"/>
                    <w:right w:val="single" w:color="auto" w:sz="4" w:space="0"/>
                  </w:tcBorders>
                  <w:vAlign w:val="center"/>
                </w:tcPr>
                <w:p w14:paraId="2B7B3457">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265CCA94">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50</w:t>
                  </w:r>
                </w:p>
              </w:tc>
              <w:tc>
                <w:tcPr>
                  <w:tcW w:w="1029" w:type="dxa"/>
                  <w:vMerge w:val="continue"/>
                  <w:tcBorders>
                    <w:left w:val="single" w:color="auto" w:sz="4" w:space="0"/>
                    <w:right w:val="single" w:color="auto" w:sz="4" w:space="0"/>
                  </w:tcBorders>
                  <w:vAlign w:val="center"/>
                </w:tcPr>
                <w:p w14:paraId="08AE38A9">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434BA8DE">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SE</w:t>
                  </w:r>
                </w:p>
              </w:tc>
              <w:tc>
                <w:tcPr>
                  <w:tcW w:w="761" w:type="dxa"/>
                  <w:tcBorders>
                    <w:top w:val="single" w:color="auto" w:sz="4" w:space="0"/>
                    <w:left w:val="single" w:color="auto" w:sz="4" w:space="0"/>
                    <w:bottom w:val="single" w:color="auto" w:sz="4" w:space="0"/>
                    <w:right w:val="single" w:color="auto" w:sz="4" w:space="0"/>
                  </w:tcBorders>
                  <w:vAlign w:val="center"/>
                </w:tcPr>
                <w:p w14:paraId="25B1B016">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500</w:t>
                  </w:r>
                </w:p>
              </w:tc>
              <w:tc>
                <w:tcPr>
                  <w:tcW w:w="761" w:type="dxa"/>
                  <w:tcBorders>
                    <w:top w:val="single" w:color="auto" w:sz="4" w:space="0"/>
                    <w:left w:val="single" w:color="auto" w:sz="4" w:space="0"/>
                    <w:bottom w:val="single" w:color="auto" w:sz="4" w:space="0"/>
                    <w:right w:val="single" w:color="auto" w:sz="4" w:space="0"/>
                  </w:tcBorders>
                  <w:vAlign w:val="center"/>
                </w:tcPr>
                <w:p w14:paraId="1EFF72D3">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D1-7</w:t>
                  </w:r>
                </w:p>
              </w:tc>
            </w:tr>
            <w:tr w14:paraId="1D6E1B61">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0A4C1B76">
                  <w:pPr>
                    <w:spacing w:after="0"/>
                    <w:jc w:val="center"/>
                    <w:rPr>
                      <w:rFonts w:ascii="Times New Roman" w:hAnsi="Times New Roman" w:cs="宋体"/>
                      <w:color w:val="auto"/>
                      <w:szCs w:val="21"/>
                      <w:highlight w:val="none"/>
                    </w:rPr>
                  </w:pPr>
                </w:p>
              </w:tc>
              <w:tc>
                <w:tcPr>
                  <w:tcW w:w="570" w:type="dxa"/>
                  <w:vMerge w:val="restart"/>
                  <w:tcBorders>
                    <w:top w:val="single" w:color="auto" w:sz="4" w:space="0"/>
                    <w:left w:val="single" w:color="auto" w:sz="4" w:space="0"/>
                    <w:right w:val="single" w:color="auto" w:sz="4" w:space="0"/>
                  </w:tcBorders>
                  <w:vAlign w:val="center"/>
                </w:tcPr>
                <w:p w14:paraId="1FC820A8">
                  <w:pPr>
                    <w:spacing w:after="0"/>
                    <w:jc w:val="center"/>
                    <w:rPr>
                      <w:rFonts w:ascii="Times New Roman" w:hAnsi="Times New Roman"/>
                      <w:color w:val="auto"/>
                      <w:szCs w:val="21"/>
                      <w:highlight w:val="none"/>
                    </w:rPr>
                  </w:pPr>
                  <w:r>
                    <w:rPr>
                      <w:rStyle w:val="49"/>
                      <w:rFonts w:hint="eastAsia"/>
                      <w:color w:val="auto"/>
                      <w:highlight w:val="none"/>
                    </w:rPr>
                    <w:t>DG-</w:t>
                  </w:r>
                  <w:r>
                    <w:rPr>
                      <w:rStyle w:val="49"/>
                      <w:rFonts w:hint="eastAsia"/>
                      <w:color w:val="auto"/>
                      <w:highlight w:val="none"/>
                      <w:lang w:val="en-US" w:eastAsia="zh-CN"/>
                    </w:rPr>
                    <w:t>15-17</w:t>
                  </w:r>
                  <w:r>
                    <w:rPr>
                      <w:rStyle w:val="48"/>
                      <w:rFonts w:hint="default" w:ascii="Times New Roman" w:hAnsi="Times New Roman"/>
                      <w:color w:val="auto"/>
                      <w:highlight w:val="none"/>
                    </w:rPr>
                    <w:t>井场</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2331F467">
                  <w:pPr>
                    <w:widowControl/>
                    <w:spacing w:after="0"/>
                    <w:jc w:val="center"/>
                    <w:textAlignment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0"/>
                      <w:szCs w:val="21"/>
                      <w:highlight w:val="none"/>
                      <w:lang w:val="en-US" w:eastAsia="zh-CN"/>
                    </w:rPr>
                    <w:t>老王庄</w:t>
                  </w:r>
                </w:p>
              </w:tc>
              <w:tc>
                <w:tcPr>
                  <w:tcW w:w="615" w:type="dxa"/>
                  <w:tcBorders>
                    <w:top w:val="single" w:color="auto" w:sz="4" w:space="0"/>
                    <w:left w:val="single" w:color="auto" w:sz="4" w:space="0"/>
                    <w:bottom w:val="single" w:color="auto" w:sz="4" w:space="0"/>
                    <w:right w:val="single" w:color="auto" w:sz="4" w:space="0"/>
                  </w:tcBorders>
                  <w:vAlign w:val="center"/>
                </w:tcPr>
                <w:p w14:paraId="47FA4DDC">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100</w:t>
                  </w:r>
                </w:p>
              </w:tc>
              <w:tc>
                <w:tcPr>
                  <w:tcW w:w="705" w:type="dxa"/>
                  <w:tcBorders>
                    <w:top w:val="single" w:color="auto" w:sz="4" w:space="0"/>
                    <w:left w:val="single" w:color="auto" w:sz="4" w:space="0"/>
                    <w:bottom w:val="single" w:color="auto" w:sz="4" w:space="0"/>
                    <w:right w:val="single" w:color="auto" w:sz="4" w:space="0"/>
                  </w:tcBorders>
                  <w:vAlign w:val="center"/>
                </w:tcPr>
                <w:p w14:paraId="0572E88E">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211</w:t>
                  </w:r>
                </w:p>
              </w:tc>
              <w:tc>
                <w:tcPr>
                  <w:tcW w:w="718" w:type="dxa"/>
                  <w:tcBorders>
                    <w:top w:val="single" w:color="auto" w:sz="4" w:space="0"/>
                    <w:left w:val="single" w:color="auto" w:sz="4" w:space="0"/>
                    <w:bottom w:val="single" w:color="auto" w:sz="4" w:space="0"/>
                    <w:right w:val="single" w:color="auto" w:sz="4" w:space="0"/>
                  </w:tcBorders>
                  <w:vAlign w:val="center"/>
                </w:tcPr>
                <w:p w14:paraId="38C2B354">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4E334C2E">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400</w:t>
                  </w:r>
                </w:p>
              </w:tc>
              <w:tc>
                <w:tcPr>
                  <w:tcW w:w="1029" w:type="dxa"/>
                  <w:vMerge w:val="continue"/>
                  <w:tcBorders>
                    <w:left w:val="single" w:color="auto" w:sz="4" w:space="0"/>
                    <w:right w:val="single" w:color="auto" w:sz="4" w:space="0"/>
                  </w:tcBorders>
                  <w:vAlign w:val="center"/>
                </w:tcPr>
                <w:p w14:paraId="05FE00E2">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50E5AC75">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NE</w:t>
                  </w:r>
                </w:p>
              </w:tc>
              <w:tc>
                <w:tcPr>
                  <w:tcW w:w="761" w:type="dxa"/>
                  <w:tcBorders>
                    <w:top w:val="single" w:color="auto" w:sz="4" w:space="0"/>
                    <w:left w:val="single" w:color="auto" w:sz="4" w:space="0"/>
                    <w:bottom w:val="single" w:color="auto" w:sz="4" w:space="0"/>
                    <w:right w:val="single" w:color="auto" w:sz="4" w:space="0"/>
                  </w:tcBorders>
                  <w:vAlign w:val="center"/>
                </w:tcPr>
                <w:p w14:paraId="65AC7508">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240</w:t>
                  </w:r>
                </w:p>
              </w:tc>
              <w:tc>
                <w:tcPr>
                  <w:tcW w:w="761" w:type="dxa"/>
                  <w:tcBorders>
                    <w:top w:val="single" w:color="auto" w:sz="4" w:space="0"/>
                    <w:left w:val="single" w:color="auto" w:sz="4" w:space="0"/>
                    <w:bottom w:val="single" w:color="auto" w:sz="4" w:space="0"/>
                    <w:right w:val="single" w:color="auto" w:sz="4" w:space="0"/>
                  </w:tcBorders>
                  <w:vAlign w:val="center"/>
                </w:tcPr>
                <w:p w14:paraId="188973E9">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D1-15</w:t>
                  </w:r>
                </w:p>
              </w:tc>
            </w:tr>
            <w:tr w14:paraId="060827A4">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4B64C6C1">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5C55D0E8">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1123AD57">
                  <w:pPr>
                    <w:widowControl/>
                    <w:spacing w:after="0"/>
                    <w:jc w:val="center"/>
                    <w:textAlignment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0"/>
                      <w:szCs w:val="21"/>
                      <w:highlight w:val="none"/>
                      <w:lang w:val="en-US" w:eastAsia="zh-CN"/>
                    </w:rPr>
                    <w:t>后小王</w:t>
                  </w:r>
                </w:p>
              </w:tc>
              <w:tc>
                <w:tcPr>
                  <w:tcW w:w="615" w:type="dxa"/>
                  <w:tcBorders>
                    <w:top w:val="single" w:color="auto" w:sz="4" w:space="0"/>
                    <w:left w:val="single" w:color="auto" w:sz="4" w:space="0"/>
                    <w:bottom w:val="single" w:color="auto" w:sz="4" w:space="0"/>
                    <w:right w:val="single" w:color="auto" w:sz="4" w:space="0"/>
                  </w:tcBorders>
                  <w:vAlign w:val="center"/>
                </w:tcPr>
                <w:p w14:paraId="206C44B2">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250</w:t>
                  </w:r>
                </w:p>
              </w:tc>
              <w:tc>
                <w:tcPr>
                  <w:tcW w:w="705" w:type="dxa"/>
                  <w:tcBorders>
                    <w:top w:val="single" w:color="auto" w:sz="4" w:space="0"/>
                    <w:left w:val="single" w:color="auto" w:sz="4" w:space="0"/>
                    <w:bottom w:val="single" w:color="auto" w:sz="4" w:space="0"/>
                    <w:right w:val="single" w:color="auto" w:sz="4" w:space="0"/>
                  </w:tcBorders>
                  <w:vAlign w:val="center"/>
                </w:tcPr>
                <w:p w14:paraId="5BA22850">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-193</w:t>
                  </w:r>
                </w:p>
              </w:tc>
              <w:tc>
                <w:tcPr>
                  <w:tcW w:w="718" w:type="dxa"/>
                  <w:tcBorders>
                    <w:top w:val="single" w:color="auto" w:sz="4" w:space="0"/>
                    <w:left w:val="single" w:color="auto" w:sz="4" w:space="0"/>
                    <w:bottom w:val="single" w:color="auto" w:sz="4" w:space="0"/>
                    <w:right w:val="single" w:color="auto" w:sz="4" w:space="0"/>
                  </w:tcBorders>
                  <w:vAlign w:val="center"/>
                </w:tcPr>
                <w:p w14:paraId="39D44F0E">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4F926519">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180</w:t>
                  </w:r>
                </w:p>
              </w:tc>
              <w:tc>
                <w:tcPr>
                  <w:tcW w:w="1029" w:type="dxa"/>
                  <w:vMerge w:val="continue"/>
                  <w:tcBorders>
                    <w:left w:val="single" w:color="auto" w:sz="4" w:space="0"/>
                    <w:right w:val="single" w:color="auto" w:sz="4" w:space="0"/>
                  </w:tcBorders>
                  <w:vAlign w:val="center"/>
                </w:tcPr>
                <w:p w14:paraId="3AFDB824">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54A50C8B">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NE</w:t>
                  </w:r>
                </w:p>
              </w:tc>
              <w:tc>
                <w:tcPr>
                  <w:tcW w:w="761" w:type="dxa"/>
                  <w:tcBorders>
                    <w:top w:val="single" w:color="auto" w:sz="4" w:space="0"/>
                    <w:left w:val="single" w:color="auto" w:sz="4" w:space="0"/>
                    <w:bottom w:val="single" w:color="auto" w:sz="4" w:space="0"/>
                    <w:right w:val="single" w:color="auto" w:sz="4" w:space="0"/>
                  </w:tcBorders>
                  <w:vAlign w:val="center"/>
                </w:tcPr>
                <w:p w14:paraId="65437092">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339</w:t>
                  </w:r>
                </w:p>
              </w:tc>
              <w:tc>
                <w:tcPr>
                  <w:tcW w:w="761" w:type="dxa"/>
                  <w:tcBorders>
                    <w:top w:val="single" w:color="auto" w:sz="4" w:space="0"/>
                    <w:left w:val="single" w:color="auto" w:sz="4" w:space="0"/>
                    <w:bottom w:val="single" w:color="auto" w:sz="4" w:space="0"/>
                    <w:right w:val="single" w:color="auto" w:sz="4" w:space="0"/>
                  </w:tcBorders>
                  <w:vAlign w:val="center"/>
                </w:tcPr>
                <w:p w14:paraId="3864E6B6">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D1-16</w:t>
                  </w:r>
                </w:p>
              </w:tc>
            </w:tr>
            <w:tr w14:paraId="592C05FB">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368083A1">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6AFE1D2F">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2A9D1ABE">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后王庄</w:t>
                  </w:r>
                </w:p>
              </w:tc>
              <w:tc>
                <w:tcPr>
                  <w:tcW w:w="615" w:type="dxa"/>
                  <w:tcBorders>
                    <w:top w:val="single" w:color="auto" w:sz="4" w:space="0"/>
                    <w:left w:val="single" w:color="auto" w:sz="4" w:space="0"/>
                    <w:bottom w:val="single" w:color="auto" w:sz="4" w:space="0"/>
                    <w:right w:val="single" w:color="auto" w:sz="4" w:space="0"/>
                  </w:tcBorders>
                  <w:vAlign w:val="center"/>
                </w:tcPr>
                <w:p w14:paraId="03417696">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0</w:t>
                  </w:r>
                </w:p>
              </w:tc>
              <w:tc>
                <w:tcPr>
                  <w:tcW w:w="705" w:type="dxa"/>
                  <w:tcBorders>
                    <w:top w:val="single" w:color="auto" w:sz="4" w:space="0"/>
                    <w:left w:val="single" w:color="auto" w:sz="4" w:space="0"/>
                    <w:bottom w:val="single" w:color="auto" w:sz="4" w:space="0"/>
                    <w:right w:val="single" w:color="auto" w:sz="4" w:space="0"/>
                  </w:tcBorders>
                  <w:vAlign w:val="center"/>
                </w:tcPr>
                <w:p w14:paraId="331DCB91">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-32</w:t>
                  </w:r>
                </w:p>
              </w:tc>
              <w:tc>
                <w:tcPr>
                  <w:tcW w:w="718" w:type="dxa"/>
                  <w:tcBorders>
                    <w:top w:val="single" w:color="auto" w:sz="4" w:space="0"/>
                    <w:left w:val="single" w:color="auto" w:sz="4" w:space="0"/>
                    <w:bottom w:val="single" w:color="auto" w:sz="4" w:space="0"/>
                    <w:right w:val="single" w:color="auto" w:sz="4" w:space="0"/>
                  </w:tcBorders>
                  <w:vAlign w:val="center"/>
                </w:tcPr>
                <w:p w14:paraId="14A8B818">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7E0CF702">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250</w:t>
                  </w:r>
                </w:p>
              </w:tc>
              <w:tc>
                <w:tcPr>
                  <w:tcW w:w="1029" w:type="dxa"/>
                  <w:vMerge w:val="continue"/>
                  <w:tcBorders>
                    <w:left w:val="single" w:color="auto" w:sz="4" w:space="0"/>
                    <w:right w:val="single" w:color="auto" w:sz="4" w:space="0"/>
                  </w:tcBorders>
                  <w:vAlign w:val="center"/>
                </w:tcPr>
                <w:p w14:paraId="47B73F97">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7FA8191B">
                  <w:pPr>
                    <w:widowControl/>
                    <w:spacing w:after="0"/>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W</w:t>
                  </w:r>
                </w:p>
              </w:tc>
              <w:tc>
                <w:tcPr>
                  <w:tcW w:w="761" w:type="dxa"/>
                  <w:tcBorders>
                    <w:top w:val="single" w:color="auto" w:sz="4" w:space="0"/>
                    <w:left w:val="single" w:color="auto" w:sz="4" w:space="0"/>
                    <w:bottom w:val="single" w:color="auto" w:sz="4" w:space="0"/>
                    <w:right w:val="single" w:color="auto" w:sz="4" w:space="0"/>
                  </w:tcBorders>
                  <w:vAlign w:val="center"/>
                </w:tcPr>
                <w:p w14:paraId="102E094E">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32</w:t>
                  </w:r>
                </w:p>
              </w:tc>
              <w:tc>
                <w:tcPr>
                  <w:tcW w:w="761" w:type="dxa"/>
                  <w:tcBorders>
                    <w:top w:val="single" w:color="auto" w:sz="4" w:space="0"/>
                    <w:left w:val="single" w:color="auto" w:sz="4" w:space="0"/>
                    <w:bottom w:val="single" w:color="auto" w:sz="4" w:space="0"/>
                    <w:right w:val="single" w:color="auto" w:sz="4" w:space="0"/>
                  </w:tcBorders>
                  <w:vAlign w:val="center"/>
                </w:tcPr>
                <w:p w14:paraId="32AAC693">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D1-17</w:t>
                  </w:r>
                </w:p>
              </w:tc>
            </w:tr>
            <w:tr w14:paraId="7BC45C96">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53CFA276">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175EC712">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20CBE842">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前王庄</w:t>
                  </w:r>
                </w:p>
              </w:tc>
              <w:tc>
                <w:tcPr>
                  <w:tcW w:w="615" w:type="dxa"/>
                  <w:tcBorders>
                    <w:top w:val="single" w:color="auto" w:sz="4" w:space="0"/>
                    <w:left w:val="single" w:color="auto" w:sz="4" w:space="0"/>
                    <w:bottom w:val="single" w:color="auto" w:sz="4" w:space="0"/>
                    <w:right w:val="single" w:color="auto" w:sz="4" w:space="0"/>
                  </w:tcBorders>
                  <w:vAlign w:val="center"/>
                </w:tcPr>
                <w:p w14:paraId="1F6ADB73">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0</w:t>
                  </w:r>
                </w:p>
              </w:tc>
              <w:tc>
                <w:tcPr>
                  <w:tcW w:w="705" w:type="dxa"/>
                  <w:tcBorders>
                    <w:top w:val="single" w:color="auto" w:sz="4" w:space="0"/>
                    <w:left w:val="single" w:color="auto" w:sz="4" w:space="0"/>
                    <w:bottom w:val="single" w:color="auto" w:sz="4" w:space="0"/>
                    <w:right w:val="single" w:color="auto" w:sz="4" w:space="0"/>
                  </w:tcBorders>
                  <w:vAlign w:val="center"/>
                </w:tcPr>
                <w:p w14:paraId="7E396006">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208</w:t>
                  </w:r>
                </w:p>
              </w:tc>
              <w:tc>
                <w:tcPr>
                  <w:tcW w:w="718" w:type="dxa"/>
                  <w:tcBorders>
                    <w:top w:val="single" w:color="auto" w:sz="4" w:space="0"/>
                    <w:left w:val="single" w:color="auto" w:sz="4" w:space="0"/>
                    <w:bottom w:val="single" w:color="auto" w:sz="4" w:space="0"/>
                    <w:right w:val="single" w:color="auto" w:sz="4" w:space="0"/>
                  </w:tcBorders>
                  <w:vAlign w:val="center"/>
                </w:tcPr>
                <w:p w14:paraId="40B44A8A">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697ECF4A">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220</w:t>
                  </w:r>
                </w:p>
              </w:tc>
              <w:tc>
                <w:tcPr>
                  <w:tcW w:w="1029" w:type="dxa"/>
                  <w:vMerge w:val="continue"/>
                  <w:tcBorders>
                    <w:left w:val="single" w:color="auto" w:sz="4" w:space="0"/>
                    <w:right w:val="single" w:color="auto" w:sz="4" w:space="0"/>
                  </w:tcBorders>
                  <w:vAlign w:val="center"/>
                </w:tcPr>
                <w:p w14:paraId="0C8D3D6E">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1CBDD7E8">
                  <w:pPr>
                    <w:widowControl/>
                    <w:spacing w:after="0"/>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E</w:t>
                  </w:r>
                </w:p>
              </w:tc>
              <w:tc>
                <w:tcPr>
                  <w:tcW w:w="761" w:type="dxa"/>
                  <w:tcBorders>
                    <w:top w:val="single" w:color="auto" w:sz="4" w:space="0"/>
                    <w:left w:val="single" w:color="auto" w:sz="4" w:space="0"/>
                    <w:bottom w:val="single" w:color="auto" w:sz="4" w:space="0"/>
                    <w:right w:val="single" w:color="auto" w:sz="4" w:space="0"/>
                  </w:tcBorders>
                  <w:vAlign w:val="center"/>
                </w:tcPr>
                <w:p w14:paraId="0E82D8D7">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208</w:t>
                  </w:r>
                </w:p>
              </w:tc>
              <w:tc>
                <w:tcPr>
                  <w:tcW w:w="761" w:type="dxa"/>
                  <w:tcBorders>
                    <w:top w:val="single" w:color="auto" w:sz="4" w:space="0"/>
                    <w:left w:val="single" w:color="auto" w:sz="4" w:space="0"/>
                    <w:bottom w:val="single" w:color="auto" w:sz="4" w:space="0"/>
                    <w:right w:val="single" w:color="auto" w:sz="4" w:space="0"/>
                  </w:tcBorders>
                  <w:vAlign w:val="center"/>
                </w:tcPr>
                <w:p w14:paraId="516F6582">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D1-17</w:t>
                  </w:r>
                </w:p>
              </w:tc>
            </w:tr>
            <w:tr w14:paraId="1FAE92C7">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17460C36">
                  <w:pPr>
                    <w:spacing w:after="0"/>
                    <w:jc w:val="center"/>
                    <w:rPr>
                      <w:rFonts w:ascii="Times New Roman" w:hAnsi="Times New Roman" w:cs="宋体"/>
                      <w:color w:val="auto"/>
                      <w:szCs w:val="21"/>
                      <w:highlight w:val="none"/>
                    </w:rPr>
                  </w:pPr>
                </w:p>
              </w:tc>
              <w:tc>
                <w:tcPr>
                  <w:tcW w:w="570" w:type="dxa"/>
                  <w:vMerge w:val="restart"/>
                  <w:tcBorders>
                    <w:top w:val="single" w:color="auto" w:sz="4" w:space="0"/>
                    <w:left w:val="single" w:color="auto" w:sz="4" w:space="0"/>
                    <w:right w:val="single" w:color="auto" w:sz="4" w:space="0"/>
                  </w:tcBorders>
                  <w:vAlign w:val="center"/>
                </w:tcPr>
                <w:p w14:paraId="6E914F93">
                  <w:pPr>
                    <w:spacing w:after="0"/>
                    <w:jc w:val="center"/>
                    <w:rPr>
                      <w:rFonts w:ascii="Times New Roman" w:hAnsi="Times New Roman"/>
                      <w:color w:val="auto"/>
                      <w:szCs w:val="21"/>
                      <w:highlight w:val="none"/>
                    </w:rPr>
                  </w:pPr>
                  <w:r>
                    <w:rPr>
                      <w:rStyle w:val="49"/>
                      <w:rFonts w:hint="eastAsia"/>
                      <w:color w:val="auto"/>
                      <w:highlight w:val="none"/>
                    </w:rPr>
                    <w:t>DG-</w:t>
                  </w:r>
                  <w:r>
                    <w:rPr>
                      <w:rStyle w:val="49"/>
                      <w:rFonts w:hint="eastAsia"/>
                      <w:color w:val="auto"/>
                      <w:highlight w:val="none"/>
                      <w:lang w:val="en-US" w:eastAsia="zh-CN"/>
                    </w:rPr>
                    <w:t>18-19</w:t>
                  </w:r>
                  <w:r>
                    <w:rPr>
                      <w:rStyle w:val="48"/>
                      <w:rFonts w:hint="default" w:ascii="Times New Roman" w:hAnsi="Times New Roman"/>
                      <w:color w:val="auto"/>
                      <w:highlight w:val="none"/>
                    </w:rPr>
                    <w:t>井场</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2D615939">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史圩孜</w:t>
                  </w:r>
                </w:p>
              </w:tc>
              <w:tc>
                <w:tcPr>
                  <w:tcW w:w="615" w:type="dxa"/>
                  <w:tcBorders>
                    <w:top w:val="single" w:color="auto" w:sz="4" w:space="0"/>
                    <w:left w:val="single" w:color="auto" w:sz="4" w:space="0"/>
                    <w:bottom w:val="single" w:color="auto" w:sz="4" w:space="0"/>
                    <w:right w:val="single" w:color="auto" w:sz="4" w:space="0"/>
                  </w:tcBorders>
                  <w:vAlign w:val="center"/>
                </w:tcPr>
                <w:p w14:paraId="752E4CBF">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-28</w:t>
                  </w:r>
                </w:p>
              </w:tc>
              <w:tc>
                <w:tcPr>
                  <w:tcW w:w="705" w:type="dxa"/>
                  <w:tcBorders>
                    <w:top w:val="single" w:color="auto" w:sz="4" w:space="0"/>
                    <w:left w:val="single" w:color="auto" w:sz="4" w:space="0"/>
                    <w:bottom w:val="single" w:color="auto" w:sz="4" w:space="0"/>
                    <w:right w:val="single" w:color="auto" w:sz="4" w:space="0"/>
                  </w:tcBorders>
                  <w:vAlign w:val="center"/>
                </w:tcPr>
                <w:p w14:paraId="5FB61BDC">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14</w:t>
                  </w:r>
                </w:p>
              </w:tc>
              <w:tc>
                <w:tcPr>
                  <w:tcW w:w="718" w:type="dxa"/>
                  <w:tcBorders>
                    <w:top w:val="single" w:color="auto" w:sz="4" w:space="0"/>
                    <w:left w:val="single" w:color="auto" w:sz="4" w:space="0"/>
                    <w:bottom w:val="single" w:color="auto" w:sz="4" w:space="0"/>
                    <w:right w:val="single" w:color="auto" w:sz="4" w:space="0"/>
                  </w:tcBorders>
                  <w:vAlign w:val="center"/>
                </w:tcPr>
                <w:p w14:paraId="78621775">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444DFCD6">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400</w:t>
                  </w:r>
                </w:p>
              </w:tc>
              <w:tc>
                <w:tcPr>
                  <w:tcW w:w="1029" w:type="dxa"/>
                  <w:vMerge w:val="continue"/>
                  <w:tcBorders>
                    <w:left w:val="single" w:color="auto" w:sz="4" w:space="0"/>
                    <w:right w:val="single" w:color="auto" w:sz="4" w:space="0"/>
                  </w:tcBorders>
                  <w:vAlign w:val="center"/>
                </w:tcPr>
                <w:p w14:paraId="15ADBB66">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1BF30251">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SW</w:t>
                  </w:r>
                </w:p>
              </w:tc>
              <w:tc>
                <w:tcPr>
                  <w:tcW w:w="761" w:type="dxa"/>
                  <w:tcBorders>
                    <w:top w:val="single" w:color="auto" w:sz="4" w:space="0"/>
                    <w:left w:val="single" w:color="auto" w:sz="4" w:space="0"/>
                    <w:bottom w:val="single" w:color="auto" w:sz="4" w:space="0"/>
                    <w:right w:val="single" w:color="auto" w:sz="4" w:space="0"/>
                  </w:tcBorders>
                  <w:vAlign w:val="center"/>
                </w:tcPr>
                <w:p w14:paraId="25013DBE">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40</w:t>
                  </w:r>
                </w:p>
              </w:tc>
              <w:tc>
                <w:tcPr>
                  <w:tcW w:w="761" w:type="dxa"/>
                  <w:tcBorders>
                    <w:top w:val="single" w:color="auto" w:sz="4" w:space="0"/>
                    <w:left w:val="single" w:color="auto" w:sz="4" w:space="0"/>
                    <w:bottom w:val="single" w:color="auto" w:sz="4" w:space="0"/>
                    <w:right w:val="single" w:color="auto" w:sz="4" w:space="0"/>
                  </w:tcBorders>
                  <w:vAlign w:val="center"/>
                </w:tcPr>
                <w:p w14:paraId="381E8BE7">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D1-18</w:t>
                  </w:r>
                </w:p>
              </w:tc>
            </w:tr>
            <w:tr w14:paraId="735C776F">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1B105849">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3F2DE1C8">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39FAE735">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前王庄</w:t>
                  </w:r>
                </w:p>
              </w:tc>
              <w:tc>
                <w:tcPr>
                  <w:tcW w:w="615" w:type="dxa"/>
                  <w:tcBorders>
                    <w:top w:val="single" w:color="auto" w:sz="4" w:space="0"/>
                    <w:left w:val="single" w:color="auto" w:sz="4" w:space="0"/>
                    <w:bottom w:val="single" w:color="auto" w:sz="4" w:space="0"/>
                    <w:right w:val="single" w:color="auto" w:sz="4" w:space="0"/>
                  </w:tcBorders>
                  <w:vAlign w:val="center"/>
                </w:tcPr>
                <w:p w14:paraId="1CE8E8C7">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181</w:t>
                  </w:r>
                </w:p>
              </w:tc>
              <w:tc>
                <w:tcPr>
                  <w:tcW w:w="705" w:type="dxa"/>
                  <w:tcBorders>
                    <w:top w:val="single" w:color="auto" w:sz="4" w:space="0"/>
                    <w:left w:val="single" w:color="auto" w:sz="4" w:space="0"/>
                    <w:bottom w:val="single" w:color="auto" w:sz="4" w:space="0"/>
                    <w:right w:val="single" w:color="auto" w:sz="4" w:space="0"/>
                  </w:tcBorders>
                  <w:vAlign w:val="center"/>
                </w:tcPr>
                <w:p w14:paraId="2AD14DC6">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400</w:t>
                  </w:r>
                </w:p>
              </w:tc>
              <w:tc>
                <w:tcPr>
                  <w:tcW w:w="718" w:type="dxa"/>
                  <w:tcBorders>
                    <w:top w:val="single" w:color="auto" w:sz="4" w:space="0"/>
                    <w:left w:val="single" w:color="auto" w:sz="4" w:space="0"/>
                    <w:bottom w:val="single" w:color="auto" w:sz="4" w:space="0"/>
                    <w:right w:val="single" w:color="auto" w:sz="4" w:space="0"/>
                  </w:tcBorders>
                  <w:vAlign w:val="center"/>
                </w:tcPr>
                <w:p w14:paraId="7A9B870A">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69E8906A">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30</w:t>
                  </w:r>
                </w:p>
              </w:tc>
              <w:tc>
                <w:tcPr>
                  <w:tcW w:w="1029" w:type="dxa"/>
                  <w:vMerge w:val="continue"/>
                  <w:tcBorders>
                    <w:left w:val="single" w:color="auto" w:sz="4" w:space="0"/>
                    <w:right w:val="single" w:color="auto" w:sz="4" w:space="0"/>
                  </w:tcBorders>
                  <w:vAlign w:val="center"/>
                </w:tcPr>
                <w:p w14:paraId="22A57260">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09537132">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NE</w:t>
                  </w:r>
                </w:p>
              </w:tc>
              <w:tc>
                <w:tcPr>
                  <w:tcW w:w="761" w:type="dxa"/>
                  <w:tcBorders>
                    <w:top w:val="single" w:color="auto" w:sz="4" w:space="0"/>
                    <w:left w:val="single" w:color="auto" w:sz="4" w:space="0"/>
                    <w:bottom w:val="single" w:color="auto" w:sz="4" w:space="0"/>
                    <w:right w:val="single" w:color="auto" w:sz="4" w:space="0"/>
                  </w:tcBorders>
                  <w:vAlign w:val="center"/>
                </w:tcPr>
                <w:p w14:paraId="14043572">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471</w:t>
                  </w:r>
                </w:p>
              </w:tc>
              <w:tc>
                <w:tcPr>
                  <w:tcW w:w="761" w:type="dxa"/>
                  <w:tcBorders>
                    <w:top w:val="single" w:color="auto" w:sz="4" w:space="0"/>
                    <w:left w:val="single" w:color="auto" w:sz="4" w:space="0"/>
                    <w:bottom w:val="single" w:color="auto" w:sz="4" w:space="0"/>
                    <w:right w:val="single" w:color="auto" w:sz="4" w:space="0"/>
                  </w:tcBorders>
                  <w:vAlign w:val="center"/>
                </w:tcPr>
                <w:p w14:paraId="4E9434D9">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D1-18</w:t>
                  </w:r>
                </w:p>
              </w:tc>
            </w:tr>
            <w:tr w14:paraId="7A2661A9">
              <w:tblPrEx>
                <w:tblCellMar>
                  <w:top w:w="0" w:type="dxa"/>
                  <w:left w:w="108" w:type="dxa"/>
                  <w:bottom w:w="0" w:type="dxa"/>
                  <w:right w:w="108" w:type="dxa"/>
                </w:tblCellMar>
              </w:tblPrEx>
              <w:trPr>
                <w:trHeight w:val="300" w:hRule="atLeast"/>
                <w:jc w:val="center"/>
              </w:trPr>
              <w:tc>
                <w:tcPr>
                  <w:tcW w:w="448" w:type="dxa"/>
                  <w:vMerge w:val="continue"/>
                  <w:tcBorders>
                    <w:left w:val="single" w:color="auto" w:sz="4" w:space="0"/>
                    <w:right w:val="single" w:color="auto" w:sz="4" w:space="0"/>
                  </w:tcBorders>
                  <w:vAlign w:val="center"/>
                </w:tcPr>
                <w:p w14:paraId="1830C931">
                  <w:pPr>
                    <w:spacing w:after="0"/>
                    <w:jc w:val="center"/>
                    <w:rPr>
                      <w:rFonts w:ascii="Times New Roman" w:hAnsi="Times New Roman" w:cs="宋体"/>
                      <w:color w:val="auto"/>
                      <w:szCs w:val="21"/>
                      <w:highlight w:val="none"/>
                    </w:rPr>
                  </w:pPr>
                </w:p>
              </w:tc>
              <w:tc>
                <w:tcPr>
                  <w:tcW w:w="570" w:type="dxa"/>
                  <w:vMerge w:val="continue"/>
                  <w:tcBorders>
                    <w:left w:val="single" w:color="auto" w:sz="4" w:space="0"/>
                    <w:right w:val="single" w:color="auto" w:sz="4" w:space="0"/>
                  </w:tcBorders>
                  <w:vAlign w:val="center"/>
                </w:tcPr>
                <w:p w14:paraId="6855A9E7">
                  <w:pPr>
                    <w:spacing w:after="0"/>
                    <w:jc w:val="center"/>
                    <w:rPr>
                      <w:rFonts w:ascii="Times New Roman" w:hAnsi="Times New Roman"/>
                      <w:color w:val="auto"/>
                      <w:szCs w:val="21"/>
                      <w:highlight w:val="none"/>
                    </w:rPr>
                  </w:pP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14:paraId="0B6C8735">
                  <w:pPr>
                    <w:widowControl/>
                    <w:spacing w:after="0"/>
                    <w:jc w:val="center"/>
                    <w:textAlignment w:val="center"/>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kern w:val="2"/>
                      <w:sz w:val="21"/>
                      <w:szCs w:val="21"/>
                      <w:highlight w:val="none"/>
                      <w:lang w:val="en-US" w:eastAsia="zh-CN" w:bidi="ar-SA"/>
                    </w:rPr>
                    <w:t>史圩村</w:t>
                  </w:r>
                </w:p>
              </w:tc>
              <w:tc>
                <w:tcPr>
                  <w:tcW w:w="615" w:type="dxa"/>
                  <w:tcBorders>
                    <w:top w:val="single" w:color="auto" w:sz="4" w:space="0"/>
                    <w:left w:val="single" w:color="auto" w:sz="4" w:space="0"/>
                    <w:bottom w:val="single" w:color="auto" w:sz="4" w:space="0"/>
                    <w:right w:val="single" w:color="auto" w:sz="4" w:space="0"/>
                  </w:tcBorders>
                  <w:vAlign w:val="center"/>
                </w:tcPr>
                <w:p w14:paraId="09780FB0">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150</w:t>
                  </w:r>
                </w:p>
              </w:tc>
              <w:tc>
                <w:tcPr>
                  <w:tcW w:w="705" w:type="dxa"/>
                  <w:tcBorders>
                    <w:top w:val="single" w:color="auto" w:sz="4" w:space="0"/>
                    <w:left w:val="single" w:color="auto" w:sz="4" w:space="0"/>
                    <w:bottom w:val="single" w:color="auto" w:sz="4" w:space="0"/>
                    <w:right w:val="single" w:color="auto" w:sz="4" w:space="0"/>
                  </w:tcBorders>
                  <w:vAlign w:val="center"/>
                </w:tcPr>
                <w:p w14:paraId="5291E5C0">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63</w:t>
                  </w:r>
                </w:p>
              </w:tc>
              <w:tc>
                <w:tcPr>
                  <w:tcW w:w="718" w:type="dxa"/>
                  <w:tcBorders>
                    <w:top w:val="single" w:color="auto" w:sz="4" w:space="0"/>
                    <w:left w:val="single" w:color="auto" w:sz="4" w:space="0"/>
                    <w:bottom w:val="single" w:color="auto" w:sz="4" w:space="0"/>
                    <w:right w:val="single" w:color="auto" w:sz="4" w:space="0"/>
                  </w:tcBorders>
                  <w:vAlign w:val="center"/>
                </w:tcPr>
                <w:p w14:paraId="037D8FAC">
                  <w:pPr>
                    <w:widowControl/>
                    <w:spacing w:after="0"/>
                    <w:jc w:val="center"/>
                    <w:textAlignment w:val="center"/>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居民</w:t>
                  </w:r>
                </w:p>
              </w:tc>
              <w:tc>
                <w:tcPr>
                  <w:tcW w:w="705" w:type="dxa"/>
                  <w:tcBorders>
                    <w:top w:val="single" w:color="auto" w:sz="4" w:space="0"/>
                    <w:left w:val="single" w:color="auto" w:sz="4" w:space="0"/>
                    <w:bottom w:val="single" w:color="auto" w:sz="4" w:space="0"/>
                    <w:right w:val="single" w:color="auto" w:sz="4" w:space="0"/>
                  </w:tcBorders>
                  <w:vAlign w:val="center"/>
                </w:tcPr>
                <w:p w14:paraId="2C27562B">
                  <w:pPr>
                    <w:widowControl/>
                    <w:spacing w:after="0"/>
                    <w:jc w:val="center"/>
                    <w:textAlignment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200</w:t>
                  </w:r>
                </w:p>
              </w:tc>
              <w:tc>
                <w:tcPr>
                  <w:tcW w:w="1029" w:type="dxa"/>
                  <w:vMerge w:val="continue"/>
                  <w:tcBorders>
                    <w:left w:val="single" w:color="auto" w:sz="4" w:space="0"/>
                    <w:right w:val="single" w:color="auto" w:sz="4" w:space="0"/>
                  </w:tcBorders>
                  <w:vAlign w:val="center"/>
                </w:tcPr>
                <w:p w14:paraId="5CB9D577">
                  <w:pPr>
                    <w:spacing w:after="0"/>
                    <w:jc w:val="center"/>
                    <w:rPr>
                      <w:rFonts w:ascii="Times New Roman" w:hAnsi="Times New Roman" w:cs="宋体"/>
                      <w:color w:val="auto"/>
                      <w:szCs w:val="21"/>
                      <w:highlight w:val="none"/>
                    </w:rPr>
                  </w:pPr>
                </w:p>
              </w:tc>
              <w:tc>
                <w:tcPr>
                  <w:tcW w:w="641" w:type="dxa"/>
                  <w:tcBorders>
                    <w:top w:val="single" w:color="auto" w:sz="4" w:space="0"/>
                    <w:left w:val="single" w:color="auto" w:sz="4" w:space="0"/>
                    <w:bottom w:val="single" w:color="auto" w:sz="4" w:space="0"/>
                    <w:right w:val="single" w:color="auto" w:sz="4" w:space="0"/>
                  </w:tcBorders>
                  <w:vAlign w:val="center"/>
                </w:tcPr>
                <w:p w14:paraId="1436DCB0">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NE</w:t>
                  </w:r>
                </w:p>
              </w:tc>
              <w:tc>
                <w:tcPr>
                  <w:tcW w:w="761" w:type="dxa"/>
                  <w:tcBorders>
                    <w:top w:val="single" w:color="auto" w:sz="4" w:space="0"/>
                    <w:left w:val="single" w:color="auto" w:sz="4" w:space="0"/>
                    <w:bottom w:val="single" w:color="auto" w:sz="4" w:space="0"/>
                    <w:right w:val="single" w:color="auto" w:sz="4" w:space="0"/>
                  </w:tcBorders>
                  <w:vAlign w:val="center"/>
                </w:tcPr>
                <w:p w14:paraId="67A4537B">
                  <w:pPr>
                    <w:widowControl/>
                    <w:spacing w:after="0"/>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164</w:t>
                  </w:r>
                </w:p>
              </w:tc>
              <w:tc>
                <w:tcPr>
                  <w:tcW w:w="761" w:type="dxa"/>
                  <w:tcBorders>
                    <w:top w:val="single" w:color="auto" w:sz="4" w:space="0"/>
                    <w:left w:val="single" w:color="auto" w:sz="4" w:space="0"/>
                    <w:bottom w:val="single" w:color="auto" w:sz="4" w:space="0"/>
                    <w:right w:val="single" w:color="auto" w:sz="4" w:space="0"/>
                  </w:tcBorders>
                  <w:vAlign w:val="center"/>
                </w:tcPr>
                <w:p w14:paraId="2C5421A2">
                  <w:pPr>
                    <w:widowControl/>
                    <w:spacing w:after="0"/>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D1-19</w:t>
                  </w:r>
                </w:p>
              </w:tc>
            </w:tr>
            <w:tr w14:paraId="384E0AC3">
              <w:tblPrEx>
                <w:tblCellMar>
                  <w:top w:w="0" w:type="dxa"/>
                  <w:left w:w="108" w:type="dxa"/>
                  <w:bottom w:w="0" w:type="dxa"/>
                  <w:right w:w="108" w:type="dxa"/>
                </w:tblCellMar>
              </w:tblPrEx>
              <w:trPr>
                <w:trHeight w:val="285" w:hRule="atLeast"/>
                <w:jc w:val="center"/>
              </w:trPr>
              <w:tc>
                <w:tcPr>
                  <w:tcW w:w="7852" w:type="dxa"/>
                  <w:gridSpan w:val="11"/>
                  <w:tcBorders>
                    <w:top w:val="single" w:color="auto" w:sz="4" w:space="0"/>
                    <w:left w:val="single" w:color="auto" w:sz="4" w:space="0"/>
                    <w:bottom w:val="single" w:color="auto" w:sz="4" w:space="0"/>
                    <w:right w:val="single" w:color="auto" w:sz="4" w:space="0"/>
                  </w:tcBorders>
                  <w:vAlign w:val="center"/>
                </w:tcPr>
                <w:p w14:paraId="00FFBC1A">
                  <w:pPr>
                    <w:widowControl/>
                    <w:spacing w:after="0"/>
                    <w:jc w:val="left"/>
                    <w:textAlignment w:val="center"/>
                    <w:rPr>
                      <w:rStyle w:val="48"/>
                      <w:rFonts w:hint="default" w:ascii="Times New Roman" w:hAnsi="Times New Roman"/>
                      <w:color w:val="auto"/>
                      <w:highlight w:val="none"/>
                    </w:rPr>
                  </w:pPr>
                  <w:r>
                    <w:rPr>
                      <w:rStyle w:val="48"/>
                      <w:rFonts w:hint="default" w:ascii="Times New Roman" w:hAnsi="Times New Roman"/>
                      <w:color w:val="auto"/>
                      <w:highlight w:val="none"/>
                    </w:rPr>
                    <w:t>注：本项目以各井场中心为原点，东侧方向为</w:t>
                  </w:r>
                  <w:r>
                    <w:rPr>
                      <w:rStyle w:val="49"/>
                      <w:color w:val="auto"/>
                      <w:highlight w:val="none"/>
                    </w:rPr>
                    <w:t>X</w:t>
                  </w:r>
                  <w:r>
                    <w:rPr>
                      <w:rStyle w:val="48"/>
                      <w:rFonts w:hint="default" w:ascii="Times New Roman" w:hAnsi="Times New Roman"/>
                      <w:color w:val="auto"/>
                      <w:highlight w:val="none"/>
                    </w:rPr>
                    <w:t>轴、北侧方向为</w:t>
                  </w:r>
                  <w:r>
                    <w:rPr>
                      <w:rStyle w:val="49"/>
                      <w:color w:val="auto"/>
                      <w:highlight w:val="none"/>
                    </w:rPr>
                    <w:t>Y</w:t>
                  </w:r>
                  <w:r>
                    <w:rPr>
                      <w:rStyle w:val="48"/>
                      <w:rFonts w:hint="default" w:ascii="Times New Roman" w:hAnsi="Times New Roman"/>
                      <w:color w:val="auto"/>
                      <w:highlight w:val="none"/>
                    </w:rPr>
                    <w:t>轴，建立坐标系。</w:t>
                  </w:r>
                </w:p>
                <w:p w14:paraId="5DF65BAA">
                  <w:pPr>
                    <w:widowControl/>
                    <w:spacing w:after="0"/>
                    <w:jc w:val="left"/>
                    <w:textAlignment w:val="center"/>
                    <w:rPr>
                      <w:rStyle w:val="48"/>
                      <w:rFonts w:hint="default" w:ascii="Times New Roman" w:hAnsi="Times New Roman"/>
                      <w:color w:val="auto"/>
                      <w:highlight w:val="none"/>
                    </w:rPr>
                  </w:pPr>
                  <w:r>
                    <w:rPr>
                      <w:rStyle w:val="48"/>
                      <w:rFonts w:hint="default" w:ascii="Times New Roman" w:hAnsi="Times New Roman"/>
                      <w:color w:val="auto"/>
                      <w:highlight w:val="none"/>
                    </w:rPr>
                    <w:t>各井场涉及相同保护目标，保护内容以村庄总人数进行统计</w:t>
                  </w:r>
                </w:p>
              </w:tc>
            </w:tr>
          </w:tbl>
          <w:p w14:paraId="5B2FCC6A">
            <w:pPr>
              <w:spacing w:after="0" w:line="360" w:lineRule="auto"/>
              <w:ind w:firstLine="482" w:firstLineChars="200"/>
              <w:rPr>
                <w:rFonts w:hint="eastAsia" w:ascii="Times New Roman"/>
                <w:b/>
                <w:bCs/>
                <w:snapToGrid w:val="0"/>
                <w:color w:val="auto"/>
                <w:kern w:val="0"/>
                <w:sz w:val="24"/>
                <w:szCs w:val="28"/>
                <w:highlight w:val="none"/>
                <w:lang w:val="en-US" w:eastAsia="zh-CN"/>
              </w:rPr>
            </w:pPr>
            <w:r>
              <w:rPr>
                <w:rFonts w:hint="eastAsia" w:ascii="Times New Roman"/>
                <w:b/>
                <w:bCs/>
                <w:snapToGrid w:val="0"/>
                <w:color w:val="auto"/>
                <w:kern w:val="0"/>
                <w:sz w:val="24"/>
                <w:szCs w:val="28"/>
                <w:highlight w:val="none"/>
                <w:lang w:val="en-US" w:eastAsia="zh-CN"/>
              </w:rPr>
              <w:t>2、水环境</w:t>
            </w:r>
          </w:p>
          <w:p w14:paraId="47737BCA">
            <w:pPr>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本项目地表水体为</w:t>
            </w:r>
            <w:r>
              <w:rPr>
                <w:rFonts w:hint="eastAsia" w:ascii="Times New Roman" w:hAnsi="Times New Roman"/>
                <w:bCs/>
                <w:color w:val="auto"/>
                <w:sz w:val="24"/>
                <w:highlight w:val="none"/>
              </w:rPr>
              <w:t>淮河、</w:t>
            </w:r>
            <w:r>
              <w:rPr>
                <w:rFonts w:ascii="Times New Roman"/>
                <w:color w:val="auto"/>
                <w:sz w:val="24"/>
                <w:highlight w:val="none"/>
              </w:rPr>
              <w:t>茨淮新河</w:t>
            </w:r>
            <w:r>
              <w:rPr>
                <w:rFonts w:hint="eastAsia" w:ascii="Times New Roman"/>
                <w:color w:val="auto"/>
                <w:sz w:val="24"/>
                <w:highlight w:val="none"/>
              </w:rPr>
              <w:t>、</w:t>
            </w:r>
            <w:r>
              <w:rPr>
                <w:rFonts w:ascii="Times New Roman" w:hAnsi="Times New Roman"/>
                <w:bCs/>
                <w:color w:val="auto"/>
                <w:sz w:val="24"/>
                <w:highlight w:val="none"/>
              </w:rPr>
              <w:t>泥河</w:t>
            </w:r>
            <w:r>
              <w:rPr>
                <w:rFonts w:hint="eastAsia" w:ascii="Times New Roman" w:hAnsi="Times New Roman"/>
                <w:bCs/>
                <w:color w:val="auto"/>
                <w:sz w:val="24"/>
                <w:highlight w:val="none"/>
              </w:rPr>
              <w:t>、</w:t>
            </w:r>
            <w:r>
              <w:rPr>
                <w:rFonts w:hint="eastAsia" w:ascii="Times New Roman"/>
                <w:color w:val="auto"/>
                <w:sz w:val="24"/>
                <w:highlight w:val="none"/>
              </w:rPr>
              <w:t>利民新河、小黑河</w:t>
            </w:r>
            <w:r>
              <w:rPr>
                <w:rFonts w:ascii="Times New Roman" w:hAnsi="Times New Roman"/>
                <w:bCs/>
                <w:color w:val="auto"/>
                <w:sz w:val="24"/>
                <w:highlight w:val="none"/>
              </w:rPr>
              <w:t>，水质执行《地表水环境质量标准》（GB3838-2002）Ⅲ类标准。</w:t>
            </w:r>
          </w:p>
          <w:p w14:paraId="2617D819">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表3-7  地表水环境保护目标一览表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285"/>
              <w:gridCol w:w="1125"/>
              <w:gridCol w:w="1380"/>
              <w:gridCol w:w="956"/>
              <w:gridCol w:w="2238"/>
            </w:tblGrid>
            <w:tr w14:paraId="5F41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 w:hRule="atLeast"/>
                <w:jc w:val="center"/>
              </w:trPr>
              <w:tc>
                <w:tcPr>
                  <w:tcW w:w="546" w:type="pct"/>
                  <w:tcBorders>
                    <w:top w:val="single" w:color="auto" w:sz="4" w:space="0"/>
                    <w:left w:val="single" w:color="auto" w:sz="4" w:space="0"/>
                    <w:bottom w:val="single" w:color="auto" w:sz="4" w:space="0"/>
                    <w:right w:val="single" w:color="auto" w:sz="4" w:space="0"/>
                  </w:tcBorders>
                  <w:noWrap/>
                  <w:vAlign w:val="center"/>
                </w:tcPr>
                <w:p w14:paraId="01635597">
                  <w:pPr>
                    <w:spacing w:after="0"/>
                    <w:jc w:val="center"/>
                    <w:rPr>
                      <w:rFonts w:ascii="Times New Roman" w:hAnsi="Times New Roman"/>
                      <w:b/>
                      <w:bCs/>
                      <w:color w:val="auto"/>
                      <w:szCs w:val="21"/>
                      <w:highlight w:val="none"/>
                    </w:rPr>
                  </w:pPr>
                  <w:r>
                    <w:rPr>
                      <w:rFonts w:ascii="Times New Roman"/>
                      <w:b/>
                      <w:bCs/>
                      <w:color w:val="auto"/>
                      <w:szCs w:val="21"/>
                      <w:highlight w:val="none"/>
                    </w:rPr>
                    <w:t>环境要素</w:t>
                  </w:r>
                </w:p>
              </w:tc>
              <w:tc>
                <w:tcPr>
                  <w:tcW w:w="819" w:type="pct"/>
                  <w:tcBorders>
                    <w:top w:val="single" w:color="auto" w:sz="4" w:space="0"/>
                    <w:left w:val="nil"/>
                    <w:bottom w:val="single" w:color="auto" w:sz="4" w:space="0"/>
                    <w:right w:val="single" w:color="auto" w:sz="4" w:space="0"/>
                  </w:tcBorders>
                  <w:noWrap/>
                  <w:vAlign w:val="center"/>
                </w:tcPr>
                <w:p w14:paraId="705AC7DC">
                  <w:pPr>
                    <w:spacing w:after="0"/>
                    <w:jc w:val="center"/>
                    <w:rPr>
                      <w:rFonts w:ascii="Times New Roman" w:hAnsi="Times New Roman"/>
                      <w:b/>
                      <w:bCs/>
                      <w:color w:val="auto"/>
                      <w:szCs w:val="21"/>
                      <w:highlight w:val="none"/>
                    </w:rPr>
                  </w:pPr>
                  <w:r>
                    <w:rPr>
                      <w:rFonts w:ascii="Times New Roman"/>
                      <w:b/>
                      <w:bCs/>
                      <w:color w:val="auto"/>
                      <w:szCs w:val="21"/>
                      <w:highlight w:val="none"/>
                    </w:rPr>
                    <w:t>环境保护对象名称</w:t>
                  </w:r>
                </w:p>
              </w:tc>
              <w:tc>
                <w:tcPr>
                  <w:tcW w:w="717" w:type="pct"/>
                  <w:tcBorders>
                    <w:top w:val="single" w:color="auto" w:sz="4" w:space="0"/>
                    <w:left w:val="nil"/>
                    <w:bottom w:val="single" w:color="auto" w:sz="4" w:space="0"/>
                    <w:right w:val="single" w:color="auto" w:sz="4" w:space="0"/>
                  </w:tcBorders>
                  <w:noWrap/>
                  <w:vAlign w:val="center"/>
                </w:tcPr>
                <w:p w14:paraId="020CF069">
                  <w:pPr>
                    <w:spacing w:after="0"/>
                    <w:jc w:val="center"/>
                    <w:rPr>
                      <w:rFonts w:ascii="Times New Roman" w:hAnsi="Times New Roman"/>
                      <w:b/>
                      <w:bCs/>
                      <w:color w:val="auto"/>
                      <w:szCs w:val="21"/>
                      <w:highlight w:val="none"/>
                    </w:rPr>
                  </w:pPr>
                  <w:r>
                    <w:rPr>
                      <w:rFonts w:ascii="Times New Roman"/>
                      <w:b/>
                      <w:bCs/>
                      <w:color w:val="auto"/>
                      <w:szCs w:val="21"/>
                      <w:highlight w:val="none"/>
                    </w:rPr>
                    <w:t>方位</w:t>
                  </w:r>
                </w:p>
              </w:tc>
              <w:tc>
                <w:tcPr>
                  <w:tcW w:w="879" w:type="pct"/>
                  <w:tcBorders>
                    <w:top w:val="single" w:color="auto" w:sz="4" w:space="0"/>
                    <w:left w:val="nil"/>
                    <w:bottom w:val="single" w:color="auto" w:sz="4" w:space="0"/>
                    <w:right w:val="single" w:color="auto" w:sz="4" w:space="0"/>
                  </w:tcBorders>
                  <w:noWrap/>
                  <w:vAlign w:val="center"/>
                </w:tcPr>
                <w:p w14:paraId="4E869AB5">
                  <w:pPr>
                    <w:spacing w:after="0"/>
                    <w:ind w:left="-105" w:leftChars="-50" w:right="-105" w:rightChars="-50"/>
                    <w:jc w:val="center"/>
                    <w:rPr>
                      <w:rFonts w:ascii="Times New Roman" w:hAnsi="Times New Roman"/>
                      <w:b/>
                      <w:bCs/>
                      <w:color w:val="auto"/>
                      <w:szCs w:val="21"/>
                      <w:highlight w:val="none"/>
                    </w:rPr>
                  </w:pPr>
                  <w:r>
                    <w:rPr>
                      <w:rFonts w:ascii="Times New Roman"/>
                      <w:b/>
                      <w:bCs/>
                      <w:color w:val="auto"/>
                      <w:szCs w:val="21"/>
                      <w:highlight w:val="none"/>
                    </w:rPr>
                    <w:t>距项目边界最近距离</w:t>
                  </w:r>
                  <w:r>
                    <w:rPr>
                      <w:rFonts w:ascii="Times New Roman" w:hAnsi="Times New Roman"/>
                      <w:b/>
                      <w:bCs/>
                      <w:color w:val="auto"/>
                      <w:szCs w:val="21"/>
                      <w:highlight w:val="none"/>
                    </w:rPr>
                    <w:t>m</w:t>
                  </w:r>
                </w:p>
              </w:tc>
              <w:tc>
                <w:tcPr>
                  <w:tcW w:w="610" w:type="pct"/>
                  <w:tcBorders>
                    <w:top w:val="single" w:color="auto" w:sz="4" w:space="0"/>
                    <w:left w:val="nil"/>
                    <w:bottom w:val="single" w:color="auto" w:sz="4" w:space="0"/>
                    <w:right w:val="single" w:color="auto" w:sz="4" w:space="0"/>
                  </w:tcBorders>
                  <w:noWrap/>
                  <w:vAlign w:val="center"/>
                </w:tcPr>
                <w:p w14:paraId="4900B8BB">
                  <w:pPr>
                    <w:spacing w:after="0"/>
                    <w:jc w:val="center"/>
                    <w:rPr>
                      <w:rFonts w:ascii="Times New Roman" w:hAnsi="Times New Roman"/>
                      <w:b/>
                      <w:bCs/>
                      <w:color w:val="auto"/>
                      <w:szCs w:val="21"/>
                      <w:highlight w:val="none"/>
                    </w:rPr>
                  </w:pPr>
                  <w:r>
                    <w:rPr>
                      <w:rFonts w:ascii="Times New Roman"/>
                      <w:b/>
                      <w:bCs/>
                      <w:color w:val="auto"/>
                      <w:szCs w:val="21"/>
                      <w:highlight w:val="none"/>
                    </w:rPr>
                    <w:t>规模</w:t>
                  </w:r>
                </w:p>
              </w:tc>
              <w:tc>
                <w:tcPr>
                  <w:tcW w:w="1426" w:type="pct"/>
                  <w:tcBorders>
                    <w:top w:val="single" w:color="auto" w:sz="4" w:space="0"/>
                    <w:left w:val="nil"/>
                    <w:bottom w:val="single" w:color="auto" w:sz="4" w:space="0"/>
                    <w:right w:val="single" w:color="auto" w:sz="4" w:space="0"/>
                  </w:tcBorders>
                  <w:noWrap/>
                  <w:vAlign w:val="center"/>
                </w:tcPr>
                <w:p w14:paraId="0BF06B31">
                  <w:pPr>
                    <w:spacing w:after="0"/>
                    <w:jc w:val="center"/>
                    <w:rPr>
                      <w:rFonts w:ascii="Times New Roman" w:hAnsi="Times New Roman"/>
                      <w:b/>
                      <w:bCs/>
                      <w:color w:val="auto"/>
                      <w:szCs w:val="21"/>
                      <w:highlight w:val="none"/>
                    </w:rPr>
                  </w:pPr>
                  <w:r>
                    <w:rPr>
                      <w:rFonts w:ascii="Times New Roman"/>
                      <w:b/>
                      <w:bCs/>
                      <w:color w:val="auto"/>
                      <w:szCs w:val="21"/>
                      <w:highlight w:val="none"/>
                    </w:rPr>
                    <w:t>环境功能</w:t>
                  </w:r>
                </w:p>
              </w:tc>
            </w:tr>
            <w:tr w14:paraId="5D2A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546" w:type="pct"/>
                  <w:vMerge w:val="restart"/>
                  <w:tcBorders>
                    <w:top w:val="nil"/>
                    <w:left w:val="single" w:color="auto" w:sz="4" w:space="0"/>
                    <w:right w:val="single" w:color="auto" w:sz="4" w:space="0"/>
                  </w:tcBorders>
                  <w:noWrap/>
                  <w:vAlign w:val="center"/>
                </w:tcPr>
                <w:p w14:paraId="714322B9">
                  <w:pPr>
                    <w:spacing w:after="0"/>
                    <w:jc w:val="center"/>
                    <w:rPr>
                      <w:rFonts w:ascii="Times New Roman" w:hAnsi="Times New Roman"/>
                      <w:color w:val="auto"/>
                      <w:szCs w:val="21"/>
                      <w:highlight w:val="none"/>
                    </w:rPr>
                  </w:pPr>
                  <w:r>
                    <w:rPr>
                      <w:rFonts w:ascii="Times New Roman"/>
                      <w:color w:val="auto"/>
                      <w:szCs w:val="21"/>
                      <w:highlight w:val="none"/>
                    </w:rPr>
                    <w:t>地表水环境</w:t>
                  </w:r>
                </w:p>
              </w:tc>
              <w:tc>
                <w:tcPr>
                  <w:tcW w:w="819" w:type="pct"/>
                  <w:tcBorders>
                    <w:top w:val="single" w:color="auto" w:sz="4" w:space="0"/>
                    <w:left w:val="nil"/>
                    <w:right w:val="single" w:color="auto" w:sz="4" w:space="0"/>
                  </w:tcBorders>
                  <w:noWrap/>
                  <w:vAlign w:val="center"/>
                </w:tcPr>
                <w:p w14:paraId="101CF480">
                  <w:pPr>
                    <w:spacing w:after="0"/>
                    <w:jc w:val="center"/>
                    <w:rPr>
                      <w:rFonts w:ascii="Times New Roman" w:hAnsi="Times New Roman"/>
                      <w:color w:val="auto"/>
                      <w:szCs w:val="21"/>
                      <w:highlight w:val="none"/>
                    </w:rPr>
                  </w:pPr>
                  <w:r>
                    <w:rPr>
                      <w:rFonts w:ascii="Times New Roman"/>
                      <w:color w:val="auto"/>
                      <w:szCs w:val="21"/>
                      <w:highlight w:val="none"/>
                    </w:rPr>
                    <w:t>淮河</w:t>
                  </w:r>
                </w:p>
              </w:tc>
              <w:tc>
                <w:tcPr>
                  <w:tcW w:w="717" w:type="pct"/>
                  <w:tcBorders>
                    <w:top w:val="single" w:color="auto" w:sz="4" w:space="0"/>
                    <w:left w:val="nil"/>
                    <w:right w:val="single" w:color="auto" w:sz="4" w:space="0"/>
                  </w:tcBorders>
                  <w:noWrap/>
                  <w:vAlign w:val="center"/>
                </w:tcPr>
                <w:p w14:paraId="1915401A">
                  <w:pPr>
                    <w:spacing w:after="0" w:line="320" w:lineRule="exact"/>
                    <w:jc w:val="center"/>
                    <w:rPr>
                      <w:rFonts w:ascii="Times New Roman" w:hAnsi="Times New Roman"/>
                      <w:color w:val="auto"/>
                      <w:szCs w:val="21"/>
                      <w:highlight w:val="none"/>
                    </w:rPr>
                  </w:pPr>
                  <w:r>
                    <w:rPr>
                      <w:rFonts w:ascii="Times New Roman" w:hAnsi="Times New Roman"/>
                      <w:color w:val="auto"/>
                      <w:szCs w:val="21"/>
                      <w:highlight w:val="none"/>
                    </w:rPr>
                    <w:t>S</w:t>
                  </w:r>
                </w:p>
              </w:tc>
              <w:tc>
                <w:tcPr>
                  <w:tcW w:w="879" w:type="pct"/>
                  <w:tcBorders>
                    <w:top w:val="single" w:color="auto" w:sz="4" w:space="0"/>
                    <w:left w:val="nil"/>
                    <w:right w:val="single" w:color="auto" w:sz="4" w:space="0"/>
                  </w:tcBorders>
                  <w:noWrap/>
                  <w:vAlign w:val="center"/>
                </w:tcPr>
                <w:p w14:paraId="56EBA812">
                  <w:pPr>
                    <w:spacing w:after="0"/>
                    <w:jc w:val="center"/>
                    <w:rPr>
                      <w:rFonts w:ascii="Times New Roman" w:hAnsi="Times New Roman"/>
                      <w:color w:val="auto"/>
                      <w:szCs w:val="21"/>
                      <w:highlight w:val="none"/>
                    </w:rPr>
                  </w:pPr>
                  <w:r>
                    <w:rPr>
                      <w:rFonts w:hint="eastAsia" w:ascii="Times New Roman" w:hAnsi="Times New Roman"/>
                      <w:color w:val="auto"/>
                      <w:highlight w:val="none"/>
                    </w:rPr>
                    <w:t>15508</w:t>
                  </w:r>
                </w:p>
              </w:tc>
              <w:tc>
                <w:tcPr>
                  <w:tcW w:w="610" w:type="pct"/>
                  <w:tcBorders>
                    <w:top w:val="single" w:color="auto" w:sz="4" w:space="0"/>
                    <w:left w:val="nil"/>
                    <w:right w:val="single" w:color="auto" w:sz="4" w:space="0"/>
                  </w:tcBorders>
                  <w:noWrap/>
                  <w:vAlign w:val="center"/>
                </w:tcPr>
                <w:p w14:paraId="2B8FAEA6">
                  <w:pPr>
                    <w:spacing w:after="0"/>
                    <w:jc w:val="center"/>
                    <w:rPr>
                      <w:rFonts w:ascii="Times New Roman" w:hAnsi="Times New Roman"/>
                      <w:color w:val="auto"/>
                      <w:szCs w:val="21"/>
                      <w:highlight w:val="none"/>
                    </w:rPr>
                  </w:pPr>
                  <w:r>
                    <w:rPr>
                      <w:rFonts w:ascii="Times New Roman"/>
                      <w:color w:val="auto"/>
                      <w:szCs w:val="21"/>
                      <w:highlight w:val="none"/>
                    </w:rPr>
                    <w:t>大型</w:t>
                  </w:r>
                </w:p>
              </w:tc>
              <w:tc>
                <w:tcPr>
                  <w:tcW w:w="1426" w:type="pct"/>
                  <w:vMerge w:val="restart"/>
                  <w:tcBorders>
                    <w:top w:val="single" w:color="auto" w:sz="4" w:space="0"/>
                    <w:left w:val="nil"/>
                    <w:right w:val="single" w:color="auto" w:sz="4" w:space="0"/>
                  </w:tcBorders>
                  <w:noWrap/>
                  <w:vAlign w:val="center"/>
                </w:tcPr>
                <w:p w14:paraId="4CFF2AE3">
                  <w:pPr>
                    <w:spacing w:after="0"/>
                    <w:jc w:val="center"/>
                    <w:rPr>
                      <w:rFonts w:ascii="Times New Roman" w:hAnsi="Times New Roman"/>
                      <w:color w:val="auto"/>
                      <w:szCs w:val="21"/>
                      <w:highlight w:val="none"/>
                    </w:rPr>
                  </w:pPr>
                  <w:r>
                    <w:rPr>
                      <w:rFonts w:ascii="Times New Roman"/>
                      <w:color w:val="auto"/>
                      <w:szCs w:val="21"/>
                      <w:highlight w:val="none"/>
                    </w:rPr>
                    <w:t>《地表水环境质量标准》（</w:t>
                  </w:r>
                  <w:r>
                    <w:rPr>
                      <w:rFonts w:ascii="Times New Roman" w:hAnsi="Times New Roman"/>
                      <w:color w:val="auto"/>
                      <w:szCs w:val="21"/>
                      <w:highlight w:val="none"/>
                    </w:rPr>
                    <w:t>GB3838-2002</w:t>
                  </w:r>
                  <w:r>
                    <w:rPr>
                      <w:rFonts w:ascii="Times New Roman"/>
                      <w:color w:val="auto"/>
                      <w:szCs w:val="21"/>
                      <w:highlight w:val="none"/>
                    </w:rPr>
                    <w:t>）</w:t>
                  </w:r>
                  <w:r>
                    <w:rPr>
                      <w:rFonts w:ascii="Times New Roman" w:hAnsi="Times New Roman"/>
                      <w:color w:val="auto"/>
                      <w:szCs w:val="21"/>
                      <w:highlight w:val="none"/>
                    </w:rPr>
                    <w:t>Ⅲ</w:t>
                  </w:r>
                  <w:r>
                    <w:rPr>
                      <w:rFonts w:ascii="Times New Roman"/>
                      <w:color w:val="auto"/>
                      <w:szCs w:val="21"/>
                      <w:highlight w:val="none"/>
                    </w:rPr>
                    <w:t>类标准</w:t>
                  </w:r>
                </w:p>
              </w:tc>
            </w:tr>
            <w:tr w14:paraId="2E08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546" w:type="pct"/>
                  <w:vMerge w:val="continue"/>
                  <w:tcBorders>
                    <w:left w:val="single" w:color="auto" w:sz="4" w:space="0"/>
                    <w:right w:val="single" w:color="auto" w:sz="4" w:space="0"/>
                  </w:tcBorders>
                  <w:noWrap/>
                  <w:vAlign w:val="center"/>
                </w:tcPr>
                <w:p w14:paraId="51BFD1F2">
                  <w:pPr>
                    <w:spacing w:after="0"/>
                    <w:jc w:val="center"/>
                    <w:rPr>
                      <w:rFonts w:ascii="Times New Roman" w:hAnsi="Times New Roman"/>
                      <w:color w:val="auto"/>
                      <w:szCs w:val="21"/>
                      <w:highlight w:val="none"/>
                    </w:rPr>
                  </w:pPr>
                </w:p>
              </w:tc>
              <w:tc>
                <w:tcPr>
                  <w:tcW w:w="819" w:type="pct"/>
                  <w:tcBorders>
                    <w:top w:val="single" w:color="auto" w:sz="4" w:space="0"/>
                    <w:left w:val="nil"/>
                    <w:right w:val="single" w:color="auto" w:sz="4" w:space="0"/>
                  </w:tcBorders>
                  <w:noWrap/>
                  <w:vAlign w:val="center"/>
                </w:tcPr>
                <w:p w14:paraId="34F6D482">
                  <w:pPr>
                    <w:spacing w:after="0"/>
                    <w:jc w:val="center"/>
                    <w:rPr>
                      <w:rFonts w:ascii="Times New Roman" w:hAnsi="Times New Roman"/>
                      <w:color w:val="auto"/>
                      <w:szCs w:val="21"/>
                      <w:highlight w:val="none"/>
                    </w:rPr>
                  </w:pPr>
                  <w:r>
                    <w:rPr>
                      <w:rFonts w:ascii="Times New Roman"/>
                      <w:color w:val="auto"/>
                      <w:szCs w:val="21"/>
                      <w:highlight w:val="none"/>
                    </w:rPr>
                    <w:t>茨淮新河</w:t>
                  </w:r>
                </w:p>
              </w:tc>
              <w:tc>
                <w:tcPr>
                  <w:tcW w:w="717" w:type="pct"/>
                  <w:tcBorders>
                    <w:top w:val="single" w:color="auto" w:sz="4" w:space="0"/>
                    <w:left w:val="nil"/>
                    <w:right w:val="single" w:color="auto" w:sz="4" w:space="0"/>
                  </w:tcBorders>
                  <w:noWrap/>
                  <w:vAlign w:val="center"/>
                </w:tcPr>
                <w:p w14:paraId="258E580C">
                  <w:pPr>
                    <w:spacing w:after="0" w:line="320" w:lineRule="exact"/>
                    <w:jc w:val="center"/>
                    <w:rPr>
                      <w:rFonts w:ascii="Times New Roman" w:hAnsi="Times New Roman"/>
                      <w:color w:val="auto"/>
                      <w:szCs w:val="21"/>
                      <w:highlight w:val="none"/>
                    </w:rPr>
                  </w:pPr>
                  <w:r>
                    <w:rPr>
                      <w:rFonts w:ascii="Times New Roman" w:hAnsi="Times New Roman"/>
                      <w:color w:val="auto"/>
                      <w:szCs w:val="21"/>
                      <w:highlight w:val="none"/>
                    </w:rPr>
                    <w:t>N</w:t>
                  </w:r>
                </w:p>
              </w:tc>
              <w:tc>
                <w:tcPr>
                  <w:tcW w:w="879" w:type="pct"/>
                  <w:tcBorders>
                    <w:top w:val="single" w:color="auto" w:sz="4" w:space="0"/>
                    <w:left w:val="nil"/>
                    <w:right w:val="single" w:color="auto" w:sz="4" w:space="0"/>
                  </w:tcBorders>
                  <w:noWrap/>
                  <w:vAlign w:val="center"/>
                </w:tcPr>
                <w:p w14:paraId="585482BF">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4518</w:t>
                  </w:r>
                </w:p>
              </w:tc>
              <w:tc>
                <w:tcPr>
                  <w:tcW w:w="610" w:type="pct"/>
                  <w:tcBorders>
                    <w:top w:val="single" w:color="auto" w:sz="4" w:space="0"/>
                    <w:left w:val="nil"/>
                    <w:right w:val="single" w:color="auto" w:sz="4" w:space="0"/>
                  </w:tcBorders>
                  <w:noWrap/>
                  <w:vAlign w:val="center"/>
                </w:tcPr>
                <w:p w14:paraId="28135DD5">
                  <w:pPr>
                    <w:spacing w:after="0"/>
                    <w:jc w:val="center"/>
                    <w:rPr>
                      <w:rFonts w:ascii="Times New Roman" w:hAnsi="Times New Roman"/>
                      <w:color w:val="auto"/>
                      <w:szCs w:val="21"/>
                      <w:highlight w:val="none"/>
                    </w:rPr>
                  </w:pPr>
                  <w:r>
                    <w:rPr>
                      <w:rFonts w:hint="eastAsia" w:ascii="Times New Roman"/>
                      <w:color w:val="auto"/>
                      <w:szCs w:val="21"/>
                      <w:highlight w:val="none"/>
                    </w:rPr>
                    <w:t>大</w:t>
                  </w:r>
                  <w:r>
                    <w:rPr>
                      <w:rFonts w:ascii="Times New Roman"/>
                      <w:color w:val="auto"/>
                      <w:szCs w:val="21"/>
                      <w:highlight w:val="none"/>
                    </w:rPr>
                    <w:t>型</w:t>
                  </w:r>
                </w:p>
              </w:tc>
              <w:tc>
                <w:tcPr>
                  <w:tcW w:w="1426" w:type="pct"/>
                  <w:vMerge w:val="continue"/>
                  <w:tcBorders>
                    <w:left w:val="nil"/>
                    <w:right w:val="single" w:color="auto" w:sz="4" w:space="0"/>
                  </w:tcBorders>
                  <w:noWrap/>
                  <w:vAlign w:val="center"/>
                </w:tcPr>
                <w:p w14:paraId="2EA2C5C8">
                  <w:pPr>
                    <w:spacing w:after="0"/>
                    <w:jc w:val="center"/>
                    <w:rPr>
                      <w:rFonts w:ascii="Times New Roman" w:hAnsi="Times New Roman"/>
                      <w:color w:val="auto"/>
                      <w:szCs w:val="21"/>
                      <w:highlight w:val="none"/>
                    </w:rPr>
                  </w:pPr>
                </w:p>
              </w:tc>
            </w:tr>
            <w:tr w14:paraId="70BB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546" w:type="pct"/>
                  <w:vMerge w:val="continue"/>
                  <w:tcBorders>
                    <w:left w:val="single" w:color="auto" w:sz="4" w:space="0"/>
                    <w:right w:val="single" w:color="auto" w:sz="4" w:space="0"/>
                  </w:tcBorders>
                  <w:noWrap/>
                  <w:vAlign w:val="center"/>
                </w:tcPr>
                <w:p w14:paraId="5C1B4980">
                  <w:pPr>
                    <w:spacing w:after="0"/>
                    <w:jc w:val="center"/>
                    <w:rPr>
                      <w:rFonts w:ascii="Times New Roman" w:hAnsi="Times New Roman"/>
                      <w:color w:val="auto"/>
                      <w:szCs w:val="21"/>
                      <w:highlight w:val="none"/>
                    </w:rPr>
                  </w:pPr>
                </w:p>
              </w:tc>
              <w:tc>
                <w:tcPr>
                  <w:tcW w:w="819" w:type="pct"/>
                  <w:tcBorders>
                    <w:top w:val="single" w:color="auto" w:sz="4" w:space="0"/>
                    <w:left w:val="nil"/>
                    <w:bottom w:val="single" w:color="auto" w:sz="4" w:space="0"/>
                    <w:right w:val="single" w:color="auto" w:sz="4" w:space="0"/>
                  </w:tcBorders>
                  <w:noWrap/>
                  <w:vAlign w:val="center"/>
                </w:tcPr>
                <w:p w14:paraId="3F98E99C">
                  <w:pPr>
                    <w:spacing w:after="0"/>
                    <w:jc w:val="center"/>
                    <w:rPr>
                      <w:rFonts w:ascii="Times New Roman" w:hAnsi="Times New Roman"/>
                      <w:color w:val="auto"/>
                      <w:szCs w:val="21"/>
                      <w:highlight w:val="none"/>
                    </w:rPr>
                  </w:pPr>
                  <w:r>
                    <w:rPr>
                      <w:rFonts w:ascii="Times New Roman"/>
                      <w:color w:val="auto"/>
                      <w:szCs w:val="21"/>
                      <w:highlight w:val="none"/>
                    </w:rPr>
                    <w:t>泥河</w:t>
                  </w:r>
                </w:p>
              </w:tc>
              <w:tc>
                <w:tcPr>
                  <w:tcW w:w="717" w:type="pct"/>
                  <w:tcBorders>
                    <w:left w:val="nil"/>
                    <w:right w:val="single" w:color="auto" w:sz="4" w:space="0"/>
                  </w:tcBorders>
                  <w:noWrap/>
                  <w:vAlign w:val="center"/>
                </w:tcPr>
                <w:p w14:paraId="2E138C0F">
                  <w:pPr>
                    <w:spacing w:after="0"/>
                    <w:jc w:val="center"/>
                    <w:rPr>
                      <w:rFonts w:ascii="Times New Roman" w:hAnsi="Times New Roman"/>
                      <w:color w:val="auto"/>
                      <w:szCs w:val="21"/>
                      <w:highlight w:val="none"/>
                    </w:rPr>
                  </w:pPr>
                  <w:r>
                    <w:rPr>
                      <w:rFonts w:ascii="Times New Roman" w:hAnsi="Times New Roman"/>
                      <w:color w:val="auto"/>
                      <w:szCs w:val="21"/>
                      <w:highlight w:val="none"/>
                    </w:rPr>
                    <w:t>S</w:t>
                  </w:r>
                  <w:r>
                    <w:rPr>
                      <w:rFonts w:hint="eastAsia" w:ascii="Times New Roman" w:hAnsi="Times New Roman"/>
                      <w:color w:val="auto"/>
                      <w:szCs w:val="21"/>
                      <w:highlight w:val="none"/>
                    </w:rPr>
                    <w:t>W</w:t>
                  </w:r>
                </w:p>
              </w:tc>
              <w:tc>
                <w:tcPr>
                  <w:tcW w:w="879" w:type="pct"/>
                  <w:tcBorders>
                    <w:left w:val="nil"/>
                    <w:right w:val="single" w:color="auto" w:sz="4" w:space="0"/>
                  </w:tcBorders>
                  <w:noWrap/>
                  <w:vAlign w:val="center"/>
                </w:tcPr>
                <w:p w14:paraId="39E2328B">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2359</w:t>
                  </w:r>
                </w:p>
              </w:tc>
              <w:tc>
                <w:tcPr>
                  <w:tcW w:w="610" w:type="pct"/>
                  <w:tcBorders>
                    <w:left w:val="nil"/>
                    <w:right w:val="single" w:color="auto" w:sz="4" w:space="0"/>
                  </w:tcBorders>
                  <w:noWrap/>
                  <w:vAlign w:val="center"/>
                </w:tcPr>
                <w:p w14:paraId="71EB5A9E">
                  <w:pPr>
                    <w:spacing w:after="0"/>
                    <w:jc w:val="center"/>
                    <w:rPr>
                      <w:rFonts w:ascii="Times New Roman" w:hAnsi="Times New Roman"/>
                      <w:color w:val="auto"/>
                      <w:szCs w:val="21"/>
                      <w:highlight w:val="none"/>
                    </w:rPr>
                  </w:pPr>
                  <w:r>
                    <w:rPr>
                      <w:rFonts w:ascii="Times New Roman"/>
                      <w:color w:val="auto"/>
                      <w:szCs w:val="21"/>
                      <w:highlight w:val="none"/>
                    </w:rPr>
                    <w:t>小型</w:t>
                  </w:r>
                </w:p>
              </w:tc>
              <w:tc>
                <w:tcPr>
                  <w:tcW w:w="1426" w:type="pct"/>
                  <w:vMerge w:val="continue"/>
                  <w:tcBorders>
                    <w:left w:val="nil"/>
                    <w:right w:val="single" w:color="auto" w:sz="4" w:space="0"/>
                  </w:tcBorders>
                  <w:noWrap/>
                  <w:vAlign w:val="center"/>
                </w:tcPr>
                <w:p w14:paraId="280137F8">
                  <w:pPr>
                    <w:spacing w:after="0"/>
                    <w:jc w:val="center"/>
                    <w:rPr>
                      <w:rFonts w:ascii="Times New Roman" w:hAnsi="Times New Roman"/>
                      <w:color w:val="auto"/>
                      <w:szCs w:val="21"/>
                      <w:highlight w:val="none"/>
                    </w:rPr>
                  </w:pPr>
                </w:p>
              </w:tc>
            </w:tr>
            <w:tr w14:paraId="4097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546" w:type="pct"/>
                  <w:vMerge w:val="continue"/>
                  <w:tcBorders>
                    <w:left w:val="single" w:color="auto" w:sz="4" w:space="0"/>
                    <w:right w:val="single" w:color="auto" w:sz="4" w:space="0"/>
                  </w:tcBorders>
                  <w:noWrap/>
                  <w:vAlign w:val="center"/>
                </w:tcPr>
                <w:p w14:paraId="384030C7">
                  <w:pPr>
                    <w:spacing w:after="0"/>
                    <w:jc w:val="center"/>
                    <w:rPr>
                      <w:rFonts w:ascii="Times New Roman" w:hAnsi="Times New Roman"/>
                      <w:color w:val="auto"/>
                      <w:szCs w:val="21"/>
                      <w:highlight w:val="none"/>
                    </w:rPr>
                  </w:pPr>
                </w:p>
              </w:tc>
              <w:tc>
                <w:tcPr>
                  <w:tcW w:w="819" w:type="pct"/>
                  <w:tcBorders>
                    <w:top w:val="single" w:color="auto" w:sz="4" w:space="0"/>
                    <w:left w:val="nil"/>
                    <w:bottom w:val="single" w:color="auto" w:sz="4" w:space="0"/>
                    <w:right w:val="single" w:color="auto" w:sz="4" w:space="0"/>
                  </w:tcBorders>
                  <w:noWrap/>
                  <w:vAlign w:val="center"/>
                </w:tcPr>
                <w:p w14:paraId="5D3E7982">
                  <w:pPr>
                    <w:spacing w:after="0"/>
                    <w:jc w:val="center"/>
                    <w:rPr>
                      <w:rFonts w:ascii="Times New Roman"/>
                      <w:color w:val="auto"/>
                      <w:szCs w:val="21"/>
                      <w:highlight w:val="none"/>
                    </w:rPr>
                  </w:pPr>
                  <w:r>
                    <w:rPr>
                      <w:rFonts w:hint="eastAsia" w:ascii="Times New Roman"/>
                      <w:color w:val="auto"/>
                      <w:szCs w:val="21"/>
                      <w:highlight w:val="none"/>
                    </w:rPr>
                    <w:t>利民新河</w:t>
                  </w:r>
                </w:p>
              </w:tc>
              <w:tc>
                <w:tcPr>
                  <w:tcW w:w="717" w:type="pct"/>
                  <w:tcBorders>
                    <w:left w:val="nil"/>
                    <w:right w:val="single" w:color="auto" w:sz="4" w:space="0"/>
                  </w:tcBorders>
                  <w:noWrap/>
                  <w:vAlign w:val="center"/>
                </w:tcPr>
                <w:p w14:paraId="4FA7CC33">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W</w:t>
                  </w:r>
                </w:p>
              </w:tc>
              <w:tc>
                <w:tcPr>
                  <w:tcW w:w="879" w:type="pct"/>
                  <w:tcBorders>
                    <w:left w:val="nil"/>
                    <w:right w:val="single" w:color="auto" w:sz="4" w:space="0"/>
                  </w:tcBorders>
                  <w:noWrap/>
                  <w:vAlign w:val="center"/>
                </w:tcPr>
                <w:p w14:paraId="52009AF5">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761</w:t>
                  </w:r>
                </w:p>
              </w:tc>
              <w:tc>
                <w:tcPr>
                  <w:tcW w:w="610" w:type="pct"/>
                  <w:tcBorders>
                    <w:left w:val="nil"/>
                    <w:right w:val="single" w:color="auto" w:sz="4" w:space="0"/>
                  </w:tcBorders>
                  <w:noWrap/>
                  <w:vAlign w:val="center"/>
                </w:tcPr>
                <w:p w14:paraId="154AD2A6">
                  <w:pPr>
                    <w:spacing w:after="0"/>
                    <w:jc w:val="center"/>
                    <w:rPr>
                      <w:rFonts w:ascii="Times New Roman"/>
                      <w:color w:val="auto"/>
                      <w:szCs w:val="21"/>
                      <w:highlight w:val="none"/>
                    </w:rPr>
                  </w:pPr>
                  <w:r>
                    <w:rPr>
                      <w:rFonts w:ascii="Times New Roman"/>
                      <w:color w:val="auto"/>
                      <w:szCs w:val="21"/>
                      <w:highlight w:val="none"/>
                    </w:rPr>
                    <w:t>小型</w:t>
                  </w:r>
                </w:p>
              </w:tc>
              <w:tc>
                <w:tcPr>
                  <w:tcW w:w="1426" w:type="pct"/>
                  <w:vMerge w:val="continue"/>
                  <w:tcBorders>
                    <w:left w:val="nil"/>
                    <w:right w:val="single" w:color="auto" w:sz="4" w:space="0"/>
                  </w:tcBorders>
                  <w:noWrap/>
                  <w:vAlign w:val="center"/>
                </w:tcPr>
                <w:p w14:paraId="570DFD8B">
                  <w:pPr>
                    <w:spacing w:after="0"/>
                    <w:jc w:val="center"/>
                    <w:rPr>
                      <w:rFonts w:ascii="Times New Roman" w:hAnsi="Times New Roman"/>
                      <w:color w:val="auto"/>
                      <w:szCs w:val="21"/>
                      <w:highlight w:val="none"/>
                    </w:rPr>
                  </w:pPr>
                </w:p>
              </w:tc>
            </w:tr>
            <w:tr w14:paraId="6439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546" w:type="pct"/>
                  <w:vMerge w:val="continue"/>
                  <w:tcBorders>
                    <w:left w:val="single" w:color="auto" w:sz="4" w:space="0"/>
                    <w:right w:val="single" w:color="auto" w:sz="4" w:space="0"/>
                  </w:tcBorders>
                  <w:noWrap/>
                  <w:vAlign w:val="center"/>
                </w:tcPr>
                <w:p w14:paraId="4152CA81">
                  <w:pPr>
                    <w:spacing w:after="0"/>
                    <w:jc w:val="center"/>
                    <w:rPr>
                      <w:rFonts w:ascii="Times New Roman" w:hAnsi="Times New Roman"/>
                      <w:color w:val="auto"/>
                      <w:szCs w:val="21"/>
                      <w:highlight w:val="none"/>
                    </w:rPr>
                  </w:pPr>
                </w:p>
              </w:tc>
              <w:tc>
                <w:tcPr>
                  <w:tcW w:w="819" w:type="pct"/>
                  <w:tcBorders>
                    <w:top w:val="single" w:color="auto" w:sz="4" w:space="0"/>
                    <w:left w:val="nil"/>
                    <w:bottom w:val="single" w:color="auto" w:sz="4" w:space="0"/>
                    <w:right w:val="single" w:color="auto" w:sz="4" w:space="0"/>
                  </w:tcBorders>
                  <w:noWrap/>
                  <w:vAlign w:val="center"/>
                </w:tcPr>
                <w:p w14:paraId="1ACDC3E3">
                  <w:pPr>
                    <w:spacing w:after="0"/>
                    <w:jc w:val="center"/>
                    <w:rPr>
                      <w:rFonts w:ascii="Times New Roman"/>
                      <w:color w:val="auto"/>
                      <w:szCs w:val="21"/>
                      <w:highlight w:val="none"/>
                    </w:rPr>
                  </w:pPr>
                  <w:r>
                    <w:rPr>
                      <w:rFonts w:hint="eastAsia" w:ascii="Times New Roman"/>
                      <w:color w:val="auto"/>
                      <w:szCs w:val="21"/>
                      <w:highlight w:val="none"/>
                    </w:rPr>
                    <w:t>小黑河</w:t>
                  </w:r>
                </w:p>
              </w:tc>
              <w:tc>
                <w:tcPr>
                  <w:tcW w:w="717" w:type="pct"/>
                  <w:tcBorders>
                    <w:left w:val="nil"/>
                    <w:right w:val="single" w:color="auto" w:sz="4" w:space="0"/>
                  </w:tcBorders>
                  <w:noWrap/>
                  <w:vAlign w:val="center"/>
                </w:tcPr>
                <w:p w14:paraId="3503889A">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SW</w:t>
                  </w:r>
                </w:p>
              </w:tc>
              <w:tc>
                <w:tcPr>
                  <w:tcW w:w="879" w:type="pct"/>
                  <w:tcBorders>
                    <w:left w:val="nil"/>
                    <w:right w:val="single" w:color="auto" w:sz="4" w:space="0"/>
                  </w:tcBorders>
                  <w:noWrap/>
                  <w:vAlign w:val="center"/>
                </w:tcPr>
                <w:p w14:paraId="2DF4677B">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50</w:t>
                  </w:r>
                </w:p>
              </w:tc>
              <w:tc>
                <w:tcPr>
                  <w:tcW w:w="610" w:type="pct"/>
                  <w:tcBorders>
                    <w:left w:val="nil"/>
                    <w:right w:val="single" w:color="auto" w:sz="4" w:space="0"/>
                  </w:tcBorders>
                  <w:noWrap/>
                  <w:vAlign w:val="center"/>
                </w:tcPr>
                <w:p w14:paraId="1E109EA4">
                  <w:pPr>
                    <w:spacing w:after="0"/>
                    <w:jc w:val="center"/>
                    <w:rPr>
                      <w:rFonts w:ascii="Times New Roman"/>
                      <w:color w:val="auto"/>
                      <w:szCs w:val="21"/>
                      <w:highlight w:val="none"/>
                    </w:rPr>
                  </w:pPr>
                  <w:r>
                    <w:rPr>
                      <w:rFonts w:ascii="Times New Roman"/>
                      <w:color w:val="auto"/>
                      <w:szCs w:val="21"/>
                      <w:highlight w:val="none"/>
                    </w:rPr>
                    <w:t>小型</w:t>
                  </w:r>
                </w:p>
              </w:tc>
              <w:tc>
                <w:tcPr>
                  <w:tcW w:w="1426" w:type="pct"/>
                  <w:vMerge w:val="continue"/>
                  <w:tcBorders>
                    <w:left w:val="nil"/>
                    <w:right w:val="single" w:color="auto" w:sz="4" w:space="0"/>
                  </w:tcBorders>
                  <w:noWrap/>
                  <w:vAlign w:val="center"/>
                </w:tcPr>
                <w:p w14:paraId="40ACF40D">
                  <w:pPr>
                    <w:spacing w:after="0"/>
                    <w:jc w:val="center"/>
                    <w:rPr>
                      <w:rFonts w:ascii="Times New Roman" w:hAnsi="Times New Roman"/>
                      <w:color w:val="auto"/>
                      <w:szCs w:val="21"/>
                      <w:highlight w:val="none"/>
                    </w:rPr>
                  </w:pPr>
                </w:p>
              </w:tc>
            </w:tr>
          </w:tbl>
          <w:p w14:paraId="083A8523">
            <w:pPr>
              <w:spacing w:after="0" w:line="360" w:lineRule="auto"/>
              <w:ind w:firstLine="482" w:firstLineChars="200"/>
              <w:rPr>
                <w:rFonts w:hint="eastAsia" w:ascii="Times New Roman"/>
                <w:b/>
                <w:bCs/>
                <w:snapToGrid w:val="0"/>
                <w:color w:val="auto"/>
                <w:kern w:val="0"/>
                <w:sz w:val="24"/>
                <w:szCs w:val="28"/>
                <w:highlight w:val="none"/>
              </w:rPr>
            </w:pPr>
            <w:r>
              <w:rPr>
                <w:rFonts w:hint="eastAsia" w:ascii="Times New Roman"/>
                <w:b/>
                <w:bCs/>
                <w:snapToGrid w:val="0"/>
                <w:color w:val="auto"/>
                <w:kern w:val="0"/>
                <w:sz w:val="24"/>
                <w:szCs w:val="28"/>
                <w:highlight w:val="none"/>
                <w:lang w:val="en-US" w:eastAsia="zh-CN"/>
              </w:rPr>
              <w:t>3</w:t>
            </w:r>
            <w:r>
              <w:rPr>
                <w:rFonts w:hint="eastAsia" w:ascii="Times New Roman"/>
                <w:b/>
                <w:bCs/>
                <w:snapToGrid w:val="0"/>
                <w:color w:val="auto"/>
                <w:kern w:val="0"/>
                <w:sz w:val="24"/>
                <w:szCs w:val="28"/>
                <w:highlight w:val="none"/>
              </w:rPr>
              <w:t>、声环境</w:t>
            </w:r>
          </w:p>
          <w:p w14:paraId="787A5CA5">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本项目各井场外200m范围内声环境保护目标详见下表。</w:t>
            </w:r>
          </w:p>
          <w:p w14:paraId="564F242B">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表3-8  项目声环境保护目标一览表</w:t>
            </w:r>
          </w:p>
          <w:tbl>
            <w:tblPr>
              <w:tblStyle w:val="2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3"/>
              <w:gridCol w:w="747"/>
              <w:gridCol w:w="884"/>
              <w:gridCol w:w="767"/>
              <w:gridCol w:w="735"/>
              <w:gridCol w:w="799"/>
              <w:gridCol w:w="841"/>
              <w:gridCol w:w="1273"/>
              <w:gridCol w:w="1273"/>
            </w:tblGrid>
            <w:tr w14:paraId="439D5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523" w:type="dxa"/>
                  <w:vMerge w:val="restart"/>
                  <w:tcBorders>
                    <w:tl2br w:val="nil"/>
                    <w:tr2bl w:val="nil"/>
                  </w:tcBorders>
                  <w:vAlign w:val="center"/>
                </w:tcPr>
                <w:p w14:paraId="2E5A6233">
                  <w:pPr>
                    <w:widowControl/>
                    <w:spacing w:after="0"/>
                    <w:jc w:val="center"/>
                    <w:textAlignment w:val="center"/>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环境要素</w:t>
                  </w:r>
                </w:p>
              </w:tc>
              <w:tc>
                <w:tcPr>
                  <w:tcW w:w="747" w:type="dxa"/>
                  <w:vMerge w:val="restart"/>
                  <w:tcBorders>
                    <w:tl2br w:val="nil"/>
                    <w:tr2bl w:val="nil"/>
                  </w:tcBorders>
                  <w:vAlign w:val="center"/>
                </w:tcPr>
                <w:p w14:paraId="5A5C389E">
                  <w:pPr>
                    <w:widowControl/>
                    <w:spacing w:after="0"/>
                    <w:jc w:val="center"/>
                    <w:textAlignment w:val="center"/>
                    <w:rPr>
                      <w:rFonts w:ascii="Times New Roman" w:hAnsi="Times New Roman" w:eastAsia="宋体" w:cs="Times New Roman"/>
                      <w:b/>
                      <w:bCs/>
                      <w:color w:val="auto"/>
                      <w:kern w:val="0"/>
                      <w:sz w:val="21"/>
                      <w:szCs w:val="21"/>
                      <w:highlight w:val="none"/>
                    </w:rPr>
                  </w:pPr>
                  <w:r>
                    <w:rPr>
                      <w:rFonts w:hint="eastAsia" w:ascii="Times New Roman" w:hAnsi="Times New Roman" w:eastAsia="宋体" w:cs="Times New Roman"/>
                      <w:b/>
                      <w:bCs/>
                      <w:color w:val="auto"/>
                      <w:kern w:val="0"/>
                      <w:sz w:val="21"/>
                      <w:szCs w:val="21"/>
                      <w:highlight w:val="none"/>
                    </w:rPr>
                    <w:t>区域</w:t>
                  </w:r>
                </w:p>
              </w:tc>
              <w:tc>
                <w:tcPr>
                  <w:tcW w:w="884" w:type="dxa"/>
                  <w:vMerge w:val="restart"/>
                  <w:tcBorders>
                    <w:tl2br w:val="nil"/>
                    <w:tr2bl w:val="nil"/>
                  </w:tcBorders>
                  <w:vAlign w:val="center"/>
                </w:tcPr>
                <w:p w14:paraId="11D52C03">
                  <w:pPr>
                    <w:widowControl/>
                    <w:spacing w:after="0"/>
                    <w:jc w:val="center"/>
                    <w:textAlignment w:val="center"/>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kern w:val="0"/>
                      <w:sz w:val="21"/>
                      <w:szCs w:val="21"/>
                      <w:highlight w:val="none"/>
                    </w:rPr>
                    <w:t>名称</w:t>
                  </w:r>
                </w:p>
              </w:tc>
              <w:tc>
                <w:tcPr>
                  <w:tcW w:w="1502" w:type="dxa"/>
                  <w:gridSpan w:val="2"/>
                  <w:tcBorders>
                    <w:tl2br w:val="nil"/>
                    <w:tr2bl w:val="nil"/>
                  </w:tcBorders>
                  <w:vAlign w:val="center"/>
                </w:tcPr>
                <w:p w14:paraId="1E552BCE">
                  <w:pPr>
                    <w:widowControl/>
                    <w:spacing w:after="0"/>
                    <w:jc w:val="center"/>
                    <w:textAlignment w:val="center"/>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空间相对位置</w:t>
                  </w:r>
                </w:p>
              </w:tc>
              <w:tc>
                <w:tcPr>
                  <w:tcW w:w="799" w:type="dxa"/>
                  <w:vMerge w:val="restart"/>
                  <w:tcBorders>
                    <w:tl2br w:val="nil"/>
                    <w:tr2bl w:val="nil"/>
                  </w:tcBorders>
                  <w:vAlign w:val="center"/>
                </w:tcPr>
                <w:p w14:paraId="2986119D">
                  <w:pPr>
                    <w:widowControl/>
                    <w:spacing w:after="0"/>
                    <w:jc w:val="center"/>
                    <w:textAlignment w:val="center"/>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距厂界最近距离</w:t>
                  </w:r>
                </w:p>
              </w:tc>
              <w:tc>
                <w:tcPr>
                  <w:tcW w:w="841" w:type="dxa"/>
                  <w:vMerge w:val="restart"/>
                  <w:tcBorders>
                    <w:tl2br w:val="nil"/>
                    <w:tr2bl w:val="nil"/>
                  </w:tcBorders>
                  <w:vAlign w:val="center"/>
                </w:tcPr>
                <w:p w14:paraId="0FEF0906">
                  <w:pPr>
                    <w:widowControl/>
                    <w:spacing w:after="0"/>
                    <w:jc w:val="center"/>
                    <w:textAlignment w:val="center"/>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方位</w:t>
                  </w:r>
                </w:p>
              </w:tc>
              <w:tc>
                <w:tcPr>
                  <w:tcW w:w="1273" w:type="dxa"/>
                  <w:vMerge w:val="restart"/>
                  <w:tcBorders>
                    <w:tl2br w:val="nil"/>
                    <w:tr2bl w:val="nil"/>
                  </w:tcBorders>
                  <w:vAlign w:val="center"/>
                </w:tcPr>
                <w:p w14:paraId="2B2CC63B">
                  <w:pPr>
                    <w:widowControl/>
                    <w:spacing w:after="0"/>
                    <w:jc w:val="center"/>
                    <w:textAlignment w:val="center"/>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功能区类别</w:t>
                  </w:r>
                </w:p>
              </w:tc>
              <w:tc>
                <w:tcPr>
                  <w:tcW w:w="1273" w:type="dxa"/>
                  <w:vMerge w:val="restart"/>
                  <w:tcBorders>
                    <w:tl2br w:val="nil"/>
                    <w:tr2bl w:val="nil"/>
                  </w:tcBorders>
                  <w:vAlign w:val="center"/>
                </w:tcPr>
                <w:p w14:paraId="1E91B61B">
                  <w:pPr>
                    <w:widowControl/>
                    <w:spacing w:after="0"/>
                    <w:jc w:val="center"/>
                    <w:textAlignment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备注</w:t>
                  </w:r>
                </w:p>
              </w:tc>
            </w:tr>
            <w:tr w14:paraId="67EB8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523" w:type="dxa"/>
                  <w:vMerge w:val="continue"/>
                  <w:tcBorders>
                    <w:tl2br w:val="nil"/>
                    <w:tr2bl w:val="nil"/>
                  </w:tcBorders>
                  <w:vAlign w:val="center"/>
                </w:tcPr>
                <w:p w14:paraId="0D4413B1">
                  <w:pPr>
                    <w:widowControl/>
                    <w:spacing w:after="0"/>
                    <w:jc w:val="center"/>
                    <w:textAlignment w:val="center"/>
                    <w:rPr>
                      <w:rFonts w:ascii="Times New Roman" w:hAnsi="Times New Roman" w:eastAsia="宋体" w:cs="Times New Roman"/>
                      <w:color w:val="auto"/>
                      <w:kern w:val="0"/>
                      <w:sz w:val="21"/>
                      <w:szCs w:val="21"/>
                      <w:highlight w:val="none"/>
                    </w:rPr>
                  </w:pPr>
                </w:p>
              </w:tc>
              <w:tc>
                <w:tcPr>
                  <w:tcW w:w="747" w:type="dxa"/>
                  <w:vMerge w:val="continue"/>
                  <w:tcBorders>
                    <w:tl2br w:val="nil"/>
                    <w:tr2bl w:val="nil"/>
                  </w:tcBorders>
                  <w:vAlign w:val="center"/>
                </w:tcPr>
                <w:p w14:paraId="62AB39E7">
                  <w:pPr>
                    <w:widowControl/>
                    <w:spacing w:after="0"/>
                    <w:jc w:val="center"/>
                    <w:textAlignment w:val="center"/>
                    <w:rPr>
                      <w:rFonts w:ascii="Times New Roman" w:hAnsi="Times New Roman" w:eastAsia="宋体" w:cs="Times New Roman"/>
                      <w:color w:val="auto"/>
                      <w:kern w:val="0"/>
                      <w:sz w:val="21"/>
                      <w:szCs w:val="21"/>
                      <w:highlight w:val="none"/>
                    </w:rPr>
                  </w:pPr>
                </w:p>
              </w:tc>
              <w:tc>
                <w:tcPr>
                  <w:tcW w:w="884" w:type="dxa"/>
                  <w:vMerge w:val="continue"/>
                  <w:tcBorders>
                    <w:tl2br w:val="nil"/>
                    <w:tr2bl w:val="nil"/>
                  </w:tcBorders>
                  <w:vAlign w:val="center"/>
                </w:tcPr>
                <w:p w14:paraId="074EA67D">
                  <w:pPr>
                    <w:widowControl/>
                    <w:spacing w:after="0"/>
                    <w:jc w:val="center"/>
                    <w:textAlignment w:val="center"/>
                    <w:rPr>
                      <w:rFonts w:ascii="Times New Roman" w:hAnsi="Times New Roman" w:eastAsia="宋体" w:cs="Times New Roman"/>
                      <w:color w:val="auto"/>
                      <w:kern w:val="0"/>
                      <w:sz w:val="21"/>
                      <w:szCs w:val="21"/>
                      <w:highlight w:val="none"/>
                    </w:rPr>
                  </w:pPr>
                </w:p>
              </w:tc>
              <w:tc>
                <w:tcPr>
                  <w:tcW w:w="767" w:type="dxa"/>
                  <w:tcBorders>
                    <w:tl2br w:val="nil"/>
                    <w:tr2bl w:val="nil"/>
                  </w:tcBorders>
                  <w:vAlign w:val="center"/>
                </w:tcPr>
                <w:p w14:paraId="3152D7F5">
                  <w:pPr>
                    <w:widowControl/>
                    <w:spacing w:after="0"/>
                    <w:jc w:val="center"/>
                    <w:textAlignment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kern w:val="0"/>
                      <w:sz w:val="21"/>
                      <w:szCs w:val="21"/>
                      <w:highlight w:val="none"/>
                    </w:rPr>
                    <w:t>X</w:t>
                  </w:r>
                </w:p>
              </w:tc>
              <w:tc>
                <w:tcPr>
                  <w:tcW w:w="735" w:type="dxa"/>
                  <w:tcBorders>
                    <w:tl2br w:val="nil"/>
                    <w:tr2bl w:val="nil"/>
                  </w:tcBorders>
                  <w:vAlign w:val="center"/>
                </w:tcPr>
                <w:p w14:paraId="4B895B21">
                  <w:pPr>
                    <w:widowControl/>
                    <w:spacing w:after="0"/>
                    <w:jc w:val="center"/>
                    <w:textAlignment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kern w:val="0"/>
                      <w:sz w:val="21"/>
                      <w:szCs w:val="21"/>
                      <w:highlight w:val="none"/>
                    </w:rPr>
                    <w:t>Y</w:t>
                  </w:r>
                </w:p>
              </w:tc>
              <w:tc>
                <w:tcPr>
                  <w:tcW w:w="799" w:type="dxa"/>
                  <w:vMerge w:val="continue"/>
                  <w:tcBorders>
                    <w:tl2br w:val="nil"/>
                    <w:tr2bl w:val="nil"/>
                  </w:tcBorders>
                  <w:vAlign w:val="center"/>
                </w:tcPr>
                <w:p w14:paraId="6EFEBABF">
                  <w:pPr>
                    <w:widowControl/>
                    <w:spacing w:after="0"/>
                    <w:jc w:val="center"/>
                    <w:textAlignment w:val="center"/>
                    <w:rPr>
                      <w:rFonts w:ascii="Times New Roman" w:hAnsi="Times New Roman" w:eastAsia="宋体" w:cs="Times New Roman"/>
                      <w:color w:val="auto"/>
                      <w:kern w:val="0"/>
                      <w:sz w:val="21"/>
                      <w:szCs w:val="21"/>
                      <w:highlight w:val="none"/>
                    </w:rPr>
                  </w:pPr>
                </w:p>
              </w:tc>
              <w:tc>
                <w:tcPr>
                  <w:tcW w:w="841" w:type="dxa"/>
                  <w:vMerge w:val="continue"/>
                  <w:tcBorders>
                    <w:tl2br w:val="nil"/>
                    <w:tr2bl w:val="nil"/>
                  </w:tcBorders>
                  <w:vAlign w:val="center"/>
                </w:tcPr>
                <w:p w14:paraId="3380A256">
                  <w:pPr>
                    <w:widowControl/>
                    <w:spacing w:after="0"/>
                    <w:jc w:val="center"/>
                    <w:textAlignment w:val="center"/>
                    <w:rPr>
                      <w:rFonts w:ascii="Times New Roman" w:hAnsi="Times New Roman" w:eastAsia="宋体" w:cs="Times New Roman"/>
                      <w:color w:val="auto"/>
                      <w:kern w:val="0"/>
                      <w:sz w:val="21"/>
                      <w:szCs w:val="21"/>
                      <w:highlight w:val="none"/>
                    </w:rPr>
                  </w:pPr>
                </w:p>
              </w:tc>
              <w:tc>
                <w:tcPr>
                  <w:tcW w:w="1273" w:type="dxa"/>
                  <w:vMerge w:val="continue"/>
                  <w:tcBorders>
                    <w:tl2br w:val="nil"/>
                    <w:tr2bl w:val="nil"/>
                  </w:tcBorders>
                  <w:vAlign w:val="center"/>
                </w:tcPr>
                <w:p w14:paraId="006CB7DE">
                  <w:pPr>
                    <w:widowControl/>
                    <w:spacing w:after="0"/>
                    <w:jc w:val="center"/>
                    <w:textAlignment w:val="center"/>
                    <w:rPr>
                      <w:rFonts w:ascii="Times New Roman" w:hAnsi="Times New Roman" w:eastAsia="宋体" w:cs="Times New Roman"/>
                      <w:color w:val="auto"/>
                      <w:kern w:val="0"/>
                      <w:sz w:val="21"/>
                      <w:szCs w:val="21"/>
                      <w:highlight w:val="none"/>
                    </w:rPr>
                  </w:pPr>
                </w:p>
              </w:tc>
              <w:tc>
                <w:tcPr>
                  <w:tcW w:w="1273" w:type="dxa"/>
                  <w:vMerge w:val="continue"/>
                  <w:tcBorders>
                    <w:tl2br w:val="nil"/>
                    <w:tr2bl w:val="nil"/>
                  </w:tcBorders>
                  <w:vAlign w:val="center"/>
                </w:tcPr>
                <w:p w14:paraId="6DC9FFEB">
                  <w:pPr>
                    <w:widowControl/>
                    <w:spacing w:after="0"/>
                    <w:jc w:val="center"/>
                    <w:textAlignment w:val="center"/>
                    <w:rPr>
                      <w:rFonts w:ascii="Times New Roman" w:hAnsi="Times New Roman" w:eastAsia="宋体" w:cs="Times New Roman"/>
                      <w:color w:val="auto"/>
                      <w:kern w:val="0"/>
                      <w:sz w:val="21"/>
                      <w:szCs w:val="21"/>
                      <w:highlight w:val="none"/>
                    </w:rPr>
                  </w:pPr>
                </w:p>
              </w:tc>
            </w:tr>
            <w:tr w14:paraId="5FAE7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523" w:type="dxa"/>
                  <w:vMerge w:val="continue"/>
                  <w:tcBorders>
                    <w:tl2br w:val="nil"/>
                    <w:tr2bl w:val="nil"/>
                  </w:tcBorders>
                  <w:vAlign w:val="center"/>
                </w:tcPr>
                <w:p w14:paraId="69FCD4C6">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restart"/>
                  <w:tcBorders>
                    <w:tl2br w:val="nil"/>
                    <w:tr2bl w:val="nil"/>
                  </w:tcBorders>
                  <w:vAlign w:val="center"/>
                </w:tcPr>
                <w:p w14:paraId="08FEC8C5">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8</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5F074DCE">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小胡庄</w:t>
                  </w:r>
                </w:p>
              </w:tc>
              <w:tc>
                <w:tcPr>
                  <w:tcW w:w="767" w:type="dxa"/>
                  <w:tcBorders>
                    <w:tl2br w:val="nil"/>
                    <w:tr2bl w:val="nil"/>
                  </w:tcBorders>
                  <w:vAlign w:val="center"/>
                </w:tcPr>
                <w:p w14:paraId="5164F3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164</w:t>
                  </w:r>
                </w:p>
              </w:tc>
              <w:tc>
                <w:tcPr>
                  <w:tcW w:w="735" w:type="dxa"/>
                  <w:tcBorders>
                    <w:tl2br w:val="nil"/>
                    <w:tr2bl w:val="nil"/>
                  </w:tcBorders>
                  <w:vAlign w:val="center"/>
                </w:tcPr>
                <w:p w14:paraId="270E73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33</w:t>
                  </w:r>
                </w:p>
              </w:tc>
              <w:tc>
                <w:tcPr>
                  <w:tcW w:w="799" w:type="dxa"/>
                  <w:tcBorders>
                    <w:tl2br w:val="nil"/>
                    <w:tr2bl w:val="nil"/>
                  </w:tcBorders>
                  <w:vAlign w:val="center"/>
                </w:tcPr>
                <w:p w14:paraId="61762E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166</w:t>
                  </w:r>
                </w:p>
              </w:tc>
              <w:tc>
                <w:tcPr>
                  <w:tcW w:w="841" w:type="dxa"/>
                  <w:tcBorders>
                    <w:tl2br w:val="nil"/>
                    <w:tr2bl w:val="nil"/>
                  </w:tcBorders>
                  <w:vAlign w:val="center"/>
                </w:tcPr>
                <w:p w14:paraId="59ED83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NE</w:t>
                  </w:r>
                </w:p>
              </w:tc>
              <w:tc>
                <w:tcPr>
                  <w:tcW w:w="1273" w:type="dxa"/>
                  <w:vMerge w:val="restart"/>
                  <w:tcBorders>
                    <w:tl2br w:val="nil"/>
                    <w:tr2bl w:val="nil"/>
                  </w:tcBorders>
                  <w:vAlign w:val="center"/>
                </w:tcPr>
                <w:p w14:paraId="31B5EF06">
                  <w:pPr>
                    <w:spacing w:after="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《声环境质量标准》（GB3096-2008）1类标准</w:t>
                  </w:r>
                </w:p>
              </w:tc>
              <w:tc>
                <w:tcPr>
                  <w:tcW w:w="1273" w:type="dxa"/>
                  <w:tcBorders>
                    <w:tl2br w:val="nil"/>
                    <w:tr2bl w:val="nil"/>
                  </w:tcBorders>
                  <w:vAlign w:val="center"/>
                </w:tcPr>
                <w:p w14:paraId="188FC874">
                  <w:pPr>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58300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2222D4C1">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continue"/>
                  <w:tcBorders>
                    <w:tl2br w:val="nil"/>
                    <w:tr2bl w:val="nil"/>
                  </w:tcBorders>
                  <w:vAlign w:val="center"/>
                </w:tcPr>
                <w:p w14:paraId="10908AEB">
                  <w:pPr>
                    <w:widowControl/>
                    <w:spacing w:after="0"/>
                    <w:jc w:val="center"/>
                    <w:textAlignment w:val="center"/>
                    <w:rPr>
                      <w:rStyle w:val="49"/>
                      <w:rFonts w:hint="eastAsia" w:ascii="Times New Roman" w:hAnsi="Times New Roman" w:eastAsia="宋体" w:cs="Times New Roman"/>
                      <w:color w:val="auto"/>
                      <w:sz w:val="21"/>
                      <w:szCs w:val="21"/>
                      <w:highlight w:val="none"/>
                    </w:rPr>
                  </w:pPr>
                </w:p>
              </w:tc>
              <w:tc>
                <w:tcPr>
                  <w:tcW w:w="884" w:type="dxa"/>
                  <w:tcBorders>
                    <w:tl2br w:val="nil"/>
                    <w:tr2bl w:val="nil"/>
                  </w:tcBorders>
                  <w:vAlign w:val="center"/>
                </w:tcPr>
                <w:p w14:paraId="28041E06">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訾庄</w:t>
                  </w:r>
                </w:p>
              </w:tc>
              <w:tc>
                <w:tcPr>
                  <w:tcW w:w="767" w:type="dxa"/>
                  <w:tcBorders>
                    <w:tl2br w:val="nil"/>
                    <w:tr2bl w:val="nil"/>
                  </w:tcBorders>
                  <w:vAlign w:val="center"/>
                </w:tcPr>
                <w:p w14:paraId="0D0FED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60</w:t>
                  </w:r>
                </w:p>
              </w:tc>
              <w:tc>
                <w:tcPr>
                  <w:tcW w:w="735" w:type="dxa"/>
                  <w:tcBorders>
                    <w:tl2br w:val="nil"/>
                    <w:tr2bl w:val="nil"/>
                  </w:tcBorders>
                  <w:vAlign w:val="center"/>
                </w:tcPr>
                <w:p w14:paraId="38C375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w:t>
                  </w:r>
                  <w:r>
                    <w:rPr>
                      <w:rFonts w:hint="eastAsia" w:ascii="Times New Roman" w:hAnsi="Times New Roman" w:cs="Times New Roman"/>
                      <w:b w:val="0"/>
                      <w:bCs w:val="0"/>
                      <w:color w:val="auto"/>
                      <w:kern w:val="0"/>
                      <w:sz w:val="21"/>
                      <w:szCs w:val="21"/>
                      <w:lang w:val="en-US" w:eastAsia="zh-CN" w:bidi="ar"/>
                    </w:rPr>
                    <w:t>98</w:t>
                  </w:r>
                </w:p>
              </w:tc>
              <w:tc>
                <w:tcPr>
                  <w:tcW w:w="799" w:type="dxa"/>
                  <w:tcBorders>
                    <w:tl2br w:val="nil"/>
                    <w:tr2bl w:val="nil"/>
                  </w:tcBorders>
                  <w:vAlign w:val="center"/>
                </w:tcPr>
                <w:p w14:paraId="44DC5D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215</w:t>
                  </w:r>
                </w:p>
              </w:tc>
              <w:tc>
                <w:tcPr>
                  <w:tcW w:w="841" w:type="dxa"/>
                  <w:tcBorders>
                    <w:tl2br w:val="nil"/>
                    <w:tr2bl w:val="nil"/>
                  </w:tcBorders>
                  <w:vAlign w:val="center"/>
                </w:tcPr>
                <w:p w14:paraId="03C100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NE</w:t>
                  </w:r>
                </w:p>
              </w:tc>
              <w:tc>
                <w:tcPr>
                  <w:tcW w:w="1273" w:type="dxa"/>
                  <w:vMerge w:val="continue"/>
                  <w:tcBorders>
                    <w:tl2br w:val="nil"/>
                    <w:tr2bl w:val="nil"/>
                  </w:tcBorders>
                  <w:vAlign w:val="center"/>
                </w:tcPr>
                <w:p w14:paraId="0B85F1E7">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vAlign w:val="center"/>
                </w:tcPr>
                <w:p w14:paraId="3E9C9642">
                  <w:pPr>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02138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6E6B413A">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restart"/>
                  <w:tcBorders>
                    <w:tl2br w:val="nil"/>
                    <w:tr2bl w:val="nil"/>
                  </w:tcBorders>
                  <w:vAlign w:val="center"/>
                </w:tcPr>
                <w:p w14:paraId="6694C34D">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9</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6C73058F">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訾庄</w:t>
                  </w:r>
                </w:p>
              </w:tc>
              <w:tc>
                <w:tcPr>
                  <w:tcW w:w="767" w:type="dxa"/>
                  <w:tcBorders>
                    <w:tl2br w:val="nil"/>
                    <w:tr2bl w:val="nil"/>
                  </w:tcBorders>
                  <w:vAlign w:val="center"/>
                </w:tcPr>
                <w:p w14:paraId="2E4D4E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70</w:t>
                  </w:r>
                </w:p>
              </w:tc>
              <w:tc>
                <w:tcPr>
                  <w:tcW w:w="735" w:type="dxa"/>
                  <w:tcBorders>
                    <w:tl2br w:val="nil"/>
                    <w:tr2bl w:val="nil"/>
                  </w:tcBorders>
                  <w:vAlign w:val="center"/>
                </w:tcPr>
                <w:p w14:paraId="2DBA4C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w:t>
                  </w:r>
                </w:p>
              </w:tc>
              <w:tc>
                <w:tcPr>
                  <w:tcW w:w="799" w:type="dxa"/>
                  <w:tcBorders>
                    <w:tl2br w:val="nil"/>
                    <w:tr2bl w:val="nil"/>
                  </w:tcBorders>
                  <w:vAlign w:val="center"/>
                </w:tcPr>
                <w:p w14:paraId="53F702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70</w:t>
                  </w:r>
                </w:p>
              </w:tc>
              <w:tc>
                <w:tcPr>
                  <w:tcW w:w="841" w:type="dxa"/>
                  <w:tcBorders>
                    <w:tl2br w:val="nil"/>
                    <w:tr2bl w:val="nil"/>
                  </w:tcBorders>
                  <w:vAlign w:val="center"/>
                </w:tcPr>
                <w:p w14:paraId="3DAC3C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NE</w:t>
                  </w:r>
                </w:p>
              </w:tc>
              <w:tc>
                <w:tcPr>
                  <w:tcW w:w="1273" w:type="dxa"/>
                  <w:vMerge w:val="continue"/>
                  <w:tcBorders>
                    <w:tl2br w:val="nil"/>
                    <w:tr2bl w:val="nil"/>
                  </w:tcBorders>
                  <w:vAlign w:val="center"/>
                </w:tcPr>
                <w:p w14:paraId="45944B75">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vAlign w:val="center"/>
                </w:tcPr>
                <w:p w14:paraId="025BA009">
                  <w:pPr>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3779D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73906B90">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continue"/>
                  <w:tcBorders>
                    <w:tl2br w:val="nil"/>
                    <w:tr2bl w:val="nil"/>
                  </w:tcBorders>
                  <w:vAlign w:val="center"/>
                </w:tcPr>
                <w:p w14:paraId="6D66688D">
                  <w:pPr>
                    <w:widowControl/>
                    <w:spacing w:after="0"/>
                    <w:jc w:val="center"/>
                    <w:textAlignment w:val="center"/>
                    <w:rPr>
                      <w:rStyle w:val="49"/>
                      <w:rFonts w:hint="eastAsia" w:ascii="Times New Roman" w:hAnsi="Times New Roman" w:eastAsia="宋体" w:cs="Times New Roman"/>
                      <w:color w:val="auto"/>
                      <w:sz w:val="21"/>
                      <w:szCs w:val="21"/>
                      <w:highlight w:val="none"/>
                    </w:rPr>
                  </w:pPr>
                </w:p>
              </w:tc>
              <w:tc>
                <w:tcPr>
                  <w:tcW w:w="884" w:type="dxa"/>
                  <w:tcBorders>
                    <w:tl2br w:val="nil"/>
                    <w:tr2bl w:val="nil"/>
                  </w:tcBorders>
                  <w:vAlign w:val="center"/>
                </w:tcPr>
                <w:p w14:paraId="74467FA2">
                  <w:pPr>
                    <w:widowControl/>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小胡庄</w:t>
                  </w:r>
                </w:p>
              </w:tc>
              <w:tc>
                <w:tcPr>
                  <w:tcW w:w="767" w:type="dxa"/>
                  <w:tcBorders>
                    <w:tl2br w:val="nil"/>
                    <w:tr2bl w:val="nil"/>
                  </w:tcBorders>
                  <w:vAlign w:val="center"/>
                </w:tcPr>
                <w:p w14:paraId="698A3F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200</w:t>
                  </w:r>
                </w:p>
              </w:tc>
              <w:tc>
                <w:tcPr>
                  <w:tcW w:w="735" w:type="dxa"/>
                  <w:tcBorders>
                    <w:tl2br w:val="nil"/>
                    <w:tr2bl w:val="nil"/>
                  </w:tcBorders>
                  <w:vAlign w:val="center"/>
                </w:tcPr>
                <w:p w14:paraId="1DEB3F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-45</w:t>
                  </w:r>
                </w:p>
              </w:tc>
              <w:tc>
                <w:tcPr>
                  <w:tcW w:w="799" w:type="dxa"/>
                  <w:tcBorders>
                    <w:tl2br w:val="nil"/>
                    <w:tr2bl w:val="nil"/>
                  </w:tcBorders>
                  <w:vAlign w:val="center"/>
                </w:tcPr>
                <w:p w14:paraId="07279B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222</w:t>
                  </w:r>
                </w:p>
              </w:tc>
              <w:tc>
                <w:tcPr>
                  <w:tcW w:w="841" w:type="dxa"/>
                  <w:tcBorders>
                    <w:tl2br w:val="nil"/>
                    <w:tr2bl w:val="nil"/>
                  </w:tcBorders>
                  <w:vAlign w:val="center"/>
                </w:tcPr>
                <w:p w14:paraId="00287D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SE</w:t>
                  </w:r>
                </w:p>
              </w:tc>
              <w:tc>
                <w:tcPr>
                  <w:tcW w:w="1273" w:type="dxa"/>
                  <w:vMerge w:val="continue"/>
                  <w:tcBorders>
                    <w:tl2br w:val="nil"/>
                    <w:tr2bl w:val="nil"/>
                  </w:tcBorders>
                  <w:vAlign w:val="center"/>
                </w:tcPr>
                <w:p w14:paraId="53AAD68D">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vAlign w:val="center"/>
                </w:tcPr>
                <w:p w14:paraId="21CA4CBC">
                  <w:pPr>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36C1E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5" w:hRule="atLeast"/>
                <w:jc w:val="center"/>
              </w:trPr>
              <w:tc>
                <w:tcPr>
                  <w:tcW w:w="523" w:type="dxa"/>
                  <w:vMerge w:val="continue"/>
                  <w:tcBorders>
                    <w:tl2br w:val="nil"/>
                    <w:tr2bl w:val="nil"/>
                  </w:tcBorders>
                  <w:vAlign w:val="center"/>
                </w:tcPr>
                <w:p w14:paraId="62FEDFDD">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tcBorders>
                    <w:tl2br w:val="nil"/>
                    <w:tr2bl w:val="nil"/>
                  </w:tcBorders>
                  <w:vAlign w:val="center"/>
                </w:tcPr>
                <w:p w14:paraId="3E472FBF">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10</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2C44DF3C">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訾庄</w:t>
                  </w:r>
                </w:p>
              </w:tc>
              <w:tc>
                <w:tcPr>
                  <w:tcW w:w="767" w:type="dxa"/>
                  <w:tcBorders>
                    <w:tl2br w:val="nil"/>
                    <w:tr2bl w:val="nil"/>
                  </w:tcBorders>
                  <w:vAlign w:val="center"/>
                </w:tcPr>
                <w:p w14:paraId="7D1B2F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30</w:t>
                  </w:r>
                </w:p>
              </w:tc>
              <w:tc>
                <w:tcPr>
                  <w:tcW w:w="735" w:type="dxa"/>
                  <w:tcBorders>
                    <w:tl2br w:val="nil"/>
                    <w:tr2bl w:val="nil"/>
                  </w:tcBorders>
                  <w:vAlign w:val="center"/>
                </w:tcPr>
                <w:p w14:paraId="69B5A7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799" w:type="dxa"/>
                  <w:tcBorders>
                    <w:tl2br w:val="nil"/>
                    <w:tr2bl w:val="nil"/>
                  </w:tcBorders>
                  <w:vAlign w:val="center"/>
                </w:tcPr>
                <w:p w14:paraId="0246F2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7</w:t>
                  </w:r>
                  <w:r>
                    <w:rPr>
                      <w:rFonts w:hint="eastAsia" w:ascii="Times New Roman" w:hAnsi="Times New Roman" w:cs="Times New Roman"/>
                      <w:b w:val="0"/>
                      <w:bCs w:val="0"/>
                      <w:color w:val="auto"/>
                      <w:kern w:val="0"/>
                      <w:sz w:val="21"/>
                      <w:szCs w:val="21"/>
                      <w:lang w:val="en-US" w:eastAsia="zh-CN" w:bidi="ar"/>
                    </w:rPr>
                    <w:t>3</w:t>
                  </w:r>
                </w:p>
              </w:tc>
              <w:tc>
                <w:tcPr>
                  <w:tcW w:w="841" w:type="dxa"/>
                  <w:tcBorders>
                    <w:tl2br w:val="nil"/>
                    <w:tr2bl w:val="nil"/>
                  </w:tcBorders>
                  <w:vAlign w:val="center"/>
                </w:tcPr>
                <w:p w14:paraId="15B39D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SE</w:t>
                  </w:r>
                </w:p>
              </w:tc>
              <w:tc>
                <w:tcPr>
                  <w:tcW w:w="1273" w:type="dxa"/>
                  <w:vMerge w:val="continue"/>
                  <w:tcBorders>
                    <w:tl2br w:val="nil"/>
                    <w:tr2bl w:val="nil"/>
                  </w:tcBorders>
                  <w:vAlign w:val="center"/>
                </w:tcPr>
                <w:p w14:paraId="42831C53">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shd w:val="clear" w:color="auto" w:fill="auto"/>
                  <w:vAlign w:val="center"/>
                </w:tcPr>
                <w:p w14:paraId="379361BB">
                  <w:pPr>
                    <w:spacing w:after="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r>
            <w:tr w14:paraId="137EA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130FD217">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tcBorders>
                    <w:tl2br w:val="nil"/>
                    <w:tr2bl w:val="nil"/>
                  </w:tcBorders>
                  <w:vAlign w:val="center"/>
                </w:tcPr>
                <w:p w14:paraId="125ECEDD">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11</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17B1F84F">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訾庄</w:t>
                  </w:r>
                </w:p>
              </w:tc>
              <w:tc>
                <w:tcPr>
                  <w:tcW w:w="767" w:type="dxa"/>
                  <w:tcBorders>
                    <w:tl2br w:val="nil"/>
                    <w:tr2bl w:val="nil"/>
                  </w:tcBorders>
                  <w:vAlign w:val="center"/>
                </w:tcPr>
                <w:p w14:paraId="0ED240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735" w:type="dxa"/>
                  <w:tcBorders>
                    <w:tl2br w:val="nil"/>
                    <w:tr2bl w:val="nil"/>
                  </w:tcBorders>
                  <w:vAlign w:val="center"/>
                </w:tcPr>
                <w:p w14:paraId="33F028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-183</w:t>
                  </w:r>
                </w:p>
              </w:tc>
              <w:tc>
                <w:tcPr>
                  <w:tcW w:w="799" w:type="dxa"/>
                  <w:tcBorders>
                    <w:tl2br w:val="nil"/>
                    <w:tr2bl w:val="nil"/>
                  </w:tcBorders>
                  <w:vAlign w:val="center"/>
                </w:tcPr>
                <w:p w14:paraId="6D2E26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182</w:t>
                  </w:r>
                </w:p>
              </w:tc>
              <w:tc>
                <w:tcPr>
                  <w:tcW w:w="841" w:type="dxa"/>
                  <w:tcBorders>
                    <w:tl2br w:val="nil"/>
                    <w:tr2bl w:val="nil"/>
                  </w:tcBorders>
                  <w:vAlign w:val="center"/>
                </w:tcPr>
                <w:p w14:paraId="500EDD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SE</w:t>
                  </w:r>
                </w:p>
              </w:tc>
              <w:tc>
                <w:tcPr>
                  <w:tcW w:w="1273" w:type="dxa"/>
                  <w:vMerge w:val="continue"/>
                  <w:tcBorders>
                    <w:tl2br w:val="nil"/>
                    <w:tr2bl w:val="nil"/>
                  </w:tcBorders>
                  <w:vAlign w:val="center"/>
                </w:tcPr>
                <w:p w14:paraId="0B0AB0D8">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shd w:val="clear" w:color="auto" w:fill="auto"/>
                  <w:vAlign w:val="center"/>
                </w:tcPr>
                <w:p w14:paraId="5B05E80A">
                  <w:pPr>
                    <w:spacing w:after="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r>
            <w:tr w14:paraId="47B7A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171D8CB0">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tcBorders>
                    <w:tl2br w:val="nil"/>
                    <w:tr2bl w:val="nil"/>
                  </w:tcBorders>
                  <w:vAlign w:val="center"/>
                </w:tcPr>
                <w:p w14:paraId="7E3B3183">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16</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318E83ED">
                  <w:pPr>
                    <w:widowControl/>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后王庄</w:t>
                  </w:r>
                </w:p>
              </w:tc>
              <w:tc>
                <w:tcPr>
                  <w:tcW w:w="767" w:type="dxa"/>
                  <w:tcBorders>
                    <w:tl2br w:val="nil"/>
                    <w:tr2bl w:val="nil"/>
                  </w:tcBorders>
                  <w:vAlign w:val="center"/>
                </w:tcPr>
                <w:p w14:paraId="101336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25</w:t>
                  </w:r>
                </w:p>
              </w:tc>
              <w:tc>
                <w:tcPr>
                  <w:tcW w:w="735" w:type="dxa"/>
                  <w:tcBorders>
                    <w:tl2br w:val="nil"/>
                    <w:tr2bl w:val="nil"/>
                  </w:tcBorders>
                  <w:vAlign w:val="center"/>
                </w:tcPr>
                <w:p w14:paraId="0CD2A2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-121</w:t>
                  </w:r>
                </w:p>
              </w:tc>
              <w:tc>
                <w:tcPr>
                  <w:tcW w:w="799" w:type="dxa"/>
                  <w:tcBorders>
                    <w:tl2br w:val="nil"/>
                    <w:tr2bl w:val="nil"/>
                  </w:tcBorders>
                  <w:vAlign w:val="center"/>
                </w:tcPr>
                <w:p w14:paraId="1D228F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132</w:t>
                  </w:r>
                </w:p>
              </w:tc>
              <w:tc>
                <w:tcPr>
                  <w:tcW w:w="841" w:type="dxa"/>
                  <w:tcBorders>
                    <w:tl2br w:val="nil"/>
                    <w:tr2bl w:val="nil"/>
                  </w:tcBorders>
                  <w:vAlign w:val="center"/>
                </w:tcPr>
                <w:p w14:paraId="0CF737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SE</w:t>
                  </w:r>
                </w:p>
              </w:tc>
              <w:tc>
                <w:tcPr>
                  <w:tcW w:w="1273" w:type="dxa"/>
                  <w:vMerge w:val="continue"/>
                  <w:tcBorders>
                    <w:tl2br w:val="nil"/>
                    <w:tr2bl w:val="nil"/>
                  </w:tcBorders>
                  <w:vAlign w:val="center"/>
                </w:tcPr>
                <w:p w14:paraId="5806FEED">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shd w:val="clear" w:color="auto" w:fill="auto"/>
                  <w:vAlign w:val="center"/>
                </w:tcPr>
                <w:p w14:paraId="268D6292">
                  <w:pPr>
                    <w:spacing w:after="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r>
            <w:tr w14:paraId="15B8A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0C2E132A">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restart"/>
                  <w:tcBorders>
                    <w:tl2br w:val="nil"/>
                    <w:tr2bl w:val="nil"/>
                  </w:tcBorders>
                  <w:vAlign w:val="center"/>
                </w:tcPr>
                <w:p w14:paraId="0C186379">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17</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29B4C045">
                  <w:pPr>
                    <w:widowControl/>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后王庄</w:t>
                  </w:r>
                </w:p>
              </w:tc>
              <w:tc>
                <w:tcPr>
                  <w:tcW w:w="767" w:type="dxa"/>
                  <w:tcBorders>
                    <w:tl2br w:val="nil"/>
                    <w:tr2bl w:val="nil"/>
                  </w:tcBorders>
                  <w:vAlign w:val="center"/>
                </w:tcPr>
                <w:p w14:paraId="315F0E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0</w:t>
                  </w:r>
                </w:p>
              </w:tc>
              <w:tc>
                <w:tcPr>
                  <w:tcW w:w="735" w:type="dxa"/>
                  <w:tcBorders>
                    <w:tl2br w:val="nil"/>
                    <w:tr2bl w:val="nil"/>
                  </w:tcBorders>
                  <w:vAlign w:val="center"/>
                </w:tcPr>
                <w:p w14:paraId="6FA1F8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-32</w:t>
                  </w:r>
                </w:p>
              </w:tc>
              <w:tc>
                <w:tcPr>
                  <w:tcW w:w="799" w:type="dxa"/>
                  <w:tcBorders>
                    <w:tl2br w:val="nil"/>
                    <w:tr2bl w:val="nil"/>
                  </w:tcBorders>
                  <w:vAlign w:val="center"/>
                </w:tcPr>
                <w:p w14:paraId="77F904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32</w:t>
                  </w:r>
                </w:p>
              </w:tc>
              <w:tc>
                <w:tcPr>
                  <w:tcW w:w="841" w:type="dxa"/>
                  <w:tcBorders>
                    <w:tl2br w:val="nil"/>
                    <w:tr2bl w:val="nil"/>
                  </w:tcBorders>
                  <w:vAlign w:val="center"/>
                </w:tcPr>
                <w:p w14:paraId="42E7AA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t>
                  </w:r>
                </w:p>
              </w:tc>
              <w:tc>
                <w:tcPr>
                  <w:tcW w:w="1273" w:type="dxa"/>
                  <w:vMerge w:val="continue"/>
                  <w:tcBorders>
                    <w:tl2br w:val="nil"/>
                    <w:tr2bl w:val="nil"/>
                  </w:tcBorders>
                  <w:vAlign w:val="center"/>
                </w:tcPr>
                <w:p w14:paraId="4CE7C083">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shd w:val="clear" w:color="auto" w:fill="auto"/>
                  <w:vAlign w:val="center"/>
                </w:tcPr>
                <w:p w14:paraId="1F684D81">
                  <w:pPr>
                    <w:spacing w:after="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r>
            <w:tr w14:paraId="24F8F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7ABD43D2">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continue"/>
                  <w:tcBorders>
                    <w:tl2br w:val="nil"/>
                    <w:tr2bl w:val="nil"/>
                  </w:tcBorders>
                  <w:vAlign w:val="center"/>
                </w:tcPr>
                <w:p w14:paraId="0693C967">
                  <w:pPr>
                    <w:widowControl/>
                    <w:spacing w:after="0"/>
                    <w:jc w:val="center"/>
                    <w:textAlignment w:val="center"/>
                    <w:rPr>
                      <w:rStyle w:val="49"/>
                      <w:rFonts w:hint="eastAsia" w:ascii="Times New Roman" w:hAnsi="Times New Roman" w:eastAsia="宋体" w:cs="Times New Roman"/>
                      <w:color w:val="auto"/>
                      <w:sz w:val="21"/>
                      <w:szCs w:val="21"/>
                      <w:highlight w:val="none"/>
                    </w:rPr>
                  </w:pPr>
                </w:p>
              </w:tc>
              <w:tc>
                <w:tcPr>
                  <w:tcW w:w="884" w:type="dxa"/>
                  <w:tcBorders>
                    <w:tl2br w:val="nil"/>
                    <w:tr2bl w:val="nil"/>
                  </w:tcBorders>
                  <w:vAlign w:val="center"/>
                </w:tcPr>
                <w:p w14:paraId="577FE54F">
                  <w:pPr>
                    <w:widowControl/>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前王庄</w:t>
                  </w:r>
                </w:p>
              </w:tc>
              <w:tc>
                <w:tcPr>
                  <w:tcW w:w="767" w:type="dxa"/>
                  <w:tcBorders>
                    <w:tl2br w:val="nil"/>
                    <w:tr2bl w:val="nil"/>
                  </w:tcBorders>
                  <w:vAlign w:val="center"/>
                </w:tcPr>
                <w:p w14:paraId="3D93D4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70</w:t>
                  </w:r>
                </w:p>
              </w:tc>
              <w:tc>
                <w:tcPr>
                  <w:tcW w:w="735" w:type="dxa"/>
                  <w:tcBorders>
                    <w:tl2br w:val="nil"/>
                    <w:tr2bl w:val="nil"/>
                  </w:tcBorders>
                  <w:vAlign w:val="center"/>
                </w:tcPr>
                <w:p w14:paraId="27BB10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-200</w:t>
                  </w:r>
                </w:p>
              </w:tc>
              <w:tc>
                <w:tcPr>
                  <w:tcW w:w="799" w:type="dxa"/>
                  <w:tcBorders>
                    <w:tl2br w:val="nil"/>
                    <w:tr2bl w:val="nil"/>
                  </w:tcBorders>
                  <w:vAlign w:val="center"/>
                </w:tcPr>
                <w:p w14:paraId="6B3041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213</w:t>
                  </w:r>
                </w:p>
              </w:tc>
              <w:tc>
                <w:tcPr>
                  <w:tcW w:w="841" w:type="dxa"/>
                  <w:tcBorders>
                    <w:tl2br w:val="nil"/>
                    <w:tr2bl w:val="nil"/>
                  </w:tcBorders>
                  <w:vAlign w:val="center"/>
                </w:tcPr>
                <w:p w14:paraId="4E720C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SE</w:t>
                  </w:r>
                </w:p>
              </w:tc>
              <w:tc>
                <w:tcPr>
                  <w:tcW w:w="1273" w:type="dxa"/>
                  <w:vMerge w:val="continue"/>
                  <w:tcBorders>
                    <w:tl2br w:val="nil"/>
                    <w:tr2bl w:val="nil"/>
                  </w:tcBorders>
                  <w:vAlign w:val="center"/>
                </w:tcPr>
                <w:p w14:paraId="69B7F860">
                  <w:pPr>
                    <w:spacing w:after="0"/>
                    <w:jc w:val="center"/>
                    <w:rPr>
                      <w:rFonts w:ascii="Times New Roman" w:hAnsi="Times New Roman" w:eastAsia="宋体" w:cs="Times New Roman"/>
                      <w:color w:val="auto"/>
                      <w:sz w:val="21"/>
                      <w:szCs w:val="21"/>
                      <w:highlight w:val="none"/>
                    </w:rPr>
                  </w:pPr>
                </w:p>
              </w:tc>
              <w:tc>
                <w:tcPr>
                  <w:tcW w:w="1273" w:type="dxa"/>
                  <w:tcBorders>
                    <w:tl2br w:val="nil"/>
                    <w:tr2bl w:val="nil"/>
                  </w:tcBorders>
                  <w:shd w:val="clear" w:color="auto" w:fill="auto"/>
                  <w:vAlign w:val="center"/>
                </w:tcPr>
                <w:p w14:paraId="4A11969B">
                  <w:pPr>
                    <w:spacing w:after="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r>
            <w:tr w14:paraId="7FDAE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523" w:type="dxa"/>
                  <w:vMerge w:val="continue"/>
                  <w:tcBorders>
                    <w:tl2br w:val="nil"/>
                    <w:tr2bl w:val="nil"/>
                  </w:tcBorders>
                  <w:vAlign w:val="center"/>
                </w:tcPr>
                <w:p w14:paraId="70EFE583">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restart"/>
                  <w:tcBorders>
                    <w:tl2br w:val="nil"/>
                    <w:tr2bl w:val="nil"/>
                  </w:tcBorders>
                  <w:vAlign w:val="center"/>
                </w:tcPr>
                <w:p w14:paraId="6C3C4DBA">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18</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645ECFC4">
                  <w:pPr>
                    <w:widowControl/>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史圩孜</w:t>
                  </w:r>
                </w:p>
              </w:tc>
              <w:tc>
                <w:tcPr>
                  <w:tcW w:w="767" w:type="dxa"/>
                  <w:tcBorders>
                    <w:tl2br w:val="nil"/>
                    <w:tr2bl w:val="nil"/>
                  </w:tcBorders>
                  <w:vAlign w:val="center"/>
                </w:tcPr>
                <w:p w14:paraId="64D6FC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-28</w:t>
                  </w:r>
                </w:p>
              </w:tc>
              <w:tc>
                <w:tcPr>
                  <w:tcW w:w="735" w:type="dxa"/>
                  <w:tcBorders>
                    <w:tl2br w:val="nil"/>
                    <w:tr2bl w:val="nil"/>
                  </w:tcBorders>
                  <w:vAlign w:val="center"/>
                </w:tcPr>
                <w:p w14:paraId="0A06EE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14</w:t>
                  </w:r>
                </w:p>
              </w:tc>
              <w:tc>
                <w:tcPr>
                  <w:tcW w:w="799" w:type="dxa"/>
                  <w:tcBorders>
                    <w:tl2br w:val="nil"/>
                    <w:tr2bl w:val="nil"/>
                  </w:tcBorders>
                  <w:vAlign w:val="center"/>
                </w:tcPr>
                <w:p w14:paraId="0505E2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40</w:t>
                  </w:r>
                </w:p>
              </w:tc>
              <w:tc>
                <w:tcPr>
                  <w:tcW w:w="841" w:type="dxa"/>
                  <w:tcBorders>
                    <w:tl2br w:val="nil"/>
                    <w:tr2bl w:val="nil"/>
                  </w:tcBorders>
                  <w:vAlign w:val="center"/>
                </w:tcPr>
                <w:p w14:paraId="3DD5CC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N</w:t>
                  </w:r>
                  <w:r>
                    <w:rPr>
                      <w:rFonts w:ascii="Times New Roman" w:hAnsi="Times New Roman" w:eastAsia="宋体" w:cs="Times New Roman"/>
                      <w:b w:val="0"/>
                      <w:bCs w:val="0"/>
                      <w:color w:val="auto"/>
                      <w:kern w:val="0"/>
                      <w:sz w:val="21"/>
                      <w:szCs w:val="21"/>
                      <w:lang w:val="en-US" w:eastAsia="zh-CN" w:bidi="ar"/>
                    </w:rPr>
                    <w:t>W</w:t>
                  </w:r>
                </w:p>
              </w:tc>
              <w:tc>
                <w:tcPr>
                  <w:tcW w:w="1273" w:type="dxa"/>
                  <w:vMerge w:val="restart"/>
                  <w:tcBorders>
                    <w:tl2br w:val="nil"/>
                    <w:tr2bl w:val="nil"/>
                  </w:tcBorders>
                  <w:vAlign w:val="center"/>
                </w:tcPr>
                <w:p w14:paraId="0379EED9">
                  <w:pPr>
                    <w:spacing w:after="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《声环境质量标准》（GB3096-2008）</w:t>
                  </w:r>
                  <w:r>
                    <w:rPr>
                      <w:rFonts w:hint="eastAsia" w:ascii="Times New Roman" w:hAnsi="Times New Roman" w:eastAsia="宋体" w:cs="Times New Roman"/>
                      <w:color w:val="auto"/>
                      <w:sz w:val="21"/>
                      <w:szCs w:val="21"/>
                      <w:highlight w:val="none"/>
                      <w:lang w:val="en-US" w:eastAsia="zh-CN"/>
                    </w:rPr>
                    <w:t>4a</w:t>
                  </w:r>
                  <w:r>
                    <w:rPr>
                      <w:rFonts w:hint="eastAsia" w:ascii="Times New Roman" w:hAnsi="Times New Roman" w:eastAsia="宋体" w:cs="Times New Roman"/>
                      <w:color w:val="auto"/>
                      <w:sz w:val="21"/>
                      <w:szCs w:val="21"/>
                      <w:highlight w:val="none"/>
                    </w:rPr>
                    <w:t>标准</w:t>
                  </w:r>
                </w:p>
              </w:tc>
              <w:tc>
                <w:tcPr>
                  <w:tcW w:w="1273" w:type="dxa"/>
                  <w:vMerge w:val="restart"/>
                  <w:tcBorders>
                    <w:tl2br w:val="nil"/>
                    <w:tr2bl w:val="nil"/>
                  </w:tcBorders>
                  <w:shd w:val="clear" w:color="auto" w:fill="auto"/>
                  <w:vAlign w:val="center"/>
                </w:tcPr>
                <w:p w14:paraId="0F3B92BD">
                  <w:pPr>
                    <w:spacing w:after="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S312省道（二级公路）</w:t>
                  </w:r>
                </w:p>
              </w:tc>
            </w:tr>
            <w:tr w14:paraId="2E0BD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6ADD8A47">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continue"/>
                  <w:tcBorders>
                    <w:tl2br w:val="nil"/>
                    <w:tr2bl w:val="nil"/>
                  </w:tcBorders>
                  <w:vAlign w:val="center"/>
                </w:tcPr>
                <w:p w14:paraId="79285FF4">
                  <w:pPr>
                    <w:widowControl/>
                    <w:spacing w:after="0"/>
                    <w:jc w:val="center"/>
                    <w:textAlignment w:val="center"/>
                    <w:rPr>
                      <w:rStyle w:val="49"/>
                      <w:rFonts w:hint="eastAsia" w:ascii="Times New Roman" w:hAnsi="Times New Roman" w:eastAsia="宋体" w:cs="Times New Roman"/>
                      <w:color w:val="auto"/>
                      <w:sz w:val="21"/>
                      <w:szCs w:val="21"/>
                      <w:highlight w:val="none"/>
                    </w:rPr>
                  </w:pPr>
                </w:p>
              </w:tc>
              <w:tc>
                <w:tcPr>
                  <w:tcW w:w="884" w:type="dxa"/>
                  <w:tcBorders>
                    <w:tl2br w:val="nil"/>
                    <w:tr2bl w:val="nil"/>
                  </w:tcBorders>
                  <w:vAlign w:val="center"/>
                </w:tcPr>
                <w:p w14:paraId="08897216">
                  <w:pPr>
                    <w:widowControl/>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史圩村</w:t>
                  </w:r>
                </w:p>
              </w:tc>
              <w:tc>
                <w:tcPr>
                  <w:tcW w:w="767" w:type="dxa"/>
                  <w:tcBorders>
                    <w:tl2br w:val="nil"/>
                    <w:tr2bl w:val="nil"/>
                  </w:tcBorders>
                  <w:vAlign w:val="center"/>
                </w:tcPr>
                <w:p w14:paraId="71F4F5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149</w:t>
                  </w:r>
                </w:p>
              </w:tc>
              <w:tc>
                <w:tcPr>
                  <w:tcW w:w="735" w:type="dxa"/>
                  <w:tcBorders>
                    <w:tl2br w:val="nil"/>
                    <w:tr2bl w:val="nil"/>
                  </w:tcBorders>
                  <w:vAlign w:val="center"/>
                </w:tcPr>
                <w:p w14:paraId="204C32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-44</w:t>
                  </w:r>
                </w:p>
              </w:tc>
              <w:tc>
                <w:tcPr>
                  <w:tcW w:w="799" w:type="dxa"/>
                  <w:tcBorders>
                    <w:tl2br w:val="nil"/>
                    <w:tr2bl w:val="nil"/>
                  </w:tcBorders>
                  <w:vAlign w:val="center"/>
                </w:tcPr>
                <w:p w14:paraId="53F9C1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16</w:t>
                  </w:r>
                  <w:r>
                    <w:rPr>
                      <w:rFonts w:hint="eastAsia" w:ascii="Times New Roman" w:hAnsi="Times New Roman" w:cs="Times New Roman"/>
                      <w:b w:val="0"/>
                      <w:bCs w:val="0"/>
                      <w:color w:val="auto"/>
                      <w:kern w:val="0"/>
                      <w:sz w:val="21"/>
                      <w:szCs w:val="21"/>
                      <w:lang w:val="en-US" w:eastAsia="zh-CN" w:bidi="ar"/>
                    </w:rPr>
                    <w:t>9</w:t>
                  </w:r>
                </w:p>
              </w:tc>
              <w:tc>
                <w:tcPr>
                  <w:tcW w:w="841" w:type="dxa"/>
                  <w:tcBorders>
                    <w:tl2br w:val="nil"/>
                    <w:tr2bl w:val="nil"/>
                  </w:tcBorders>
                  <w:vAlign w:val="center"/>
                </w:tcPr>
                <w:p w14:paraId="6349FF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S</w:t>
                  </w:r>
                  <w:r>
                    <w:rPr>
                      <w:rFonts w:ascii="Times New Roman" w:hAnsi="Times New Roman" w:eastAsia="宋体" w:cs="Times New Roman"/>
                      <w:b w:val="0"/>
                      <w:bCs w:val="0"/>
                      <w:color w:val="auto"/>
                      <w:kern w:val="0"/>
                      <w:sz w:val="21"/>
                      <w:szCs w:val="21"/>
                      <w:lang w:val="en-US" w:eastAsia="zh-CN" w:bidi="ar"/>
                    </w:rPr>
                    <w:t>E</w:t>
                  </w:r>
                </w:p>
              </w:tc>
              <w:tc>
                <w:tcPr>
                  <w:tcW w:w="1273" w:type="dxa"/>
                  <w:vMerge w:val="continue"/>
                  <w:tcBorders>
                    <w:tl2br w:val="nil"/>
                    <w:tr2bl w:val="nil"/>
                  </w:tcBorders>
                  <w:vAlign w:val="center"/>
                </w:tcPr>
                <w:p w14:paraId="64CACF5B">
                  <w:pPr>
                    <w:spacing w:after="0"/>
                    <w:jc w:val="center"/>
                    <w:rPr>
                      <w:rFonts w:ascii="Times New Roman" w:hAnsi="Times New Roman" w:eastAsia="宋体" w:cs="Times New Roman"/>
                      <w:color w:val="auto"/>
                      <w:sz w:val="21"/>
                      <w:szCs w:val="21"/>
                      <w:highlight w:val="none"/>
                    </w:rPr>
                  </w:pPr>
                </w:p>
              </w:tc>
              <w:tc>
                <w:tcPr>
                  <w:tcW w:w="1273" w:type="dxa"/>
                  <w:vMerge w:val="continue"/>
                  <w:tcBorders>
                    <w:tl2br w:val="nil"/>
                    <w:tr2bl w:val="nil"/>
                  </w:tcBorders>
                  <w:shd w:val="clear" w:color="auto" w:fill="auto"/>
                  <w:vAlign w:val="center"/>
                </w:tcPr>
                <w:p w14:paraId="1EEB46C2">
                  <w:pPr>
                    <w:spacing w:after="0"/>
                    <w:jc w:val="center"/>
                    <w:rPr>
                      <w:rFonts w:hint="eastAsia" w:ascii="Times New Roman" w:hAnsi="Times New Roman" w:eastAsia="宋体" w:cs="Times New Roman"/>
                      <w:color w:val="auto"/>
                      <w:kern w:val="2"/>
                      <w:sz w:val="21"/>
                      <w:szCs w:val="21"/>
                      <w:highlight w:val="none"/>
                      <w:lang w:val="en-US" w:eastAsia="zh-CN" w:bidi="ar-SA"/>
                    </w:rPr>
                  </w:pPr>
                </w:p>
              </w:tc>
            </w:tr>
            <w:tr w14:paraId="22379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5" w:hRule="atLeast"/>
                <w:jc w:val="center"/>
              </w:trPr>
              <w:tc>
                <w:tcPr>
                  <w:tcW w:w="523" w:type="dxa"/>
                  <w:vMerge w:val="continue"/>
                  <w:tcBorders>
                    <w:tl2br w:val="nil"/>
                    <w:tr2bl w:val="nil"/>
                  </w:tcBorders>
                  <w:vAlign w:val="center"/>
                </w:tcPr>
                <w:p w14:paraId="2A0AAEB7">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restart"/>
                  <w:tcBorders>
                    <w:tl2br w:val="nil"/>
                    <w:tr2bl w:val="nil"/>
                  </w:tcBorders>
                  <w:vAlign w:val="center"/>
                </w:tcPr>
                <w:p w14:paraId="675B19D4">
                  <w:pPr>
                    <w:widowControl/>
                    <w:spacing w:after="0"/>
                    <w:jc w:val="center"/>
                    <w:textAlignment w:val="center"/>
                    <w:rPr>
                      <w:rStyle w:val="49"/>
                      <w:rFonts w:hint="eastAsia" w:ascii="Times New Roman" w:hAnsi="Times New Roman" w:eastAsia="宋体" w:cs="Times New Roman"/>
                      <w:color w:val="auto"/>
                      <w:sz w:val="21"/>
                      <w:szCs w:val="21"/>
                      <w:highlight w:val="none"/>
                    </w:rPr>
                  </w:pPr>
                  <w:r>
                    <w:rPr>
                      <w:rStyle w:val="49"/>
                      <w:rFonts w:hint="eastAsia" w:ascii="Times New Roman" w:hAnsi="Times New Roman" w:eastAsia="宋体" w:cs="Times New Roman"/>
                      <w:color w:val="auto"/>
                      <w:sz w:val="21"/>
                      <w:szCs w:val="21"/>
                      <w:highlight w:val="none"/>
                    </w:rPr>
                    <w:t>DG-</w:t>
                  </w:r>
                  <w:r>
                    <w:rPr>
                      <w:rStyle w:val="49"/>
                      <w:rFonts w:hint="eastAsia" w:ascii="Times New Roman" w:hAnsi="Times New Roman" w:eastAsia="宋体" w:cs="Times New Roman"/>
                      <w:color w:val="auto"/>
                      <w:sz w:val="21"/>
                      <w:szCs w:val="21"/>
                      <w:highlight w:val="none"/>
                      <w:lang w:val="en-US" w:eastAsia="zh-CN"/>
                    </w:rPr>
                    <w:t>19</w:t>
                  </w:r>
                  <w:r>
                    <w:rPr>
                      <w:rStyle w:val="48"/>
                      <w:rFonts w:hint="default" w:ascii="Times New Roman" w:hAnsi="Times New Roman" w:eastAsia="宋体" w:cs="Times New Roman"/>
                      <w:color w:val="auto"/>
                      <w:sz w:val="21"/>
                      <w:szCs w:val="21"/>
                      <w:highlight w:val="none"/>
                    </w:rPr>
                    <w:t>井场</w:t>
                  </w:r>
                </w:p>
              </w:tc>
              <w:tc>
                <w:tcPr>
                  <w:tcW w:w="884" w:type="dxa"/>
                  <w:tcBorders>
                    <w:tl2br w:val="nil"/>
                    <w:tr2bl w:val="nil"/>
                  </w:tcBorders>
                  <w:vAlign w:val="center"/>
                </w:tcPr>
                <w:p w14:paraId="68A3A306">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史圩孜</w:t>
                  </w:r>
                </w:p>
              </w:tc>
              <w:tc>
                <w:tcPr>
                  <w:tcW w:w="767" w:type="dxa"/>
                  <w:tcBorders>
                    <w:tl2br w:val="nil"/>
                    <w:tr2bl w:val="nil"/>
                  </w:tcBorders>
                  <w:vAlign w:val="center"/>
                </w:tcPr>
                <w:p w14:paraId="25AE8B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-2</w:t>
                  </w:r>
                  <w:r>
                    <w:rPr>
                      <w:rFonts w:hint="eastAsia" w:ascii="Times New Roman" w:hAnsi="Times New Roman" w:cs="Times New Roman"/>
                      <w:b w:val="0"/>
                      <w:bCs w:val="0"/>
                      <w:color w:val="auto"/>
                      <w:kern w:val="0"/>
                      <w:sz w:val="21"/>
                      <w:szCs w:val="21"/>
                      <w:lang w:val="en-US" w:eastAsia="zh-CN" w:bidi="ar"/>
                    </w:rPr>
                    <w:t>0</w:t>
                  </w:r>
                </w:p>
              </w:tc>
              <w:tc>
                <w:tcPr>
                  <w:tcW w:w="735" w:type="dxa"/>
                  <w:tcBorders>
                    <w:tl2br w:val="nil"/>
                    <w:tr2bl w:val="nil"/>
                  </w:tcBorders>
                  <w:vAlign w:val="center"/>
                </w:tcPr>
                <w:p w14:paraId="3E8C09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176</w:t>
                  </w:r>
                </w:p>
              </w:tc>
              <w:tc>
                <w:tcPr>
                  <w:tcW w:w="799" w:type="dxa"/>
                  <w:tcBorders>
                    <w:tl2br w:val="nil"/>
                    <w:tr2bl w:val="nil"/>
                  </w:tcBorders>
                  <w:vAlign w:val="center"/>
                </w:tcPr>
                <w:p w14:paraId="7766AE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193</w:t>
                  </w:r>
                </w:p>
              </w:tc>
              <w:tc>
                <w:tcPr>
                  <w:tcW w:w="841" w:type="dxa"/>
                  <w:tcBorders>
                    <w:tl2br w:val="nil"/>
                    <w:tr2bl w:val="nil"/>
                  </w:tcBorders>
                  <w:vAlign w:val="center"/>
                </w:tcPr>
                <w:p w14:paraId="5029EA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val="0"/>
                      <w:bCs w:val="0"/>
                      <w:color w:val="auto"/>
                      <w:kern w:val="0"/>
                      <w:sz w:val="21"/>
                      <w:szCs w:val="21"/>
                      <w:lang w:val="en-US" w:eastAsia="zh-CN" w:bidi="ar"/>
                    </w:rPr>
                    <w:t>N</w:t>
                  </w:r>
                  <w:r>
                    <w:rPr>
                      <w:rFonts w:ascii="Times New Roman" w:hAnsi="Times New Roman" w:eastAsia="宋体" w:cs="Times New Roman"/>
                      <w:b w:val="0"/>
                      <w:bCs w:val="0"/>
                      <w:color w:val="auto"/>
                      <w:kern w:val="0"/>
                      <w:sz w:val="21"/>
                      <w:szCs w:val="21"/>
                      <w:lang w:val="en-US" w:eastAsia="zh-CN" w:bidi="ar"/>
                    </w:rPr>
                    <w:t>W</w:t>
                  </w:r>
                </w:p>
              </w:tc>
              <w:tc>
                <w:tcPr>
                  <w:tcW w:w="1273" w:type="dxa"/>
                  <w:vMerge w:val="continue"/>
                  <w:tcBorders>
                    <w:tl2br w:val="nil"/>
                    <w:tr2bl w:val="nil"/>
                  </w:tcBorders>
                  <w:vAlign w:val="center"/>
                </w:tcPr>
                <w:p w14:paraId="7C346C6C">
                  <w:pPr>
                    <w:spacing w:after="0"/>
                    <w:jc w:val="center"/>
                    <w:rPr>
                      <w:rFonts w:ascii="Times New Roman" w:hAnsi="Times New Roman" w:eastAsia="宋体" w:cs="Times New Roman"/>
                      <w:color w:val="auto"/>
                      <w:sz w:val="21"/>
                      <w:szCs w:val="21"/>
                      <w:highlight w:val="none"/>
                    </w:rPr>
                  </w:pPr>
                </w:p>
              </w:tc>
              <w:tc>
                <w:tcPr>
                  <w:tcW w:w="1273" w:type="dxa"/>
                  <w:vMerge w:val="continue"/>
                  <w:tcBorders>
                    <w:tl2br w:val="nil"/>
                    <w:tr2bl w:val="nil"/>
                  </w:tcBorders>
                  <w:shd w:val="clear" w:color="auto" w:fill="auto"/>
                  <w:vAlign w:val="center"/>
                </w:tcPr>
                <w:p w14:paraId="2C1FE1C6">
                  <w:pPr>
                    <w:spacing w:after="0"/>
                    <w:jc w:val="center"/>
                    <w:rPr>
                      <w:rFonts w:hint="eastAsia" w:ascii="Times New Roman" w:hAnsi="Times New Roman" w:eastAsia="宋体" w:cs="Times New Roman"/>
                      <w:color w:val="auto"/>
                      <w:kern w:val="2"/>
                      <w:sz w:val="21"/>
                      <w:szCs w:val="21"/>
                      <w:highlight w:val="none"/>
                      <w:lang w:val="en-US" w:eastAsia="zh-CN" w:bidi="ar-SA"/>
                    </w:rPr>
                  </w:pPr>
                </w:p>
              </w:tc>
            </w:tr>
            <w:tr w14:paraId="6E186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23" w:type="dxa"/>
                  <w:vMerge w:val="continue"/>
                  <w:tcBorders>
                    <w:tl2br w:val="nil"/>
                    <w:tr2bl w:val="nil"/>
                  </w:tcBorders>
                  <w:vAlign w:val="center"/>
                </w:tcPr>
                <w:p w14:paraId="08CFFE39">
                  <w:pPr>
                    <w:widowControl/>
                    <w:spacing w:after="0"/>
                    <w:jc w:val="center"/>
                    <w:textAlignment w:val="center"/>
                    <w:rPr>
                      <w:rFonts w:hint="eastAsia" w:ascii="Times New Roman" w:hAnsi="Times New Roman" w:eastAsia="宋体" w:cs="Times New Roman"/>
                      <w:color w:val="auto"/>
                      <w:sz w:val="21"/>
                      <w:szCs w:val="21"/>
                      <w:highlight w:val="none"/>
                    </w:rPr>
                  </w:pPr>
                </w:p>
              </w:tc>
              <w:tc>
                <w:tcPr>
                  <w:tcW w:w="747" w:type="dxa"/>
                  <w:vMerge w:val="continue"/>
                  <w:tcBorders>
                    <w:tl2br w:val="nil"/>
                    <w:tr2bl w:val="nil"/>
                  </w:tcBorders>
                  <w:vAlign w:val="center"/>
                </w:tcPr>
                <w:p w14:paraId="6015A278">
                  <w:pPr>
                    <w:widowControl/>
                    <w:spacing w:after="0"/>
                    <w:jc w:val="center"/>
                    <w:textAlignment w:val="center"/>
                    <w:rPr>
                      <w:rStyle w:val="49"/>
                      <w:rFonts w:hint="eastAsia" w:ascii="Times New Roman" w:hAnsi="Times New Roman" w:eastAsia="宋体" w:cs="Times New Roman"/>
                      <w:color w:val="auto"/>
                      <w:sz w:val="21"/>
                      <w:szCs w:val="21"/>
                      <w:highlight w:val="none"/>
                    </w:rPr>
                  </w:pPr>
                </w:p>
              </w:tc>
              <w:tc>
                <w:tcPr>
                  <w:tcW w:w="884" w:type="dxa"/>
                  <w:tcBorders>
                    <w:tl2br w:val="nil"/>
                    <w:tr2bl w:val="nil"/>
                  </w:tcBorders>
                  <w:vAlign w:val="center"/>
                </w:tcPr>
                <w:p w14:paraId="47CFB949">
                  <w:pPr>
                    <w:widowControl/>
                    <w:spacing w:after="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史圩村</w:t>
                  </w:r>
                </w:p>
              </w:tc>
              <w:tc>
                <w:tcPr>
                  <w:tcW w:w="767" w:type="dxa"/>
                  <w:tcBorders>
                    <w:tl2br w:val="nil"/>
                    <w:tr2bl w:val="nil"/>
                  </w:tcBorders>
                  <w:vAlign w:val="center"/>
                </w:tcPr>
                <w:p w14:paraId="61E11F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150</w:t>
                  </w:r>
                </w:p>
              </w:tc>
              <w:tc>
                <w:tcPr>
                  <w:tcW w:w="735" w:type="dxa"/>
                  <w:tcBorders>
                    <w:tl2br w:val="nil"/>
                    <w:tr2bl w:val="nil"/>
                  </w:tcBorders>
                  <w:vAlign w:val="center"/>
                </w:tcPr>
                <w:p w14:paraId="0C040E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63</w:t>
                  </w:r>
                </w:p>
              </w:tc>
              <w:tc>
                <w:tcPr>
                  <w:tcW w:w="799" w:type="dxa"/>
                  <w:tcBorders>
                    <w:tl2br w:val="nil"/>
                    <w:tr2bl w:val="nil"/>
                  </w:tcBorders>
                  <w:vAlign w:val="center"/>
                </w:tcPr>
                <w:p w14:paraId="47B200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164</w:t>
                  </w:r>
                </w:p>
              </w:tc>
              <w:tc>
                <w:tcPr>
                  <w:tcW w:w="841" w:type="dxa"/>
                  <w:tcBorders>
                    <w:tl2br w:val="nil"/>
                    <w:tr2bl w:val="nil"/>
                  </w:tcBorders>
                  <w:vAlign w:val="center"/>
                </w:tcPr>
                <w:p w14:paraId="38CD33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 w:val="0"/>
                      <w:bCs w:val="0"/>
                      <w:color w:val="auto"/>
                      <w:kern w:val="0"/>
                      <w:sz w:val="21"/>
                      <w:szCs w:val="21"/>
                      <w:lang w:val="en-US" w:eastAsia="zh-CN" w:bidi="ar"/>
                    </w:rPr>
                    <w:t>NE</w:t>
                  </w:r>
                </w:p>
              </w:tc>
              <w:tc>
                <w:tcPr>
                  <w:tcW w:w="1273" w:type="dxa"/>
                  <w:vMerge w:val="continue"/>
                  <w:tcBorders>
                    <w:tl2br w:val="nil"/>
                    <w:tr2bl w:val="nil"/>
                  </w:tcBorders>
                  <w:vAlign w:val="center"/>
                </w:tcPr>
                <w:p w14:paraId="0B8CB895">
                  <w:pPr>
                    <w:spacing w:after="0"/>
                    <w:jc w:val="center"/>
                    <w:rPr>
                      <w:rFonts w:ascii="Times New Roman" w:hAnsi="Times New Roman" w:eastAsia="宋体" w:cs="Times New Roman"/>
                      <w:color w:val="auto"/>
                      <w:sz w:val="21"/>
                      <w:szCs w:val="21"/>
                      <w:highlight w:val="none"/>
                    </w:rPr>
                  </w:pPr>
                </w:p>
              </w:tc>
              <w:tc>
                <w:tcPr>
                  <w:tcW w:w="1273" w:type="dxa"/>
                  <w:vMerge w:val="continue"/>
                  <w:tcBorders>
                    <w:tl2br w:val="nil"/>
                    <w:tr2bl w:val="nil"/>
                  </w:tcBorders>
                  <w:vAlign w:val="center"/>
                </w:tcPr>
                <w:p w14:paraId="03B4F8E9">
                  <w:pPr>
                    <w:spacing w:after="0"/>
                    <w:jc w:val="center"/>
                    <w:rPr>
                      <w:rFonts w:ascii="Times New Roman" w:hAnsi="Times New Roman" w:eastAsia="宋体" w:cs="Times New Roman"/>
                      <w:color w:val="auto"/>
                      <w:sz w:val="21"/>
                      <w:szCs w:val="21"/>
                      <w:highlight w:val="none"/>
                    </w:rPr>
                  </w:pPr>
                </w:p>
              </w:tc>
            </w:tr>
            <w:tr w14:paraId="367BF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6569" w:type="dxa"/>
                  <w:gridSpan w:val="8"/>
                  <w:tcBorders>
                    <w:tl2br w:val="nil"/>
                    <w:tr2bl w:val="nil"/>
                  </w:tcBorders>
                  <w:vAlign w:val="center"/>
                </w:tcPr>
                <w:p w14:paraId="5166AF4F">
                  <w:pPr>
                    <w:widowControl/>
                    <w:spacing w:after="0"/>
                    <w:jc w:val="left"/>
                    <w:textAlignment w:val="center"/>
                    <w:rPr>
                      <w:rFonts w:ascii="Times New Roman" w:hAnsi="Times New Roman" w:eastAsia="宋体" w:cs="Times New Roman"/>
                      <w:color w:val="auto"/>
                      <w:sz w:val="21"/>
                      <w:szCs w:val="21"/>
                      <w:highlight w:val="none"/>
                    </w:rPr>
                  </w:pPr>
                  <w:r>
                    <w:rPr>
                      <w:rStyle w:val="48"/>
                      <w:rFonts w:hint="default" w:ascii="Times New Roman" w:hAnsi="Times New Roman"/>
                      <w:color w:val="auto"/>
                      <w:highlight w:val="none"/>
                    </w:rPr>
                    <w:t>注：本项目以各井场中心为原点，东侧方向为</w:t>
                  </w:r>
                  <w:r>
                    <w:rPr>
                      <w:rStyle w:val="49"/>
                      <w:color w:val="auto"/>
                      <w:highlight w:val="none"/>
                    </w:rPr>
                    <w:t>X</w:t>
                  </w:r>
                  <w:r>
                    <w:rPr>
                      <w:rStyle w:val="48"/>
                      <w:rFonts w:hint="default" w:ascii="Times New Roman" w:hAnsi="Times New Roman"/>
                      <w:color w:val="auto"/>
                      <w:highlight w:val="none"/>
                    </w:rPr>
                    <w:t>轴、北侧方向为</w:t>
                  </w:r>
                  <w:r>
                    <w:rPr>
                      <w:rStyle w:val="49"/>
                      <w:color w:val="auto"/>
                      <w:highlight w:val="none"/>
                    </w:rPr>
                    <w:t>Y</w:t>
                  </w:r>
                  <w:r>
                    <w:rPr>
                      <w:rStyle w:val="48"/>
                      <w:rFonts w:hint="default" w:ascii="Times New Roman" w:hAnsi="Times New Roman"/>
                      <w:color w:val="auto"/>
                      <w:highlight w:val="none"/>
                    </w:rPr>
                    <w:t>轴，建立坐标系。各井场涉及相同保护目标，保护内容以村庄总人数进行统计</w:t>
                  </w:r>
                </w:p>
              </w:tc>
              <w:tc>
                <w:tcPr>
                  <w:tcW w:w="1273" w:type="dxa"/>
                  <w:tcBorders>
                    <w:tl2br w:val="nil"/>
                    <w:tr2bl w:val="nil"/>
                  </w:tcBorders>
                  <w:vAlign w:val="center"/>
                </w:tcPr>
                <w:p w14:paraId="2F571750">
                  <w:pPr>
                    <w:widowControl/>
                    <w:spacing w:after="0"/>
                    <w:jc w:val="left"/>
                    <w:textAlignment w:val="center"/>
                    <w:rPr>
                      <w:rStyle w:val="48"/>
                      <w:rFonts w:hint="default" w:ascii="Times New Roman" w:hAnsi="Times New Roman"/>
                      <w:color w:val="auto"/>
                      <w:highlight w:val="none"/>
                    </w:rPr>
                  </w:pPr>
                </w:p>
              </w:tc>
            </w:tr>
          </w:tbl>
          <w:p w14:paraId="7FEB5748">
            <w:pPr>
              <w:spacing w:after="0" w:line="360" w:lineRule="auto"/>
              <w:ind w:firstLine="482" w:firstLineChars="200"/>
              <w:rPr>
                <w:rFonts w:ascii="Times New Roman"/>
                <w:b/>
                <w:bCs/>
                <w:snapToGrid w:val="0"/>
                <w:color w:val="auto"/>
                <w:kern w:val="0"/>
                <w:sz w:val="24"/>
                <w:szCs w:val="28"/>
                <w:highlight w:val="none"/>
              </w:rPr>
            </w:pPr>
            <w:r>
              <w:rPr>
                <w:rFonts w:hint="eastAsia" w:ascii="Times New Roman"/>
                <w:b/>
                <w:bCs/>
                <w:snapToGrid w:val="0"/>
                <w:color w:val="auto"/>
                <w:kern w:val="0"/>
                <w:sz w:val="24"/>
                <w:szCs w:val="28"/>
                <w:highlight w:val="none"/>
                <w:lang w:val="en-US" w:eastAsia="zh-CN"/>
              </w:rPr>
              <w:t>4</w:t>
            </w:r>
            <w:r>
              <w:rPr>
                <w:rFonts w:hint="eastAsia" w:ascii="Times New Roman"/>
                <w:b/>
                <w:bCs/>
                <w:snapToGrid w:val="0"/>
                <w:color w:val="auto"/>
                <w:kern w:val="0"/>
                <w:sz w:val="24"/>
                <w:szCs w:val="28"/>
                <w:highlight w:val="none"/>
              </w:rPr>
              <w:t>、生态环境</w:t>
            </w:r>
          </w:p>
          <w:p w14:paraId="52CA6B10">
            <w:pPr>
              <w:spacing w:after="0" w:line="360" w:lineRule="auto"/>
              <w:ind w:firstLine="480" w:firstLineChars="200"/>
              <w:rPr>
                <w:rFonts w:ascii="Times New Roman" w:hAnsi="Times New Roman"/>
                <w:color w:val="auto"/>
                <w:highlight w:val="none"/>
              </w:rPr>
            </w:pPr>
            <w:r>
              <w:rPr>
                <w:rFonts w:hint="eastAsia" w:ascii="Times New Roman"/>
                <w:snapToGrid w:val="0"/>
                <w:color w:val="auto"/>
                <w:kern w:val="0"/>
                <w:sz w:val="24"/>
                <w:szCs w:val="28"/>
                <w:highlight w:val="none"/>
              </w:rPr>
              <w:t>本项目各井场外300m范围内生态环境保护目标主要为周边的永久基本农田。</w:t>
            </w:r>
          </w:p>
        </w:tc>
      </w:tr>
      <w:tr w14:paraId="4B6AC9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454" w:type="dxa"/>
            <w:vAlign w:val="center"/>
          </w:tcPr>
          <w:p w14:paraId="3A65EF63">
            <w:pPr>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评价</w:t>
            </w:r>
          </w:p>
          <w:p w14:paraId="5BBF873F">
            <w:pPr>
              <w:adjustRightInd w:val="0"/>
              <w:snapToGrid w:val="0"/>
              <w:spacing w:after="0"/>
              <w:jc w:val="center"/>
              <w:rPr>
                <w:rFonts w:ascii="Times New Roman" w:hAnsi="Times New Roman"/>
                <w:color w:val="auto"/>
                <w:kern w:val="0"/>
                <w:szCs w:val="21"/>
                <w:highlight w:val="none"/>
              </w:rPr>
            </w:pPr>
            <w:r>
              <w:rPr>
                <w:rFonts w:ascii="Times New Roman" w:hAnsi="Times New Roman"/>
                <w:color w:val="auto"/>
                <w:kern w:val="0"/>
                <w:sz w:val="24"/>
                <w:highlight w:val="none"/>
              </w:rPr>
              <w:t>标准</w:t>
            </w:r>
          </w:p>
        </w:tc>
        <w:tc>
          <w:tcPr>
            <w:tcW w:w="8068" w:type="dxa"/>
            <w:vAlign w:val="center"/>
          </w:tcPr>
          <w:p w14:paraId="2CC96819">
            <w:pPr>
              <w:widowControl/>
              <w:spacing w:after="0" w:line="360" w:lineRule="auto"/>
              <w:jc w:val="left"/>
              <w:rPr>
                <w:rFonts w:ascii="Times New Roman" w:hAnsi="Times New Roman"/>
                <w:color w:val="auto"/>
                <w:highlight w:val="none"/>
              </w:rPr>
            </w:pPr>
            <w:r>
              <w:rPr>
                <w:rFonts w:ascii="Times New Roman" w:hAnsi="Times New Roman"/>
                <w:b/>
                <w:bCs/>
                <w:color w:val="auto"/>
                <w:kern w:val="0"/>
                <w:sz w:val="24"/>
                <w:highlight w:val="none"/>
              </w:rPr>
              <w:t>一、环境质量标准</w:t>
            </w:r>
          </w:p>
          <w:p w14:paraId="0184AA96">
            <w:pPr>
              <w:spacing w:after="0" w:line="360" w:lineRule="auto"/>
              <w:ind w:firstLine="480" w:firstLineChars="200"/>
              <w:rPr>
                <w:rFonts w:ascii="Times New Roman" w:hAnsi="Times New Roman"/>
                <w:snapToGrid w:val="0"/>
                <w:color w:val="auto"/>
                <w:kern w:val="0"/>
                <w:sz w:val="24"/>
                <w:highlight w:val="none"/>
              </w:rPr>
            </w:pPr>
            <w:r>
              <w:rPr>
                <w:rFonts w:ascii="Times New Roman" w:hAnsi="Times New Roman"/>
                <w:color w:val="auto"/>
                <w:sz w:val="24"/>
                <w:highlight w:val="none"/>
              </w:rPr>
              <w:t>1、</w:t>
            </w:r>
            <w:r>
              <w:rPr>
                <w:rFonts w:ascii="Times New Roman"/>
                <w:snapToGrid w:val="0"/>
                <w:color w:val="auto"/>
                <w:kern w:val="0"/>
                <w:sz w:val="24"/>
                <w:szCs w:val="28"/>
                <w:highlight w:val="none"/>
              </w:rPr>
              <w:t>评价区域地表水淮河、茨淮新河、泥河</w:t>
            </w:r>
            <w:r>
              <w:rPr>
                <w:rFonts w:hint="eastAsia" w:ascii="Times New Roman"/>
                <w:snapToGrid w:val="0"/>
                <w:color w:val="auto"/>
                <w:kern w:val="0"/>
                <w:sz w:val="24"/>
                <w:szCs w:val="28"/>
                <w:highlight w:val="none"/>
              </w:rPr>
              <w:t>、利民新河、小黑河</w:t>
            </w:r>
            <w:r>
              <w:rPr>
                <w:rFonts w:ascii="Times New Roman"/>
                <w:snapToGrid w:val="0"/>
                <w:color w:val="auto"/>
                <w:kern w:val="0"/>
                <w:sz w:val="24"/>
                <w:szCs w:val="28"/>
                <w:highlight w:val="none"/>
              </w:rPr>
              <w:t>执行《地表水环境质量标准》（</w:t>
            </w:r>
            <w:r>
              <w:rPr>
                <w:rFonts w:ascii="Times New Roman" w:hAnsi="Times New Roman"/>
                <w:snapToGrid w:val="0"/>
                <w:color w:val="auto"/>
                <w:kern w:val="0"/>
                <w:sz w:val="24"/>
                <w:szCs w:val="28"/>
                <w:highlight w:val="none"/>
              </w:rPr>
              <w:t>GB3838-2002</w:t>
            </w:r>
            <w:r>
              <w:rPr>
                <w:rFonts w:ascii="Times New Roman"/>
                <w:snapToGrid w:val="0"/>
                <w:color w:val="auto"/>
                <w:kern w:val="0"/>
                <w:sz w:val="24"/>
                <w:szCs w:val="28"/>
                <w:highlight w:val="none"/>
              </w:rPr>
              <w:t>）</w:t>
            </w:r>
            <w:r>
              <w:rPr>
                <w:rFonts w:ascii="Times New Roman" w:hAnsi="Times New Roman"/>
                <w:snapToGrid w:val="0"/>
                <w:color w:val="auto"/>
                <w:kern w:val="0"/>
                <w:sz w:val="24"/>
                <w:szCs w:val="28"/>
                <w:highlight w:val="none"/>
              </w:rPr>
              <w:t>Ⅲ</w:t>
            </w:r>
            <w:r>
              <w:rPr>
                <w:rFonts w:ascii="Times New Roman"/>
                <w:snapToGrid w:val="0"/>
                <w:color w:val="auto"/>
                <w:kern w:val="0"/>
                <w:sz w:val="24"/>
                <w:szCs w:val="28"/>
                <w:highlight w:val="none"/>
              </w:rPr>
              <w:t>类标准。</w:t>
            </w:r>
          </w:p>
          <w:p w14:paraId="6FB93E62">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表3-9  水环境质量标准  单位：mg/L（pH除外）</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958"/>
              <w:gridCol w:w="755"/>
              <w:gridCol w:w="957"/>
              <w:gridCol w:w="997"/>
              <w:gridCol w:w="1042"/>
              <w:gridCol w:w="902"/>
            </w:tblGrid>
            <w:tr w14:paraId="4D06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exact"/>
                <w:jc w:val="center"/>
              </w:trPr>
              <w:tc>
                <w:tcPr>
                  <w:tcW w:w="1231" w:type="dxa"/>
                  <w:noWrap/>
                  <w:vAlign w:val="center"/>
                </w:tcPr>
                <w:p w14:paraId="3496E5DC">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评价</w:t>
                  </w:r>
                </w:p>
                <w:p w14:paraId="5702E96D">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水体</w:t>
                  </w:r>
                </w:p>
              </w:tc>
              <w:tc>
                <w:tcPr>
                  <w:tcW w:w="1958" w:type="dxa"/>
                  <w:noWrap/>
                  <w:vAlign w:val="center"/>
                </w:tcPr>
                <w:p w14:paraId="5A7D57D4">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标准</w:t>
                  </w:r>
                </w:p>
              </w:tc>
              <w:tc>
                <w:tcPr>
                  <w:tcW w:w="755" w:type="dxa"/>
                  <w:noWrap/>
                  <w:vAlign w:val="center"/>
                </w:tcPr>
                <w:p w14:paraId="4ADA5D81">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pH</w:t>
                  </w:r>
                </w:p>
              </w:tc>
              <w:tc>
                <w:tcPr>
                  <w:tcW w:w="957" w:type="dxa"/>
                  <w:noWrap/>
                  <w:vAlign w:val="center"/>
                </w:tcPr>
                <w:p w14:paraId="3A5641E5">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COD</w:t>
                  </w:r>
                </w:p>
              </w:tc>
              <w:tc>
                <w:tcPr>
                  <w:tcW w:w="997" w:type="dxa"/>
                  <w:noWrap/>
                  <w:vAlign w:val="center"/>
                </w:tcPr>
                <w:p w14:paraId="00BEE687">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BOD</w:t>
                  </w:r>
                  <w:r>
                    <w:rPr>
                      <w:rFonts w:ascii="Times New Roman" w:hAnsi="Times New Roman"/>
                      <w:b/>
                      <w:bCs/>
                      <w:color w:val="auto"/>
                      <w:sz w:val="21"/>
                      <w:szCs w:val="21"/>
                      <w:highlight w:val="none"/>
                      <w:vertAlign w:val="subscript"/>
                    </w:rPr>
                    <w:t>5</w:t>
                  </w:r>
                </w:p>
              </w:tc>
              <w:tc>
                <w:tcPr>
                  <w:tcW w:w="1042" w:type="dxa"/>
                  <w:noWrap/>
                  <w:vAlign w:val="center"/>
                </w:tcPr>
                <w:p w14:paraId="77859598">
                  <w:pPr>
                    <w:widowControl/>
                    <w:spacing w:after="0"/>
                    <w:jc w:val="center"/>
                    <w:rPr>
                      <w:rFonts w:ascii="Times New Roman" w:hAnsi="Times New Roman"/>
                      <w:b/>
                      <w:bCs/>
                      <w:color w:val="auto"/>
                      <w:sz w:val="21"/>
                      <w:szCs w:val="21"/>
                      <w:highlight w:val="none"/>
                    </w:rPr>
                  </w:pPr>
                  <w:bookmarkStart w:id="8" w:name="_Toc226167590"/>
                  <w:bookmarkStart w:id="9" w:name="_Toc183433375"/>
                  <w:bookmarkStart w:id="10" w:name="_Toc31879"/>
                  <w:bookmarkStart w:id="11" w:name="_Toc4092"/>
                  <w:bookmarkStart w:id="12" w:name="_Toc225846357"/>
                  <w:r>
                    <w:rPr>
                      <w:rFonts w:ascii="Times New Roman" w:hAnsi="Times New Roman"/>
                      <w:b/>
                      <w:bCs/>
                      <w:color w:val="auto"/>
                      <w:sz w:val="21"/>
                      <w:szCs w:val="21"/>
                      <w:highlight w:val="none"/>
                    </w:rPr>
                    <w:t>NH</w:t>
                  </w:r>
                  <w:r>
                    <w:rPr>
                      <w:rFonts w:ascii="Times New Roman" w:hAnsi="Times New Roman"/>
                      <w:b/>
                      <w:bCs/>
                      <w:color w:val="auto"/>
                      <w:sz w:val="21"/>
                      <w:szCs w:val="21"/>
                      <w:highlight w:val="none"/>
                      <w:vertAlign w:val="subscript"/>
                    </w:rPr>
                    <w:t>3</w:t>
                  </w:r>
                  <w:r>
                    <w:rPr>
                      <w:rFonts w:ascii="Times New Roman" w:hAnsi="Times New Roman"/>
                      <w:b/>
                      <w:bCs/>
                      <w:color w:val="auto"/>
                      <w:sz w:val="21"/>
                      <w:szCs w:val="21"/>
                      <w:highlight w:val="none"/>
                    </w:rPr>
                    <w:t>-N</w:t>
                  </w:r>
                  <w:bookmarkEnd w:id="8"/>
                  <w:bookmarkEnd w:id="9"/>
                  <w:bookmarkEnd w:id="10"/>
                  <w:bookmarkEnd w:id="11"/>
                  <w:bookmarkEnd w:id="12"/>
                </w:p>
              </w:tc>
              <w:tc>
                <w:tcPr>
                  <w:tcW w:w="902" w:type="dxa"/>
                  <w:noWrap/>
                  <w:vAlign w:val="center"/>
                </w:tcPr>
                <w:p w14:paraId="14BB37B4">
                  <w:pPr>
                    <w:widowControl/>
                    <w:spacing w:after="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石油类</w:t>
                  </w:r>
                </w:p>
              </w:tc>
            </w:tr>
            <w:tr w14:paraId="06EC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exact"/>
                <w:jc w:val="center"/>
              </w:trPr>
              <w:tc>
                <w:tcPr>
                  <w:tcW w:w="1231" w:type="dxa"/>
                  <w:noWrap/>
                  <w:vAlign w:val="center"/>
                </w:tcPr>
                <w:p w14:paraId="163A3F8A">
                  <w:pPr>
                    <w:widowControl/>
                    <w:spacing w:after="0"/>
                    <w:jc w:val="center"/>
                    <w:rPr>
                      <w:rFonts w:hint="default" w:ascii="Times New Roman" w:hAnsi="Times New Roman" w:eastAsia="宋体"/>
                      <w:color w:val="auto"/>
                      <w:sz w:val="21"/>
                      <w:szCs w:val="21"/>
                      <w:highlight w:val="none"/>
                      <w:lang w:val="en-US" w:eastAsia="zh-CN"/>
                    </w:rPr>
                  </w:pPr>
                  <w:r>
                    <w:rPr>
                      <w:rFonts w:ascii="Times New Roman" w:hAnsi="Times New Roman"/>
                      <w:color w:val="auto"/>
                      <w:sz w:val="21"/>
                      <w:szCs w:val="21"/>
                      <w:highlight w:val="none"/>
                    </w:rPr>
                    <w:t>淮河、茨淮新河、泥河</w:t>
                  </w:r>
                  <w:r>
                    <w:rPr>
                      <w:rFonts w:hint="eastAsia" w:ascii="Times New Roman" w:hAnsi="Times New Roman"/>
                      <w:color w:val="auto"/>
                      <w:sz w:val="21"/>
                      <w:szCs w:val="21"/>
                      <w:highlight w:val="none"/>
                    </w:rPr>
                    <w:t>、利民新河</w:t>
                  </w:r>
                  <w:r>
                    <w:rPr>
                      <w:rFonts w:hint="eastAsia" w:ascii="Times New Roman" w:hAnsi="Times New Roman"/>
                      <w:color w:val="auto"/>
                      <w:sz w:val="21"/>
                      <w:szCs w:val="21"/>
                      <w:lang w:eastAsia="zh-CN"/>
                    </w:rPr>
                    <w:t>、</w:t>
                  </w:r>
                  <w:r>
                    <w:rPr>
                      <w:rFonts w:hint="eastAsia" w:ascii="Times New Roman" w:hAnsi="Times New Roman"/>
                      <w:color w:val="auto"/>
                      <w:sz w:val="21"/>
                      <w:szCs w:val="21"/>
                      <w:lang w:val="en-US" w:eastAsia="zh-CN"/>
                    </w:rPr>
                    <w:t>小黑河</w:t>
                  </w:r>
                </w:p>
              </w:tc>
              <w:tc>
                <w:tcPr>
                  <w:tcW w:w="1958" w:type="dxa"/>
                  <w:noWrap/>
                  <w:vAlign w:val="center"/>
                </w:tcPr>
                <w:p w14:paraId="19A08DB3">
                  <w:pPr>
                    <w:widowControl/>
                    <w:spacing w:after="0"/>
                    <w:jc w:val="center"/>
                    <w:rPr>
                      <w:rFonts w:ascii="Times New Roman" w:hAnsi="Times New Roman"/>
                      <w:color w:val="auto"/>
                      <w:sz w:val="21"/>
                      <w:szCs w:val="21"/>
                      <w:highlight w:val="none"/>
                    </w:rPr>
                  </w:pPr>
                  <w:r>
                    <w:rPr>
                      <w:rFonts w:ascii="Times New Roman" w:hAnsi="Times New Roman"/>
                      <w:snapToGrid w:val="0"/>
                      <w:color w:val="auto"/>
                      <w:kern w:val="0"/>
                      <w:sz w:val="21"/>
                      <w:szCs w:val="21"/>
                      <w:highlight w:val="none"/>
                    </w:rPr>
                    <w:t>《地表水环境质量标准》（GB3838-2002）Ⅲ类标准</w:t>
                  </w:r>
                </w:p>
              </w:tc>
              <w:tc>
                <w:tcPr>
                  <w:tcW w:w="755" w:type="dxa"/>
                  <w:noWrap/>
                  <w:vAlign w:val="center"/>
                </w:tcPr>
                <w:p w14:paraId="487227D1">
                  <w:pPr>
                    <w:widowControl/>
                    <w:spacing w:after="0"/>
                    <w:jc w:val="center"/>
                    <w:rPr>
                      <w:rFonts w:ascii="Times New Roman" w:hAnsi="Times New Roman"/>
                      <w:color w:val="auto"/>
                      <w:sz w:val="21"/>
                      <w:szCs w:val="21"/>
                      <w:highlight w:val="none"/>
                    </w:rPr>
                  </w:pPr>
                  <w:r>
                    <w:rPr>
                      <w:rFonts w:ascii="Times New Roman" w:hAnsi="Times New Roman"/>
                      <w:color w:val="auto"/>
                      <w:sz w:val="21"/>
                      <w:szCs w:val="21"/>
                      <w:highlight w:val="none"/>
                    </w:rPr>
                    <w:t>6-9</w:t>
                  </w:r>
                </w:p>
              </w:tc>
              <w:tc>
                <w:tcPr>
                  <w:tcW w:w="957" w:type="dxa"/>
                  <w:noWrap/>
                  <w:vAlign w:val="center"/>
                </w:tcPr>
                <w:p w14:paraId="1F45D9BA">
                  <w:pPr>
                    <w:widowControl/>
                    <w:spacing w:after="0"/>
                    <w:jc w:val="center"/>
                    <w:rPr>
                      <w:rFonts w:ascii="Times New Roman" w:hAnsi="Times New Roman"/>
                      <w:color w:val="auto"/>
                      <w:sz w:val="21"/>
                      <w:szCs w:val="21"/>
                      <w:highlight w:val="none"/>
                    </w:rPr>
                  </w:pPr>
                  <w:r>
                    <w:rPr>
                      <w:rFonts w:ascii="Times New Roman" w:hAnsi="Times New Roman"/>
                      <w:color w:val="auto"/>
                      <w:sz w:val="21"/>
                      <w:szCs w:val="21"/>
                      <w:highlight w:val="none"/>
                    </w:rPr>
                    <w:t>20</w:t>
                  </w:r>
                </w:p>
              </w:tc>
              <w:tc>
                <w:tcPr>
                  <w:tcW w:w="997" w:type="dxa"/>
                  <w:noWrap/>
                  <w:vAlign w:val="center"/>
                </w:tcPr>
                <w:p w14:paraId="1F4C7A5B">
                  <w:pPr>
                    <w:widowControl/>
                    <w:spacing w:after="0"/>
                    <w:jc w:val="center"/>
                    <w:rPr>
                      <w:rFonts w:ascii="Times New Roman" w:hAnsi="Times New Roman"/>
                      <w:color w:val="auto"/>
                      <w:sz w:val="21"/>
                      <w:szCs w:val="21"/>
                      <w:highlight w:val="none"/>
                    </w:rPr>
                  </w:pPr>
                  <w:r>
                    <w:rPr>
                      <w:rFonts w:ascii="Times New Roman" w:hAnsi="Times New Roman"/>
                      <w:color w:val="auto"/>
                      <w:sz w:val="21"/>
                      <w:szCs w:val="21"/>
                      <w:highlight w:val="none"/>
                    </w:rPr>
                    <w:t>4</w:t>
                  </w:r>
                </w:p>
              </w:tc>
              <w:tc>
                <w:tcPr>
                  <w:tcW w:w="1042" w:type="dxa"/>
                  <w:noWrap/>
                  <w:vAlign w:val="center"/>
                </w:tcPr>
                <w:p w14:paraId="387A55FA">
                  <w:pPr>
                    <w:widowControl/>
                    <w:spacing w:after="0"/>
                    <w:jc w:val="center"/>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902" w:type="dxa"/>
                  <w:noWrap/>
                  <w:vAlign w:val="center"/>
                </w:tcPr>
                <w:p w14:paraId="2DF6CDE3">
                  <w:pPr>
                    <w:widowControl/>
                    <w:spacing w:after="0"/>
                    <w:jc w:val="center"/>
                    <w:rPr>
                      <w:rFonts w:ascii="Times New Roman" w:hAnsi="Times New Roman"/>
                      <w:color w:val="auto"/>
                      <w:sz w:val="21"/>
                      <w:szCs w:val="21"/>
                      <w:highlight w:val="none"/>
                    </w:rPr>
                  </w:pPr>
                  <w:r>
                    <w:rPr>
                      <w:rFonts w:ascii="Times New Roman" w:hAnsi="Times New Roman"/>
                      <w:color w:val="auto"/>
                      <w:sz w:val="21"/>
                      <w:szCs w:val="21"/>
                      <w:highlight w:val="none"/>
                    </w:rPr>
                    <w:t>0.05</w:t>
                  </w:r>
                </w:p>
              </w:tc>
            </w:tr>
          </w:tbl>
          <w:p w14:paraId="329AEEDC">
            <w:pPr>
              <w:spacing w:after="0"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color w:val="auto"/>
                <w:sz w:val="24"/>
                <w:highlight w:val="none"/>
              </w:rPr>
              <w:t>2、建设项目环境空气评价范围内的区域属于空气质量二类功能区，SO</w:t>
            </w:r>
            <w:r>
              <w:rPr>
                <w:rFonts w:hint="eastAsia" w:ascii="Times New Roman" w:hAnsi="Times New Roman"/>
                <w:color w:val="auto"/>
                <w:sz w:val="24"/>
                <w:highlight w:val="none"/>
                <w:vertAlign w:val="subscript"/>
                <w:lang w:val="en-US" w:eastAsia="zh-CN"/>
              </w:rPr>
              <w:t>2</w:t>
            </w:r>
            <w:r>
              <w:rPr>
                <w:rFonts w:hint="eastAsia" w:ascii="Times New Roman" w:hAnsi="Times New Roman"/>
                <w:color w:val="auto"/>
                <w:sz w:val="24"/>
                <w:highlight w:val="none"/>
              </w:rPr>
              <w:t>、NO</w:t>
            </w:r>
            <w:r>
              <w:rPr>
                <w:rFonts w:hint="eastAsia" w:ascii="Times New Roman" w:hAnsi="Times New Roman"/>
                <w:color w:val="auto"/>
                <w:sz w:val="24"/>
                <w:highlight w:val="none"/>
                <w:vertAlign w:val="subscript"/>
                <w:lang w:val="en-US" w:eastAsia="zh-CN"/>
              </w:rPr>
              <w:t>2</w:t>
            </w:r>
            <w:r>
              <w:rPr>
                <w:rFonts w:hint="eastAsia" w:ascii="Times New Roman" w:hAnsi="Times New Roman"/>
                <w:color w:val="auto"/>
                <w:sz w:val="24"/>
                <w:highlight w:val="none"/>
              </w:rPr>
              <w:t>、PM</w:t>
            </w:r>
            <w:r>
              <w:rPr>
                <w:rFonts w:hint="eastAsia" w:ascii="Times New Roman" w:hAnsi="Times New Roman"/>
                <w:color w:val="auto"/>
                <w:sz w:val="24"/>
                <w:highlight w:val="none"/>
                <w:vertAlign w:val="subscript"/>
                <w:lang w:val="en-US" w:eastAsia="zh-CN"/>
              </w:rPr>
              <w:t>10</w:t>
            </w:r>
            <w:r>
              <w:rPr>
                <w:rFonts w:hint="eastAsia" w:ascii="Times New Roman" w:hAnsi="Times New Roman"/>
                <w:color w:val="auto"/>
                <w:sz w:val="24"/>
                <w:highlight w:val="none"/>
              </w:rPr>
              <w:t>、PM</w:t>
            </w:r>
            <w:r>
              <w:rPr>
                <w:rFonts w:hint="eastAsia" w:ascii="Times New Roman" w:hAnsi="Times New Roman"/>
                <w:color w:val="auto"/>
                <w:sz w:val="24"/>
                <w:highlight w:val="none"/>
                <w:vertAlign w:val="subscript"/>
                <w:lang w:val="en-US" w:eastAsia="zh-CN"/>
              </w:rPr>
              <w:t>2.5</w:t>
            </w:r>
            <w:r>
              <w:rPr>
                <w:rFonts w:hint="eastAsia" w:ascii="Times New Roman" w:hAnsi="Times New Roman"/>
                <w:color w:val="auto"/>
                <w:sz w:val="24"/>
                <w:highlight w:val="none"/>
              </w:rPr>
              <w:t>、CO、O</w:t>
            </w:r>
            <w:r>
              <w:rPr>
                <w:rFonts w:hint="eastAsia" w:ascii="Times New Roman" w:hAnsi="Times New Roman"/>
                <w:color w:val="auto"/>
                <w:sz w:val="24"/>
                <w:highlight w:val="none"/>
                <w:vertAlign w:val="subscript"/>
                <w:lang w:val="en-US" w:eastAsia="zh-CN"/>
              </w:rPr>
              <w:t>3</w:t>
            </w:r>
            <w:r>
              <w:rPr>
                <w:rFonts w:hint="eastAsia" w:ascii="Times New Roman" w:hAnsi="Times New Roman"/>
                <w:color w:val="auto"/>
                <w:sz w:val="24"/>
                <w:highlight w:val="none"/>
              </w:rPr>
              <w:t>执行《环境空气质量标准》（GB 3095-2026）二级标准（2026年3月1日～2030年12月31日执行过渡阶段限值），具体标准值详见下表：废包装袋产生量约为1.0/a</w:t>
            </w:r>
            <w:r>
              <w:rPr>
                <w:rFonts w:hint="eastAsia" w:ascii="Times New Roman" w:hAnsi="Times New Roman"/>
                <w:color w:val="auto"/>
                <w:sz w:val="24"/>
                <w:highlight w:val="none"/>
                <w:lang w:eastAsia="zh-CN"/>
              </w:rPr>
              <w:t>。</w:t>
            </w:r>
          </w:p>
          <w:p w14:paraId="3F3B3D48">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表3-10  环境空气质量标准</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836"/>
              <w:gridCol w:w="1491"/>
              <w:gridCol w:w="3186"/>
            </w:tblGrid>
            <w:tr w14:paraId="2735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1329" w:type="dxa"/>
                  <w:noWrap/>
                  <w:vAlign w:val="center"/>
                </w:tcPr>
                <w:p w14:paraId="1943369A">
                  <w:pPr>
                    <w:spacing w:after="0"/>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污染物名称</w:t>
                  </w:r>
                </w:p>
              </w:tc>
              <w:tc>
                <w:tcPr>
                  <w:tcW w:w="1835" w:type="dxa"/>
                  <w:noWrap/>
                  <w:vAlign w:val="center"/>
                </w:tcPr>
                <w:p w14:paraId="204E6A37">
                  <w:pPr>
                    <w:spacing w:after="0"/>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取值时间</w:t>
                  </w:r>
                </w:p>
              </w:tc>
              <w:tc>
                <w:tcPr>
                  <w:tcW w:w="1490" w:type="dxa"/>
                  <w:noWrap/>
                  <w:vAlign w:val="center"/>
                </w:tcPr>
                <w:p w14:paraId="6C2DCCAD">
                  <w:pPr>
                    <w:spacing w:after="0"/>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浓度限值</w:t>
                  </w:r>
                </w:p>
              </w:tc>
              <w:tc>
                <w:tcPr>
                  <w:tcW w:w="3185" w:type="dxa"/>
                  <w:noWrap/>
                  <w:vAlign w:val="center"/>
                </w:tcPr>
                <w:p w14:paraId="792B1A48">
                  <w:pPr>
                    <w:spacing w:after="0"/>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标准来源</w:t>
                  </w:r>
                </w:p>
              </w:tc>
            </w:tr>
            <w:tr w14:paraId="3063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restart"/>
                  <w:noWrap/>
                  <w:vAlign w:val="center"/>
                </w:tcPr>
                <w:p w14:paraId="65610B36">
                  <w:pPr>
                    <w:spacing w:after="0"/>
                    <w:jc w:val="center"/>
                    <w:rPr>
                      <w:rFonts w:ascii="Times New Roman" w:hAnsi="Times New Roman" w:eastAsia="宋体" w:cs="Times New Roman"/>
                      <w:color w:val="auto"/>
                      <w:sz w:val="21"/>
                      <w:szCs w:val="21"/>
                      <w:highlight w:val="none"/>
                      <w:vertAlign w:val="subscript"/>
                    </w:rPr>
                  </w:pPr>
                  <w:r>
                    <w:rPr>
                      <w:rFonts w:ascii="Times New Roman" w:hAnsi="Times New Roman" w:eastAsia="宋体" w:cs="Times New Roman"/>
                      <w:color w:val="auto"/>
                      <w:sz w:val="21"/>
                      <w:szCs w:val="21"/>
                      <w:highlight w:val="none"/>
                    </w:rPr>
                    <w:t>SO</w:t>
                  </w:r>
                  <w:r>
                    <w:rPr>
                      <w:rFonts w:ascii="Times New Roman" w:hAnsi="Times New Roman" w:eastAsia="宋体" w:cs="Times New Roman"/>
                      <w:color w:val="auto"/>
                      <w:sz w:val="21"/>
                      <w:szCs w:val="21"/>
                      <w:highlight w:val="none"/>
                      <w:vertAlign w:val="subscript"/>
                    </w:rPr>
                    <w:t>2</w:t>
                  </w:r>
                </w:p>
              </w:tc>
              <w:tc>
                <w:tcPr>
                  <w:tcW w:w="1835" w:type="dxa"/>
                  <w:noWrap/>
                  <w:vAlign w:val="center"/>
                </w:tcPr>
                <w:p w14:paraId="1C8AE148">
                  <w:pPr>
                    <w:pStyle w:val="58"/>
                    <w:spacing w:before="0" w:after="0" w:line="24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年平均</w:t>
                  </w:r>
                </w:p>
              </w:tc>
              <w:tc>
                <w:tcPr>
                  <w:tcW w:w="1490" w:type="dxa"/>
                  <w:noWrap/>
                  <w:vAlign w:val="center"/>
                </w:tcPr>
                <w:p w14:paraId="130778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21"/>
                      <w:szCs w:val="21"/>
                      <w:highlight w:val="none"/>
                      <w:lang w:val="en-US"/>
                    </w:rPr>
                  </w:pPr>
                  <w:r>
                    <w:rPr>
                      <w:rFonts w:ascii="Times New Roman" w:hAnsi="Times New Roman" w:eastAsia="宋体" w:cs="Times New Roman"/>
                      <w:color w:val="auto"/>
                      <w:kern w:val="0"/>
                      <w:sz w:val="21"/>
                      <w:szCs w:val="21"/>
                      <w:lang w:val="en-US" w:eastAsia="zh-CN" w:bidi="ar"/>
                    </w:rPr>
                    <w:t>60µg/m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restart"/>
                  <w:noWrap/>
                  <w:vAlign w:val="center"/>
                </w:tcPr>
                <w:p w14:paraId="15FE3F32">
                  <w:pPr>
                    <w:keepNext w:val="0"/>
                    <w:keepLines w:val="0"/>
                    <w:widowControl/>
                    <w:suppressLineNumbers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pacing w:val="0"/>
                      <w:kern w:val="0"/>
                      <w:position w:val="0"/>
                      <w:sz w:val="21"/>
                      <w:szCs w:val="21"/>
                      <w:lang w:val="en-US" w:eastAsia="zh-CN" w:bidi="ar"/>
                    </w:rPr>
                    <w:t>《环境空气质量标准》（</w:t>
                  </w:r>
                  <w:r>
                    <w:rPr>
                      <w:rFonts w:hint="default" w:ascii="Times New Roman" w:hAnsi="Times New Roman" w:eastAsia="宋体" w:cs="Times New Roman"/>
                      <w:color w:val="auto"/>
                      <w:spacing w:val="0"/>
                      <w:kern w:val="0"/>
                      <w:position w:val="0"/>
                      <w:sz w:val="21"/>
                      <w:szCs w:val="21"/>
                      <w:lang w:val="en-US" w:eastAsia="zh-CN" w:bidi="ar"/>
                    </w:rPr>
                    <w:t>GB3095 -2026</w:t>
                  </w:r>
                  <w:r>
                    <w:rPr>
                      <w:rFonts w:hint="eastAsia" w:ascii="Times New Roman" w:hAnsi="Times New Roman" w:eastAsia="宋体" w:cs="Times New Roman"/>
                      <w:color w:val="auto"/>
                      <w:spacing w:val="0"/>
                      <w:kern w:val="0"/>
                      <w:position w:val="0"/>
                      <w:sz w:val="21"/>
                      <w:szCs w:val="21"/>
                      <w:lang w:val="en-US" w:eastAsia="zh-CN" w:bidi="ar"/>
                    </w:rPr>
                    <w:t>）中过渡阶段浓度限值二级标准</w:t>
                  </w:r>
                </w:p>
              </w:tc>
            </w:tr>
            <w:tr w14:paraId="6B8C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1C6ABD52">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09282972">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24小时平均</w:t>
                  </w:r>
                </w:p>
              </w:tc>
              <w:tc>
                <w:tcPr>
                  <w:tcW w:w="1490" w:type="dxa"/>
                  <w:noWrap/>
                  <w:vAlign w:val="center"/>
                </w:tcPr>
                <w:p w14:paraId="760311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150µg/m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130705B0">
                  <w:pPr>
                    <w:spacing w:after="0"/>
                    <w:jc w:val="center"/>
                    <w:rPr>
                      <w:rFonts w:ascii="Times New Roman" w:hAnsi="Times New Roman" w:eastAsia="宋体" w:cs="Times New Roman"/>
                      <w:color w:val="auto"/>
                      <w:sz w:val="21"/>
                      <w:szCs w:val="21"/>
                      <w:highlight w:val="none"/>
                    </w:rPr>
                  </w:pPr>
                </w:p>
              </w:tc>
            </w:tr>
            <w:tr w14:paraId="41FA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7837D096">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4A1516A2">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1小时平均</w:t>
                  </w:r>
                </w:p>
              </w:tc>
              <w:tc>
                <w:tcPr>
                  <w:tcW w:w="1490" w:type="dxa"/>
                  <w:noWrap/>
                  <w:vAlign w:val="center"/>
                </w:tcPr>
                <w:p w14:paraId="0E8DA6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500µg/m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3A9EBA28">
                  <w:pPr>
                    <w:spacing w:after="0"/>
                    <w:jc w:val="center"/>
                    <w:rPr>
                      <w:rFonts w:ascii="Times New Roman" w:hAnsi="Times New Roman" w:eastAsia="宋体" w:cs="Times New Roman"/>
                      <w:color w:val="auto"/>
                      <w:sz w:val="21"/>
                      <w:szCs w:val="21"/>
                      <w:highlight w:val="none"/>
                    </w:rPr>
                  </w:pPr>
                </w:p>
              </w:tc>
            </w:tr>
            <w:tr w14:paraId="4E34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restart"/>
                  <w:noWrap/>
                  <w:vAlign w:val="center"/>
                </w:tcPr>
                <w:p w14:paraId="620836E0">
                  <w:pPr>
                    <w:spacing w:after="0"/>
                    <w:jc w:val="center"/>
                    <w:rPr>
                      <w:rFonts w:ascii="Times New Roman" w:hAnsi="Times New Roman" w:eastAsia="宋体" w:cs="Times New Roman"/>
                      <w:color w:val="auto"/>
                      <w:sz w:val="21"/>
                      <w:szCs w:val="21"/>
                      <w:highlight w:val="none"/>
                      <w:vertAlign w:val="subscript"/>
                    </w:rPr>
                  </w:pPr>
                  <w:r>
                    <w:rPr>
                      <w:rFonts w:ascii="Times New Roman" w:hAnsi="Times New Roman" w:eastAsia="宋体" w:cs="Times New Roman"/>
                      <w:color w:val="auto"/>
                      <w:sz w:val="21"/>
                      <w:szCs w:val="21"/>
                      <w:highlight w:val="none"/>
                    </w:rPr>
                    <w:t>NO</w:t>
                  </w:r>
                  <w:r>
                    <w:rPr>
                      <w:rFonts w:ascii="Times New Roman" w:hAnsi="Times New Roman" w:eastAsia="宋体" w:cs="Times New Roman"/>
                      <w:color w:val="auto"/>
                      <w:sz w:val="21"/>
                      <w:szCs w:val="21"/>
                      <w:highlight w:val="none"/>
                      <w:vertAlign w:val="subscript"/>
                    </w:rPr>
                    <w:t>2</w:t>
                  </w:r>
                </w:p>
              </w:tc>
              <w:tc>
                <w:tcPr>
                  <w:tcW w:w="1835" w:type="dxa"/>
                  <w:noWrap/>
                  <w:vAlign w:val="center"/>
                </w:tcPr>
                <w:p w14:paraId="79B99CED">
                  <w:pPr>
                    <w:pStyle w:val="58"/>
                    <w:spacing w:before="0" w:after="0" w:line="24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年平均</w:t>
                  </w:r>
                </w:p>
              </w:tc>
              <w:tc>
                <w:tcPr>
                  <w:tcW w:w="1490" w:type="dxa"/>
                  <w:noWrap/>
                  <w:vAlign w:val="center"/>
                </w:tcPr>
                <w:p w14:paraId="70BC5B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40µg/m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00AEF6BD">
                  <w:pPr>
                    <w:spacing w:after="0"/>
                    <w:jc w:val="center"/>
                    <w:rPr>
                      <w:rFonts w:ascii="Times New Roman" w:hAnsi="Times New Roman" w:eastAsia="宋体" w:cs="Times New Roman"/>
                      <w:color w:val="auto"/>
                      <w:sz w:val="21"/>
                      <w:szCs w:val="21"/>
                      <w:highlight w:val="none"/>
                    </w:rPr>
                  </w:pPr>
                </w:p>
              </w:tc>
            </w:tr>
            <w:tr w14:paraId="006B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52483C2F">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3FF56619">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24小时平均</w:t>
                  </w:r>
                </w:p>
              </w:tc>
              <w:tc>
                <w:tcPr>
                  <w:tcW w:w="1490" w:type="dxa"/>
                  <w:noWrap/>
                  <w:vAlign w:val="center"/>
                </w:tcPr>
                <w:p w14:paraId="7682AD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80µg/m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087662E7">
                  <w:pPr>
                    <w:spacing w:after="0"/>
                    <w:jc w:val="center"/>
                    <w:rPr>
                      <w:rFonts w:ascii="Times New Roman" w:hAnsi="Times New Roman" w:eastAsia="宋体" w:cs="Times New Roman"/>
                      <w:color w:val="auto"/>
                      <w:sz w:val="21"/>
                      <w:szCs w:val="21"/>
                      <w:highlight w:val="none"/>
                    </w:rPr>
                  </w:pPr>
                </w:p>
              </w:tc>
            </w:tr>
            <w:tr w14:paraId="6020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543FCFA4">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3048E75D">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1小时平均</w:t>
                  </w:r>
                </w:p>
              </w:tc>
              <w:tc>
                <w:tcPr>
                  <w:tcW w:w="1490" w:type="dxa"/>
                  <w:noWrap/>
                  <w:vAlign w:val="center"/>
                </w:tcPr>
                <w:p w14:paraId="644931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200µg/m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0B7CB809">
                  <w:pPr>
                    <w:spacing w:after="0"/>
                    <w:jc w:val="center"/>
                    <w:rPr>
                      <w:rFonts w:ascii="Times New Roman" w:hAnsi="Times New Roman" w:eastAsia="宋体" w:cs="Times New Roman"/>
                      <w:color w:val="auto"/>
                      <w:sz w:val="21"/>
                      <w:szCs w:val="21"/>
                      <w:highlight w:val="none"/>
                    </w:rPr>
                  </w:pPr>
                </w:p>
              </w:tc>
            </w:tr>
            <w:tr w14:paraId="2A79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restart"/>
                  <w:noWrap/>
                  <w:vAlign w:val="center"/>
                </w:tcPr>
                <w:p w14:paraId="261D4283">
                  <w:pPr>
                    <w:spacing w:after="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PM</w:t>
                  </w:r>
                  <w:r>
                    <w:rPr>
                      <w:rFonts w:ascii="Times New Roman" w:hAnsi="Times New Roman" w:eastAsia="宋体" w:cs="Times New Roman"/>
                      <w:color w:val="auto"/>
                      <w:sz w:val="21"/>
                      <w:szCs w:val="21"/>
                      <w:highlight w:val="none"/>
                      <w:vertAlign w:val="subscript"/>
                    </w:rPr>
                    <w:t>10</w:t>
                  </w:r>
                </w:p>
              </w:tc>
              <w:tc>
                <w:tcPr>
                  <w:tcW w:w="1835" w:type="dxa"/>
                  <w:noWrap/>
                  <w:vAlign w:val="center"/>
                </w:tcPr>
                <w:p w14:paraId="1A87A031">
                  <w:pPr>
                    <w:pStyle w:val="58"/>
                    <w:spacing w:before="0" w:after="0" w:line="24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年平均</w:t>
                  </w:r>
                </w:p>
              </w:tc>
              <w:tc>
                <w:tcPr>
                  <w:tcW w:w="1490" w:type="dxa"/>
                  <w:noWrap/>
                  <w:vAlign w:val="center"/>
                </w:tcPr>
                <w:p w14:paraId="5D6600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60µg/m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5D444CA5">
                  <w:pPr>
                    <w:spacing w:after="0"/>
                    <w:jc w:val="center"/>
                    <w:rPr>
                      <w:rFonts w:ascii="Times New Roman" w:hAnsi="Times New Roman" w:eastAsia="宋体" w:cs="Times New Roman"/>
                      <w:color w:val="auto"/>
                      <w:sz w:val="21"/>
                      <w:szCs w:val="21"/>
                      <w:highlight w:val="none"/>
                    </w:rPr>
                  </w:pPr>
                </w:p>
              </w:tc>
            </w:tr>
            <w:tr w14:paraId="1536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2176FE7A">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724AF414">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24小时平均</w:t>
                  </w:r>
                </w:p>
              </w:tc>
              <w:tc>
                <w:tcPr>
                  <w:tcW w:w="1490" w:type="dxa"/>
                  <w:noWrap/>
                  <w:vAlign w:val="center"/>
                </w:tcPr>
                <w:p w14:paraId="40D40A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120µg/m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3F930083">
                  <w:pPr>
                    <w:spacing w:after="0"/>
                    <w:jc w:val="center"/>
                    <w:rPr>
                      <w:rFonts w:ascii="Times New Roman" w:hAnsi="Times New Roman" w:eastAsia="宋体" w:cs="Times New Roman"/>
                      <w:color w:val="auto"/>
                      <w:sz w:val="21"/>
                      <w:szCs w:val="21"/>
                      <w:highlight w:val="none"/>
                    </w:rPr>
                  </w:pPr>
                </w:p>
              </w:tc>
            </w:tr>
            <w:tr w14:paraId="2DD3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restart"/>
                  <w:noWrap/>
                  <w:vAlign w:val="center"/>
                </w:tcPr>
                <w:p w14:paraId="7CF7CB36">
                  <w:pPr>
                    <w:spacing w:after="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PM</w:t>
                  </w:r>
                  <w:r>
                    <w:rPr>
                      <w:rFonts w:ascii="Times New Roman" w:hAnsi="Times New Roman" w:eastAsia="宋体" w:cs="Times New Roman"/>
                      <w:color w:val="auto"/>
                      <w:sz w:val="21"/>
                      <w:szCs w:val="21"/>
                      <w:highlight w:val="none"/>
                      <w:vertAlign w:val="subscript"/>
                    </w:rPr>
                    <w:t>2.5</w:t>
                  </w:r>
                </w:p>
              </w:tc>
              <w:tc>
                <w:tcPr>
                  <w:tcW w:w="1835" w:type="dxa"/>
                  <w:noWrap/>
                  <w:vAlign w:val="center"/>
                </w:tcPr>
                <w:p w14:paraId="1D9F21EE">
                  <w:pPr>
                    <w:pStyle w:val="58"/>
                    <w:spacing w:before="0" w:after="0" w:line="24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年平均</w:t>
                  </w:r>
                </w:p>
              </w:tc>
              <w:tc>
                <w:tcPr>
                  <w:tcW w:w="1490" w:type="dxa"/>
                  <w:noWrap/>
                  <w:vAlign w:val="center"/>
                </w:tcPr>
                <w:p w14:paraId="3EDAF9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30µg/m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710CD892">
                  <w:pPr>
                    <w:spacing w:after="0"/>
                    <w:jc w:val="center"/>
                    <w:rPr>
                      <w:rFonts w:ascii="Times New Roman" w:hAnsi="Times New Roman" w:eastAsia="宋体" w:cs="Times New Roman"/>
                      <w:color w:val="auto"/>
                      <w:sz w:val="21"/>
                      <w:szCs w:val="21"/>
                      <w:highlight w:val="none"/>
                    </w:rPr>
                  </w:pPr>
                </w:p>
              </w:tc>
            </w:tr>
            <w:tr w14:paraId="28E6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9" w:type="dxa"/>
                  <w:vMerge w:val="continue"/>
                  <w:noWrap/>
                  <w:vAlign w:val="center"/>
                </w:tcPr>
                <w:p w14:paraId="69072526">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5A32805A">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24小时平均</w:t>
                  </w:r>
                </w:p>
              </w:tc>
              <w:tc>
                <w:tcPr>
                  <w:tcW w:w="1490" w:type="dxa"/>
                  <w:noWrap/>
                  <w:vAlign w:val="center"/>
                </w:tcPr>
                <w:p w14:paraId="35998D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60µg/m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58BFBBAD">
                  <w:pPr>
                    <w:spacing w:after="0"/>
                    <w:jc w:val="center"/>
                    <w:rPr>
                      <w:rFonts w:ascii="Times New Roman" w:hAnsi="Times New Roman" w:eastAsia="宋体" w:cs="Times New Roman"/>
                      <w:color w:val="auto"/>
                      <w:sz w:val="21"/>
                      <w:szCs w:val="21"/>
                      <w:highlight w:val="none"/>
                    </w:rPr>
                  </w:pPr>
                </w:p>
              </w:tc>
            </w:tr>
            <w:tr w14:paraId="5027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restart"/>
                  <w:noWrap/>
                  <w:vAlign w:val="center"/>
                </w:tcPr>
                <w:p w14:paraId="32DFB6A9">
                  <w:pPr>
                    <w:spacing w:after="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CO</w:t>
                  </w:r>
                </w:p>
              </w:tc>
              <w:tc>
                <w:tcPr>
                  <w:tcW w:w="1835" w:type="dxa"/>
                  <w:noWrap/>
                  <w:vAlign w:val="center"/>
                </w:tcPr>
                <w:p w14:paraId="644065B3">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24小时平均</w:t>
                  </w:r>
                </w:p>
              </w:tc>
              <w:tc>
                <w:tcPr>
                  <w:tcW w:w="1490" w:type="dxa"/>
                  <w:noWrap/>
                  <w:vAlign w:val="center"/>
                </w:tcPr>
                <w:p w14:paraId="605B28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4mg/m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47D18F01">
                  <w:pPr>
                    <w:spacing w:after="0"/>
                    <w:jc w:val="center"/>
                    <w:rPr>
                      <w:rFonts w:ascii="Times New Roman" w:hAnsi="Times New Roman" w:eastAsia="宋体" w:cs="Times New Roman"/>
                      <w:color w:val="auto"/>
                      <w:sz w:val="21"/>
                      <w:szCs w:val="21"/>
                      <w:highlight w:val="none"/>
                    </w:rPr>
                  </w:pPr>
                </w:p>
              </w:tc>
            </w:tr>
            <w:tr w14:paraId="1030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4B004782">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7E1700EF">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1小时平均</w:t>
                  </w:r>
                </w:p>
              </w:tc>
              <w:tc>
                <w:tcPr>
                  <w:tcW w:w="1490" w:type="dxa"/>
                  <w:noWrap/>
                  <w:vAlign w:val="center"/>
                </w:tcPr>
                <w:p w14:paraId="45647C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10mg/m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7115AAAF">
                  <w:pPr>
                    <w:spacing w:after="0"/>
                    <w:jc w:val="center"/>
                    <w:rPr>
                      <w:rFonts w:ascii="Times New Roman" w:hAnsi="Times New Roman" w:eastAsia="宋体" w:cs="Times New Roman"/>
                      <w:color w:val="auto"/>
                      <w:sz w:val="21"/>
                      <w:szCs w:val="21"/>
                      <w:highlight w:val="none"/>
                    </w:rPr>
                  </w:pPr>
                </w:p>
              </w:tc>
            </w:tr>
            <w:tr w14:paraId="27F1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restart"/>
                  <w:noWrap/>
                  <w:vAlign w:val="center"/>
                </w:tcPr>
                <w:p w14:paraId="315587C0">
                  <w:pPr>
                    <w:spacing w:after="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O</w:t>
                  </w:r>
                  <w:r>
                    <w:rPr>
                      <w:rFonts w:ascii="Times New Roman" w:hAnsi="Times New Roman" w:eastAsia="宋体" w:cs="Times New Roman"/>
                      <w:color w:val="auto"/>
                      <w:sz w:val="21"/>
                      <w:szCs w:val="21"/>
                      <w:highlight w:val="none"/>
                      <w:vertAlign w:val="subscript"/>
                    </w:rPr>
                    <w:t>3</w:t>
                  </w:r>
                </w:p>
              </w:tc>
              <w:tc>
                <w:tcPr>
                  <w:tcW w:w="1835" w:type="dxa"/>
                  <w:noWrap/>
                  <w:vAlign w:val="center"/>
                </w:tcPr>
                <w:p w14:paraId="3562DA74">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日最大8小时平均</w:t>
                  </w:r>
                </w:p>
              </w:tc>
              <w:tc>
                <w:tcPr>
                  <w:tcW w:w="1490" w:type="dxa"/>
                  <w:noWrap/>
                  <w:vAlign w:val="center"/>
                </w:tcPr>
                <w:p w14:paraId="329AC5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160µg/m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539AB373">
                  <w:pPr>
                    <w:spacing w:after="0"/>
                    <w:jc w:val="center"/>
                    <w:rPr>
                      <w:rFonts w:ascii="Times New Roman" w:hAnsi="Times New Roman" w:eastAsia="宋体" w:cs="Times New Roman"/>
                      <w:color w:val="auto"/>
                      <w:sz w:val="21"/>
                      <w:szCs w:val="21"/>
                      <w:highlight w:val="none"/>
                    </w:rPr>
                  </w:pPr>
                </w:p>
              </w:tc>
            </w:tr>
            <w:tr w14:paraId="21DE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29" w:type="dxa"/>
                  <w:vMerge w:val="continue"/>
                  <w:noWrap/>
                  <w:vAlign w:val="center"/>
                </w:tcPr>
                <w:p w14:paraId="50814BA7">
                  <w:pPr>
                    <w:spacing w:after="0"/>
                    <w:jc w:val="center"/>
                    <w:rPr>
                      <w:rFonts w:ascii="Times New Roman" w:hAnsi="Times New Roman" w:eastAsia="宋体" w:cs="Times New Roman"/>
                      <w:color w:val="auto"/>
                      <w:sz w:val="21"/>
                      <w:szCs w:val="21"/>
                      <w:highlight w:val="none"/>
                    </w:rPr>
                  </w:pPr>
                </w:p>
              </w:tc>
              <w:tc>
                <w:tcPr>
                  <w:tcW w:w="1835" w:type="dxa"/>
                  <w:noWrap/>
                  <w:vAlign w:val="center"/>
                </w:tcPr>
                <w:p w14:paraId="1537203C">
                  <w:pPr>
                    <w:pStyle w:val="58"/>
                    <w:spacing w:before="0" w:after="0" w:line="24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1小时平均</w:t>
                  </w:r>
                </w:p>
              </w:tc>
              <w:tc>
                <w:tcPr>
                  <w:tcW w:w="1490" w:type="dxa"/>
                  <w:noWrap/>
                  <w:vAlign w:val="center"/>
                </w:tcPr>
                <w:p w14:paraId="4A80DE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lang w:val="en-US" w:eastAsia="zh-CN" w:bidi="ar"/>
                    </w:rPr>
                    <w:t>200µg</w:t>
                  </w:r>
                  <w:r>
                    <w:rPr>
                      <w:rFonts w:hint="eastAsia"/>
                      <w:color w:val="auto"/>
                      <w:lang w:val="en-US" w:eastAsia="zh-CN"/>
                    </w:rPr>
                    <w:t>/</w:t>
                  </w:r>
                  <w:r>
                    <w:rPr>
                      <w:rFonts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p>
              </w:tc>
              <w:tc>
                <w:tcPr>
                  <w:tcW w:w="3185" w:type="dxa"/>
                  <w:vMerge w:val="continue"/>
                  <w:noWrap/>
                  <w:vAlign w:val="center"/>
                </w:tcPr>
                <w:p w14:paraId="4F5A49CF">
                  <w:pPr>
                    <w:spacing w:after="0"/>
                    <w:jc w:val="center"/>
                    <w:rPr>
                      <w:rFonts w:ascii="Times New Roman" w:hAnsi="Times New Roman" w:eastAsia="宋体" w:cs="Times New Roman"/>
                      <w:color w:val="auto"/>
                      <w:sz w:val="21"/>
                      <w:szCs w:val="21"/>
                      <w:highlight w:val="none"/>
                    </w:rPr>
                  </w:pPr>
                </w:p>
              </w:tc>
            </w:tr>
          </w:tbl>
          <w:p w14:paraId="13EC32F3">
            <w:pPr>
              <w:spacing w:after="0" w:line="360" w:lineRule="auto"/>
              <w:ind w:firstLine="480" w:firstLineChars="200"/>
              <w:rPr>
                <w:rFonts w:ascii="Times New Roman" w:hAnsi="Times New Roman"/>
                <w:color w:val="auto"/>
                <w:highlight w:val="none"/>
              </w:rPr>
            </w:pPr>
            <w:r>
              <w:rPr>
                <w:rFonts w:hint="eastAsia" w:ascii="Times New Roman" w:hAnsi="Times New Roman"/>
                <w:color w:val="auto"/>
                <w:sz w:val="24"/>
                <w:highlight w:val="none"/>
              </w:rPr>
              <w:t>3、根据《声环境功能区划分技术规范》（GB/T 15190-2014），相邻区域为1类声环境功能区，距离为50m±5m区域划分为4a类声环境功能区。本项目</w:t>
            </w:r>
            <w:r>
              <w:rPr>
                <w:rFonts w:ascii="Times New Roman" w:hAnsi="Times New Roman"/>
                <w:color w:val="auto"/>
                <w:sz w:val="24"/>
                <w:highlight w:val="none"/>
              </w:rPr>
              <w:t>N</w:t>
            </w:r>
            <w:r>
              <w:rPr>
                <w:rFonts w:hint="eastAsia" w:ascii="Times New Roman" w:hAnsi="Times New Roman"/>
                <w:color w:val="auto"/>
                <w:sz w:val="24"/>
                <w:highlight w:val="none"/>
              </w:rPr>
              <w:t>1</w:t>
            </w:r>
            <w:r>
              <w:rPr>
                <w:rFonts w:ascii="Times New Roman" w:hAnsi="Times New Roman"/>
                <w:color w:val="auto"/>
                <w:sz w:val="24"/>
                <w:highlight w:val="none"/>
              </w:rPr>
              <w:t>敏感点</w:t>
            </w:r>
            <w:r>
              <w:rPr>
                <w:rFonts w:hint="eastAsia" w:ascii="Times New Roman" w:hAnsi="Times New Roman"/>
                <w:color w:val="auto"/>
                <w:sz w:val="24"/>
                <w:highlight w:val="none"/>
              </w:rPr>
              <w:t>距离S</w:t>
            </w:r>
            <w:r>
              <w:rPr>
                <w:rFonts w:ascii="Times New Roman" w:hAnsi="Times New Roman"/>
                <w:color w:val="auto"/>
                <w:sz w:val="24"/>
                <w:highlight w:val="none"/>
              </w:rPr>
              <w:t>312</w:t>
            </w:r>
            <w:r>
              <w:rPr>
                <w:rFonts w:hint="eastAsia" w:ascii="Times New Roman" w:hAnsi="Times New Roman"/>
                <w:color w:val="auto"/>
                <w:sz w:val="24"/>
                <w:highlight w:val="none"/>
              </w:rPr>
              <w:t>（二级公路）</w:t>
            </w:r>
            <w:r>
              <w:rPr>
                <w:rFonts w:hint="eastAsia" w:ascii="Times New Roman" w:hAnsi="Times New Roman"/>
                <w:color w:val="auto"/>
                <w:sz w:val="24"/>
                <w:highlight w:val="none"/>
                <w:lang w:val="en-US" w:eastAsia="zh-CN"/>
              </w:rPr>
              <w:t>5</w:t>
            </w:r>
            <w:r>
              <w:rPr>
                <w:rFonts w:hint="eastAsia" w:ascii="Times New Roman" w:hAnsi="Times New Roman"/>
                <w:color w:val="auto"/>
                <w:sz w:val="24"/>
                <w:highlight w:val="none"/>
              </w:rPr>
              <w:t>m</w:t>
            </w:r>
            <w:r>
              <w:rPr>
                <w:rFonts w:ascii="Times New Roman" w:hAnsi="Times New Roman"/>
                <w:color w:val="auto"/>
                <w:sz w:val="24"/>
                <w:highlight w:val="none"/>
              </w:rPr>
              <w:t>，</w:t>
            </w:r>
            <w:r>
              <w:rPr>
                <w:rFonts w:hint="eastAsia" w:ascii="Times New Roman" w:hAnsi="Times New Roman"/>
                <w:color w:val="auto"/>
                <w:sz w:val="24"/>
                <w:highlight w:val="none"/>
              </w:rPr>
              <w:t>故</w:t>
            </w:r>
            <w:r>
              <w:rPr>
                <w:rFonts w:ascii="Times New Roman" w:hAnsi="Times New Roman"/>
                <w:color w:val="auto"/>
                <w:sz w:val="24"/>
                <w:highlight w:val="none"/>
              </w:rPr>
              <w:t>执行《声环境质量标准》（GB3096-2008）4a类标准</w:t>
            </w:r>
            <w:r>
              <w:rPr>
                <w:rFonts w:hint="eastAsia" w:ascii="Times New Roman" w:hAnsi="Times New Roman"/>
                <w:color w:val="auto"/>
                <w:sz w:val="24"/>
                <w:highlight w:val="none"/>
              </w:rPr>
              <w:t>。其余</w:t>
            </w:r>
            <w:r>
              <w:rPr>
                <w:rFonts w:ascii="Times New Roman" w:hAnsi="Times New Roman"/>
                <w:color w:val="auto"/>
                <w:sz w:val="24"/>
                <w:highlight w:val="none"/>
              </w:rPr>
              <w:t>区域声环境执行《声环境质量标准》</w:t>
            </w:r>
            <w:r>
              <w:rPr>
                <w:rFonts w:hint="eastAsia" w:ascii="Times New Roman" w:hAnsi="Times New Roman"/>
                <w:color w:val="auto"/>
                <w:sz w:val="24"/>
                <w:highlight w:val="none"/>
              </w:rPr>
              <w:t>（</w:t>
            </w:r>
            <w:r>
              <w:rPr>
                <w:rFonts w:ascii="Times New Roman" w:hAnsi="Times New Roman"/>
                <w:color w:val="auto"/>
                <w:sz w:val="24"/>
                <w:highlight w:val="none"/>
              </w:rPr>
              <w:t>GB3096-2008</w:t>
            </w:r>
            <w:r>
              <w:rPr>
                <w:rFonts w:hint="eastAsia" w:ascii="Times New Roman" w:hAnsi="Times New Roman"/>
                <w:color w:val="auto"/>
                <w:sz w:val="24"/>
                <w:highlight w:val="none"/>
              </w:rPr>
              <w:t>）</w:t>
            </w:r>
            <w:r>
              <w:rPr>
                <w:rFonts w:ascii="Times New Roman" w:hAnsi="Times New Roman"/>
                <w:color w:val="auto"/>
                <w:sz w:val="24"/>
                <w:highlight w:val="none"/>
              </w:rPr>
              <w:t>1类标准</w:t>
            </w:r>
            <w:r>
              <w:rPr>
                <w:rFonts w:hint="eastAsia"/>
                <w:color w:val="auto"/>
                <w:highlight w:val="none"/>
              </w:rPr>
              <w:t>。</w:t>
            </w:r>
          </w:p>
          <w:p w14:paraId="1EA0822A">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表3-11  声环境质量标准  单位：dB（A）</w:t>
            </w:r>
          </w:p>
          <w:tbl>
            <w:tblPr>
              <w:tblStyle w:val="22"/>
              <w:tblW w:w="783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81"/>
              <w:gridCol w:w="2700"/>
              <w:gridCol w:w="2755"/>
            </w:tblGrid>
            <w:tr w14:paraId="45178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2381" w:type="dxa"/>
                  <w:vAlign w:val="center"/>
                </w:tcPr>
                <w:p w14:paraId="6940F841">
                  <w:pPr>
                    <w:spacing w:after="0"/>
                    <w:jc w:val="center"/>
                    <w:rPr>
                      <w:rFonts w:ascii="Times New Roman" w:hAnsi="Times New Roman"/>
                      <w:b w:val="0"/>
                      <w:bCs w:val="0"/>
                      <w:color w:val="auto"/>
                      <w:highlight w:val="none"/>
                    </w:rPr>
                  </w:pPr>
                  <w:r>
                    <w:rPr>
                      <w:rFonts w:ascii="Times New Roman" w:hAnsi="Times New Roman"/>
                      <w:b w:val="0"/>
                      <w:bCs w:val="0"/>
                      <w:color w:val="auto"/>
                      <w:highlight w:val="none"/>
                    </w:rPr>
                    <w:t>类别</w:t>
                  </w:r>
                </w:p>
              </w:tc>
              <w:tc>
                <w:tcPr>
                  <w:tcW w:w="2700" w:type="dxa"/>
                  <w:vAlign w:val="center"/>
                </w:tcPr>
                <w:p w14:paraId="18E540B9">
                  <w:pPr>
                    <w:spacing w:after="0"/>
                    <w:jc w:val="center"/>
                    <w:rPr>
                      <w:rFonts w:ascii="Times New Roman" w:hAnsi="Times New Roman"/>
                      <w:b w:val="0"/>
                      <w:bCs w:val="0"/>
                      <w:color w:val="auto"/>
                      <w:highlight w:val="none"/>
                    </w:rPr>
                  </w:pPr>
                  <w:r>
                    <w:rPr>
                      <w:rFonts w:ascii="Times New Roman" w:hAnsi="Times New Roman"/>
                      <w:b w:val="0"/>
                      <w:bCs w:val="0"/>
                      <w:color w:val="auto"/>
                      <w:highlight w:val="none"/>
                    </w:rPr>
                    <w:t>昼间</w:t>
                  </w:r>
                </w:p>
              </w:tc>
              <w:tc>
                <w:tcPr>
                  <w:tcW w:w="2755" w:type="dxa"/>
                  <w:vAlign w:val="center"/>
                </w:tcPr>
                <w:p w14:paraId="4567F97F">
                  <w:pPr>
                    <w:spacing w:after="0"/>
                    <w:jc w:val="center"/>
                    <w:rPr>
                      <w:rFonts w:ascii="Times New Roman" w:hAnsi="Times New Roman"/>
                      <w:b w:val="0"/>
                      <w:bCs w:val="0"/>
                      <w:color w:val="auto"/>
                      <w:highlight w:val="none"/>
                    </w:rPr>
                  </w:pPr>
                  <w:r>
                    <w:rPr>
                      <w:rFonts w:ascii="Times New Roman" w:hAnsi="Times New Roman"/>
                      <w:b w:val="0"/>
                      <w:bCs w:val="0"/>
                      <w:color w:val="auto"/>
                      <w:highlight w:val="none"/>
                    </w:rPr>
                    <w:t>夜间</w:t>
                  </w:r>
                </w:p>
              </w:tc>
            </w:tr>
            <w:tr w14:paraId="65DAF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2381" w:type="dxa"/>
                  <w:vAlign w:val="center"/>
                </w:tcPr>
                <w:p w14:paraId="314E86F3">
                  <w:pPr>
                    <w:spacing w:after="0"/>
                    <w:jc w:val="center"/>
                    <w:rPr>
                      <w:rFonts w:ascii="Times New Roman" w:hAnsi="Times New Roman"/>
                      <w:b w:val="0"/>
                      <w:bCs w:val="0"/>
                      <w:color w:val="auto"/>
                      <w:highlight w:val="none"/>
                    </w:rPr>
                  </w:pPr>
                  <w:r>
                    <w:rPr>
                      <w:rFonts w:ascii="Times New Roman" w:hAnsi="Times New Roman"/>
                      <w:b w:val="0"/>
                      <w:bCs w:val="0"/>
                      <w:color w:val="auto"/>
                      <w:highlight w:val="none"/>
                    </w:rPr>
                    <w:t>1类</w:t>
                  </w:r>
                </w:p>
              </w:tc>
              <w:tc>
                <w:tcPr>
                  <w:tcW w:w="2700" w:type="dxa"/>
                  <w:vAlign w:val="center"/>
                </w:tcPr>
                <w:p w14:paraId="25C17ED3">
                  <w:pPr>
                    <w:spacing w:after="0"/>
                    <w:jc w:val="center"/>
                    <w:rPr>
                      <w:rFonts w:ascii="Times New Roman" w:hAnsi="Times New Roman"/>
                      <w:b w:val="0"/>
                      <w:bCs w:val="0"/>
                      <w:color w:val="auto"/>
                      <w:highlight w:val="none"/>
                    </w:rPr>
                  </w:pPr>
                  <w:r>
                    <w:rPr>
                      <w:rFonts w:ascii="Times New Roman" w:hAnsi="Times New Roman"/>
                      <w:b w:val="0"/>
                      <w:bCs w:val="0"/>
                      <w:color w:val="auto"/>
                      <w:highlight w:val="none"/>
                    </w:rPr>
                    <w:t>55</w:t>
                  </w:r>
                </w:p>
              </w:tc>
              <w:tc>
                <w:tcPr>
                  <w:tcW w:w="2755" w:type="dxa"/>
                  <w:vAlign w:val="center"/>
                </w:tcPr>
                <w:p w14:paraId="1BADEDDB">
                  <w:pPr>
                    <w:spacing w:after="0"/>
                    <w:jc w:val="center"/>
                    <w:rPr>
                      <w:rFonts w:ascii="Times New Roman" w:hAnsi="Times New Roman"/>
                      <w:b w:val="0"/>
                      <w:bCs w:val="0"/>
                      <w:color w:val="auto"/>
                      <w:highlight w:val="none"/>
                    </w:rPr>
                  </w:pPr>
                  <w:r>
                    <w:rPr>
                      <w:rFonts w:ascii="Times New Roman" w:hAnsi="Times New Roman"/>
                      <w:b w:val="0"/>
                      <w:bCs w:val="0"/>
                      <w:color w:val="auto"/>
                      <w:highlight w:val="none"/>
                    </w:rPr>
                    <w:t>45</w:t>
                  </w:r>
                </w:p>
              </w:tc>
            </w:tr>
            <w:tr w14:paraId="77A3E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2381" w:type="dxa"/>
                  <w:vAlign w:val="center"/>
                </w:tcPr>
                <w:p w14:paraId="27BEEB68">
                  <w:pPr>
                    <w:spacing w:after="0"/>
                    <w:jc w:val="center"/>
                    <w:rPr>
                      <w:rFonts w:ascii="Times New Roman" w:hAnsi="Times New Roman"/>
                      <w:b w:val="0"/>
                      <w:bCs w:val="0"/>
                      <w:color w:val="auto"/>
                      <w:highlight w:val="none"/>
                    </w:rPr>
                  </w:pPr>
                  <w:r>
                    <w:rPr>
                      <w:rFonts w:hint="eastAsia" w:ascii="Times New Roman" w:hAnsi="Times New Roman"/>
                      <w:b w:val="0"/>
                      <w:bCs w:val="0"/>
                      <w:color w:val="auto"/>
                      <w:highlight w:val="none"/>
                    </w:rPr>
                    <w:t>4a类</w:t>
                  </w:r>
                </w:p>
              </w:tc>
              <w:tc>
                <w:tcPr>
                  <w:tcW w:w="2700" w:type="dxa"/>
                  <w:vAlign w:val="center"/>
                </w:tcPr>
                <w:p w14:paraId="720F2802">
                  <w:pPr>
                    <w:spacing w:after="0"/>
                    <w:jc w:val="center"/>
                    <w:rPr>
                      <w:rFonts w:ascii="Times New Roman" w:hAnsi="Times New Roman"/>
                      <w:b w:val="0"/>
                      <w:bCs w:val="0"/>
                      <w:color w:val="auto"/>
                      <w:highlight w:val="none"/>
                    </w:rPr>
                  </w:pPr>
                  <w:r>
                    <w:rPr>
                      <w:rFonts w:hint="eastAsia" w:ascii="Times New Roman" w:hAnsi="Times New Roman"/>
                      <w:b w:val="0"/>
                      <w:bCs w:val="0"/>
                      <w:color w:val="auto"/>
                      <w:highlight w:val="none"/>
                    </w:rPr>
                    <w:t>70</w:t>
                  </w:r>
                </w:p>
              </w:tc>
              <w:tc>
                <w:tcPr>
                  <w:tcW w:w="2755" w:type="dxa"/>
                  <w:vAlign w:val="center"/>
                </w:tcPr>
                <w:p w14:paraId="1748E1B7">
                  <w:pPr>
                    <w:spacing w:after="0"/>
                    <w:jc w:val="center"/>
                    <w:rPr>
                      <w:rFonts w:ascii="Times New Roman" w:hAnsi="Times New Roman"/>
                      <w:b w:val="0"/>
                      <w:bCs w:val="0"/>
                      <w:color w:val="auto"/>
                      <w:highlight w:val="none"/>
                    </w:rPr>
                  </w:pPr>
                  <w:r>
                    <w:rPr>
                      <w:rFonts w:hint="eastAsia" w:ascii="Times New Roman" w:hAnsi="Times New Roman"/>
                      <w:b w:val="0"/>
                      <w:bCs w:val="0"/>
                      <w:color w:val="auto"/>
                      <w:highlight w:val="none"/>
                    </w:rPr>
                    <w:t>55</w:t>
                  </w:r>
                </w:p>
              </w:tc>
            </w:tr>
          </w:tbl>
          <w:p w14:paraId="444AAFA3">
            <w:pPr>
              <w:widowControl/>
              <w:spacing w:after="0" w:line="360" w:lineRule="auto"/>
              <w:jc w:val="left"/>
              <w:rPr>
                <w:rFonts w:ascii="Times New Roman" w:hAnsi="Times New Roman"/>
                <w:color w:val="auto"/>
                <w:highlight w:val="none"/>
              </w:rPr>
            </w:pPr>
            <w:r>
              <w:rPr>
                <w:rFonts w:ascii="Times New Roman" w:hAnsi="Times New Roman"/>
                <w:b/>
                <w:bCs/>
                <w:color w:val="auto"/>
                <w:kern w:val="0"/>
                <w:sz w:val="24"/>
                <w:highlight w:val="none"/>
              </w:rPr>
              <w:t>二、污染物排放标准</w:t>
            </w:r>
          </w:p>
          <w:p w14:paraId="72C828F5">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1、废水</w:t>
            </w:r>
          </w:p>
          <w:p w14:paraId="5D8B8CB1">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项目无生产性废水排放，主要为施工期人员的生活污水，</w:t>
            </w:r>
            <w:r>
              <w:rPr>
                <w:rFonts w:hint="eastAsia" w:ascii="Times New Roman" w:hAnsi="Times New Roman"/>
                <w:color w:val="auto"/>
                <w:sz w:val="24"/>
                <w:highlight w:val="none"/>
              </w:rPr>
              <w:t>生活污水</w:t>
            </w:r>
            <w:r>
              <w:rPr>
                <w:rFonts w:ascii="Times New Roman" w:hAnsi="Times New Roman"/>
                <w:color w:val="auto"/>
                <w:sz w:val="24"/>
                <w:highlight w:val="none"/>
              </w:rPr>
              <w:t>经化粪池处理后，定期清掏用于当地农作物施肥。</w:t>
            </w:r>
          </w:p>
          <w:p w14:paraId="06B32002">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2、废气</w:t>
            </w:r>
          </w:p>
          <w:p w14:paraId="6F86DEF6">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本项目施工期颗粒物执行</w:t>
            </w:r>
            <w:r>
              <w:rPr>
                <w:rFonts w:hint="eastAsia" w:ascii="Times New Roman" w:hAnsi="Times New Roman"/>
                <w:color w:val="auto"/>
                <w:sz w:val="24"/>
                <w:highlight w:val="none"/>
              </w:rPr>
              <w:t>安徽省《施工场地颗粒物排放标准》（</w:t>
            </w:r>
            <w:r>
              <w:rPr>
                <w:rFonts w:ascii="Times New Roman" w:hAnsi="Times New Roman"/>
                <w:color w:val="auto"/>
                <w:sz w:val="24"/>
                <w:highlight w:val="none"/>
              </w:rPr>
              <w:t>DB34/4811-2024</w:t>
            </w:r>
            <w:r>
              <w:rPr>
                <w:rFonts w:hint="eastAsia" w:ascii="Times New Roman" w:hAnsi="Times New Roman"/>
                <w:color w:val="auto"/>
                <w:sz w:val="24"/>
                <w:highlight w:val="none"/>
              </w:rPr>
              <w:t>）</w:t>
            </w:r>
            <w:r>
              <w:rPr>
                <w:rFonts w:ascii="Times New Roman" w:hAnsi="Times New Roman"/>
                <w:color w:val="auto"/>
                <w:sz w:val="24"/>
                <w:highlight w:val="none"/>
              </w:rPr>
              <w:t>中厂界大气污染物无组织监控浓度限值。</w:t>
            </w:r>
            <w:r>
              <w:rPr>
                <w:rFonts w:hint="eastAsia" w:ascii="Times New Roman" w:hAnsi="Times New Roman"/>
                <w:color w:val="auto"/>
                <w:sz w:val="24"/>
                <w:highlight w:val="none"/>
              </w:rPr>
              <w:t>其他</w:t>
            </w:r>
            <w:r>
              <w:rPr>
                <w:rFonts w:ascii="Times New Roman" w:hAnsi="Times New Roman"/>
                <w:color w:val="auto"/>
                <w:sz w:val="24"/>
                <w:highlight w:val="none"/>
              </w:rPr>
              <w:t>废气执行《大气污染物综合排放标准》（GB16297-1996）中无组织排放监控浓度限值。具体标准值见下表。</w:t>
            </w:r>
          </w:p>
          <w:p w14:paraId="5B01D830">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b/>
                <w:color w:val="auto"/>
                <w:szCs w:val="21"/>
                <w:highlight w:val="none"/>
              </w:rPr>
            </w:pPr>
            <w:r>
              <w:rPr>
                <w:rFonts w:hint="eastAsia" w:ascii="Times New Roman" w:hAnsi="Times New Roman"/>
                <w:b/>
                <w:color w:val="auto"/>
                <w:szCs w:val="21"/>
                <w:highlight w:val="none"/>
              </w:rPr>
              <w:t>表3-12  安徽省《施工场地颗粒物排放标准》</w:t>
            </w:r>
          </w:p>
          <w:tbl>
            <w:tblPr>
              <w:tblStyle w:val="22"/>
              <w:tblW w:w="7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6"/>
              <w:gridCol w:w="1558"/>
              <w:gridCol w:w="2217"/>
              <w:gridCol w:w="2047"/>
            </w:tblGrid>
            <w:tr w14:paraId="3876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016" w:type="dxa"/>
                  <w:vAlign w:val="center"/>
                </w:tcPr>
                <w:p w14:paraId="3C70BDA8">
                  <w:pPr>
                    <w:spacing w:after="0"/>
                    <w:jc w:val="center"/>
                    <w:rPr>
                      <w:rFonts w:ascii="Times New Roman" w:hAnsi="Times New Roman"/>
                      <w:b/>
                      <w:color w:val="auto"/>
                      <w:szCs w:val="21"/>
                      <w:highlight w:val="none"/>
                    </w:rPr>
                  </w:pPr>
                  <w:r>
                    <w:rPr>
                      <w:rFonts w:ascii="Times New Roman" w:hAnsi="Times New Roman"/>
                      <w:b/>
                      <w:color w:val="auto"/>
                      <w:szCs w:val="21"/>
                      <w:highlight w:val="none"/>
                    </w:rPr>
                    <w:t>污染物</w:t>
                  </w:r>
                </w:p>
              </w:tc>
              <w:tc>
                <w:tcPr>
                  <w:tcW w:w="3775" w:type="dxa"/>
                  <w:gridSpan w:val="2"/>
                  <w:vAlign w:val="center"/>
                </w:tcPr>
                <w:p w14:paraId="0F2CDA20">
                  <w:pPr>
                    <w:spacing w:after="0"/>
                    <w:jc w:val="center"/>
                    <w:rPr>
                      <w:rFonts w:ascii="Times New Roman" w:hAnsi="Times New Roman"/>
                      <w:b/>
                      <w:color w:val="auto"/>
                      <w:szCs w:val="21"/>
                      <w:highlight w:val="none"/>
                    </w:rPr>
                  </w:pPr>
                  <w:r>
                    <w:rPr>
                      <w:rFonts w:ascii="Times New Roman" w:hAnsi="Times New Roman"/>
                      <w:b/>
                      <w:color w:val="auto"/>
                      <w:szCs w:val="21"/>
                      <w:highlight w:val="none"/>
                    </w:rPr>
                    <w:t>监控点浓度限值（μg/m</w:t>
                  </w:r>
                  <w:r>
                    <w:rPr>
                      <w:rFonts w:ascii="Times New Roman" w:hAnsi="Times New Roman"/>
                      <w:b/>
                      <w:color w:val="auto"/>
                      <w:szCs w:val="21"/>
                      <w:highlight w:val="none"/>
                      <w:vertAlign w:val="superscript"/>
                    </w:rPr>
                    <w:t>3</w:t>
                  </w:r>
                  <w:r>
                    <w:rPr>
                      <w:rFonts w:ascii="Times New Roman" w:hAnsi="Times New Roman"/>
                      <w:b/>
                      <w:color w:val="auto"/>
                      <w:szCs w:val="21"/>
                      <w:highlight w:val="none"/>
                    </w:rPr>
                    <w:t>）</w:t>
                  </w:r>
                </w:p>
              </w:tc>
              <w:tc>
                <w:tcPr>
                  <w:tcW w:w="2047" w:type="dxa"/>
                  <w:vAlign w:val="center"/>
                </w:tcPr>
                <w:p w14:paraId="54634375">
                  <w:pPr>
                    <w:spacing w:after="0"/>
                    <w:jc w:val="center"/>
                    <w:rPr>
                      <w:rFonts w:ascii="Times New Roman" w:hAnsi="Times New Roman"/>
                      <w:b/>
                      <w:color w:val="auto"/>
                      <w:szCs w:val="21"/>
                      <w:highlight w:val="none"/>
                    </w:rPr>
                  </w:pPr>
                  <w:r>
                    <w:rPr>
                      <w:rFonts w:ascii="Times New Roman" w:hAnsi="Times New Roman"/>
                      <w:b/>
                      <w:color w:val="auto"/>
                      <w:szCs w:val="21"/>
                      <w:highlight w:val="none"/>
                    </w:rPr>
                    <w:t>备注</w:t>
                  </w:r>
                </w:p>
              </w:tc>
            </w:tr>
            <w:tr w14:paraId="6DBC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016" w:type="dxa"/>
                  <w:vMerge w:val="restart"/>
                  <w:vAlign w:val="center"/>
                </w:tcPr>
                <w:p w14:paraId="3A277C74">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颗粒物</w:t>
                  </w:r>
                </w:p>
              </w:tc>
              <w:tc>
                <w:tcPr>
                  <w:tcW w:w="1558" w:type="dxa"/>
                  <w:vAlign w:val="center"/>
                </w:tcPr>
                <w:p w14:paraId="28FAA06B">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1000</w:t>
                  </w:r>
                </w:p>
              </w:tc>
              <w:tc>
                <w:tcPr>
                  <w:tcW w:w="2217" w:type="dxa"/>
                  <w:vAlign w:val="center"/>
                </w:tcPr>
                <w:p w14:paraId="309070B2">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超标次数≤1次/日</w:t>
                  </w:r>
                </w:p>
              </w:tc>
              <w:tc>
                <w:tcPr>
                  <w:tcW w:w="2047" w:type="dxa"/>
                  <w:vMerge w:val="restart"/>
                  <w:vAlign w:val="center"/>
                </w:tcPr>
                <w:p w14:paraId="47D254B4">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《施工场地颗粒物排放标准》（</w:t>
                  </w:r>
                  <w:r>
                    <w:rPr>
                      <w:rFonts w:ascii="Times New Roman" w:hAnsi="Times New Roman"/>
                      <w:bCs/>
                      <w:color w:val="auto"/>
                      <w:szCs w:val="21"/>
                      <w:highlight w:val="none"/>
                    </w:rPr>
                    <w:t>DB34/4811-2024</w:t>
                  </w:r>
                  <w:r>
                    <w:rPr>
                      <w:rFonts w:hint="eastAsia" w:ascii="Times New Roman" w:hAnsi="Times New Roman"/>
                      <w:bCs/>
                      <w:color w:val="auto"/>
                      <w:szCs w:val="21"/>
                      <w:highlight w:val="none"/>
                    </w:rPr>
                    <w:t>）</w:t>
                  </w:r>
                </w:p>
              </w:tc>
            </w:tr>
            <w:tr w14:paraId="4F14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016" w:type="dxa"/>
                  <w:vMerge w:val="continue"/>
                  <w:vAlign w:val="center"/>
                </w:tcPr>
                <w:p w14:paraId="5170B95E">
                  <w:pPr>
                    <w:spacing w:after="0"/>
                    <w:jc w:val="center"/>
                    <w:rPr>
                      <w:rFonts w:ascii="Times New Roman" w:hAnsi="Times New Roman"/>
                      <w:bCs/>
                      <w:color w:val="auto"/>
                      <w:szCs w:val="21"/>
                      <w:highlight w:val="none"/>
                    </w:rPr>
                  </w:pPr>
                </w:p>
              </w:tc>
              <w:tc>
                <w:tcPr>
                  <w:tcW w:w="1558" w:type="dxa"/>
                  <w:vAlign w:val="center"/>
                </w:tcPr>
                <w:p w14:paraId="40557205">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500</w:t>
                  </w:r>
                </w:p>
              </w:tc>
              <w:tc>
                <w:tcPr>
                  <w:tcW w:w="2217" w:type="dxa"/>
                  <w:vAlign w:val="center"/>
                </w:tcPr>
                <w:p w14:paraId="40CAEAD8">
                  <w:pPr>
                    <w:spacing w:after="0"/>
                    <w:jc w:val="center"/>
                    <w:rPr>
                      <w:rFonts w:ascii="Times New Roman" w:hAnsi="Times New Roman"/>
                      <w:bCs/>
                      <w:color w:val="auto"/>
                      <w:szCs w:val="21"/>
                      <w:highlight w:val="none"/>
                    </w:rPr>
                  </w:pPr>
                  <w:r>
                    <w:rPr>
                      <w:rFonts w:hint="eastAsia" w:ascii="Times New Roman" w:hAnsi="Times New Roman"/>
                      <w:bCs/>
                      <w:color w:val="auto"/>
                      <w:szCs w:val="21"/>
                      <w:highlight w:val="none"/>
                    </w:rPr>
                    <w:t>超标次数≤6次/日</w:t>
                  </w:r>
                </w:p>
              </w:tc>
              <w:tc>
                <w:tcPr>
                  <w:tcW w:w="2047" w:type="dxa"/>
                  <w:vMerge w:val="continue"/>
                  <w:vAlign w:val="center"/>
                </w:tcPr>
                <w:p w14:paraId="5FA9FBAD">
                  <w:pPr>
                    <w:spacing w:after="0"/>
                    <w:jc w:val="center"/>
                    <w:rPr>
                      <w:rFonts w:ascii="Times New Roman" w:hAnsi="Times New Roman"/>
                      <w:bCs/>
                      <w:color w:val="auto"/>
                      <w:szCs w:val="21"/>
                      <w:highlight w:val="none"/>
                    </w:rPr>
                  </w:pPr>
                </w:p>
              </w:tc>
            </w:tr>
          </w:tbl>
          <w:p w14:paraId="4D71A1E8">
            <w:pPr>
              <w:keepNext/>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b/>
                <w:color w:val="auto"/>
                <w:szCs w:val="21"/>
                <w:highlight w:val="none"/>
              </w:rPr>
            </w:pPr>
            <w:r>
              <w:rPr>
                <w:rFonts w:hint="eastAsia" w:ascii="Times New Roman" w:hAnsi="Times New Roman"/>
                <w:b/>
                <w:color w:val="auto"/>
                <w:szCs w:val="21"/>
                <w:highlight w:val="none"/>
              </w:rPr>
              <w:t>表3-13  大气污染物综合排放标准</w:t>
            </w:r>
          </w:p>
          <w:tbl>
            <w:tblPr>
              <w:tblStyle w:val="22"/>
              <w:tblW w:w="784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79"/>
              <w:gridCol w:w="2566"/>
              <w:gridCol w:w="1151"/>
              <w:gridCol w:w="2146"/>
            </w:tblGrid>
            <w:tr w14:paraId="79E50E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60" w:hRule="atLeast"/>
                <w:jc w:val="center"/>
              </w:trPr>
              <w:tc>
                <w:tcPr>
                  <w:tcW w:w="1979" w:type="dxa"/>
                  <w:vMerge w:val="restart"/>
                  <w:vAlign w:val="center"/>
                </w:tcPr>
                <w:p w14:paraId="53362142">
                  <w:pPr>
                    <w:spacing w:after="0"/>
                    <w:jc w:val="center"/>
                    <w:rPr>
                      <w:rFonts w:ascii="Times New Roman" w:hAnsi="Times New Roman"/>
                      <w:b/>
                      <w:color w:val="auto"/>
                      <w:szCs w:val="21"/>
                      <w:highlight w:val="none"/>
                    </w:rPr>
                  </w:pPr>
                  <w:r>
                    <w:rPr>
                      <w:rFonts w:ascii="Times New Roman" w:hAnsi="Times New Roman"/>
                      <w:b/>
                      <w:color w:val="auto"/>
                      <w:szCs w:val="21"/>
                      <w:highlight w:val="none"/>
                    </w:rPr>
                    <w:t>污染物</w:t>
                  </w:r>
                </w:p>
              </w:tc>
              <w:tc>
                <w:tcPr>
                  <w:tcW w:w="3717" w:type="dxa"/>
                  <w:gridSpan w:val="2"/>
                  <w:vAlign w:val="center"/>
                </w:tcPr>
                <w:p w14:paraId="74D31A19">
                  <w:pPr>
                    <w:spacing w:after="0"/>
                    <w:jc w:val="center"/>
                    <w:rPr>
                      <w:rFonts w:ascii="Times New Roman" w:hAnsi="Times New Roman"/>
                      <w:b/>
                      <w:color w:val="auto"/>
                      <w:szCs w:val="21"/>
                      <w:highlight w:val="none"/>
                    </w:rPr>
                  </w:pPr>
                  <w:r>
                    <w:rPr>
                      <w:rFonts w:ascii="Times New Roman" w:hAnsi="Times New Roman"/>
                      <w:b/>
                      <w:color w:val="auto"/>
                      <w:szCs w:val="21"/>
                      <w:highlight w:val="none"/>
                    </w:rPr>
                    <w:t>无组织排放监控浓度限值（mg/m</w:t>
                  </w:r>
                  <w:r>
                    <w:rPr>
                      <w:rFonts w:ascii="Times New Roman" w:hAnsi="Times New Roman"/>
                      <w:b/>
                      <w:color w:val="auto"/>
                      <w:szCs w:val="21"/>
                      <w:highlight w:val="none"/>
                      <w:vertAlign w:val="superscript"/>
                    </w:rPr>
                    <w:t>3</w:t>
                  </w:r>
                  <w:r>
                    <w:rPr>
                      <w:rFonts w:ascii="Times New Roman" w:hAnsi="Times New Roman"/>
                      <w:b/>
                      <w:color w:val="auto"/>
                      <w:szCs w:val="21"/>
                      <w:highlight w:val="none"/>
                    </w:rPr>
                    <w:t>）</w:t>
                  </w:r>
                </w:p>
              </w:tc>
              <w:tc>
                <w:tcPr>
                  <w:tcW w:w="2146" w:type="dxa"/>
                  <w:vMerge w:val="restart"/>
                  <w:vAlign w:val="center"/>
                </w:tcPr>
                <w:p w14:paraId="24E4C3A8">
                  <w:pPr>
                    <w:spacing w:after="0"/>
                    <w:jc w:val="center"/>
                    <w:rPr>
                      <w:rFonts w:ascii="Times New Roman" w:hAnsi="Times New Roman"/>
                      <w:color w:val="auto"/>
                      <w:szCs w:val="21"/>
                      <w:highlight w:val="none"/>
                    </w:rPr>
                  </w:pPr>
                  <w:r>
                    <w:rPr>
                      <w:rFonts w:ascii="Times New Roman" w:hAnsi="Times New Roman"/>
                      <w:b/>
                      <w:bCs/>
                      <w:color w:val="auto"/>
                      <w:szCs w:val="21"/>
                      <w:highlight w:val="none"/>
                    </w:rPr>
                    <w:t>备注</w:t>
                  </w:r>
                </w:p>
              </w:tc>
            </w:tr>
            <w:tr w14:paraId="117503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8" w:hRule="atLeast"/>
                <w:jc w:val="center"/>
              </w:trPr>
              <w:tc>
                <w:tcPr>
                  <w:tcW w:w="1979" w:type="dxa"/>
                  <w:vMerge w:val="continue"/>
                  <w:vAlign w:val="center"/>
                </w:tcPr>
                <w:p w14:paraId="6BF46276">
                  <w:pPr>
                    <w:spacing w:after="0"/>
                    <w:jc w:val="center"/>
                    <w:rPr>
                      <w:rFonts w:ascii="Times New Roman" w:hAnsi="Times New Roman"/>
                      <w:b/>
                      <w:color w:val="auto"/>
                      <w:szCs w:val="21"/>
                      <w:highlight w:val="none"/>
                    </w:rPr>
                  </w:pPr>
                </w:p>
              </w:tc>
              <w:tc>
                <w:tcPr>
                  <w:tcW w:w="2566" w:type="dxa"/>
                  <w:vAlign w:val="center"/>
                </w:tcPr>
                <w:p w14:paraId="4F6D2156">
                  <w:pPr>
                    <w:spacing w:after="0"/>
                    <w:jc w:val="center"/>
                    <w:rPr>
                      <w:rFonts w:ascii="Times New Roman" w:hAnsi="Times New Roman"/>
                      <w:b/>
                      <w:color w:val="auto"/>
                      <w:szCs w:val="21"/>
                      <w:highlight w:val="none"/>
                    </w:rPr>
                  </w:pPr>
                  <w:r>
                    <w:rPr>
                      <w:rFonts w:ascii="Times New Roman" w:hAnsi="Times New Roman"/>
                      <w:b/>
                      <w:color w:val="auto"/>
                      <w:szCs w:val="21"/>
                      <w:highlight w:val="none"/>
                    </w:rPr>
                    <w:t>监控点</w:t>
                  </w:r>
                </w:p>
              </w:tc>
              <w:tc>
                <w:tcPr>
                  <w:tcW w:w="1151" w:type="dxa"/>
                  <w:vAlign w:val="center"/>
                </w:tcPr>
                <w:p w14:paraId="26F713CE">
                  <w:pPr>
                    <w:spacing w:after="0"/>
                    <w:jc w:val="center"/>
                    <w:rPr>
                      <w:rFonts w:ascii="Times New Roman" w:hAnsi="Times New Roman"/>
                      <w:b/>
                      <w:color w:val="auto"/>
                      <w:szCs w:val="21"/>
                      <w:highlight w:val="none"/>
                    </w:rPr>
                  </w:pPr>
                  <w:r>
                    <w:rPr>
                      <w:rFonts w:ascii="Times New Roman" w:hAnsi="Times New Roman"/>
                      <w:b/>
                      <w:color w:val="auto"/>
                      <w:szCs w:val="21"/>
                      <w:highlight w:val="none"/>
                    </w:rPr>
                    <w:t>浓度</w:t>
                  </w:r>
                </w:p>
              </w:tc>
              <w:tc>
                <w:tcPr>
                  <w:tcW w:w="2146" w:type="dxa"/>
                  <w:vMerge w:val="continue"/>
                  <w:vAlign w:val="center"/>
                </w:tcPr>
                <w:p w14:paraId="1EE72CB8">
                  <w:pPr>
                    <w:spacing w:after="0"/>
                    <w:jc w:val="center"/>
                    <w:rPr>
                      <w:rFonts w:ascii="Times New Roman" w:hAnsi="Times New Roman"/>
                      <w:color w:val="auto"/>
                      <w:szCs w:val="21"/>
                      <w:highlight w:val="none"/>
                    </w:rPr>
                  </w:pPr>
                </w:p>
              </w:tc>
            </w:tr>
            <w:tr w14:paraId="0CC5B3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1979" w:type="dxa"/>
                  <w:vAlign w:val="center"/>
                </w:tcPr>
                <w:p w14:paraId="167BE2E1">
                  <w:pPr>
                    <w:spacing w:after="0"/>
                    <w:jc w:val="center"/>
                    <w:rPr>
                      <w:rFonts w:ascii="Times New Roman" w:hAnsi="Times New Roman"/>
                      <w:color w:val="auto"/>
                      <w:szCs w:val="21"/>
                      <w:highlight w:val="none"/>
                    </w:rPr>
                  </w:pPr>
                  <w:r>
                    <w:rPr>
                      <w:rFonts w:ascii="Times New Roman" w:hAnsi="Times New Roman"/>
                      <w:color w:val="auto"/>
                      <w:szCs w:val="21"/>
                      <w:highlight w:val="none"/>
                    </w:rPr>
                    <w:t>SO</w:t>
                  </w:r>
                  <w:r>
                    <w:rPr>
                      <w:rFonts w:ascii="Times New Roman" w:hAnsi="Times New Roman"/>
                      <w:color w:val="auto"/>
                      <w:szCs w:val="21"/>
                      <w:highlight w:val="none"/>
                      <w:vertAlign w:val="subscript"/>
                    </w:rPr>
                    <w:t>2</w:t>
                  </w:r>
                </w:p>
              </w:tc>
              <w:tc>
                <w:tcPr>
                  <w:tcW w:w="2566" w:type="dxa"/>
                  <w:vMerge w:val="restart"/>
                  <w:vAlign w:val="center"/>
                </w:tcPr>
                <w:p w14:paraId="01A67AF2">
                  <w:pPr>
                    <w:spacing w:after="0"/>
                    <w:jc w:val="center"/>
                    <w:rPr>
                      <w:rFonts w:ascii="Times New Roman" w:hAnsi="Times New Roman"/>
                      <w:color w:val="auto"/>
                      <w:szCs w:val="21"/>
                      <w:highlight w:val="none"/>
                    </w:rPr>
                  </w:pPr>
                  <w:r>
                    <w:rPr>
                      <w:rFonts w:ascii="Times New Roman" w:hAnsi="Times New Roman"/>
                      <w:color w:val="auto"/>
                      <w:szCs w:val="21"/>
                      <w:highlight w:val="none"/>
                    </w:rPr>
                    <w:t>周界外浓度最高点</w:t>
                  </w:r>
                </w:p>
              </w:tc>
              <w:tc>
                <w:tcPr>
                  <w:tcW w:w="1151" w:type="dxa"/>
                  <w:vAlign w:val="center"/>
                </w:tcPr>
                <w:p w14:paraId="5EE94A55">
                  <w:pPr>
                    <w:spacing w:after="0"/>
                    <w:jc w:val="center"/>
                    <w:rPr>
                      <w:rFonts w:ascii="Times New Roman" w:hAnsi="Times New Roman"/>
                      <w:color w:val="auto"/>
                      <w:szCs w:val="21"/>
                      <w:highlight w:val="none"/>
                    </w:rPr>
                  </w:pPr>
                  <w:r>
                    <w:rPr>
                      <w:rFonts w:ascii="Times New Roman" w:hAnsi="Times New Roman"/>
                      <w:color w:val="auto"/>
                      <w:szCs w:val="21"/>
                      <w:highlight w:val="none"/>
                    </w:rPr>
                    <w:t>0.40</w:t>
                  </w:r>
                </w:p>
              </w:tc>
              <w:tc>
                <w:tcPr>
                  <w:tcW w:w="2146" w:type="dxa"/>
                  <w:vMerge w:val="restart"/>
                  <w:vAlign w:val="center"/>
                </w:tcPr>
                <w:p w14:paraId="0C9608F0">
                  <w:pPr>
                    <w:spacing w:after="0"/>
                    <w:jc w:val="center"/>
                    <w:rPr>
                      <w:rFonts w:ascii="Times New Roman" w:hAnsi="Times New Roman"/>
                      <w:color w:val="auto"/>
                      <w:szCs w:val="21"/>
                      <w:highlight w:val="none"/>
                    </w:rPr>
                  </w:pPr>
                  <w:r>
                    <w:rPr>
                      <w:rFonts w:ascii="Times New Roman" w:hAnsi="Times New Roman"/>
                      <w:color w:val="auto"/>
                      <w:szCs w:val="21"/>
                      <w:highlight w:val="none"/>
                    </w:rPr>
                    <w:t>《大气污染物综合排放标准》（GB16297-1996）</w:t>
                  </w:r>
                </w:p>
              </w:tc>
            </w:tr>
            <w:tr w14:paraId="0D1061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979" w:type="dxa"/>
                  <w:vAlign w:val="center"/>
                </w:tcPr>
                <w:p w14:paraId="791FFEAF">
                  <w:pPr>
                    <w:spacing w:after="0"/>
                    <w:jc w:val="center"/>
                    <w:rPr>
                      <w:rFonts w:ascii="Times New Roman" w:hAnsi="Times New Roman"/>
                      <w:color w:val="auto"/>
                      <w:szCs w:val="21"/>
                      <w:highlight w:val="none"/>
                      <w:vertAlign w:val="subscript"/>
                    </w:rPr>
                  </w:pPr>
                  <w:r>
                    <w:rPr>
                      <w:rFonts w:ascii="Times New Roman" w:hAnsi="Times New Roman"/>
                      <w:color w:val="auto"/>
                      <w:szCs w:val="21"/>
                      <w:highlight w:val="none"/>
                    </w:rPr>
                    <w:t>NO</w:t>
                  </w:r>
                  <w:r>
                    <w:rPr>
                      <w:rFonts w:ascii="Times New Roman" w:hAnsi="Times New Roman"/>
                      <w:color w:val="auto"/>
                      <w:szCs w:val="21"/>
                      <w:highlight w:val="none"/>
                      <w:vertAlign w:val="subscript"/>
                    </w:rPr>
                    <w:t>x</w:t>
                  </w:r>
                </w:p>
              </w:tc>
              <w:tc>
                <w:tcPr>
                  <w:tcW w:w="2566" w:type="dxa"/>
                  <w:vMerge w:val="continue"/>
                  <w:vAlign w:val="center"/>
                </w:tcPr>
                <w:p w14:paraId="136782DF">
                  <w:pPr>
                    <w:spacing w:after="0"/>
                    <w:jc w:val="center"/>
                    <w:rPr>
                      <w:rFonts w:ascii="Times New Roman" w:hAnsi="Times New Roman"/>
                      <w:color w:val="auto"/>
                      <w:szCs w:val="21"/>
                      <w:highlight w:val="none"/>
                    </w:rPr>
                  </w:pPr>
                </w:p>
              </w:tc>
              <w:tc>
                <w:tcPr>
                  <w:tcW w:w="1151" w:type="dxa"/>
                  <w:vAlign w:val="center"/>
                </w:tcPr>
                <w:p w14:paraId="7726C521">
                  <w:pPr>
                    <w:spacing w:after="0"/>
                    <w:jc w:val="center"/>
                    <w:rPr>
                      <w:rFonts w:ascii="Times New Roman" w:hAnsi="Times New Roman"/>
                      <w:color w:val="auto"/>
                      <w:szCs w:val="21"/>
                      <w:highlight w:val="none"/>
                    </w:rPr>
                  </w:pPr>
                  <w:r>
                    <w:rPr>
                      <w:rFonts w:ascii="Times New Roman" w:hAnsi="Times New Roman"/>
                      <w:color w:val="auto"/>
                      <w:szCs w:val="21"/>
                      <w:highlight w:val="none"/>
                    </w:rPr>
                    <w:t>0.12</w:t>
                  </w:r>
                </w:p>
              </w:tc>
              <w:tc>
                <w:tcPr>
                  <w:tcW w:w="2146" w:type="dxa"/>
                  <w:vMerge w:val="continue"/>
                  <w:vAlign w:val="center"/>
                </w:tcPr>
                <w:p w14:paraId="614DDC08">
                  <w:pPr>
                    <w:spacing w:after="0"/>
                    <w:jc w:val="center"/>
                    <w:rPr>
                      <w:rFonts w:ascii="Times New Roman" w:hAnsi="Times New Roman"/>
                      <w:color w:val="auto"/>
                      <w:szCs w:val="21"/>
                      <w:highlight w:val="none"/>
                    </w:rPr>
                  </w:pPr>
                </w:p>
              </w:tc>
            </w:tr>
          </w:tbl>
          <w:p w14:paraId="7C99FB8A">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3、噪声</w:t>
            </w:r>
          </w:p>
          <w:p w14:paraId="09037A1A">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本项目实施是为了采掘面瓦斯抽采预先进行的钻前工程、钻井工程、复垦工程。本项目的实施是</w:t>
            </w:r>
            <w:r>
              <w:rPr>
                <w:rFonts w:hint="eastAsia" w:ascii="Times New Roman" w:hAnsi="Times New Roman"/>
                <w:color w:val="auto"/>
                <w:sz w:val="24"/>
                <w:highlight w:val="none"/>
              </w:rPr>
              <w:t>为了优化煤矿采掘接续，满足矿井建设、生产的需求，本项目无运营期。</w:t>
            </w:r>
            <w:r>
              <w:rPr>
                <w:rFonts w:ascii="Times New Roman" w:hAnsi="Times New Roman"/>
                <w:color w:val="auto"/>
                <w:sz w:val="24"/>
                <w:highlight w:val="none"/>
              </w:rPr>
              <w:t>施工期噪声执行《</w:t>
            </w:r>
            <w:r>
              <w:rPr>
                <w:rFonts w:hint="eastAsia" w:ascii="Times New Roman" w:hAnsi="Times New Roman"/>
                <w:color w:val="auto"/>
                <w:sz w:val="24"/>
                <w:highlight w:val="none"/>
                <w:lang w:eastAsia="zh-CN"/>
              </w:rPr>
              <w:t>建筑施工噪声排放标准</w:t>
            </w:r>
            <w:r>
              <w:rPr>
                <w:rFonts w:ascii="Times New Roman" w:hAnsi="Times New Roman"/>
                <w:color w:val="auto"/>
                <w:sz w:val="24"/>
                <w:highlight w:val="none"/>
              </w:rPr>
              <w:t>》（</w:t>
            </w:r>
            <w:r>
              <w:rPr>
                <w:rFonts w:hint="eastAsia" w:ascii="Times New Roman" w:hAnsi="Times New Roman"/>
                <w:color w:val="auto"/>
                <w:sz w:val="24"/>
                <w:highlight w:val="none"/>
                <w:lang w:eastAsia="zh-CN"/>
              </w:rPr>
              <w:t>GB12523-2025</w:t>
            </w:r>
            <w:r>
              <w:rPr>
                <w:rFonts w:ascii="Times New Roman" w:hAnsi="Times New Roman"/>
                <w:color w:val="auto"/>
                <w:sz w:val="24"/>
                <w:highlight w:val="none"/>
              </w:rPr>
              <w:t>）中标准限值，具体标准见下表：</w:t>
            </w:r>
          </w:p>
          <w:p w14:paraId="5B38D1B5">
            <w:pPr>
              <w:keepNext/>
              <w:spacing w:after="0" w:line="360" w:lineRule="auto"/>
              <w:jc w:val="center"/>
              <w:rPr>
                <w:rFonts w:ascii="Times New Roman" w:hAnsi="Times New Roman"/>
                <w:b/>
                <w:color w:val="auto"/>
                <w:szCs w:val="21"/>
                <w:highlight w:val="none"/>
              </w:rPr>
            </w:pPr>
            <w:r>
              <w:rPr>
                <w:rFonts w:hint="eastAsia" w:ascii="Times New Roman" w:hAnsi="Times New Roman"/>
                <w:b/>
                <w:color w:val="auto"/>
                <w:szCs w:val="21"/>
                <w:highlight w:val="none"/>
              </w:rPr>
              <w:t xml:space="preserve">表3-14  </w:t>
            </w:r>
            <w:r>
              <w:rPr>
                <w:rFonts w:hint="eastAsia" w:ascii="Times New Roman" w:hAnsi="Times New Roman"/>
                <w:b/>
                <w:color w:val="auto"/>
                <w:szCs w:val="21"/>
                <w:highlight w:val="none"/>
                <w:lang w:eastAsia="zh-CN"/>
              </w:rPr>
              <w:t>建筑施工噪声排放标准</w:t>
            </w:r>
            <w:r>
              <w:rPr>
                <w:rFonts w:hint="eastAsia" w:ascii="Times New Roman" w:hAnsi="Times New Roman"/>
                <w:b/>
                <w:color w:val="auto"/>
                <w:szCs w:val="21"/>
                <w:highlight w:val="none"/>
              </w:rPr>
              <w:t xml:space="preserve">  单位： dB(A)</w:t>
            </w:r>
          </w:p>
          <w:tbl>
            <w:tblPr>
              <w:tblStyle w:val="22"/>
              <w:tblW w:w="7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74"/>
              <w:gridCol w:w="2016"/>
              <w:gridCol w:w="2016"/>
            </w:tblGrid>
            <w:tr w14:paraId="78C4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774" w:type="dxa"/>
                  <w:tcBorders>
                    <w:tl2br w:val="nil"/>
                    <w:tr2bl w:val="nil"/>
                  </w:tcBorders>
                  <w:noWrap/>
                  <w:vAlign w:val="center"/>
                </w:tcPr>
                <w:p w14:paraId="353B0AA9">
                  <w:pPr>
                    <w:spacing w:after="0"/>
                    <w:jc w:val="center"/>
                    <w:rPr>
                      <w:rFonts w:ascii="Times New Roman" w:hAnsi="Times New Roman"/>
                      <w:b/>
                      <w:color w:val="auto"/>
                      <w:szCs w:val="21"/>
                      <w:highlight w:val="none"/>
                    </w:rPr>
                  </w:pPr>
                  <w:r>
                    <w:rPr>
                      <w:rFonts w:ascii="Times New Roman" w:hAnsi="Times New Roman"/>
                      <w:b/>
                      <w:color w:val="auto"/>
                      <w:szCs w:val="21"/>
                      <w:highlight w:val="none"/>
                    </w:rPr>
                    <w:t>标准类别</w:t>
                  </w:r>
                </w:p>
              </w:tc>
              <w:tc>
                <w:tcPr>
                  <w:tcW w:w="2016" w:type="dxa"/>
                  <w:tcBorders>
                    <w:tl2br w:val="nil"/>
                    <w:tr2bl w:val="nil"/>
                  </w:tcBorders>
                  <w:noWrap/>
                  <w:vAlign w:val="center"/>
                </w:tcPr>
                <w:p w14:paraId="40A9622D">
                  <w:pPr>
                    <w:spacing w:after="0"/>
                    <w:jc w:val="center"/>
                    <w:rPr>
                      <w:rFonts w:ascii="Times New Roman" w:hAnsi="Times New Roman"/>
                      <w:b/>
                      <w:color w:val="auto"/>
                      <w:szCs w:val="21"/>
                      <w:highlight w:val="none"/>
                    </w:rPr>
                  </w:pPr>
                  <w:r>
                    <w:rPr>
                      <w:rFonts w:ascii="Times New Roman" w:hAnsi="Times New Roman"/>
                      <w:b/>
                      <w:color w:val="auto"/>
                      <w:szCs w:val="21"/>
                      <w:highlight w:val="none"/>
                    </w:rPr>
                    <w:t>昼间</w:t>
                  </w:r>
                </w:p>
              </w:tc>
              <w:tc>
                <w:tcPr>
                  <w:tcW w:w="2016" w:type="dxa"/>
                  <w:tcBorders>
                    <w:tl2br w:val="nil"/>
                    <w:tr2bl w:val="nil"/>
                  </w:tcBorders>
                  <w:noWrap/>
                  <w:vAlign w:val="center"/>
                </w:tcPr>
                <w:p w14:paraId="247FB960">
                  <w:pPr>
                    <w:spacing w:after="0"/>
                    <w:jc w:val="center"/>
                    <w:rPr>
                      <w:rFonts w:ascii="Times New Roman" w:hAnsi="Times New Roman"/>
                      <w:b/>
                      <w:color w:val="auto"/>
                      <w:szCs w:val="21"/>
                      <w:highlight w:val="none"/>
                    </w:rPr>
                  </w:pPr>
                  <w:r>
                    <w:rPr>
                      <w:rFonts w:ascii="Times New Roman" w:hAnsi="Times New Roman"/>
                      <w:b/>
                      <w:color w:val="auto"/>
                      <w:szCs w:val="21"/>
                      <w:highlight w:val="none"/>
                    </w:rPr>
                    <w:t>夜间</w:t>
                  </w:r>
                </w:p>
              </w:tc>
            </w:tr>
            <w:tr w14:paraId="4669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3774" w:type="dxa"/>
                  <w:tcBorders>
                    <w:tl2br w:val="nil"/>
                    <w:tr2bl w:val="nil"/>
                  </w:tcBorders>
                  <w:noWrap/>
                  <w:vAlign w:val="center"/>
                </w:tcPr>
                <w:p w14:paraId="5C847FF2">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w:t>
                  </w:r>
                  <w:r>
                    <w:rPr>
                      <w:rFonts w:hint="eastAsia" w:ascii="Times New Roman" w:hAnsi="Times New Roman"/>
                      <w:bCs/>
                      <w:color w:val="auto"/>
                      <w:szCs w:val="21"/>
                      <w:highlight w:val="none"/>
                      <w:lang w:eastAsia="zh-CN"/>
                    </w:rPr>
                    <w:t>建筑施工噪声排放标准</w:t>
                  </w:r>
                  <w:r>
                    <w:rPr>
                      <w:rFonts w:ascii="Times New Roman" w:hAnsi="Times New Roman"/>
                      <w:bCs/>
                      <w:color w:val="auto"/>
                      <w:szCs w:val="21"/>
                      <w:highlight w:val="none"/>
                    </w:rPr>
                    <w:t>》（</w:t>
                  </w:r>
                  <w:r>
                    <w:rPr>
                      <w:rFonts w:hint="eastAsia" w:ascii="Times New Roman" w:hAnsi="Times New Roman"/>
                      <w:bCs/>
                      <w:color w:val="auto"/>
                      <w:szCs w:val="21"/>
                      <w:highlight w:val="none"/>
                      <w:lang w:eastAsia="zh-CN"/>
                    </w:rPr>
                    <w:t>GB12523-2025</w:t>
                  </w:r>
                  <w:r>
                    <w:rPr>
                      <w:rFonts w:ascii="Times New Roman" w:hAnsi="Times New Roman"/>
                      <w:bCs/>
                      <w:color w:val="auto"/>
                      <w:szCs w:val="21"/>
                      <w:highlight w:val="none"/>
                    </w:rPr>
                    <w:t>）</w:t>
                  </w:r>
                </w:p>
              </w:tc>
              <w:tc>
                <w:tcPr>
                  <w:tcW w:w="2016" w:type="dxa"/>
                  <w:tcBorders>
                    <w:tl2br w:val="nil"/>
                    <w:tr2bl w:val="nil"/>
                  </w:tcBorders>
                  <w:noWrap/>
                  <w:vAlign w:val="center"/>
                </w:tcPr>
                <w:p w14:paraId="74DB4066">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70</w:t>
                  </w:r>
                </w:p>
              </w:tc>
              <w:tc>
                <w:tcPr>
                  <w:tcW w:w="2016" w:type="dxa"/>
                  <w:tcBorders>
                    <w:tl2br w:val="nil"/>
                    <w:tr2bl w:val="nil"/>
                  </w:tcBorders>
                  <w:noWrap/>
                  <w:vAlign w:val="center"/>
                </w:tcPr>
                <w:p w14:paraId="76A1E051">
                  <w:pPr>
                    <w:spacing w:after="0"/>
                    <w:jc w:val="center"/>
                    <w:rPr>
                      <w:rFonts w:ascii="Times New Roman" w:hAnsi="Times New Roman"/>
                      <w:bCs/>
                      <w:color w:val="auto"/>
                      <w:szCs w:val="21"/>
                      <w:highlight w:val="none"/>
                    </w:rPr>
                  </w:pPr>
                  <w:r>
                    <w:rPr>
                      <w:rFonts w:ascii="Times New Roman" w:hAnsi="Times New Roman"/>
                      <w:bCs/>
                      <w:color w:val="auto"/>
                      <w:szCs w:val="21"/>
                      <w:highlight w:val="none"/>
                    </w:rPr>
                    <w:t>55</w:t>
                  </w:r>
                </w:p>
              </w:tc>
            </w:tr>
          </w:tbl>
          <w:p w14:paraId="4CF9BA31">
            <w:pPr>
              <w:spacing w:after="0" w:line="360" w:lineRule="auto"/>
              <w:ind w:firstLine="482" w:firstLineChars="200"/>
              <w:rPr>
                <w:rFonts w:ascii="Times New Roman" w:hAnsi="Times New Roman"/>
                <w:color w:val="auto"/>
                <w:highlight w:val="none"/>
              </w:rPr>
            </w:pPr>
            <w:r>
              <w:rPr>
                <w:rFonts w:ascii="Times New Roman" w:hAnsi="Times New Roman"/>
                <w:b/>
                <w:bCs/>
                <w:color w:val="auto"/>
                <w:sz w:val="24"/>
                <w:highlight w:val="none"/>
              </w:rPr>
              <w:t>4、固体废物</w:t>
            </w:r>
          </w:p>
          <w:p w14:paraId="62FE7E94">
            <w:pPr>
              <w:pStyle w:val="31"/>
              <w:keepNext w:val="0"/>
              <w:keepLines w:val="0"/>
              <w:pageBreakBefore w:val="0"/>
              <w:widowControl w:val="0"/>
              <w:kinsoku/>
              <w:wordWrap/>
              <w:overflowPunct/>
              <w:topLinePunct w:val="0"/>
              <w:autoSpaceDE w:val="0"/>
              <w:autoSpaceDN w:val="0"/>
              <w:bidi w:val="0"/>
              <w:adjustRightInd/>
              <w:snapToGrid/>
              <w:spacing w:after="0" w:line="360" w:lineRule="auto"/>
              <w:ind w:firstLine="480" w:firstLineChars="200"/>
              <w:jc w:val="both"/>
              <w:textAlignment w:val="auto"/>
              <w:rPr>
                <w:rFonts w:ascii="Times New Roman" w:hAnsi="Times New Roman"/>
                <w:color w:val="auto"/>
                <w:highlight w:val="none"/>
              </w:rPr>
            </w:pPr>
            <w:r>
              <w:rPr>
                <w:rFonts w:ascii="Times New Roman" w:hAnsi="Times New Roman" w:eastAsia="宋体" w:cs="Times New Roman"/>
                <w:b w:val="0"/>
                <w:color w:val="auto"/>
                <w:sz w:val="24"/>
                <w:szCs w:val="24"/>
              </w:rPr>
              <w:t>一般工业固废执行《一般工业固体废物贮存和填埋污染控制标准》（GB 18599</w:t>
            </w:r>
            <w:r>
              <w:rPr>
                <w:rFonts w:ascii="Times New Roman" w:hAnsi="Times New Roman" w:eastAsia="宋体" w:cs="Times New Roman"/>
                <w:b w:val="0"/>
                <w:color w:val="auto"/>
                <w:sz w:val="24"/>
                <w:szCs w:val="24"/>
              </w:rPr>
              <w:noBreakHyphen/>
            </w:r>
            <w:r>
              <w:rPr>
                <w:rFonts w:ascii="Times New Roman" w:hAnsi="Times New Roman" w:eastAsia="宋体" w:cs="Times New Roman"/>
                <w:b w:val="0"/>
                <w:color w:val="auto"/>
                <w:sz w:val="24"/>
                <w:szCs w:val="24"/>
              </w:rPr>
              <w:t>2020）；危险废物暂存执行《危险废物贮存污染控制标准》（GB18597</w:t>
            </w:r>
            <w:r>
              <w:rPr>
                <w:rFonts w:ascii="Times New Roman" w:hAnsi="Times New Roman" w:eastAsia="宋体" w:cs="Times New Roman"/>
                <w:b w:val="0"/>
                <w:color w:val="auto"/>
                <w:sz w:val="24"/>
                <w:szCs w:val="24"/>
              </w:rPr>
              <w:noBreakHyphen/>
            </w:r>
            <w:r>
              <w:rPr>
                <w:rFonts w:ascii="Times New Roman" w:hAnsi="Times New Roman" w:eastAsia="宋体" w:cs="Times New Roman"/>
                <w:b w:val="0"/>
                <w:color w:val="auto"/>
                <w:sz w:val="24"/>
                <w:szCs w:val="24"/>
              </w:rPr>
              <w:t>2023）；固体废物收集、贮存、处置管理执行</w:t>
            </w:r>
            <w:r>
              <w:rPr>
                <w:rStyle w:val="25"/>
                <w:rFonts w:ascii="Times New Roman" w:hAnsi="Times New Roman" w:eastAsia="宋体" w:cs="Times New Roman"/>
                <w:b w:val="0"/>
                <w:color w:val="auto"/>
                <w:sz w:val="24"/>
                <w:szCs w:val="24"/>
              </w:rPr>
              <w:t>《中华人民共和国生态环境法典》</w:t>
            </w:r>
            <w:r>
              <w:rPr>
                <w:rFonts w:ascii="Times New Roman" w:hAnsi="Times New Roman" w:eastAsia="宋体" w:cs="Times New Roman"/>
                <w:b w:val="0"/>
                <w:color w:val="auto"/>
                <w:sz w:val="24"/>
                <w:szCs w:val="24"/>
              </w:rPr>
              <w:t>有关规定。</w:t>
            </w:r>
          </w:p>
        </w:tc>
      </w:tr>
      <w:tr w14:paraId="5D281B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4" w:hRule="atLeast"/>
          <w:jc w:val="center"/>
        </w:trPr>
        <w:tc>
          <w:tcPr>
            <w:tcW w:w="454" w:type="dxa"/>
            <w:vAlign w:val="center"/>
          </w:tcPr>
          <w:p w14:paraId="32D65086">
            <w:pPr>
              <w:adjustRightInd w:val="0"/>
              <w:snapToGrid w:val="0"/>
              <w:spacing w:after="0"/>
              <w:jc w:val="center"/>
              <w:rPr>
                <w:rFonts w:ascii="Times New Roman" w:hAnsi="Times New Roman"/>
                <w:color w:val="auto"/>
                <w:kern w:val="0"/>
                <w:sz w:val="24"/>
                <w:highlight w:val="none"/>
              </w:rPr>
            </w:pPr>
            <w:r>
              <w:rPr>
                <w:rFonts w:ascii="Times New Roman" w:hAnsi="Times New Roman"/>
                <w:color w:val="auto"/>
                <w:kern w:val="0"/>
                <w:sz w:val="24"/>
                <w:highlight w:val="none"/>
              </w:rPr>
              <w:t>其他</w:t>
            </w:r>
          </w:p>
        </w:tc>
        <w:tc>
          <w:tcPr>
            <w:tcW w:w="8068" w:type="dxa"/>
            <w:vAlign w:val="center"/>
          </w:tcPr>
          <w:p w14:paraId="14D6E5D3">
            <w:pPr>
              <w:spacing w:after="0" w:line="360" w:lineRule="auto"/>
              <w:ind w:firstLine="480" w:firstLineChars="200"/>
              <w:rPr>
                <w:rFonts w:ascii="Times New Roman" w:hAnsi="Times New Roman"/>
                <w:color w:val="auto"/>
                <w:highlight w:val="none"/>
              </w:rPr>
            </w:pPr>
            <w:r>
              <w:rPr>
                <w:rFonts w:ascii="Times New Roman" w:hAnsi="Times New Roman"/>
                <w:color w:val="auto"/>
                <w:sz w:val="24"/>
                <w:highlight w:val="none"/>
              </w:rPr>
              <w:t>本项目为</w:t>
            </w:r>
            <w:r>
              <w:rPr>
                <w:rFonts w:hint="eastAsia" w:ascii="Times New Roman" w:hAnsi="Times New Roman"/>
                <w:color w:val="auto"/>
                <w:sz w:val="24"/>
                <w:highlight w:val="none"/>
              </w:rPr>
              <w:t>M7471能源矿产地质勘查</w:t>
            </w:r>
            <w:r>
              <w:rPr>
                <w:rFonts w:ascii="Times New Roman" w:hAnsi="Times New Roman"/>
                <w:color w:val="auto"/>
                <w:sz w:val="24"/>
                <w:highlight w:val="none"/>
              </w:rPr>
              <w:t>，施工期废气主要为汽车尾气、扬尘，运营期无废水排放，因此无需申请总量控制指标。</w:t>
            </w:r>
          </w:p>
        </w:tc>
      </w:tr>
    </w:tbl>
    <w:p w14:paraId="350CC334">
      <w:pPr>
        <w:rPr>
          <w:color w:val="auto"/>
          <w:highlight w:val="none"/>
        </w:rPr>
      </w:pPr>
    </w:p>
    <w:p w14:paraId="7CAB35B7">
      <w:pPr>
        <w:pStyle w:val="20"/>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kern w:val="2"/>
          <w:sz w:val="36"/>
          <w:szCs w:val="36"/>
          <w:highlight w:val="none"/>
        </w:rPr>
        <w:br w:type="page"/>
      </w:r>
      <w:bookmarkStart w:id="13" w:name="_Toc17497"/>
      <w:r>
        <w:rPr>
          <w:rFonts w:ascii="Times New Roman" w:hAnsi="Times New Roman" w:eastAsia="黑体"/>
          <w:snapToGrid w:val="0"/>
          <w:color w:val="auto"/>
          <w:sz w:val="30"/>
          <w:szCs w:val="30"/>
          <w:highlight w:val="none"/>
        </w:rPr>
        <w:t>四、生态环境影响分析</w:t>
      </w:r>
      <w:bookmarkEnd w:id="13"/>
    </w:p>
    <w:tbl>
      <w:tblPr>
        <w:tblStyle w:val="22"/>
        <w:tblW w:w="87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146"/>
        <w:gridCol w:w="131"/>
      </w:tblGrid>
      <w:tr w14:paraId="557C8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89" w:hRule="atLeast"/>
          <w:jc w:val="center"/>
        </w:trPr>
        <w:tc>
          <w:tcPr>
            <w:tcW w:w="456" w:type="dxa"/>
            <w:tcMar>
              <w:left w:w="28" w:type="dxa"/>
              <w:right w:w="28" w:type="dxa"/>
            </w:tcMar>
            <w:vAlign w:val="center"/>
          </w:tcPr>
          <w:p w14:paraId="2DA35F32">
            <w:pPr>
              <w:pStyle w:val="20"/>
              <w:adjustRightInd w:val="0"/>
              <w:snapToGrid w:val="0"/>
              <w:spacing w:before="0" w:beforeAutospacing="0" w:after="0" w:afterAutospacing="0"/>
              <w:jc w:val="center"/>
              <w:rPr>
                <w:rFonts w:ascii="Times New Roman" w:hAnsi="Times New Roman"/>
                <w:bCs/>
                <w:color w:val="auto"/>
                <w:highlight w:val="none"/>
              </w:rPr>
            </w:pPr>
            <w:bookmarkStart w:id="14" w:name="_Hlk49796138"/>
            <w:r>
              <w:rPr>
                <w:rFonts w:ascii="Times New Roman" w:hAnsi="Times New Roman"/>
                <w:bCs/>
                <w:color w:val="auto"/>
                <w:spacing w:val="10"/>
                <w:kern w:val="2"/>
                <w:szCs w:val="24"/>
                <w:highlight w:val="none"/>
              </w:rPr>
              <w:t>施工期生态环境影响分析</w:t>
            </w:r>
            <w:bookmarkEnd w:id="14"/>
          </w:p>
        </w:tc>
        <w:tc>
          <w:tcPr>
            <w:tcW w:w="8277" w:type="dxa"/>
            <w:gridSpan w:val="2"/>
          </w:tcPr>
          <w:p w14:paraId="57A03ED1">
            <w:pPr>
              <w:widowControl/>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本项目拟建</w:t>
            </w:r>
            <w:r>
              <w:rPr>
                <w:rFonts w:hint="eastAsia" w:ascii="Times New Roman" w:hAnsi="Times New Roman"/>
                <w:bCs/>
                <w:color w:val="auto"/>
                <w:sz w:val="24"/>
                <w:highlight w:val="none"/>
                <w:lang w:val="en-US" w:eastAsia="zh-CN"/>
              </w:rPr>
              <w:t>19</w:t>
            </w:r>
            <w:r>
              <w:rPr>
                <w:rFonts w:hint="eastAsia" w:ascii="Times New Roman" w:hAnsi="Times New Roman"/>
                <w:bCs/>
                <w:color w:val="auto"/>
                <w:sz w:val="24"/>
                <w:highlight w:val="none"/>
              </w:rPr>
              <w:t>口钻井</w:t>
            </w:r>
            <w:r>
              <w:rPr>
                <w:rFonts w:ascii="Times New Roman" w:hAnsi="Times New Roman"/>
                <w:bCs/>
                <w:color w:val="auto"/>
                <w:sz w:val="24"/>
                <w:highlight w:val="none"/>
              </w:rPr>
              <w:t>，项目</w:t>
            </w:r>
            <w:r>
              <w:rPr>
                <w:rFonts w:hint="eastAsia" w:ascii="Times New Roman" w:hAnsi="Times New Roman"/>
                <w:bCs/>
                <w:color w:val="auto"/>
                <w:sz w:val="24"/>
                <w:highlight w:val="none"/>
                <w:lang w:val="en-US" w:eastAsia="zh-CN"/>
              </w:rPr>
              <w:t>总</w:t>
            </w:r>
            <w:r>
              <w:rPr>
                <w:rFonts w:ascii="Times New Roman" w:hAnsi="Times New Roman"/>
                <w:bCs/>
                <w:color w:val="auto"/>
                <w:sz w:val="24"/>
                <w:highlight w:val="none"/>
              </w:rPr>
              <w:t>施工期约</w:t>
            </w:r>
            <w:r>
              <w:rPr>
                <w:rFonts w:hint="eastAsia" w:ascii="Times New Roman" w:hAnsi="Times New Roman"/>
                <w:bCs/>
                <w:color w:val="auto"/>
                <w:sz w:val="24"/>
                <w:highlight w:val="none"/>
                <w:lang w:val="en-US" w:eastAsia="zh-CN"/>
              </w:rPr>
              <w:t>9</w:t>
            </w:r>
            <w:r>
              <w:rPr>
                <w:rFonts w:hint="eastAsia" w:ascii="Times New Roman" w:hAnsi="Times New Roman"/>
                <w:bCs/>
                <w:color w:val="auto"/>
                <w:sz w:val="24"/>
                <w:highlight w:val="none"/>
              </w:rPr>
              <w:t>个月</w:t>
            </w:r>
            <w:r>
              <w:rPr>
                <w:rFonts w:ascii="Times New Roman" w:hAnsi="Times New Roman"/>
                <w:bCs/>
                <w:color w:val="auto"/>
                <w:sz w:val="24"/>
                <w:highlight w:val="none"/>
              </w:rPr>
              <w:t>，</w:t>
            </w:r>
            <w:r>
              <w:rPr>
                <w:rFonts w:hint="eastAsia" w:ascii="Times New Roman" w:hAnsi="Times New Roman"/>
                <w:bCs/>
                <w:color w:val="auto"/>
                <w:sz w:val="24"/>
                <w:highlight w:val="none"/>
              </w:rPr>
              <w:t>施工人员</w:t>
            </w:r>
            <w:r>
              <w:rPr>
                <w:rFonts w:hint="eastAsia" w:ascii="Times New Roman" w:hAnsi="Times New Roman"/>
                <w:bCs/>
                <w:color w:val="auto"/>
                <w:sz w:val="24"/>
                <w:highlight w:val="none"/>
                <w:lang w:val="en-US" w:eastAsia="zh-CN"/>
              </w:rPr>
              <w:t>76</w:t>
            </w:r>
            <w:r>
              <w:rPr>
                <w:rFonts w:hint="eastAsia" w:ascii="Times New Roman" w:hAnsi="Times New Roman"/>
                <w:bCs/>
                <w:color w:val="auto"/>
                <w:sz w:val="24"/>
                <w:highlight w:val="none"/>
              </w:rPr>
              <w:t>人，</w:t>
            </w:r>
            <w:r>
              <w:rPr>
                <w:rFonts w:ascii="Times New Roman" w:hAnsi="Times New Roman"/>
                <w:bCs/>
                <w:color w:val="auto"/>
                <w:sz w:val="24"/>
                <w:highlight w:val="none"/>
              </w:rPr>
              <w:t>项目井场区不设置施工营地，施工区不提供食宿。施工活动的主要环境影响为废气、废水、噪声以及固体废物。</w:t>
            </w:r>
          </w:p>
          <w:p w14:paraId="74948C64">
            <w:pPr>
              <w:widowControl/>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1、水污染环境影响</w:t>
            </w:r>
          </w:p>
          <w:p w14:paraId="056583DE">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施工期废水主要为生产废水和生活污水，各类废水产生特征、处置方式及环境影响如下。</w:t>
            </w:r>
          </w:p>
          <w:p w14:paraId="68E37487">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（1）生产废水</w:t>
            </w:r>
          </w:p>
          <w:p w14:paraId="1325472B">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①钻井泥浆废水</w:t>
            </w:r>
          </w:p>
          <w:p w14:paraId="414EDECB">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钻井过程中循环水量约</w:t>
            </w:r>
            <w:r>
              <w:rPr>
                <w:rFonts w:hint="eastAsia" w:ascii="Times New Roman" w:hAnsi="Times New Roman"/>
                <w:color w:val="auto"/>
                <w:sz w:val="24"/>
                <w:highlight w:val="none"/>
                <w:lang w:val="en-US" w:eastAsia="zh-CN"/>
              </w:rPr>
              <w:t>456</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/d，主要污染物为悬浮物（SS）、石油类、COD，参考同类地质勘查项目监测数据，污染物浓度分别为SS800-1200mg/L、石油类3-8mg/L、COD150-250mg/L。各井场均配套建设</w:t>
            </w:r>
            <w:r>
              <w:rPr>
                <w:rFonts w:hint="eastAsia" w:ascii="Times New Roman" w:hAnsi="Times New Roman"/>
                <w:color w:val="auto"/>
                <w:sz w:val="24"/>
                <w:highlight w:val="none"/>
                <w:lang w:val="en-US" w:eastAsia="zh-CN"/>
              </w:rPr>
              <w:t>2个</w:t>
            </w:r>
            <w:r>
              <w:rPr>
                <w:rFonts w:hint="eastAsia" w:ascii="Times New Roman" w:hAnsi="Times New Roman"/>
                <w:color w:val="auto"/>
                <w:sz w:val="24"/>
                <w:highlight w:val="none"/>
              </w:rPr>
              <w:t>容积</w:t>
            </w:r>
            <w:r>
              <w:rPr>
                <w:rFonts w:hint="eastAsia" w:ascii="Times New Roman" w:hAnsi="Times New Roman"/>
                <w:color w:val="auto"/>
                <w:sz w:val="24"/>
                <w:highlight w:val="none"/>
                <w:lang w:val="en-US" w:eastAsia="zh-CN"/>
              </w:rPr>
              <w:t>24</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泥浆池和</w:t>
            </w:r>
            <w:r>
              <w:rPr>
                <w:rFonts w:hint="eastAsia" w:ascii="Times New Roman" w:hAnsi="Times New Roman"/>
                <w:color w:val="auto"/>
                <w:sz w:val="24"/>
                <w:highlight w:val="none"/>
                <w:lang w:val="en-US" w:eastAsia="zh-CN"/>
              </w:rPr>
              <w:t>56</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lang w:eastAsia="zh-CN"/>
              </w:rPr>
              <w:t>废浆池</w:t>
            </w:r>
            <w:r>
              <w:rPr>
                <w:rFonts w:hint="eastAsia" w:ascii="Times New Roman" w:hAnsi="Times New Roman"/>
                <w:color w:val="auto"/>
                <w:sz w:val="24"/>
                <w:highlight w:val="none"/>
              </w:rPr>
              <w:t>，池体均采取等效粘土防渗层厚度≥1.5m，渗透系数≤10</w:t>
            </w:r>
            <w:r>
              <w:rPr>
                <w:rFonts w:hint="eastAsia" w:ascii="Times New Roman" w:hAnsi="Times New Roman"/>
                <w:color w:val="auto"/>
                <w:sz w:val="24"/>
                <w:highlight w:val="none"/>
                <w:vertAlign w:val="superscript"/>
              </w:rPr>
              <w:t>-7</w:t>
            </w:r>
            <w:r>
              <w:rPr>
                <w:rFonts w:hint="eastAsia" w:ascii="Times New Roman" w:hAnsi="Times New Roman"/>
                <w:color w:val="auto"/>
                <w:sz w:val="24"/>
                <w:highlight w:val="none"/>
              </w:rPr>
              <w:t>cm/s防渗措施。泥浆废水先进入泥浆池沉淀分离，上层清液回用于钻井泥浆配置，循环利用率100%；沉淀后的泥浆送入</w:t>
            </w:r>
            <w:r>
              <w:rPr>
                <w:rFonts w:hint="eastAsia" w:ascii="Times New Roman" w:hAnsi="Times New Roman"/>
                <w:color w:val="auto"/>
                <w:sz w:val="24"/>
                <w:highlight w:val="none"/>
                <w:lang w:eastAsia="zh-CN"/>
              </w:rPr>
              <w:t>废浆池</w:t>
            </w:r>
            <w:r>
              <w:rPr>
                <w:rFonts w:hint="eastAsia" w:ascii="Times New Roman" w:hAnsi="Times New Roman"/>
                <w:color w:val="auto"/>
                <w:sz w:val="24"/>
                <w:highlight w:val="none"/>
              </w:rPr>
              <w:t>，泥浆配置采用纤维素、腐殖酸等进行调配，主要成分为聚硅化合物，不含有毒有害物质，故本项目泥浆干化后属于一般固废，</w:t>
            </w:r>
            <w:r>
              <w:rPr>
                <w:rFonts w:hint="eastAsia" w:ascii="Times New Roman" w:hAnsi="Times New Roman"/>
                <w:color w:val="auto"/>
                <w:sz w:val="24"/>
                <w:highlight w:val="none"/>
                <w:lang w:val="en-US" w:eastAsia="zh-CN"/>
              </w:rPr>
              <w:t>将交由建材公司回收综合利用</w:t>
            </w:r>
            <w:r>
              <w:rPr>
                <w:rFonts w:hint="eastAsia" w:ascii="Times New Roman" w:hAnsi="Times New Roman"/>
                <w:color w:val="auto"/>
                <w:sz w:val="24"/>
                <w:highlight w:val="none"/>
              </w:rPr>
              <w:t>，无废水外排，不会对周边地表水体、地下水造成污染。</w:t>
            </w:r>
          </w:p>
          <w:p w14:paraId="2723B524">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②车辆冲洗废水</w:t>
            </w:r>
          </w:p>
          <w:p w14:paraId="6E56EFD7">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运输车辆冲洗废水产生量约</w:t>
            </w:r>
            <w:r>
              <w:rPr>
                <w:rFonts w:hint="eastAsia" w:ascii="Times New Roman" w:hAnsi="Times New Roman"/>
                <w:color w:val="auto"/>
                <w:sz w:val="24"/>
                <w:highlight w:val="none"/>
                <w:lang w:val="en-US" w:eastAsia="zh-CN"/>
              </w:rPr>
              <w:t>4.86</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/d，主要污染物为SS，浓度约300-500mg/L，无其他特征污染物。废水排入容积8m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的循环沉淀池，经重力沉降处理（SS去除率≥80%）后，全部循环用于车辆及设备冲洗，仅20%（约</w:t>
            </w:r>
            <w:r>
              <w:rPr>
                <w:rFonts w:hint="eastAsia" w:ascii="Times New Roman" w:hAnsi="Times New Roman"/>
                <w:color w:val="auto"/>
                <w:sz w:val="24"/>
                <w:highlight w:val="none"/>
                <w:lang w:val="en-US" w:eastAsia="zh-CN"/>
              </w:rPr>
              <w:t>1.216</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/d）因自然蒸发损耗，需每日补充新鲜水约</w:t>
            </w:r>
            <w:r>
              <w:rPr>
                <w:rFonts w:hint="eastAsia" w:ascii="Times New Roman" w:hAnsi="Times New Roman"/>
                <w:color w:val="auto"/>
                <w:sz w:val="24"/>
                <w:highlight w:val="none"/>
                <w:lang w:val="en-US" w:eastAsia="zh-CN"/>
              </w:rPr>
              <w:t>1.216</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，无废水外排，不会对周边水环境产生影响。</w:t>
            </w:r>
          </w:p>
          <w:p w14:paraId="629FAC7F">
            <w:pPr>
              <w:widowControl/>
              <w:spacing w:after="0"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color w:val="auto"/>
                <w:sz w:val="24"/>
                <w:highlight w:val="none"/>
                <w:lang w:val="en-US" w:eastAsia="zh-CN"/>
              </w:rPr>
              <w:t>③道路、场地喷雾降尘用水为控制施工扬尘，需对井场临时道路及作业场地进行喷雾降尘。参考同类项目施工经验，结合本项目19个井场总临时用地28268m²，按每日喷雾降尘3次、单位面积用水量0.5L/m²・次核算，日喷雾降尘用水量约为42.4m³/d。喷雾降尘用水全部自然蒸发损耗，无废水产生。</w:t>
            </w:r>
          </w:p>
          <w:p w14:paraId="72D9B3C4">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2</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生活污水</w:t>
            </w:r>
          </w:p>
          <w:p w14:paraId="30EB5BFD">
            <w:pPr>
              <w:widowControl/>
              <w:spacing w:after="0"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产生特征：施工人员</w:t>
            </w:r>
            <w:r>
              <w:rPr>
                <w:rFonts w:hint="eastAsia" w:ascii="Times New Roman" w:hAnsi="Times New Roman"/>
                <w:color w:val="auto"/>
                <w:sz w:val="24"/>
                <w:highlight w:val="none"/>
                <w:lang w:val="en-US" w:eastAsia="zh-CN"/>
              </w:rPr>
              <w:t>76</w:t>
            </w:r>
            <w:r>
              <w:rPr>
                <w:rFonts w:hint="eastAsia" w:ascii="Times New Roman" w:hAnsi="Times New Roman"/>
                <w:color w:val="auto"/>
                <w:sz w:val="24"/>
                <w:highlight w:val="none"/>
              </w:rPr>
              <w:t>人租住附近民房，生活用水量约</w:t>
            </w:r>
            <w:r>
              <w:rPr>
                <w:rFonts w:hint="eastAsia" w:ascii="Times New Roman" w:hAnsi="Times New Roman"/>
                <w:color w:val="auto"/>
                <w:sz w:val="24"/>
                <w:highlight w:val="none"/>
                <w:lang w:val="en-US" w:eastAsia="zh-CN"/>
              </w:rPr>
              <w:t>11.6</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/d，生活污水产生量约</w:t>
            </w:r>
            <w:r>
              <w:rPr>
                <w:rFonts w:hint="eastAsia" w:ascii="Times New Roman" w:hAnsi="Times New Roman"/>
                <w:color w:val="auto"/>
                <w:sz w:val="24"/>
                <w:highlight w:val="none"/>
                <w:lang w:val="en-US" w:eastAsia="zh-CN"/>
              </w:rPr>
              <w:t>10.4</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rPr>
              <w:t>/d，主要污染物为COD200-300mg/L、BOD</w:t>
            </w:r>
            <w:r>
              <w:rPr>
                <w:rFonts w:hint="eastAsia" w:ascii="Times New Roman" w:hAnsi="Times New Roman"/>
                <w:color w:val="auto"/>
                <w:sz w:val="24"/>
                <w:highlight w:val="none"/>
                <w:vertAlign w:val="subscript"/>
              </w:rPr>
              <w:t>5</w:t>
            </w:r>
            <w:r>
              <w:rPr>
                <w:rFonts w:hint="eastAsia" w:ascii="Times New Roman" w:hAnsi="Times New Roman"/>
                <w:color w:val="auto"/>
                <w:sz w:val="24"/>
                <w:highlight w:val="none"/>
              </w:rPr>
              <w:t>100-150mg/L、氨氮20-30mg/L。生活污水</w:t>
            </w:r>
            <w:r>
              <w:rPr>
                <w:rFonts w:hint="eastAsia" w:ascii="Times New Roman" w:hAnsi="Times New Roman"/>
                <w:color w:val="auto"/>
                <w:sz w:val="24"/>
                <w:highlight w:val="none"/>
                <w:lang w:val="en-US" w:eastAsia="zh-CN"/>
              </w:rPr>
              <w:t>依托周边</w:t>
            </w:r>
            <w:r>
              <w:rPr>
                <w:rFonts w:hint="eastAsia" w:ascii="Times New Roman" w:hAnsi="Times New Roman"/>
                <w:color w:val="auto"/>
                <w:sz w:val="24"/>
                <w:highlight w:val="none"/>
              </w:rPr>
              <w:t>化粪池预处理后，由当地农户定期清掏，全部用于周边农田施肥，不外排。</w:t>
            </w:r>
          </w:p>
          <w:p w14:paraId="02E0DB0A">
            <w:pPr>
              <w:widowControl/>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综上，本项目施工期各类废水均采取</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循环利用+资源化处置</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模式，无废水外排，对周边地表水体、地下水及土壤环境无不利影响。</w:t>
            </w:r>
          </w:p>
          <w:p w14:paraId="01EA815E">
            <w:pPr>
              <w:widowControl/>
              <w:spacing w:after="0" w:line="360" w:lineRule="auto"/>
              <w:ind w:firstLine="482" w:firstLineChars="200"/>
              <w:rPr>
                <w:rFonts w:ascii="Times New Roman" w:hAnsi="Times New Roman"/>
                <w:b/>
                <w:bCs/>
                <w:color w:val="auto"/>
                <w:kern w:val="0"/>
                <w:sz w:val="24"/>
                <w:highlight w:val="none"/>
              </w:rPr>
            </w:pPr>
            <w:r>
              <w:rPr>
                <w:rFonts w:ascii="Times New Roman" w:hAnsi="Times New Roman"/>
                <w:b/>
                <w:bCs/>
                <w:color w:val="auto"/>
                <w:sz w:val="24"/>
                <w:highlight w:val="none"/>
              </w:rPr>
              <w:t>2、</w:t>
            </w:r>
            <w:r>
              <w:rPr>
                <w:rFonts w:ascii="Times New Roman" w:hAnsi="Times New Roman"/>
                <w:b/>
                <w:bCs/>
                <w:color w:val="auto"/>
                <w:kern w:val="0"/>
                <w:sz w:val="24"/>
                <w:highlight w:val="none"/>
              </w:rPr>
              <w:t>大气污染环境影响</w:t>
            </w:r>
          </w:p>
          <w:p w14:paraId="6A105357">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施工期大气环境影响主要来源于施工扬尘与车辆尾气。淮南市为PM</w:t>
            </w:r>
            <w:r>
              <w:rPr>
                <w:rFonts w:hint="eastAsia" w:ascii="Times New Roman" w:hAnsi="Times New Roman"/>
                <w:color w:val="auto"/>
                <w:highlight w:val="none"/>
                <w:vertAlign w:val="subscript"/>
                <w:lang w:val="en-US" w:eastAsia="zh-CN"/>
              </w:rPr>
              <w:t>10、</w:t>
            </w:r>
            <w:r>
              <w:rPr>
                <w:rFonts w:ascii="Times New Roman" w:hAnsi="Times New Roman"/>
                <w:color w:val="auto"/>
                <w:highlight w:val="none"/>
              </w:rPr>
              <w:t>PM</w:t>
            </w:r>
            <w:r>
              <w:rPr>
                <w:rFonts w:ascii="Times New Roman" w:hAnsi="Times New Roman"/>
                <w:color w:val="auto"/>
                <w:highlight w:val="none"/>
                <w:vertAlign w:val="subscript"/>
              </w:rPr>
              <w:t>2.5</w:t>
            </w:r>
            <w:r>
              <w:rPr>
                <w:rFonts w:ascii="Times New Roman" w:hAnsi="Times New Roman"/>
                <w:color w:val="auto"/>
                <w:highlight w:val="none"/>
              </w:rPr>
              <w:t>超标地区，施工时若不采取有效的防治措施，会对区域大气环境造成</w:t>
            </w:r>
            <w:r>
              <w:rPr>
                <w:rFonts w:hint="eastAsia" w:ascii="Times New Roman" w:hAnsi="Times New Roman"/>
                <w:color w:val="auto"/>
                <w:highlight w:val="none"/>
                <w:lang w:val="en-US" w:eastAsia="zh-CN"/>
              </w:rPr>
              <w:t>影响</w:t>
            </w:r>
            <w:r>
              <w:rPr>
                <w:rFonts w:ascii="Times New Roman" w:hAnsi="Times New Roman"/>
                <w:color w:val="auto"/>
                <w:highlight w:val="none"/>
              </w:rPr>
              <w:t>。</w:t>
            </w:r>
          </w:p>
          <w:p w14:paraId="5C766ECD">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（1）扬尘</w:t>
            </w:r>
          </w:p>
          <w:p w14:paraId="0C62E396">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kern w:val="0"/>
                <w:sz w:val="24"/>
                <w:szCs w:val="24"/>
                <w:highlight w:val="none"/>
                <w:lang w:val="en-US" w:eastAsia="zh-CN" w:bidi="ar-SA"/>
              </w:rPr>
              <w:t>扬尘主要来自施工现场堆场、运输车辆、施工机械作业过程中扬起的灰尘。根据经验数据，在风速为1.2m/s～2.4m/s情况下，土方和灰土的堆放、装卸、运输、施工时距离50～150m处下风方向粉尘浓度为0.5～1.5mg/m³，通常情况下，影响范围在100m以内。项目所在区域的年平均风速为2.3m/s，风速条件有利于扬尘扩散，但本项目所在淮南市属于PM</w:t>
            </w:r>
            <w:r>
              <w:rPr>
                <w:rFonts w:hint="eastAsia" w:ascii="Times New Roman" w:hAnsi="Times New Roman" w:cs="Times New Roman"/>
                <w:color w:val="auto"/>
                <w:kern w:val="0"/>
                <w:sz w:val="24"/>
                <w:szCs w:val="24"/>
                <w:highlight w:val="none"/>
                <w:vertAlign w:val="subscript"/>
                <w:lang w:val="en-US" w:eastAsia="zh-CN" w:bidi="ar-SA"/>
              </w:rPr>
              <w:t>10</w:t>
            </w:r>
            <w:r>
              <w:rPr>
                <w:rFonts w:ascii="Times New Roman" w:hAnsi="Times New Roman" w:eastAsia="宋体" w:cs="Times New Roman"/>
                <w:color w:val="auto"/>
                <w:kern w:val="0"/>
                <w:sz w:val="24"/>
                <w:szCs w:val="24"/>
                <w:highlight w:val="none"/>
                <w:lang w:val="en-US" w:eastAsia="zh-CN" w:bidi="ar-SA"/>
              </w:rPr>
              <w:t>、PM</w:t>
            </w:r>
            <w:r>
              <w:rPr>
                <w:rFonts w:hint="eastAsia" w:ascii="Times New Roman" w:hAnsi="Times New Roman" w:cs="Times New Roman"/>
                <w:color w:val="auto"/>
                <w:kern w:val="0"/>
                <w:sz w:val="24"/>
                <w:szCs w:val="24"/>
                <w:highlight w:val="none"/>
                <w:vertAlign w:val="subscript"/>
                <w:lang w:val="en-US" w:eastAsia="zh-CN" w:bidi="ar-SA"/>
              </w:rPr>
              <w:t>2.5</w:t>
            </w:r>
            <w:r>
              <w:rPr>
                <w:rFonts w:ascii="Times New Roman" w:hAnsi="Times New Roman" w:eastAsia="宋体" w:cs="Times New Roman"/>
                <w:color w:val="auto"/>
                <w:kern w:val="0"/>
                <w:sz w:val="24"/>
                <w:szCs w:val="24"/>
                <w:highlight w:val="none"/>
                <w:lang w:val="en-US" w:eastAsia="zh-CN" w:bidi="ar-SA"/>
              </w:rPr>
              <w:t>环境空气质量不达标区，必须严格管控施工扬尘排放。</w:t>
            </w:r>
          </w:p>
          <w:p w14:paraId="2016C98B">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kern w:val="0"/>
                <w:sz w:val="24"/>
                <w:szCs w:val="24"/>
                <w:highlight w:val="none"/>
                <w:lang w:val="en-US" w:eastAsia="zh-CN" w:bidi="ar-SA"/>
              </w:rPr>
              <w:t>项目在易产尘施工点采取湿式作业；物料、渣土堆场采取篷布遮盖；场内施工道路定点洒水抑尘，每天洒水4～5次；落实施工扬尘</w:t>
            </w:r>
            <w:r>
              <w:rPr>
                <w:rFonts w:hint="eastAsia" w:ascii="Times New Roman" w:hAnsi="Times New Roman" w:cs="Times New Roman"/>
                <w:color w:val="auto"/>
                <w:kern w:val="0"/>
                <w:sz w:val="24"/>
                <w:szCs w:val="24"/>
                <w:highlight w:val="none"/>
                <w:lang w:val="en-US" w:eastAsia="zh-CN" w:bidi="ar-SA"/>
              </w:rPr>
              <w:t>“</w:t>
            </w:r>
            <w:r>
              <w:rPr>
                <w:rFonts w:ascii="Times New Roman" w:hAnsi="Times New Roman" w:eastAsia="宋体" w:cs="Times New Roman"/>
                <w:color w:val="auto"/>
                <w:kern w:val="0"/>
                <w:sz w:val="24"/>
                <w:szCs w:val="24"/>
                <w:highlight w:val="none"/>
                <w:lang w:val="en-US" w:eastAsia="zh-CN" w:bidi="ar-SA"/>
              </w:rPr>
              <w:t>六个百分之百</w:t>
            </w:r>
            <w:r>
              <w:rPr>
                <w:rFonts w:hint="eastAsia" w:ascii="Times New Roman" w:hAnsi="Times New Roman" w:cs="Times New Roman"/>
                <w:color w:val="auto"/>
                <w:kern w:val="0"/>
                <w:sz w:val="24"/>
                <w:szCs w:val="24"/>
                <w:highlight w:val="none"/>
                <w:lang w:val="en-US" w:eastAsia="zh-CN" w:bidi="ar-SA"/>
              </w:rPr>
              <w:t>”</w:t>
            </w:r>
            <w:r>
              <w:rPr>
                <w:rFonts w:ascii="Times New Roman" w:hAnsi="Times New Roman" w:eastAsia="宋体" w:cs="Times New Roman"/>
                <w:color w:val="auto"/>
                <w:kern w:val="0"/>
                <w:sz w:val="24"/>
                <w:szCs w:val="24"/>
                <w:highlight w:val="none"/>
                <w:lang w:val="en-US" w:eastAsia="zh-CN" w:bidi="ar-SA"/>
              </w:rPr>
              <w:t>管控要求，可有效降低扬尘产生量，可将颗粒物污染影响距离缩小至20～50m范围。钻前土方作业施工时间很短，钻前工序结束后扬尘源即消失，扬尘影响为短期、临时影响。</w:t>
            </w:r>
          </w:p>
          <w:p w14:paraId="54E1C97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kern w:val="0"/>
                <w:sz w:val="24"/>
                <w:szCs w:val="24"/>
                <w:highlight w:val="none"/>
                <w:lang w:val="en-US" w:eastAsia="zh-CN" w:bidi="ar-SA"/>
              </w:rPr>
              <w:t>本项目施工场地颗粒物执行《施工场地颗粒物排放标准》（DB34/4811</w:t>
            </w:r>
            <w:r>
              <w:rPr>
                <w:rFonts w:ascii="Times New Roman" w:hAnsi="Times New Roman" w:eastAsia="宋体" w:cs="Times New Roman"/>
                <w:color w:val="auto"/>
                <w:kern w:val="0"/>
                <w:sz w:val="24"/>
                <w:szCs w:val="24"/>
                <w:highlight w:val="none"/>
                <w:lang w:val="en-US" w:eastAsia="zh-CN" w:bidi="ar-SA"/>
              </w:rPr>
              <w:noBreakHyphen/>
            </w:r>
            <w:r>
              <w:rPr>
                <w:rFonts w:ascii="Times New Roman" w:hAnsi="Times New Roman" w:eastAsia="宋体" w:cs="Times New Roman"/>
                <w:color w:val="auto"/>
                <w:kern w:val="0"/>
                <w:sz w:val="24"/>
                <w:szCs w:val="24"/>
                <w:highlight w:val="none"/>
                <w:lang w:val="en-US" w:eastAsia="zh-CN" w:bidi="ar-SA"/>
              </w:rPr>
              <w:t>2024）。本项目各井场采取硬质围挡封闭、物料全覆盖、洒水降尘、车辆冲洗、密闭运输等综合抑尘措施后，可有效削减无组织颗粒物排放，场界监控点颗粒物浓度能够满足DB34/4811</w:t>
            </w:r>
            <w:r>
              <w:rPr>
                <w:rFonts w:ascii="Times New Roman" w:hAnsi="Times New Roman" w:eastAsia="宋体" w:cs="Times New Roman"/>
                <w:color w:val="auto"/>
                <w:kern w:val="0"/>
                <w:sz w:val="24"/>
                <w:szCs w:val="24"/>
                <w:highlight w:val="none"/>
                <w:lang w:val="en-US" w:eastAsia="zh-CN" w:bidi="ar-SA"/>
              </w:rPr>
              <w:noBreakHyphen/>
            </w:r>
            <w:r>
              <w:rPr>
                <w:rFonts w:ascii="Times New Roman" w:hAnsi="Times New Roman" w:eastAsia="宋体" w:cs="Times New Roman"/>
                <w:color w:val="auto"/>
                <w:kern w:val="0"/>
                <w:sz w:val="24"/>
                <w:szCs w:val="24"/>
                <w:highlight w:val="none"/>
                <w:lang w:val="en-US" w:eastAsia="zh-CN" w:bidi="ar-SA"/>
              </w:rPr>
              <w:t>2024标准限值要求。</w:t>
            </w:r>
          </w:p>
          <w:p w14:paraId="7B9334BE">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kern w:val="0"/>
                <w:sz w:val="24"/>
                <w:szCs w:val="24"/>
                <w:highlight w:val="none"/>
                <w:lang w:val="en-US" w:eastAsia="zh-CN" w:bidi="ar-SA"/>
              </w:rPr>
              <w:t>本项目无运营期，仅钻井钻前阶段产生短期扬尘，钻井主体作业阶段产尘量很小；单井场施工结束后立即开展场地清理与复垦，扬尘污染源随之消除。项目不会新增长期大气污染物排放，不会加剧区域PM</w:t>
            </w:r>
            <w:r>
              <w:rPr>
                <w:rFonts w:hint="eastAsia" w:ascii="Times New Roman" w:hAnsi="Times New Roman" w:cs="Times New Roman"/>
                <w:color w:val="auto"/>
                <w:kern w:val="0"/>
                <w:sz w:val="24"/>
                <w:szCs w:val="24"/>
                <w:highlight w:val="none"/>
                <w:vertAlign w:val="subscript"/>
                <w:lang w:val="en-US" w:eastAsia="zh-CN" w:bidi="ar-SA"/>
              </w:rPr>
              <w:t>10</w:t>
            </w:r>
            <w:r>
              <w:rPr>
                <w:rFonts w:ascii="Times New Roman" w:hAnsi="Times New Roman" w:eastAsia="宋体" w:cs="Times New Roman"/>
                <w:color w:val="auto"/>
                <w:kern w:val="0"/>
                <w:sz w:val="24"/>
                <w:szCs w:val="24"/>
                <w:highlight w:val="none"/>
                <w:lang w:val="en-US" w:eastAsia="zh-CN" w:bidi="ar-SA"/>
              </w:rPr>
              <w:t>、PM</w:t>
            </w:r>
            <w:r>
              <w:rPr>
                <w:rFonts w:hint="eastAsia" w:ascii="Times New Roman" w:hAnsi="Times New Roman" w:cs="Times New Roman"/>
                <w:color w:val="auto"/>
                <w:kern w:val="0"/>
                <w:sz w:val="24"/>
                <w:szCs w:val="24"/>
                <w:highlight w:val="none"/>
                <w:vertAlign w:val="subscript"/>
                <w:lang w:val="en-US" w:eastAsia="zh-CN" w:bidi="ar-SA"/>
              </w:rPr>
              <w:t>2.5</w:t>
            </w:r>
            <w:r>
              <w:rPr>
                <w:rFonts w:ascii="Times New Roman" w:hAnsi="Times New Roman" w:eastAsia="宋体" w:cs="Times New Roman"/>
                <w:color w:val="auto"/>
                <w:kern w:val="0"/>
                <w:sz w:val="24"/>
                <w:szCs w:val="24"/>
                <w:highlight w:val="none"/>
                <w:lang w:val="en-US" w:eastAsia="zh-CN" w:bidi="ar-SA"/>
              </w:rPr>
              <w:t>污染压力，对周边区域大气环境影响较小。</w:t>
            </w:r>
          </w:p>
          <w:p w14:paraId="0A56495B">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w:t>
            </w:r>
            <w:r>
              <w:rPr>
                <w:rFonts w:hint="eastAsia" w:ascii="Times New Roman" w:hAnsi="Times New Roman"/>
                <w:color w:val="auto"/>
                <w:highlight w:val="none"/>
              </w:rPr>
              <w:t>2</w:t>
            </w:r>
            <w:r>
              <w:rPr>
                <w:rFonts w:ascii="Times New Roman" w:hAnsi="Times New Roman"/>
                <w:color w:val="auto"/>
                <w:highlight w:val="none"/>
              </w:rPr>
              <w:t>）车辆尾气</w:t>
            </w:r>
          </w:p>
          <w:p w14:paraId="37CDBAB0">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施工车辆废气污染物主要是氮氧化物、一氧化碳，由于施工期车辆具有不确定性，且排放量较小、影响持续时间较短。故车辆排放的尾气对环境影响较小。</w:t>
            </w:r>
          </w:p>
          <w:p w14:paraId="0C451162">
            <w:pPr>
              <w:pStyle w:val="5"/>
              <w:spacing w:after="0" w:line="360" w:lineRule="auto"/>
              <w:ind w:firstLine="482"/>
              <w:rPr>
                <w:rFonts w:ascii="Times New Roman" w:hAnsi="Times New Roman"/>
                <w:b/>
                <w:bCs/>
                <w:color w:val="auto"/>
                <w:sz w:val="24"/>
                <w:highlight w:val="none"/>
              </w:rPr>
            </w:pPr>
            <w:r>
              <w:rPr>
                <w:rFonts w:ascii="Times New Roman" w:hAnsi="Times New Roman"/>
                <w:b/>
                <w:bCs/>
                <w:color w:val="auto"/>
                <w:sz w:val="24"/>
                <w:highlight w:val="none"/>
              </w:rPr>
              <w:t>3、</w:t>
            </w:r>
            <w:r>
              <w:rPr>
                <w:rFonts w:ascii="Times New Roman" w:hAnsi="Times New Roman"/>
                <w:b/>
                <w:bCs/>
                <w:color w:val="auto"/>
                <w:kern w:val="0"/>
                <w:sz w:val="24"/>
                <w:highlight w:val="none"/>
              </w:rPr>
              <w:t>噪声污染环境影响分析</w:t>
            </w:r>
          </w:p>
          <w:p w14:paraId="2466B764">
            <w:pPr>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本项目</w:t>
            </w:r>
            <w:r>
              <w:rPr>
                <w:rFonts w:hint="eastAsia" w:ascii="Times New Roman" w:hAnsi="Times New Roman"/>
                <w:bCs/>
                <w:color w:val="auto"/>
                <w:sz w:val="24"/>
                <w:highlight w:val="none"/>
              </w:rPr>
              <w:t>夜间不施工，仅对昼间进行预测。</w:t>
            </w:r>
            <w:r>
              <w:rPr>
                <w:rFonts w:ascii="Times New Roman" w:hAnsi="Times New Roman"/>
                <w:bCs/>
                <w:color w:val="auto"/>
                <w:sz w:val="24"/>
                <w:highlight w:val="none"/>
              </w:rPr>
              <w:t>主要噪声源来自于钻机等机械设备运行时产生</w:t>
            </w:r>
            <w:r>
              <w:rPr>
                <w:rFonts w:hint="eastAsia" w:ascii="Times New Roman" w:hAnsi="Times New Roman"/>
                <w:bCs/>
                <w:color w:val="auto"/>
                <w:sz w:val="24"/>
                <w:highlight w:val="none"/>
              </w:rPr>
              <w:t>，</w:t>
            </w:r>
            <w:r>
              <w:rPr>
                <w:rFonts w:ascii="Times New Roman" w:hAnsi="Times New Roman"/>
                <w:bCs/>
                <w:color w:val="auto"/>
                <w:sz w:val="24"/>
                <w:highlight w:val="none"/>
              </w:rPr>
              <w:t>本项目噪声预测结果如下：</w:t>
            </w:r>
          </w:p>
          <w:p w14:paraId="3DE59888">
            <w:pPr>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根据项目设备声源特征和声学环境的特点，同时根据业主提供资料，视设备声源为点源，声场为半自由声场，依据《环境影响评价技术导则声环境》</w:t>
            </w:r>
            <w:r>
              <w:rPr>
                <w:rFonts w:ascii="Times New Roman" w:hAnsi="Times New Roman"/>
                <w:color w:val="auto"/>
                <w:kern w:val="24"/>
                <w:sz w:val="24"/>
                <w:highlight w:val="none"/>
              </w:rPr>
              <w:t>（HJ2.4</w:t>
            </w:r>
            <w:r>
              <w:rPr>
                <w:rFonts w:hint="eastAsia" w:ascii="Times New Roman" w:hAnsi="Times New Roman"/>
                <w:color w:val="auto"/>
                <w:kern w:val="24"/>
                <w:sz w:val="24"/>
                <w:highlight w:val="none"/>
              </w:rPr>
              <w:t>-</w:t>
            </w:r>
            <w:r>
              <w:rPr>
                <w:rFonts w:ascii="Times New Roman" w:hAnsi="Times New Roman"/>
                <w:color w:val="auto"/>
                <w:kern w:val="24"/>
                <w:sz w:val="24"/>
                <w:highlight w:val="none"/>
              </w:rPr>
              <w:t>2021）</w:t>
            </w:r>
            <w:r>
              <w:rPr>
                <w:rFonts w:ascii="Times New Roman" w:hAnsi="Times New Roman"/>
                <w:bCs/>
                <w:color w:val="auto"/>
                <w:sz w:val="24"/>
                <w:highlight w:val="none"/>
              </w:rPr>
              <w:t>，选用无指向性声源几何发散衰减预测模式预测厂界噪声。</w:t>
            </w:r>
          </w:p>
          <w:p w14:paraId="368E9F10">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（1）点声源预测模式</w:t>
            </w:r>
          </w:p>
          <w:p w14:paraId="7894573C">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L A</w:t>
            </w:r>
            <w:r>
              <w:rPr>
                <w:rFonts w:hint="eastAsia" w:ascii="Times New Roman" w:hAnsi="Times New Roman"/>
                <w:bCs/>
                <w:color w:val="auto"/>
                <w:sz w:val="24"/>
                <w:highlight w:val="none"/>
              </w:rPr>
              <w:t>（</w:t>
            </w:r>
            <w:r>
              <w:rPr>
                <w:rFonts w:ascii="Times New Roman" w:hAnsi="Times New Roman"/>
                <w:bCs/>
                <w:color w:val="auto"/>
                <w:sz w:val="24"/>
                <w:highlight w:val="none"/>
              </w:rPr>
              <w:t>r</w:t>
            </w:r>
            <w:r>
              <w:rPr>
                <w:rFonts w:hint="eastAsia" w:ascii="Times New Roman" w:hAnsi="Times New Roman"/>
                <w:bCs/>
                <w:color w:val="auto"/>
                <w:sz w:val="24"/>
                <w:highlight w:val="none"/>
              </w:rPr>
              <w:t>）</w:t>
            </w:r>
            <w:r>
              <w:rPr>
                <w:rFonts w:ascii="Times New Roman" w:hAnsi="Times New Roman"/>
                <w:bCs/>
                <w:color w:val="auto"/>
                <w:sz w:val="24"/>
                <w:highlight w:val="none"/>
              </w:rPr>
              <w:t xml:space="preserve"> = L WA – 20lg </w:t>
            </w:r>
            <w:r>
              <w:rPr>
                <w:rFonts w:hint="eastAsia" w:ascii="Times New Roman" w:hAnsi="Times New Roman"/>
                <w:bCs/>
                <w:color w:val="auto"/>
                <w:sz w:val="24"/>
                <w:highlight w:val="none"/>
              </w:rPr>
              <w:t>（</w:t>
            </w:r>
            <w:r>
              <w:rPr>
                <w:rFonts w:ascii="Times New Roman" w:hAnsi="Times New Roman"/>
                <w:bCs/>
                <w:color w:val="auto"/>
                <w:sz w:val="24"/>
                <w:highlight w:val="none"/>
              </w:rPr>
              <w:t xml:space="preserve">r/r 0 </w:t>
            </w:r>
            <w:r>
              <w:rPr>
                <w:rFonts w:hint="eastAsia" w:ascii="Times New Roman" w:hAnsi="Times New Roman"/>
                <w:bCs/>
                <w:color w:val="auto"/>
                <w:sz w:val="24"/>
                <w:highlight w:val="none"/>
              </w:rPr>
              <w:t>）</w:t>
            </w:r>
          </w:p>
          <w:p w14:paraId="42618D83">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式中：L A</w:t>
            </w:r>
            <w:r>
              <w:rPr>
                <w:rFonts w:hint="eastAsia" w:ascii="Times New Roman" w:hAnsi="Times New Roman"/>
                <w:bCs/>
                <w:color w:val="auto"/>
                <w:sz w:val="24"/>
                <w:highlight w:val="none"/>
              </w:rPr>
              <w:t>（</w:t>
            </w:r>
            <w:r>
              <w:rPr>
                <w:rFonts w:ascii="Times New Roman" w:hAnsi="Times New Roman"/>
                <w:bCs/>
                <w:color w:val="auto"/>
                <w:sz w:val="24"/>
                <w:highlight w:val="none"/>
              </w:rPr>
              <w:t>r</w:t>
            </w:r>
            <w:r>
              <w:rPr>
                <w:rFonts w:hint="eastAsia" w:ascii="Times New Roman" w:hAnsi="Times New Roman"/>
                <w:bCs/>
                <w:color w:val="auto"/>
                <w:sz w:val="24"/>
                <w:highlight w:val="none"/>
              </w:rPr>
              <w:t>）</w:t>
            </w:r>
            <w:r>
              <w:rPr>
                <w:rFonts w:ascii="Times New Roman" w:hAnsi="Times New Roman"/>
                <w:bCs/>
                <w:color w:val="auto"/>
                <w:sz w:val="24"/>
                <w:highlight w:val="none"/>
              </w:rPr>
              <w:t xml:space="preserve"> ——距噪声源 r 处的声级（dB</w:t>
            </w:r>
            <w:r>
              <w:rPr>
                <w:rFonts w:hint="eastAsia" w:ascii="Times New Roman" w:hAnsi="Times New Roman"/>
                <w:bCs/>
                <w:color w:val="auto"/>
                <w:sz w:val="24"/>
                <w:highlight w:val="none"/>
              </w:rPr>
              <w:t>（</w:t>
            </w:r>
            <w:r>
              <w:rPr>
                <w:rFonts w:ascii="Times New Roman" w:hAnsi="Times New Roman"/>
                <w:bCs/>
                <w:color w:val="auto"/>
                <w:sz w:val="24"/>
                <w:highlight w:val="none"/>
              </w:rPr>
              <w:t>A</w:t>
            </w:r>
            <w:r>
              <w:rPr>
                <w:rFonts w:hint="eastAsia" w:ascii="Times New Roman" w:hAnsi="Times New Roman"/>
                <w:bCs/>
                <w:color w:val="auto"/>
                <w:sz w:val="24"/>
                <w:highlight w:val="none"/>
              </w:rPr>
              <w:t>）</w:t>
            </w:r>
            <w:r>
              <w:rPr>
                <w:rFonts w:ascii="Times New Roman" w:hAnsi="Times New Roman"/>
                <w:bCs/>
                <w:color w:val="auto"/>
                <w:sz w:val="24"/>
                <w:highlight w:val="none"/>
              </w:rPr>
              <w:t>）；</w:t>
            </w:r>
          </w:p>
          <w:p w14:paraId="17983D45">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L WA ——点声源的 A 声级（dB</w:t>
            </w:r>
            <w:r>
              <w:rPr>
                <w:rFonts w:hint="eastAsia" w:ascii="Times New Roman" w:hAnsi="Times New Roman"/>
                <w:bCs/>
                <w:color w:val="auto"/>
                <w:sz w:val="24"/>
                <w:highlight w:val="none"/>
              </w:rPr>
              <w:t>（</w:t>
            </w:r>
            <w:r>
              <w:rPr>
                <w:rFonts w:ascii="Times New Roman" w:hAnsi="Times New Roman"/>
                <w:bCs/>
                <w:color w:val="auto"/>
                <w:sz w:val="24"/>
                <w:highlight w:val="none"/>
              </w:rPr>
              <w:t>A</w:t>
            </w:r>
            <w:r>
              <w:rPr>
                <w:rFonts w:hint="eastAsia" w:ascii="Times New Roman" w:hAnsi="Times New Roman"/>
                <w:bCs/>
                <w:color w:val="auto"/>
                <w:sz w:val="24"/>
                <w:highlight w:val="none"/>
              </w:rPr>
              <w:t>）</w:t>
            </w:r>
            <w:r>
              <w:rPr>
                <w:rFonts w:ascii="Times New Roman" w:hAnsi="Times New Roman"/>
                <w:bCs/>
                <w:color w:val="auto"/>
                <w:sz w:val="24"/>
                <w:highlight w:val="none"/>
              </w:rPr>
              <w:t>）；</w:t>
            </w:r>
          </w:p>
          <w:p w14:paraId="65E8189A">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r——预测点与声源之间的距离（m）；</w:t>
            </w:r>
          </w:p>
          <w:p w14:paraId="7B290543">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r 0 ——参考处与声源之间的距离（m）；</w:t>
            </w:r>
          </w:p>
          <w:p w14:paraId="67D07CAC">
            <w:pPr>
              <w:adjustRightInd w:val="0"/>
              <w:snapToGrid w:val="0"/>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（2）多声源叠加模式式中：</w:t>
            </w:r>
          </w:p>
          <w:p w14:paraId="175FE486">
            <w:pPr>
              <w:adjustRightInd w:val="0"/>
              <w:snapToGrid w:val="0"/>
              <w:spacing w:after="0" w:line="360" w:lineRule="auto"/>
              <w:jc w:val="center"/>
              <w:rPr>
                <w:rFonts w:ascii="Times New Roman" w:hAnsi="Times New Roman"/>
                <w:color w:val="auto"/>
                <w:kern w:val="0"/>
                <w:sz w:val="24"/>
                <w:highlight w:val="none"/>
              </w:rPr>
            </w:pPr>
            <w:r>
              <w:rPr>
                <w:rFonts w:ascii="Times New Roman" w:hAnsi="Times New Roman"/>
                <w:color w:val="auto"/>
                <w:kern w:val="0"/>
                <w:sz w:val="24"/>
                <w:highlight w:val="none"/>
              </w:rPr>
              <w:drawing>
                <wp:inline distT="0" distB="0" distL="114300" distR="114300">
                  <wp:extent cx="1457325" cy="619125"/>
                  <wp:effectExtent l="0" t="0" r="9525" b="9525"/>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37"/>
                          <a:stretch>
                            <a:fillRect/>
                          </a:stretch>
                        </pic:blipFill>
                        <pic:spPr>
                          <a:xfrm>
                            <a:off x="0" y="0"/>
                            <a:ext cx="1457325" cy="619125"/>
                          </a:xfrm>
                          <a:prstGeom prst="rect">
                            <a:avLst/>
                          </a:prstGeom>
                          <a:noFill/>
                          <a:ln>
                            <a:noFill/>
                          </a:ln>
                        </pic:spPr>
                      </pic:pic>
                    </a:graphicData>
                  </a:graphic>
                </wp:inline>
              </w:drawing>
            </w:r>
          </w:p>
          <w:p w14:paraId="45E639C7">
            <w:pPr>
              <w:pStyle w:val="31"/>
              <w:spacing w:after="0" w:line="360" w:lineRule="auto"/>
              <w:ind w:firstLine="480" w:firstLineChars="200"/>
              <w:rPr>
                <w:rFonts w:ascii="Times New Roman" w:hAnsi="Times New Roman"/>
                <w:color w:val="auto"/>
                <w:highlight w:val="none"/>
              </w:rPr>
            </w:pPr>
            <w:r>
              <w:rPr>
                <w:rFonts w:ascii="Times New Roman" w:hAnsi="Times New Roman"/>
                <w:color w:val="auto"/>
                <w:highlight w:val="none"/>
              </w:rPr>
              <w:t>L 0 ——叠加后总声压级，dB</w:t>
            </w:r>
            <w:r>
              <w:rPr>
                <w:rFonts w:hint="eastAsia" w:ascii="Times New Roman" w:hAnsi="Times New Roman"/>
                <w:color w:val="auto"/>
                <w:highlight w:val="none"/>
              </w:rPr>
              <w:t>（</w:t>
            </w:r>
            <w:r>
              <w:rPr>
                <w:rFonts w:ascii="Times New Roman" w:hAnsi="Times New Roman"/>
                <w:color w:val="auto"/>
                <w:highlight w:val="none"/>
              </w:rPr>
              <w:t>A</w:t>
            </w:r>
            <w:r>
              <w:rPr>
                <w:rFonts w:hint="eastAsia" w:ascii="Times New Roman" w:hAnsi="Times New Roman"/>
                <w:color w:val="auto"/>
                <w:highlight w:val="none"/>
              </w:rPr>
              <w:t>）</w:t>
            </w:r>
            <w:r>
              <w:rPr>
                <w:rFonts w:ascii="Times New Roman" w:hAnsi="Times New Roman"/>
                <w:color w:val="auto"/>
                <w:highlight w:val="none"/>
              </w:rPr>
              <w:t>；</w:t>
            </w:r>
          </w:p>
          <w:p w14:paraId="60AA7E05">
            <w:pPr>
              <w:pStyle w:val="31"/>
              <w:spacing w:after="0" w:line="360" w:lineRule="auto"/>
              <w:ind w:firstLine="480" w:firstLineChars="200"/>
              <w:rPr>
                <w:rFonts w:ascii="Times New Roman" w:hAnsi="Times New Roman"/>
                <w:color w:val="auto"/>
                <w:highlight w:val="none"/>
              </w:rPr>
            </w:pPr>
            <w:r>
              <w:rPr>
                <w:rFonts w:ascii="Times New Roman" w:hAnsi="Times New Roman"/>
                <w:color w:val="auto"/>
                <w:highlight w:val="none"/>
              </w:rPr>
              <w:t>n——声源级数；</w:t>
            </w:r>
          </w:p>
          <w:p w14:paraId="282DE6F5">
            <w:pPr>
              <w:pStyle w:val="31"/>
              <w:spacing w:after="0" w:line="360" w:lineRule="auto"/>
              <w:ind w:firstLine="480" w:firstLineChars="200"/>
              <w:rPr>
                <w:rFonts w:ascii="Times New Roman" w:hAnsi="Times New Roman"/>
                <w:color w:val="auto"/>
                <w:highlight w:val="none"/>
              </w:rPr>
            </w:pPr>
            <w:r>
              <w:rPr>
                <w:rFonts w:ascii="Times New Roman" w:hAnsi="Times New Roman"/>
                <w:color w:val="auto"/>
                <w:highlight w:val="none"/>
              </w:rPr>
              <w:t>Li——各声源对某点的声压值，dB</w:t>
            </w:r>
            <w:r>
              <w:rPr>
                <w:rFonts w:hint="eastAsia" w:ascii="Times New Roman" w:hAnsi="Times New Roman"/>
                <w:color w:val="auto"/>
                <w:highlight w:val="none"/>
              </w:rPr>
              <w:t>（</w:t>
            </w:r>
            <w:r>
              <w:rPr>
                <w:rFonts w:ascii="Times New Roman" w:hAnsi="Times New Roman"/>
                <w:color w:val="auto"/>
                <w:highlight w:val="none"/>
              </w:rPr>
              <w:t>A</w:t>
            </w:r>
            <w:r>
              <w:rPr>
                <w:rFonts w:hint="eastAsia" w:ascii="Times New Roman" w:hAnsi="Times New Roman"/>
                <w:color w:val="auto"/>
                <w:highlight w:val="none"/>
              </w:rPr>
              <w:t>）</w:t>
            </w:r>
            <w:r>
              <w:rPr>
                <w:rFonts w:ascii="Times New Roman" w:hAnsi="Times New Roman"/>
                <w:color w:val="auto"/>
                <w:highlight w:val="none"/>
              </w:rPr>
              <w:t>。</w:t>
            </w:r>
          </w:p>
          <w:p w14:paraId="66F769E4">
            <w:pPr>
              <w:pStyle w:val="31"/>
              <w:spacing w:after="0" w:line="360" w:lineRule="auto"/>
              <w:ind w:firstLine="480" w:firstLineChars="200"/>
              <w:rPr>
                <w:rFonts w:ascii="Times New Roman" w:hAnsi="Times New Roman"/>
                <w:color w:val="auto"/>
                <w:highlight w:val="none"/>
              </w:rPr>
            </w:pPr>
            <w:r>
              <w:rPr>
                <w:rFonts w:ascii="Times New Roman" w:hAnsi="Times New Roman"/>
                <w:color w:val="auto"/>
                <w:highlight w:val="none"/>
              </w:rPr>
              <w:t>（3）预测结果分析</w:t>
            </w:r>
          </w:p>
          <w:p w14:paraId="537DEC48">
            <w:pPr>
              <w:pStyle w:val="31"/>
              <w:spacing w:after="0" w:line="360" w:lineRule="auto"/>
              <w:ind w:firstLine="480" w:firstLineChars="200"/>
              <w:rPr>
                <w:rFonts w:ascii="Times New Roman" w:hAnsi="Times New Roman"/>
                <w:color w:val="auto"/>
                <w:highlight w:val="none"/>
              </w:rPr>
            </w:pPr>
            <w:r>
              <w:rPr>
                <w:rFonts w:ascii="宋体" w:hAnsi="Times New Roman"/>
                <w:color w:val="auto"/>
                <w:highlight w:val="none"/>
              </w:rPr>
              <w:t>①</w:t>
            </w:r>
            <w:r>
              <w:rPr>
                <w:rFonts w:ascii="Times New Roman" w:hAnsi="Times New Roman"/>
                <w:color w:val="auto"/>
                <w:highlight w:val="none"/>
              </w:rPr>
              <w:t>单台施工机械在满负荷工作时不同距离处的噪声级预测结果见下表。</w:t>
            </w:r>
          </w:p>
          <w:p w14:paraId="1C748CD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 xml:space="preserve">表4-1 工程各类噪声源不同距离处噪声值 </w:t>
            </w:r>
            <w:r>
              <w:rPr>
                <w:rFonts w:hint="eastAsia" w:ascii="Times New Roman" w:hAnsi="Times New Roman"/>
                <w:b/>
                <w:color w:val="auto"/>
                <w:szCs w:val="21"/>
                <w:highlight w:val="none"/>
              </w:rPr>
              <w:t>（</w:t>
            </w:r>
            <w:r>
              <w:rPr>
                <w:rFonts w:ascii="Times New Roman" w:hAnsi="Times New Roman"/>
                <w:b/>
                <w:color w:val="auto"/>
                <w:szCs w:val="21"/>
                <w:highlight w:val="none"/>
              </w:rPr>
              <w:t>单位：dB</w:t>
            </w:r>
            <w:r>
              <w:rPr>
                <w:rFonts w:hint="eastAsia" w:ascii="Times New Roman" w:hAnsi="Times New Roman"/>
                <w:b/>
                <w:color w:val="auto"/>
                <w:szCs w:val="21"/>
                <w:highlight w:val="none"/>
              </w:rPr>
              <w:t>（</w:t>
            </w:r>
            <w:r>
              <w:rPr>
                <w:rFonts w:ascii="Times New Roman" w:hAnsi="Times New Roman"/>
                <w:b/>
                <w:color w:val="auto"/>
                <w:szCs w:val="21"/>
                <w:highlight w:val="none"/>
              </w:rPr>
              <w:t>A</w:t>
            </w:r>
            <w:r>
              <w:rPr>
                <w:rFonts w:hint="eastAsia" w:ascii="Times New Roman" w:hAnsi="Times New Roman"/>
                <w:b/>
                <w:color w:val="auto"/>
                <w:szCs w:val="21"/>
                <w:highlight w:val="none"/>
              </w:rPr>
              <w:t>））</w:t>
            </w:r>
          </w:p>
          <w:tbl>
            <w:tblPr>
              <w:tblStyle w:val="22"/>
              <w:tblW w:w="8061" w:type="dxa"/>
              <w:jc w:val="center"/>
              <w:tblLayout w:type="fixed"/>
              <w:tblCellMar>
                <w:top w:w="0" w:type="dxa"/>
                <w:left w:w="108" w:type="dxa"/>
                <w:bottom w:w="0" w:type="dxa"/>
                <w:right w:w="108" w:type="dxa"/>
              </w:tblCellMar>
            </w:tblPr>
            <w:tblGrid>
              <w:gridCol w:w="1590"/>
              <w:gridCol w:w="788"/>
              <w:gridCol w:w="788"/>
              <w:gridCol w:w="789"/>
              <w:gridCol w:w="789"/>
              <w:gridCol w:w="950"/>
              <w:gridCol w:w="789"/>
              <w:gridCol w:w="789"/>
              <w:gridCol w:w="789"/>
            </w:tblGrid>
            <w:tr w14:paraId="10DAB2BC">
              <w:tblPrEx>
                <w:tblCellMar>
                  <w:top w:w="0" w:type="dxa"/>
                  <w:left w:w="108" w:type="dxa"/>
                  <w:bottom w:w="0" w:type="dxa"/>
                  <w:right w:w="108" w:type="dxa"/>
                </w:tblCellMar>
              </w:tblPrEx>
              <w:trPr>
                <w:trHeight w:val="272" w:hRule="atLeast"/>
                <w:jc w:val="center"/>
              </w:trPr>
              <w:tc>
                <w:tcPr>
                  <w:tcW w:w="1590" w:type="dxa"/>
                  <w:tcBorders>
                    <w:top w:val="single" w:color="000000" w:sz="4" w:space="0"/>
                    <w:left w:val="single" w:color="000000" w:sz="4" w:space="0"/>
                    <w:bottom w:val="single" w:color="000000" w:sz="4" w:space="0"/>
                    <w:right w:val="single" w:color="000000" w:sz="4" w:space="0"/>
                  </w:tcBorders>
                  <w:vAlign w:val="center"/>
                </w:tcPr>
                <w:p w14:paraId="473CA185">
                  <w:pPr>
                    <w:widowControl/>
                    <w:spacing w:after="0" w:line="240" w:lineRule="auto"/>
                    <w:jc w:val="center"/>
                    <w:textAlignment w:val="center"/>
                    <w:rPr>
                      <w:rFonts w:ascii="Times New Roman" w:hAnsi="Times New Roman"/>
                      <w:b/>
                      <w:bCs/>
                      <w:color w:val="auto"/>
                      <w:sz w:val="18"/>
                      <w:szCs w:val="18"/>
                      <w:highlight w:val="none"/>
                    </w:rPr>
                  </w:pPr>
                  <w:r>
                    <w:rPr>
                      <w:rFonts w:hint="eastAsia" w:ascii="宋体" w:hAnsi="宋体" w:cs="宋体"/>
                      <w:b/>
                      <w:bCs/>
                      <w:color w:val="auto"/>
                      <w:kern w:val="0"/>
                      <w:sz w:val="18"/>
                      <w:szCs w:val="18"/>
                      <w:highlight w:val="none"/>
                    </w:rPr>
                    <w:t>声级</w:t>
                  </w:r>
                </w:p>
              </w:tc>
              <w:tc>
                <w:tcPr>
                  <w:tcW w:w="5682" w:type="dxa"/>
                  <w:gridSpan w:val="7"/>
                  <w:tcBorders>
                    <w:top w:val="single" w:color="000000" w:sz="4" w:space="0"/>
                    <w:left w:val="single" w:color="000000" w:sz="4" w:space="0"/>
                    <w:bottom w:val="single" w:color="000000" w:sz="4" w:space="0"/>
                    <w:right w:val="single" w:color="000000" w:sz="4" w:space="0"/>
                  </w:tcBorders>
                  <w:vAlign w:val="center"/>
                </w:tcPr>
                <w:p w14:paraId="28170BF8">
                  <w:pPr>
                    <w:widowControl/>
                    <w:spacing w:after="0" w:line="240" w:lineRule="auto"/>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测点距声源距离（</w:t>
                  </w:r>
                  <w:r>
                    <w:rPr>
                      <w:rFonts w:ascii="Times New Roman" w:hAnsi="Times New Roman"/>
                      <w:b/>
                      <w:bCs/>
                      <w:color w:val="auto"/>
                      <w:kern w:val="0"/>
                      <w:sz w:val="18"/>
                      <w:szCs w:val="18"/>
                      <w:highlight w:val="none"/>
                    </w:rPr>
                    <w:t>m</w:t>
                  </w:r>
                  <w:r>
                    <w:rPr>
                      <w:rFonts w:hint="eastAsia" w:ascii="宋体" w:hAnsi="宋体" w:cs="宋体"/>
                      <w:b/>
                      <w:bCs/>
                      <w:color w:val="auto"/>
                      <w:kern w:val="0"/>
                      <w:sz w:val="18"/>
                      <w:szCs w:val="18"/>
                      <w:highlight w:val="none"/>
                    </w:rPr>
                    <w:t>）</w:t>
                  </w:r>
                </w:p>
              </w:tc>
              <w:tc>
                <w:tcPr>
                  <w:tcW w:w="789" w:type="dxa"/>
                  <w:tcBorders>
                    <w:top w:val="single" w:color="000000" w:sz="4" w:space="0"/>
                    <w:left w:val="single" w:color="000000" w:sz="4" w:space="0"/>
                    <w:bottom w:val="single" w:color="000000" w:sz="4" w:space="0"/>
                    <w:right w:val="single" w:color="000000" w:sz="4" w:space="0"/>
                  </w:tcBorders>
                  <w:vAlign w:val="center"/>
                </w:tcPr>
                <w:p w14:paraId="101A2D06">
                  <w:pPr>
                    <w:widowControl/>
                    <w:spacing w:after="0" w:line="240" w:lineRule="auto"/>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达标距离（</w:t>
                  </w:r>
                  <w:r>
                    <w:rPr>
                      <w:rFonts w:ascii="Times New Roman" w:hAnsi="Times New Roman"/>
                      <w:b/>
                      <w:bCs/>
                      <w:color w:val="auto"/>
                      <w:kern w:val="0"/>
                      <w:sz w:val="18"/>
                      <w:szCs w:val="18"/>
                      <w:highlight w:val="none"/>
                    </w:rPr>
                    <w:t>m</w:t>
                  </w:r>
                  <w:r>
                    <w:rPr>
                      <w:rFonts w:hint="eastAsia" w:ascii="宋体" w:hAnsi="宋体" w:cs="宋体"/>
                      <w:b/>
                      <w:bCs/>
                      <w:color w:val="auto"/>
                      <w:kern w:val="0"/>
                      <w:sz w:val="18"/>
                      <w:szCs w:val="18"/>
                      <w:highlight w:val="none"/>
                    </w:rPr>
                    <w:t>）</w:t>
                  </w:r>
                </w:p>
              </w:tc>
            </w:tr>
            <w:tr w14:paraId="079C978E">
              <w:tblPrEx>
                <w:tblCellMar>
                  <w:top w:w="0" w:type="dxa"/>
                  <w:left w:w="108" w:type="dxa"/>
                  <w:bottom w:w="0" w:type="dxa"/>
                  <w:right w:w="108" w:type="dxa"/>
                </w:tblCellMar>
              </w:tblPrEx>
              <w:trPr>
                <w:trHeight w:val="272" w:hRule="atLeast"/>
                <w:jc w:val="center"/>
              </w:trPr>
              <w:tc>
                <w:tcPr>
                  <w:tcW w:w="1590" w:type="dxa"/>
                  <w:tcBorders>
                    <w:top w:val="single" w:color="000000" w:sz="4" w:space="0"/>
                    <w:left w:val="single" w:color="000000" w:sz="4" w:space="0"/>
                    <w:bottom w:val="single" w:color="000000" w:sz="4" w:space="0"/>
                    <w:right w:val="single" w:color="000000" w:sz="4" w:space="0"/>
                  </w:tcBorders>
                  <w:vAlign w:val="center"/>
                </w:tcPr>
                <w:p w14:paraId="6EE6E18F">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噪声源</w:t>
                  </w:r>
                </w:p>
              </w:tc>
              <w:tc>
                <w:tcPr>
                  <w:tcW w:w="788" w:type="dxa"/>
                  <w:tcBorders>
                    <w:top w:val="single" w:color="000000" w:sz="4" w:space="0"/>
                    <w:left w:val="single" w:color="000000" w:sz="4" w:space="0"/>
                    <w:bottom w:val="single" w:color="000000" w:sz="4" w:space="0"/>
                    <w:right w:val="single" w:color="000000" w:sz="4" w:space="0"/>
                  </w:tcBorders>
                  <w:vAlign w:val="center"/>
                </w:tcPr>
                <w:p w14:paraId="15A7F570">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w:t>
                  </w:r>
                </w:p>
              </w:tc>
              <w:tc>
                <w:tcPr>
                  <w:tcW w:w="788" w:type="dxa"/>
                  <w:tcBorders>
                    <w:top w:val="single" w:color="000000" w:sz="4" w:space="0"/>
                    <w:left w:val="single" w:color="000000" w:sz="4" w:space="0"/>
                    <w:bottom w:val="single" w:color="000000" w:sz="4" w:space="0"/>
                    <w:right w:val="single" w:color="000000" w:sz="4" w:space="0"/>
                  </w:tcBorders>
                  <w:vAlign w:val="center"/>
                </w:tcPr>
                <w:p w14:paraId="30081607">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16</w:t>
                  </w:r>
                </w:p>
              </w:tc>
              <w:tc>
                <w:tcPr>
                  <w:tcW w:w="789" w:type="dxa"/>
                  <w:tcBorders>
                    <w:top w:val="single" w:color="000000" w:sz="4" w:space="0"/>
                    <w:left w:val="single" w:color="000000" w:sz="4" w:space="0"/>
                    <w:bottom w:val="single" w:color="000000" w:sz="4" w:space="0"/>
                    <w:right w:val="single" w:color="000000" w:sz="4" w:space="0"/>
                  </w:tcBorders>
                  <w:vAlign w:val="center"/>
                </w:tcPr>
                <w:p w14:paraId="2649D6D7">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28</w:t>
                  </w:r>
                </w:p>
              </w:tc>
              <w:tc>
                <w:tcPr>
                  <w:tcW w:w="789" w:type="dxa"/>
                  <w:tcBorders>
                    <w:top w:val="single" w:color="000000" w:sz="4" w:space="0"/>
                    <w:left w:val="single" w:color="000000" w:sz="4" w:space="0"/>
                    <w:bottom w:val="single" w:color="000000" w:sz="4" w:space="0"/>
                    <w:right w:val="single" w:color="000000" w:sz="4" w:space="0"/>
                  </w:tcBorders>
                  <w:vAlign w:val="center"/>
                </w:tcPr>
                <w:p w14:paraId="656C748C">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50</w:t>
                  </w:r>
                </w:p>
              </w:tc>
              <w:tc>
                <w:tcPr>
                  <w:tcW w:w="950" w:type="dxa"/>
                  <w:tcBorders>
                    <w:top w:val="single" w:color="000000" w:sz="4" w:space="0"/>
                    <w:left w:val="single" w:color="000000" w:sz="4" w:space="0"/>
                    <w:bottom w:val="single" w:color="000000" w:sz="4" w:space="0"/>
                    <w:right w:val="single" w:color="000000" w:sz="4" w:space="0"/>
                  </w:tcBorders>
                  <w:vAlign w:val="center"/>
                </w:tcPr>
                <w:p w14:paraId="6F92ED9C">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89</w:t>
                  </w:r>
                </w:p>
              </w:tc>
              <w:tc>
                <w:tcPr>
                  <w:tcW w:w="789" w:type="dxa"/>
                  <w:tcBorders>
                    <w:top w:val="single" w:color="000000" w:sz="4" w:space="0"/>
                    <w:left w:val="single" w:color="000000" w:sz="4" w:space="0"/>
                    <w:bottom w:val="single" w:color="000000" w:sz="4" w:space="0"/>
                    <w:right w:val="single" w:color="000000" w:sz="4" w:space="0"/>
                  </w:tcBorders>
                  <w:vAlign w:val="center"/>
                </w:tcPr>
                <w:p w14:paraId="41AE3D2F">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158</w:t>
                  </w:r>
                </w:p>
              </w:tc>
              <w:tc>
                <w:tcPr>
                  <w:tcW w:w="789" w:type="dxa"/>
                  <w:tcBorders>
                    <w:top w:val="single" w:color="000000" w:sz="4" w:space="0"/>
                    <w:left w:val="single" w:color="000000" w:sz="4" w:space="0"/>
                    <w:bottom w:val="single" w:color="000000" w:sz="4" w:space="0"/>
                    <w:right w:val="single" w:color="000000" w:sz="4" w:space="0"/>
                  </w:tcBorders>
                  <w:vAlign w:val="center"/>
                </w:tcPr>
                <w:p w14:paraId="71F89508">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500</w:t>
                  </w:r>
                </w:p>
              </w:tc>
              <w:tc>
                <w:tcPr>
                  <w:tcW w:w="789" w:type="dxa"/>
                  <w:tcBorders>
                    <w:top w:val="single" w:color="000000" w:sz="4" w:space="0"/>
                    <w:left w:val="single" w:color="000000" w:sz="4" w:space="0"/>
                    <w:bottom w:val="single" w:color="000000" w:sz="4" w:space="0"/>
                    <w:right w:val="single" w:color="000000" w:sz="4" w:space="0"/>
                  </w:tcBorders>
                  <w:vAlign w:val="center"/>
                </w:tcPr>
                <w:p w14:paraId="67F9542E">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昼间</w:t>
                  </w:r>
                </w:p>
              </w:tc>
            </w:tr>
            <w:tr w14:paraId="4CBDD417">
              <w:tblPrEx>
                <w:tblCellMar>
                  <w:top w:w="0" w:type="dxa"/>
                  <w:left w:w="108" w:type="dxa"/>
                  <w:bottom w:w="0" w:type="dxa"/>
                  <w:right w:w="108" w:type="dxa"/>
                </w:tblCellMar>
              </w:tblPrEx>
              <w:trPr>
                <w:trHeight w:val="272" w:hRule="atLeast"/>
                <w:jc w:val="center"/>
              </w:trPr>
              <w:tc>
                <w:tcPr>
                  <w:tcW w:w="1590" w:type="dxa"/>
                  <w:tcBorders>
                    <w:top w:val="single" w:color="000000" w:sz="4" w:space="0"/>
                    <w:left w:val="single" w:color="000000" w:sz="4" w:space="0"/>
                    <w:bottom w:val="single" w:color="000000" w:sz="4" w:space="0"/>
                    <w:right w:val="single" w:color="000000" w:sz="4" w:space="0"/>
                  </w:tcBorders>
                  <w:vAlign w:val="center"/>
                </w:tcPr>
                <w:p w14:paraId="34BA6A53">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钻机</w:t>
                  </w:r>
                </w:p>
              </w:tc>
              <w:tc>
                <w:tcPr>
                  <w:tcW w:w="788" w:type="dxa"/>
                  <w:tcBorders>
                    <w:top w:val="single" w:color="000000" w:sz="4" w:space="0"/>
                    <w:left w:val="single" w:color="000000" w:sz="4" w:space="0"/>
                    <w:bottom w:val="single" w:color="000000" w:sz="4" w:space="0"/>
                    <w:right w:val="single" w:color="000000" w:sz="4" w:space="0"/>
                  </w:tcBorders>
                  <w:vAlign w:val="center"/>
                </w:tcPr>
                <w:p w14:paraId="0EAA9F3F">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85</w:t>
                  </w:r>
                </w:p>
              </w:tc>
              <w:tc>
                <w:tcPr>
                  <w:tcW w:w="788" w:type="dxa"/>
                  <w:tcBorders>
                    <w:top w:val="single" w:color="000000" w:sz="4" w:space="0"/>
                    <w:left w:val="single" w:color="000000" w:sz="4" w:space="0"/>
                    <w:bottom w:val="single" w:color="000000" w:sz="4" w:space="0"/>
                    <w:right w:val="single" w:color="000000" w:sz="4" w:space="0"/>
                  </w:tcBorders>
                  <w:vAlign w:val="center"/>
                </w:tcPr>
                <w:p w14:paraId="31FD81FD">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74.9</w:t>
                  </w:r>
                </w:p>
              </w:tc>
              <w:tc>
                <w:tcPr>
                  <w:tcW w:w="789" w:type="dxa"/>
                  <w:tcBorders>
                    <w:top w:val="single" w:color="000000" w:sz="4" w:space="0"/>
                    <w:left w:val="single" w:color="000000" w:sz="4" w:space="0"/>
                    <w:bottom w:val="single" w:color="000000" w:sz="4" w:space="0"/>
                    <w:right w:val="single" w:color="000000" w:sz="4" w:space="0"/>
                  </w:tcBorders>
                  <w:vAlign w:val="center"/>
                </w:tcPr>
                <w:p w14:paraId="6C48E2DA">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70.0</w:t>
                  </w:r>
                </w:p>
              </w:tc>
              <w:tc>
                <w:tcPr>
                  <w:tcW w:w="789" w:type="dxa"/>
                  <w:tcBorders>
                    <w:top w:val="single" w:color="000000" w:sz="4" w:space="0"/>
                    <w:left w:val="single" w:color="000000" w:sz="4" w:space="0"/>
                    <w:bottom w:val="single" w:color="000000" w:sz="4" w:space="0"/>
                    <w:right w:val="single" w:color="000000" w:sz="4" w:space="0"/>
                  </w:tcBorders>
                  <w:vAlign w:val="center"/>
                </w:tcPr>
                <w:p w14:paraId="608DCC9B">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65.0</w:t>
                  </w:r>
                </w:p>
              </w:tc>
              <w:tc>
                <w:tcPr>
                  <w:tcW w:w="950" w:type="dxa"/>
                  <w:tcBorders>
                    <w:top w:val="single" w:color="000000" w:sz="4" w:space="0"/>
                    <w:left w:val="single" w:color="000000" w:sz="4" w:space="0"/>
                    <w:bottom w:val="single" w:color="000000" w:sz="4" w:space="0"/>
                    <w:right w:val="single" w:color="000000" w:sz="4" w:space="0"/>
                  </w:tcBorders>
                  <w:vAlign w:val="center"/>
                </w:tcPr>
                <w:p w14:paraId="4F85E931">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60.0</w:t>
                  </w:r>
                </w:p>
              </w:tc>
              <w:tc>
                <w:tcPr>
                  <w:tcW w:w="789" w:type="dxa"/>
                  <w:tcBorders>
                    <w:top w:val="single" w:color="000000" w:sz="4" w:space="0"/>
                    <w:left w:val="single" w:color="000000" w:sz="4" w:space="0"/>
                    <w:bottom w:val="single" w:color="000000" w:sz="4" w:space="0"/>
                    <w:right w:val="single" w:color="000000" w:sz="4" w:space="0"/>
                  </w:tcBorders>
                  <w:vAlign w:val="center"/>
                </w:tcPr>
                <w:p w14:paraId="392FCC57">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55.0</w:t>
                  </w:r>
                </w:p>
              </w:tc>
              <w:tc>
                <w:tcPr>
                  <w:tcW w:w="789" w:type="dxa"/>
                  <w:tcBorders>
                    <w:top w:val="single" w:color="000000" w:sz="4" w:space="0"/>
                    <w:left w:val="single" w:color="000000" w:sz="4" w:space="0"/>
                    <w:bottom w:val="single" w:color="000000" w:sz="4" w:space="0"/>
                    <w:right w:val="single" w:color="000000" w:sz="4" w:space="0"/>
                  </w:tcBorders>
                  <w:vAlign w:val="center"/>
                </w:tcPr>
                <w:p w14:paraId="0CA5479A">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45.0</w:t>
                  </w:r>
                </w:p>
              </w:tc>
              <w:tc>
                <w:tcPr>
                  <w:tcW w:w="789" w:type="dxa"/>
                  <w:tcBorders>
                    <w:top w:val="single" w:color="000000" w:sz="4" w:space="0"/>
                    <w:left w:val="single" w:color="000000" w:sz="4" w:space="0"/>
                    <w:bottom w:val="single" w:color="000000" w:sz="4" w:space="0"/>
                    <w:right w:val="single" w:color="000000" w:sz="4" w:space="0"/>
                  </w:tcBorders>
                  <w:vAlign w:val="center"/>
                </w:tcPr>
                <w:p w14:paraId="600F2A21">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28</w:t>
                  </w:r>
                </w:p>
              </w:tc>
            </w:tr>
            <w:tr w14:paraId="0E77A600">
              <w:tblPrEx>
                <w:tblCellMar>
                  <w:top w:w="0" w:type="dxa"/>
                  <w:left w:w="108" w:type="dxa"/>
                  <w:bottom w:w="0" w:type="dxa"/>
                  <w:right w:w="108" w:type="dxa"/>
                </w:tblCellMar>
              </w:tblPrEx>
              <w:trPr>
                <w:trHeight w:val="272" w:hRule="atLeast"/>
                <w:jc w:val="center"/>
              </w:trPr>
              <w:tc>
                <w:tcPr>
                  <w:tcW w:w="1590" w:type="dxa"/>
                  <w:tcBorders>
                    <w:top w:val="single" w:color="000000" w:sz="4" w:space="0"/>
                    <w:left w:val="single" w:color="000000" w:sz="4" w:space="0"/>
                    <w:bottom w:val="single" w:color="000000" w:sz="4" w:space="0"/>
                    <w:right w:val="single" w:color="000000" w:sz="4" w:space="0"/>
                  </w:tcBorders>
                  <w:vAlign w:val="center"/>
                </w:tcPr>
                <w:p w14:paraId="7F5D514C">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泥浆泵</w:t>
                  </w:r>
                </w:p>
              </w:tc>
              <w:tc>
                <w:tcPr>
                  <w:tcW w:w="788" w:type="dxa"/>
                  <w:tcBorders>
                    <w:top w:val="single" w:color="000000" w:sz="4" w:space="0"/>
                    <w:left w:val="single" w:color="000000" w:sz="4" w:space="0"/>
                    <w:bottom w:val="single" w:color="000000" w:sz="4" w:space="0"/>
                    <w:right w:val="single" w:color="000000" w:sz="4" w:space="0"/>
                  </w:tcBorders>
                  <w:vAlign w:val="center"/>
                </w:tcPr>
                <w:p w14:paraId="23DDACDE">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80</w:t>
                  </w:r>
                </w:p>
              </w:tc>
              <w:tc>
                <w:tcPr>
                  <w:tcW w:w="788" w:type="dxa"/>
                  <w:tcBorders>
                    <w:top w:val="single" w:color="000000" w:sz="4" w:space="0"/>
                    <w:left w:val="single" w:color="000000" w:sz="4" w:space="0"/>
                    <w:bottom w:val="single" w:color="000000" w:sz="4" w:space="0"/>
                    <w:right w:val="single" w:color="000000" w:sz="4" w:space="0"/>
                  </w:tcBorders>
                  <w:vAlign w:val="center"/>
                </w:tcPr>
                <w:p w14:paraId="3707AE16">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69.9</w:t>
                  </w:r>
                </w:p>
              </w:tc>
              <w:tc>
                <w:tcPr>
                  <w:tcW w:w="789" w:type="dxa"/>
                  <w:tcBorders>
                    <w:top w:val="single" w:color="000000" w:sz="4" w:space="0"/>
                    <w:left w:val="single" w:color="000000" w:sz="4" w:space="0"/>
                    <w:bottom w:val="single" w:color="000000" w:sz="4" w:space="0"/>
                    <w:right w:val="single" w:color="000000" w:sz="4" w:space="0"/>
                  </w:tcBorders>
                  <w:vAlign w:val="center"/>
                </w:tcPr>
                <w:p w14:paraId="197D2971">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65.0</w:t>
                  </w:r>
                </w:p>
              </w:tc>
              <w:tc>
                <w:tcPr>
                  <w:tcW w:w="789" w:type="dxa"/>
                  <w:tcBorders>
                    <w:top w:val="single" w:color="000000" w:sz="4" w:space="0"/>
                    <w:left w:val="single" w:color="000000" w:sz="4" w:space="0"/>
                    <w:bottom w:val="single" w:color="000000" w:sz="4" w:space="0"/>
                    <w:right w:val="single" w:color="000000" w:sz="4" w:space="0"/>
                  </w:tcBorders>
                  <w:vAlign w:val="center"/>
                </w:tcPr>
                <w:p w14:paraId="6313E59A">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60.0</w:t>
                  </w:r>
                </w:p>
              </w:tc>
              <w:tc>
                <w:tcPr>
                  <w:tcW w:w="950" w:type="dxa"/>
                  <w:tcBorders>
                    <w:top w:val="single" w:color="000000" w:sz="4" w:space="0"/>
                    <w:left w:val="single" w:color="000000" w:sz="4" w:space="0"/>
                    <w:bottom w:val="single" w:color="000000" w:sz="4" w:space="0"/>
                    <w:right w:val="single" w:color="000000" w:sz="4" w:space="0"/>
                  </w:tcBorders>
                  <w:vAlign w:val="center"/>
                </w:tcPr>
                <w:p w14:paraId="211B458E">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55.0</w:t>
                  </w:r>
                </w:p>
              </w:tc>
              <w:tc>
                <w:tcPr>
                  <w:tcW w:w="789" w:type="dxa"/>
                  <w:tcBorders>
                    <w:top w:val="single" w:color="000000" w:sz="4" w:space="0"/>
                    <w:left w:val="single" w:color="000000" w:sz="4" w:space="0"/>
                    <w:bottom w:val="single" w:color="000000" w:sz="4" w:space="0"/>
                    <w:right w:val="single" w:color="000000" w:sz="4" w:space="0"/>
                  </w:tcBorders>
                  <w:vAlign w:val="center"/>
                </w:tcPr>
                <w:p w14:paraId="76D43C89">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50.0</w:t>
                  </w:r>
                </w:p>
              </w:tc>
              <w:tc>
                <w:tcPr>
                  <w:tcW w:w="789" w:type="dxa"/>
                  <w:tcBorders>
                    <w:top w:val="single" w:color="000000" w:sz="4" w:space="0"/>
                    <w:left w:val="single" w:color="000000" w:sz="4" w:space="0"/>
                    <w:bottom w:val="single" w:color="000000" w:sz="4" w:space="0"/>
                    <w:right w:val="single" w:color="000000" w:sz="4" w:space="0"/>
                  </w:tcBorders>
                  <w:vAlign w:val="center"/>
                </w:tcPr>
                <w:p w14:paraId="3F21DFCF">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40.0</w:t>
                  </w:r>
                </w:p>
              </w:tc>
              <w:tc>
                <w:tcPr>
                  <w:tcW w:w="789" w:type="dxa"/>
                  <w:tcBorders>
                    <w:top w:val="single" w:color="000000" w:sz="4" w:space="0"/>
                    <w:left w:val="single" w:color="000000" w:sz="4" w:space="0"/>
                    <w:bottom w:val="single" w:color="000000" w:sz="4" w:space="0"/>
                    <w:right w:val="single" w:color="000000" w:sz="4" w:space="0"/>
                  </w:tcBorders>
                  <w:vAlign w:val="center"/>
                </w:tcPr>
                <w:p w14:paraId="31BF6651">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16</w:t>
                  </w:r>
                </w:p>
              </w:tc>
            </w:tr>
            <w:tr w14:paraId="51BDCD52">
              <w:tblPrEx>
                <w:tblCellMar>
                  <w:top w:w="0" w:type="dxa"/>
                  <w:left w:w="108" w:type="dxa"/>
                  <w:bottom w:w="0" w:type="dxa"/>
                  <w:right w:w="108" w:type="dxa"/>
                </w:tblCellMar>
              </w:tblPrEx>
              <w:trPr>
                <w:trHeight w:val="272" w:hRule="atLeast"/>
                <w:jc w:val="center"/>
              </w:trPr>
              <w:tc>
                <w:tcPr>
                  <w:tcW w:w="1590" w:type="dxa"/>
                  <w:tcBorders>
                    <w:top w:val="single" w:color="000000" w:sz="4" w:space="0"/>
                    <w:left w:val="single" w:color="000000" w:sz="4" w:space="0"/>
                    <w:bottom w:val="single" w:color="000000" w:sz="4" w:space="0"/>
                    <w:right w:val="single" w:color="000000" w:sz="4" w:space="0"/>
                  </w:tcBorders>
                  <w:vAlign w:val="center"/>
                </w:tcPr>
                <w:p w14:paraId="5B612846">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绞车</w:t>
                  </w:r>
                </w:p>
              </w:tc>
              <w:tc>
                <w:tcPr>
                  <w:tcW w:w="788" w:type="dxa"/>
                  <w:tcBorders>
                    <w:top w:val="single" w:color="000000" w:sz="4" w:space="0"/>
                    <w:left w:val="single" w:color="000000" w:sz="4" w:space="0"/>
                    <w:bottom w:val="single" w:color="000000" w:sz="4" w:space="0"/>
                    <w:right w:val="single" w:color="000000" w:sz="4" w:space="0"/>
                  </w:tcBorders>
                  <w:vAlign w:val="center"/>
                </w:tcPr>
                <w:p w14:paraId="3B545469">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80</w:t>
                  </w:r>
                </w:p>
              </w:tc>
              <w:tc>
                <w:tcPr>
                  <w:tcW w:w="788" w:type="dxa"/>
                  <w:tcBorders>
                    <w:top w:val="single" w:color="000000" w:sz="4" w:space="0"/>
                    <w:left w:val="single" w:color="000000" w:sz="4" w:space="0"/>
                    <w:bottom w:val="single" w:color="000000" w:sz="4" w:space="0"/>
                    <w:right w:val="single" w:color="000000" w:sz="4" w:space="0"/>
                  </w:tcBorders>
                  <w:vAlign w:val="center"/>
                </w:tcPr>
                <w:p w14:paraId="38C834CF">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69.9</w:t>
                  </w:r>
                </w:p>
              </w:tc>
              <w:tc>
                <w:tcPr>
                  <w:tcW w:w="789" w:type="dxa"/>
                  <w:tcBorders>
                    <w:top w:val="single" w:color="000000" w:sz="4" w:space="0"/>
                    <w:left w:val="single" w:color="000000" w:sz="4" w:space="0"/>
                    <w:bottom w:val="single" w:color="000000" w:sz="4" w:space="0"/>
                    <w:right w:val="single" w:color="000000" w:sz="4" w:space="0"/>
                  </w:tcBorders>
                  <w:vAlign w:val="center"/>
                </w:tcPr>
                <w:p w14:paraId="2A94F42B">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65.0</w:t>
                  </w:r>
                </w:p>
              </w:tc>
              <w:tc>
                <w:tcPr>
                  <w:tcW w:w="789" w:type="dxa"/>
                  <w:tcBorders>
                    <w:top w:val="single" w:color="000000" w:sz="4" w:space="0"/>
                    <w:left w:val="single" w:color="000000" w:sz="4" w:space="0"/>
                    <w:bottom w:val="single" w:color="000000" w:sz="4" w:space="0"/>
                    <w:right w:val="single" w:color="000000" w:sz="4" w:space="0"/>
                  </w:tcBorders>
                  <w:vAlign w:val="center"/>
                </w:tcPr>
                <w:p w14:paraId="60D97F92">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60.0</w:t>
                  </w:r>
                </w:p>
              </w:tc>
              <w:tc>
                <w:tcPr>
                  <w:tcW w:w="950" w:type="dxa"/>
                  <w:tcBorders>
                    <w:top w:val="single" w:color="000000" w:sz="4" w:space="0"/>
                    <w:left w:val="single" w:color="000000" w:sz="4" w:space="0"/>
                    <w:bottom w:val="single" w:color="000000" w:sz="4" w:space="0"/>
                    <w:right w:val="single" w:color="000000" w:sz="4" w:space="0"/>
                  </w:tcBorders>
                  <w:vAlign w:val="center"/>
                </w:tcPr>
                <w:p w14:paraId="07D69518">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55.0</w:t>
                  </w:r>
                </w:p>
              </w:tc>
              <w:tc>
                <w:tcPr>
                  <w:tcW w:w="789" w:type="dxa"/>
                  <w:tcBorders>
                    <w:top w:val="single" w:color="000000" w:sz="4" w:space="0"/>
                    <w:left w:val="single" w:color="000000" w:sz="4" w:space="0"/>
                    <w:bottom w:val="single" w:color="000000" w:sz="4" w:space="0"/>
                    <w:right w:val="single" w:color="000000" w:sz="4" w:space="0"/>
                  </w:tcBorders>
                  <w:vAlign w:val="center"/>
                </w:tcPr>
                <w:p w14:paraId="760BD22B">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50.0</w:t>
                  </w:r>
                </w:p>
              </w:tc>
              <w:tc>
                <w:tcPr>
                  <w:tcW w:w="789" w:type="dxa"/>
                  <w:tcBorders>
                    <w:top w:val="single" w:color="000000" w:sz="4" w:space="0"/>
                    <w:left w:val="single" w:color="000000" w:sz="4" w:space="0"/>
                    <w:bottom w:val="single" w:color="000000" w:sz="4" w:space="0"/>
                    <w:right w:val="single" w:color="000000" w:sz="4" w:space="0"/>
                  </w:tcBorders>
                  <w:vAlign w:val="center"/>
                </w:tcPr>
                <w:p w14:paraId="293DAA65">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40.0</w:t>
                  </w:r>
                </w:p>
              </w:tc>
              <w:tc>
                <w:tcPr>
                  <w:tcW w:w="789" w:type="dxa"/>
                  <w:tcBorders>
                    <w:top w:val="single" w:color="000000" w:sz="4" w:space="0"/>
                    <w:left w:val="single" w:color="000000" w:sz="4" w:space="0"/>
                    <w:bottom w:val="single" w:color="000000" w:sz="4" w:space="0"/>
                    <w:right w:val="single" w:color="000000" w:sz="4" w:space="0"/>
                  </w:tcBorders>
                  <w:vAlign w:val="center"/>
                </w:tcPr>
                <w:p w14:paraId="52F482EF">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16</w:t>
                  </w:r>
                </w:p>
              </w:tc>
            </w:tr>
            <w:tr w14:paraId="685C8B1B">
              <w:tblPrEx>
                <w:tblCellMar>
                  <w:top w:w="0" w:type="dxa"/>
                  <w:left w:w="108" w:type="dxa"/>
                  <w:bottom w:w="0" w:type="dxa"/>
                  <w:right w:w="108" w:type="dxa"/>
                </w:tblCellMar>
              </w:tblPrEx>
              <w:trPr>
                <w:trHeight w:val="272" w:hRule="atLeast"/>
                <w:jc w:val="center"/>
              </w:trPr>
              <w:tc>
                <w:tcPr>
                  <w:tcW w:w="1590" w:type="dxa"/>
                  <w:tcBorders>
                    <w:top w:val="single" w:color="000000" w:sz="4" w:space="0"/>
                    <w:left w:val="single" w:color="000000" w:sz="4" w:space="0"/>
                    <w:bottom w:val="single" w:color="000000" w:sz="4" w:space="0"/>
                    <w:right w:val="single" w:color="000000" w:sz="4" w:space="0"/>
                  </w:tcBorders>
                  <w:vAlign w:val="center"/>
                </w:tcPr>
                <w:p w14:paraId="783604A0">
                  <w:pPr>
                    <w:widowControl/>
                    <w:spacing w:after="0" w:line="240" w:lineRule="auto"/>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电动机</w:t>
                  </w:r>
                </w:p>
              </w:tc>
              <w:tc>
                <w:tcPr>
                  <w:tcW w:w="788" w:type="dxa"/>
                  <w:tcBorders>
                    <w:top w:val="single" w:color="000000" w:sz="4" w:space="0"/>
                    <w:left w:val="single" w:color="000000" w:sz="4" w:space="0"/>
                    <w:bottom w:val="single" w:color="000000" w:sz="4" w:space="0"/>
                    <w:right w:val="single" w:color="000000" w:sz="4" w:space="0"/>
                  </w:tcBorders>
                  <w:vAlign w:val="center"/>
                </w:tcPr>
                <w:p w14:paraId="23A12463">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80</w:t>
                  </w:r>
                </w:p>
              </w:tc>
              <w:tc>
                <w:tcPr>
                  <w:tcW w:w="788" w:type="dxa"/>
                  <w:tcBorders>
                    <w:top w:val="single" w:color="000000" w:sz="4" w:space="0"/>
                    <w:left w:val="single" w:color="000000" w:sz="4" w:space="0"/>
                    <w:bottom w:val="single" w:color="000000" w:sz="4" w:space="0"/>
                    <w:right w:val="single" w:color="000000" w:sz="4" w:space="0"/>
                  </w:tcBorders>
                  <w:vAlign w:val="center"/>
                </w:tcPr>
                <w:p w14:paraId="29660B5D">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69.9</w:t>
                  </w:r>
                </w:p>
              </w:tc>
              <w:tc>
                <w:tcPr>
                  <w:tcW w:w="789" w:type="dxa"/>
                  <w:tcBorders>
                    <w:top w:val="single" w:color="000000" w:sz="4" w:space="0"/>
                    <w:left w:val="single" w:color="000000" w:sz="4" w:space="0"/>
                    <w:bottom w:val="single" w:color="000000" w:sz="4" w:space="0"/>
                    <w:right w:val="single" w:color="000000" w:sz="4" w:space="0"/>
                  </w:tcBorders>
                  <w:vAlign w:val="center"/>
                </w:tcPr>
                <w:p w14:paraId="7EF4FABE">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65.0</w:t>
                  </w:r>
                </w:p>
              </w:tc>
              <w:tc>
                <w:tcPr>
                  <w:tcW w:w="789" w:type="dxa"/>
                  <w:tcBorders>
                    <w:top w:val="single" w:color="000000" w:sz="4" w:space="0"/>
                    <w:left w:val="single" w:color="000000" w:sz="4" w:space="0"/>
                    <w:bottom w:val="single" w:color="000000" w:sz="4" w:space="0"/>
                    <w:right w:val="single" w:color="000000" w:sz="4" w:space="0"/>
                  </w:tcBorders>
                  <w:vAlign w:val="center"/>
                </w:tcPr>
                <w:p w14:paraId="1D986F91">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60.0</w:t>
                  </w:r>
                </w:p>
              </w:tc>
              <w:tc>
                <w:tcPr>
                  <w:tcW w:w="950" w:type="dxa"/>
                  <w:tcBorders>
                    <w:top w:val="single" w:color="000000" w:sz="4" w:space="0"/>
                    <w:left w:val="single" w:color="000000" w:sz="4" w:space="0"/>
                    <w:bottom w:val="single" w:color="000000" w:sz="4" w:space="0"/>
                    <w:right w:val="single" w:color="000000" w:sz="4" w:space="0"/>
                  </w:tcBorders>
                  <w:vAlign w:val="center"/>
                </w:tcPr>
                <w:p w14:paraId="1F5F5EF6">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55.0</w:t>
                  </w:r>
                </w:p>
              </w:tc>
              <w:tc>
                <w:tcPr>
                  <w:tcW w:w="789" w:type="dxa"/>
                  <w:tcBorders>
                    <w:top w:val="single" w:color="000000" w:sz="4" w:space="0"/>
                    <w:left w:val="single" w:color="000000" w:sz="4" w:space="0"/>
                    <w:bottom w:val="single" w:color="000000" w:sz="4" w:space="0"/>
                    <w:right w:val="single" w:color="000000" w:sz="4" w:space="0"/>
                  </w:tcBorders>
                  <w:vAlign w:val="center"/>
                </w:tcPr>
                <w:p w14:paraId="734CBF89">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50.0</w:t>
                  </w:r>
                </w:p>
              </w:tc>
              <w:tc>
                <w:tcPr>
                  <w:tcW w:w="789" w:type="dxa"/>
                  <w:tcBorders>
                    <w:top w:val="single" w:color="000000" w:sz="4" w:space="0"/>
                    <w:left w:val="single" w:color="000000" w:sz="4" w:space="0"/>
                    <w:bottom w:val="single" w:color="000000" w:sz="4" w:space="0"/>
                    <w:right w:val="single" w:color="000000" w:sz="4" w:space="0"/>
                  </w:tcBorders>
                  <w:vAlign w:val="center"/>
                </w:tcPr>
                <w:p w14:paraId="431BFA29">
                  <w:pPr>
                    <w:widowControl/>
                    <w:spacing w:after="0" w:line="240" w:lineRule="auto"/>
                    <w:jc w:val="center"/>
                    <w:textAlignment w:val="center"/>
                    <w:rPr>
                      <w:rFonts w:ascii="Times New Roman" w:hAnsi="Times New Roman"/>
                      <w:color w:val="auto"/>
                      <w:kern w:val="0"/>
                      <w:sz w:val="18"/>
                      <w:szCs w:val="18"/>
                      <w:highlight w:val="none"/>
                    </w:rPr>
                  </w:pPr>
                  <w:r>
                    <w:rPr>
                      <w:rFonts w:ascii="Times New Roman" w:hAnsi="Times New Roman"/>
                      <w:color w:val="auto"/>
                      <w:kern w:val="0"/>
                      <w:sz w:val="18"/>
                      <w:szCs w:val="18"/>
                      <w:highlight w:val="none"/>
                    </w:rPr>
                    <w:t>40.0</w:t>
                  </w:r>
                </w:p>
              </w:tc>
              <w:tc>
                <w:tcPr>
                  <w:tcW w:w="789" w:type="dxa"/>
                  <w:tcBorders>
                    <w:top w:val="single" w:color="000000" w:sz="4" w:space="0"/>
                    <w:left w:val="single" w:color="000000" w:sz="4" w:space="0"/>
                    <w:bottom w:val="single" w:color="000000" w:sz="4" w:space="0"/>
                    <w:right w:val="single" w:color="000000" w:sz="4" w:space="0"/>
                  </w:tcBorders>
                  <w:vAlign w:val="center"/>
                </w:tcPr>
                <w:p w14:paraId="7E6219B8">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16</w:t>
                  </w:r>
                </w:p>
              </w:tc>
            </w:tr>
          </w:tbl>
          <w:p w14:paraId="34060214">
            <w:pPr>
              <w:pStyle w:val="31"/>
              <w:adjustRightInd/>
              <w:spacing w:after="0" w:line="360" w:lineRule="auto"/>
              <w:ind w:firstLine="480" w:firstLineChars="200"/>
              <w:rPr>
                <w:rFonts w:ascii="Times New Roman" w:hAnsi="Times New Roman"/>
                <w:color w:val="auto"/>
                <w:highlight w:val="none"/>
              </w:rPr>
            </w:pPr>
            <w:r>
              <w:rPr>
                <w:rFonts w:ascii="宋体" w:hAnsi="Times New Roman"/>
                <w:color w:val="auto"/>
                <w:highlight w:val="none"/>
              </w:rPr>
              <w:t>②</w:t>
            </w:r>
            <w:r>
              <w:rPr>
                <w:rFonts w:ascii="Times New Roman" w:hAnsi="Times New Roman"/>
                <w:color w:val="auto"/>
                <w:highlight w:val="none"/>
              </w:rPr>
              <w:t>多台施工机械同时作业时的噪声级预测结果见下表。</w:t>
            </w:r>
          </w:p>
          <w:p w14:paraId="21CDA6F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表4-2 施工期噪声源组合在不同距离的噪声预测值 单位：dB （A）</w:t>
            </w:r>
          </w:p>
          <w:tbl>
            <w:tblPr>
              <w:tblStyle w:val="22"/>
              <w:tblW w:w="80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4"/>
              <w:gridCol w:w="593"/>
              <w:gridCol w:w="593"/>
              <w:gridCol w:w="593"/>
              <w:gridCol w:w="593"/>
              <w:gridCol w:w="593"/>
              <w:gridCol w:w="593"/>
              <w:gridCol w:w="593"/>
              <w:gridCol w:w="593"/>
              <w:gridCol w:w="593"/>
              <w:gridCol w:w="593"/>
              <w:gridCol w:w="619"/>
              <w:gridCol w:w="828"/>
            </w:tblGrid>
            <w:tr w14:paraId="68597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674" w:type="dxa"/>
                  <w:vMerge w:val="restart"/>
                  <w:tcBorders>
                    <w:tl2br w:val="nil"/>
                    <w:tr2bl w:val="nil"/>
                  </w:tcBorders>
                  <w:vAlign w:val="center"/>
                </w:tcPr>
                <w:p w14:paraId="7DCF8726">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噪声源组合</w:t>
                  </w:r>
                </w:p>
              </w:tc>
              <w:tc>
                <w:tcPr>
                  <w:tcW w:w="6549" w:type="dxa"/>
                  <w:gridSpan w:val="11"/>
                  <w:tcBorders>
                    <w:tl2br w:val="nil"/>
                    <w:tr2bl w:val="nil"/>
                  </w:tcBorders>
                  <w:vAlign w:val="center"/>
                </w:tcPr>
                <w:p w14:paraId="5ECB9391">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测点距声源距离（</w:t>
                  </w:r>
                  <w:r>
                    <w:rPr>
                      <w:rFonts w:ascii="Times New Roman" w:hAnsi="Times New Roman"/>
                      <w:color w:val="auto"/>
                      <w:kern w:val="0"/>
                      <w:sz w:val="18"/>
                      <w:szCs w:val="18"/>
                      <w:highlight w:val="none"/>
                    </w:rPr>
                    <w:t>m</w:t>
                  </w:r>
                  <w:r>
                    <w:rPr>
                      <w:rFonts w:hint="eastAsia" w:ascii="宋体" w:hAnsi="宋体" w:cs="宋体"/>
                      <w:color w:val="auto"/>
                      <w:kern w:val="0"/>
                      <w:sz w:val="18"/>
                      <w:szCs w:val="18"/>
                      <w:highlight w:val="none"/>
                    </w:rPr>
                    <w:t>）</w:t>
                  </w:r>
                </w:p>
              </w:tc>
              <w:tc>
                <w:tcPr>
                  <w:tcW w:w="828" w:type="dxa"/>
                  <w:tcBorders>
                    <w:tl2br w:val="nil"/>
                    <w:tr2bl w:val="nil"/>
                  </w:tcBorders>
                  <w:vAlign w:val="center"/>
                </w:tcPr>
                <w:p w14:paraId="22DC2BBF">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达标距离</w:t>
                  </w:r>
                  <w:r>
                    <w:rPr>
                      <w:rFonts w:ascii="Times New Roman" w:hAnsi="Times New Roman"/>
                      <w:color w:val="auto"/>
                      <w:kern w:val="0"/>
                      <w:sz w:val="18"/>
                      <w:szCs w:val="18"/>
                      <w:highlight w:val="none"/>
                    </w:rPr>
                    <w:t>(m)</w:t>
                  </w:r>
                </w:p>
              </w:tc>
            </w:tr>
            <w:tr w14:paraId="72EC3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674" w:type="dxa"/>
                  <w:vMerge w:val="continue"/>
                  <w:tcBorders>
                    <w:tl2br w:val="nil"/>
                    <w:tr2bl w:val="nil"/>
                  </w:tcBorders>
                  <w:vAlign w:val="center"/>
                </w:tcPr>
                <w:p w14:paraId="071BC6D6">
                  <w:pPr>
                    <w:widowControl/>
                    <w:spacing w:after="0" w:line="240" w:lineRule="auto"/>
                    <w:jc w:val="center"/>
                    <w:rPr>
                      <w:rFonts w:ascii="宋体" w:hAnsi="宋体" w:cs="宋体"/>
                      <w:color w:val="auto"/>
                      <w:sz w:val="18"/>
                      <w:szCs w:val="18"/>
                      <w:highlight w:val="none"/>
                    </w:rPr>
                  </w:pPr>
                </w:p>
              </w:tc>
              <w:tc>
                <w:tcPr>
                  <w:tcW w:w="593" w:type="dxa"/>
                  <w:tcBorders>
                    <w:tl2br w:val="nil"/>
                    <w:tr2bl w:val="nil"/>
                  </w:tcBorders>
                  <w:vAlign w:val="center"/>
                </w:tcPr>
                <w:p w14:paraId="2011C193">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w:t>
                  </w:r>
                </w:p>
              </w:tc>
              <w:tc>
                <w:tcPr>
                  <w:tcW w:w="593" w:type="dxa"/>
                  <w:tcBorders>
                    <w:tl2br w:val="nil"/>
                    <w:tr2bl w:val="nil"/>
                  </w:tcBorders>
                  <w:vAlign w:val="center"/>
                </w:tcPr>
                <w:p w14:paraId="7043C3EE">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20</w:t>
                  </w:r>
                </w:p>
              </w:tc>
              <w:tc>
                <w:tcPr>
                  <w:tcW w:w="593" w:type="dxa"/>
                  <w:tcBorders>
                    <w:tl2br w:val="nil"/>
                    <w:tr2bl w:val="nil"/>
                  </w:tcBorders>
                  <w:vAlign w:val="center"/>
                </w:tcPr>
                <w:p w14:paraId="006FFEE9">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40</w:t>
                  </w:r>
                </w:p>
              </w:tc>
              <w:tc>
                <w:tcPr>
                  <w:tcW w:w="593" w:type="dxa"/>
                  <w:tcBorders>
                    <w:tl2br w:val="nil"/>
                    <w:tr2bl w:val="nil"/>
                  </w:tcBorders>
                  <w:vAlign w:val="center"/>
                </w:tcPr>
                <w:p w14:paraId="616FA245">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100</w:t>
                  </w:r>
                </w:p>
              </w:tc>
              <w:tc>
                <w:tcPr>
                  <w:tcW w:w="593" w:type="dxa"/>
                  <w:tcBorders>
                    <w:tl2br w:val="nil"/>
                    <w:tr2bl w:val="nil"/>
                  </w:tcBorders>
                  <w:vAlign w:val="center"/>
                </w:tcPr>
                <w:p w14:paraId="67F89B36">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120</w:t>
                  </w:r>
                </w:p>
              </w:tc>
              <w:tc>
                <w:tcPr>
                  <w:tcW w:w="593" w:type="dxa"/>
                  <w:tcBorders>
                    <w:tl2br w:val="nil"/>
                    <w:tr2bl w:val="nil"/>
                  </w:tcBorders>
                  <w:vAlign w:val="center"/>
                </w:tcPr>
                <w:p w14:paraId="0F79E2DB">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150</w:t>
                  </w:r>
                </w:p>
              </w:tc>
              <w:tc>
                <w:tcPr>
                  <w:tcW w:w="593" w:type="dxa"/>
                  <w:tcBorders>
                    <w:tl2br w:val="nil"/>
                    <w:tr2bl w:val="nil"/>
                  </w:tcBorders>
                  <w:vAlign w:val="center"/>
                </w:tcPr>
                <w:p w14:paraId="71858456">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200</w:t>
                  </w:r>
                </w:p>
              </w:tc>
              <w:tc>
                <w:tcPr>
                  <w:tcW w:w="593" w:type="dxa"/>
                  <w:tcBorders>
                    <w:tl2br w:val="nil"/>
                    <w:tr2bl w:val="nil"/>
                  </w:tcBorders>
                  <w:vAlign w:val="center"/>
                </w:tcPr>
                <w:p w14:paraId="5381F895">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220</w:t>
                  </w:r>
                </w:p>
              </w:tc>
              <w:tc>
                <w:tcPr>
                  <w:tcW w:w="593" w:type="dxa"/>
                  <w:tcBorders>
                    <w:tl2br w:val="nil"/>
                    <w:tr2bl w:val="nil"/>
                  </w:tcBorders>
                  <w:vAlign w:val="center"/>
                </w:tcPr>
                <w:p w14:paraId="14339F83">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320</w:t>
                  </w:r>
                </w:p>
              </w:tc>
              <w:tc>
                <w:tcPr>
                  <w:tcW w:w="593" w:type="dxa"/>
                  <w:tcBorders>
                    <w:tl2br w:val="nil"/>
                    <w:tr2bl w:val="nil"/>
                  </w:tcBorders>
                  <w:vAlign w:val="center"/>
                </w:tcPr>
                <w:p w14:paraId="7FF7004E">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350</w:t>
                  </w:r>
                </w:p>
              </w:tc>
              <w:tc>
                <w:tcPr>
                  <w:tcW w:w="619" w:type="dxa"/>
                  <w:tcBorders>
                    <w:tl2br w:val="nil"/>
                    <w:tr2bl w:val="nil"/>
                  </w:tcBorders>
                  <w:vAlign w:val="center"/>
                </w:tcPr>
                <w:p w14:paraId="7052771E">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600</w:t>
                  </w:r>
                </w:p>
              </w:tc>
              <w:tc>
                <w:tcPr>
                  <w:tcW w:w="828" w:type="dxa"/>
                  <w:tcBorders>
                    <w:tl2br w:val="nil"/>
                    <w:tr2bl w:val="nil"/>
                  </w:tcBorders>
                  <w:vAlign w:val="center"/>
                </w:tcPr>
                <w:p w14:paraId="5ACA4D1F">
                  <w:pPr>
                    <w:widowControl/>
                    <w:spacing w:after="0" w:line="240" w:lineRule="auto"/>
                    <w:jc w:val="center"/>
                    <w:textAlignment w:val="center"/>
                    <w:rPr>
                      <w:rFonts w:ascii="宋体" w:hAnsi="宋体" w:cs="宋体"/>
                      <w:b/>
                      <w:bCs/>
                      <w:color w:val="auto"/>
                      <w:sz w:val="18"/>
                      <w:szCs w:val="18"/>
                      <w:highlight w:val="none"/>
                    </w:rPr>
                  </w:pPr>
                  <w:r>
                    <w:rPr>
                      <w:rFonts w:hint="eastAsia" w:ascii="宋体" w:hAnsi="宋体" w:cs="宋体"/>
                      <w:color w:val="auto"/>
                      <w:kern w:val="0"/>
                      <w:sz w:val="18"/>
                      <w:szCs w:val="18"/>
                      <w:highlight w:val="none"/>
                    </w:rPr>
                    <w:t>昼间</w:t>
                  </w:r>
                </w:p>
              </w:tc>
            </w:tr>
            <w:tr w14:paraId="71F7E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674" w:type="dxa"/>
                  <w:tcBorders>
                    <w:tl2br w:val="nil"/>
                    <w:tr2bl w:val="nil"/>
                  </w:tcBorders>
                  <w:vAlign w:val="center"/>
                </w:tcPr>
                <w:p w14:paraId="567F6CAE">
                  <w:pPr>
                    <w:widowControl/>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钻井阶段（钻机、泥浆泵、电动机等）</w:t>
                  </w:r>
                </w:p>
              </w:tc>
              <w:tc>
                <w:tcPr>
                  <w:tcW w:w="593" w:type="dxa"/>
                  <w:tcBorders>
                    <w:tl2br w:val="nil"/>
                    <w:tr2bl w:val="nil"/>
                  </w:tcBorders>
                  <w:noWrap/>
                  <w:vAlign w:val="center"/>
                </w:tcPr>
                <w:p w14:paraId="1CF2351C">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87.9</w:t>
                  </w:r>
                </w:p>
              </w:tc>
              <w:tc>
                <w:tcPr>
                  <w:tcW w:w="593" w:type="dxa"/>
                  <w:tcBorders>
                    <w:tl2br w:val="nil"/>
                    <w:tr2bl w:val="nil"/>
                  </w:tcBorders>
                  <w:vAlign w:val="center"/>
                </w:tcPr>
                <w:p w14:paraId="6C341B42">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75.9</w:t>
                  </w:r>
                </w:p>
              </w:tc>
              <w:tc>
                <w:tcPr>
                  <w:tcW w:w="593" w:type="dxa"/>
                  <w:tcBorders>
                    <w:tl2br w:val="nil"/>
                    <w:tr2bl w:val="nil"/>
                  </w:tcBorders>
                  <w:vAlign w:val="center"/>
                </w:tcPr>
                <w:p w14:paraId="5B621954">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69.8</w:t>
                  </w:r>
                </w:p>
              </w:tc>
              <w:tc>
                <w:tcPr>
                  <w:tcW w:w="593" w:type="dxa"/>
                  <w:tcBorders>
                    <w:tl2br w:val="nil"/>
                    <w:tr2bl w:val="nil"/>
                  </w:tcBorders>
                  <w:vAlign w:val="center"/>
                </w:tcPr>
                <w:p w14:paraId="46B7C7D4">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61.9</w:t>
                  </w:r>
                </w:p>
              </w:tc>
              <w:tc>
                <w:tcPr>
                  <w:tcW w:w="593" w:type="dxa"/>
                  <w:tcBorders>
                    <w:tl2br w:val="nil"/>
                    <w:tr2bl w:val="nil"/>
                  </w:tcBorders>
                  <w:vAlign w:val="center"/>
                </w:tcPr>
                <w:p w14:paraId="6A7BB566">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60.3</w:t>
                  </w:r>
                </w:p>
              </w:tc>
              <w:tc>
                <w:tcPr>
                  <w:tcW w:w="593" w:type="dxa"/>
                  <w:tcBorders>
                    <w:tl2br w:val="nil"/>
                    <w:tr2bl w:val="nil"/>
                  </w:tcBorders>
                  <w:vAlign w:val="center"/>
                </w:tcPr>
                <w:p w14:paraId="5E0D3B62">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58.4</w:t>
                  </w:r>
                </w:p>
              </w:tc>
              <w:tc>
                <w:tcPr>
                  <w:tcW w:w="593" w:type="dxa"/>
                  <w:tcBorders>
                    <w:tl2br w:val="nil"/>
                    <w:tr2bl w:val="nil"/>
                  </w:tcBorders>
                  <w:vAlign w:val="center"/>
                </w:tcPr>
                <w:p w14:paraId="4D57A4C4">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55.9</w:t>
                  </w:r>
                </w:p>
              </w:tc>
              <w:tc>
                <w:tcPr>
                  <w:tcW w:w="593" w:type="dxa"/>
                  <w:tcBorders>
                    <w:tl2br w:val="nil"/>
                    <w:tr2bl w:val="nil"/>
                  </w:tcBorders>
                  <w:vAlign w:val="center"/>
                </w:tcPr>
                <w:p w14:paraId="535E2D98">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55.0</w:t>
                  </w:r>
                </w:p>
              </w:tc>
              <w:tc>
                <w:tcPr>
                  <w:tcW w:w="593" w:type="dxa"/>
                  <w:tcBorders>
                    <w:tl2br w:val="nil"/>
                    <w:tr2bl w:val="nil"/>
                  </w:tcBorders>
                  <w:vAlign w:val="center"/>
                </w:tcPr>
                <w:p w14:paraId="2A49BF58">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51.8</w:t>
                  </w:r>
                </w:p>
              </w:tc>
              <w:tc>
                <w:tcPr>
                  <w:tcW w:w="593" w:type="dxa"/>
                  <w:tcBorders>
                    <w:tl2br w:val="nil"/>
                    <w:tr2bl w:val="nil"/>
                  </w:tcBorders>
                  <w:vAlign w:val="center"/>
                </w:tcPr>
                <w:p w14:paraId="48A7C012">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51.0</w:t>
                  </w:r>
                </w:p>
              </w:tc>
              <w:tc>
                <w:tcPr>
                  <w:tcW w:w="619" w:type="dxa"/>
                  <w:tcBorders>
                    <w:tl2br w:val="nil"/>
                    <w:tr2bl w:val="nil"/>
                  </w:tcBorders>
                  <w:vAlign w:val="center"/>
                </w:tcPr>
                <w:p w14:paraId="45176173">
                  <w:pPr>
                    <w:widowControl/>
                    <w:spacing w:after="0" w:line="240" w:lineRule="auto"/>
                    <w:jc w:val="center"/>
                    <w:textAlignment w:val="center"/>
                    <w:rPr>
                      <w:rFonts w:ascii="Times New Roman" w:hAnsi="Times New Roman"/>
                      <w:color w:val="auto"/>
                      <w:sz w:val="18"/>
                      <w:szCs w:val="18"/>
                      <w:highlight w:val="none"/>
                    </w:rPr>
                  </w:pPr>
                  <w:r>
                    <w:rPr>
                      <w:rFonts w:ascii="Times New Roman" w:hAnsi="Times New Roman"/>
                      <w:color w:val="auto"/>
                      <w:kern w:val="0"/>
                      <w:sz w:val="18"/>
                      <w:szCs w:val="18"/>
                      <w:highlight w:val="none"/>
                    </w:rPr>
                    <w:t>46.3</w:t>
                  </w:r>
                </w:p>
              </w:tc>
              <w:tc>
                <w:tcPr>
                  <w:tcW w:w="828" w:type="dxa"/>
                  <w:tcBorders>
                    <w:tl2br w:val="nil"/>
                    <w:tr2bl w:val="nil"/>
                  </w:tcBorders>
                  <w:vAlign w:val="center"/>
                </w:tcPr>
                <w:p w14:paraId="32D48247">
                  <w:pPr>
                    <w:widowControl/>
                    <w:spacing w:after="0" w:line="240" w:lineRule="auto"/>
                    <w:jc w:val="center"/>
                    <w:textAlignment w:val="center"/>
                    <w:rPr>
                      <w:rFonts w:ascii="Times New Roman" w:hAnsi="Times New Roman"/>
                      <w:b/>
                      <w:bCs/>
                      <w:color w:val="auto"/>
                      <w:sz w:val="18"/>
                      <w:szCs w:val="18"/>
                      <w:highlight w:val="none"/>
                    </w:rPr>
                  </w:pPr>
                  <w:r>
                    <w:rPr>
                      <w:rFonts w:ascii="Times New Roman" w:hAnsi="Times New Roman"/>
                      <w:b/>
                      <w:bCs/>
                      <w:color w:val="auto"/>
                      <w:kern w:val="0"/>
                      <w:sz w:val="18"/>
                      <w:szCs w:val="18"/>
                      <w:highlight w:val="none"/>
                    </w:rPr>
                    <w:t>40</w:t>
                  </w:r>
                </w:p>
              </w:tc>
            </w:tr>
          </w:tbl>
          <w:p w14:paraId="7B5D29AD">
            <w:pPr>
              <w:pStyle w:val="31"/>
              <w:adjustRightInd/>
              <w:spacing w:after="0" w:line="360" w:lineRule="auto"/>
              <w:ind w:firstLine="480" w:firstLineChars="200"/>
              <w:jc w:val="both"/>
              <w:rPr>
                <w:rFonts w:hint="eastAsia" w:ascii="Times New Roman" w:hAnsi="Times New Roman" w:eastAsia="宋体" w:cs="Times New Roman"/>
                <w:color w:val="auto"/>
                <w:sz w:val="24"/>
                <w:highlight w:val="none"/>
              </w:rPr>
            </w:pPr>
            <w:r>
              <w:rPr>
                <w:rFonts w:hint="eastAsia" w:ascii="Times New Roman" w:hAnsi="Times New Roman"/>
                <w:color w:val="auto"/>
                <w:highlight w:val="none"/>
              </w:rPr>
              <w:t>由上表可知，单台施工机械施工28m处、多台施工机械同时施工时在40m处可达到《建筑施工噪声排放标准》（GB12523-2025）规定限值要求。根据现场踏勘，项目共19个井场，其中18#井场最近敏感目标为井场北侧史圩孜，相距约</w:t>
            </w:r>
            <w:r>
              <w:rPr>
                <w:rFonts w:hint="eastAsia" w:ascii="Times New Roman" w:hAnsi="Times New Roman"/>
                <w:color w:val="auto"/>
                <w:highlight w:val="none"/>
                <w:lang w:val="en-US" w:eastAsia="zh-CN"/>
              </w:rPr>
              <w:t>4</w:t>
            </w:r>
            <w:r>
              <w:rPr>
                <w:rFonts w:hint="eastAsia" w:ascii="Times New Roman" w:hAnsi="Times New Roman"/>
                <w:color w:val="auto"/>
                <w:highlight w:val="none"/>
              </w:rPr>
              <w:t>0m；17#井场最近敏感目标为井场北侧后王庄，相距约</w:t>
            </w:r>
            <w:r>
              <w:rPr>
                <w:rFonts w:hint="eastAsia" w:ascii="Times New Roman" w:hAnsi="Times New Roman"/>
                <w:color w:val="auto"/>
                <w:highlight w:val="none"/>
                <w:lang w:val="en-US" w:eastAsia="zh-CN"/>
              </w:rPr>
              <w:t>32</w:t>
            </w:r>
            <w:r>
              <w:rPr>
                <w:rFonts w:hint="eastAsia" w:ascii="Times New Roman" w:hAnsi="Times New Roman"/>
                <w:color w:val="auto"/>
                <w:highlight w:val="none"/>
              </w:rPr>
              <w:t>m，上述两个井场与敏感目标距离小于40m。</w:t>
            </w:r>
            <w:r>
              <w:rPr>
                <w:rFonts w:ascii="Times New Roman" w:hAnsi="Times New Roman" w:eastAsia="宋体" w:cs="Times New Roman"/>
                <w:color w:val="auto"/>
                <w:sz w:val="24"/>
                <w:szCs w:val="24"/>
              </w:rPr>
              <w:t>由此可见，上述井场夜间施工噪声对周边敏感目标影响较大，因此本项目要求施工单位禁止在夜间施工。鉴于井场场界现状噪声无法达到上述标准限值，要求施工期按照要求规范落实降噪措施：17#、18#井场朝居民点一侧设置高度不低于2.5m的移动式复合隔声屏障，泥浆泵等高噪声设备配套加装隔声消声罩；选用低噪声施工机械，设备底座加装橡胶减震垫，定期做好设备润滑保养；优化井场平面布置，将钻机、泥浆泵等高噪声设备布置在井场远离居民区一侧；运输车辆场内低速行驶、严禁鸣笛，钻具管材装卸轻拿轻放，尽量避开中午午休时段开展高噪声作业；建立噪声日常巡检监测制度，接到扰民投诉立即停工整改，同时做好周边群众沟通解释工作。该系列综合降噪措施可实现15~30dB（A）的降噪效果，本次评价按2</w:t>
            </w:r>
            <w:r>
              <w:rPr>
                <w:rFonts w:hint="eastAsia" w:ascii="Times New Roman" w:hAnsi="Times New Roman" w:eastAsia="宋体" w:cs="Times New Roman"/>
                <w:color w:val="auto"/>
                <w:sz w:val="24"/>
                <w:szCs w:val="24"/>
                <w:lang w:val="en-US" w:eastAsia="zh-CN"/>
              </w:rPr>
              <w:t>0</w:t>
            </w:r>
            <w:r>
              <w:rPr>
                <w:rFonts w:ascii="Times New Roman" w:hAnsi="Times New Roman" w:eastAsia="宋体" w:cs="Times New Roman"/>
                <w:color w:val="auto"/>
                <w:sz w:val="24"/>
                <w:szCs w:val="24"/>
              </w:rPr>
              <w:t>dB（A）取值，经治理后，施工场界昼间噪声可满足标准要求。</w:t>
            </w:r>
          </w:p>
          <w:p w14:paraId="73C926FA">
            <w:pPr>
              <w:pStyle w:val="31"/>
              <w:adjustRightInd/>
              <w:spacing w:after="0" w:line="360" w:lineRule="auto"/>
              <w:ind w:firstLine="480" w:firstLineChars="200"/>
              <w:jc w:val="both"/>
              <w:rPr>
                <w:rFonts w:ascii="Times New Roman" w:hAnsi="Times New Roman"/>
                <w:color w:val="auto"/>
                <w:highlight w:val="none"/>
              </w:rPr>
            </w:pPr>
            <w:r>
              <w:rPr>
                <w:rFonts w:ascii="宋体" w:hAnsi="Times New Roman"/>
                <w:color w:val="auto"/>
                <w:highlight w:val="none"/>
              </w:rPr>
              <w:t>③</w:t>
            </w:r>
            <w:r>
              <w:rPr>
                <w:rFonts w:ascii="Times New Roman" w:hAnsi="Times New Roman"/>
                <w:color w:val="auto"/>
                <w:highlight w:val="none"/>
              </w:rPr>
              <w:t>多台施工机械同时作业时的</w:t>
            </w:r>
            <w:r>
              <w:rPr>
                <w:rFonts w:hint="eastAsia" w:ascii="Times New Roman" w:hAnsi="Times New Roman"/>
                <w:color w:val="auto"/>
                <w:highlight w:val="none"/>
              </w:rPr>
              <w:t>敏感点</w:t>
            </w:r>
            <w:r>
              <w:rPr>
                <w:rFonts w:ascii="Times New Roman" w:hAnsi="Times New Roman"/>
                <w:color w:val="auto"/>
                <w:highlight w:val="none"/>
              </w:rPr>
              <w:t>噪声级预测结果见下表</w:t>
            </w:r>
            <w:r>
              <w:rPr>
                <w:rFonts w:hint="eastAsia" w:ascii="Times New Roman" w:hAnsi="Times New Roman"/>
                <w:color w:val="auto"/>
                <w:highlight w:val="none"/>
              </w:rPr>
              <w:t>。</w:t>
            </w:r>
          </w:p>
          <w:p w14:paraId="14414B1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3  施工期单项工程施工对环境敏感目标处昼间噪声预测结果</w:t>
            </w:r>
            <w:r>
              <w:rPr>
                <w:rFonts w:ascii="Times New Roman" w:hAnsi="Times New Roman"/>
                <w:b/>
                <w:color w:val="auto"/>
                <w:szCs w:val="21"/>
                <w:highlight w:val="none"/>
              </w:rPr>
              <w:t xml:space="preserve">  单位：dB （A）</w:t>
            </w:r>
          </w:p>
          <w:tbl>
            <w:tblPr>
              <w:tblStyle w:val="22"/>
              <w:tblW w:w="8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1"/>
              <w:gridCol w:w="742"/>
              <w:gridCol w:w="517"/>
              <w:gridCol w:w="768"/>
              <w:gridCol w:w="590"/>
              <w:gridCol w:w="691"/>
              <w:gridCol w:w="512"/>
              <w:gridCol w:w="926"/>
              <w:gridCol w:w="716"/>
              <w:gridCol w:w="777"/>
              <w:gridCol w:w="1031"/>
            </w:tblGrid>
            <w:tr w14:paraId="5D11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62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保护目标名称</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14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井场</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2E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涉及工程内容</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81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最近距离（m）</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41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贡献值</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7A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现状值</w:t>
                  </w:r>
                </w:p>
              </w:tc>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8B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降噪措施</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E7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降噪后结果</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6D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执行标准</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02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降噪措施后是否达标</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0F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lang w:val="en-US" w:eastAsia="zh-CN"/>
                    </w:rPr>
                    <w:t>现状值来源</w:t>
                  </w:r>
                </w:p>
              </w:tc>
            </w:tr>
            <w:tr w14:paraId="65AA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53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小胡庄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95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D1-8</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11D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钻井阶段</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0E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BC7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C4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B6A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选用低噪声设备、减震、距离衰减、声屏障等措施，降噪20dB</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27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49.3</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7D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10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39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类比（N3点位）</w:t>
                  </w:r>
                </w:p>
              </w:tc>
            </w:tr>
            <w:tr w14:paraId="3286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3F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訾庄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2B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D1-8</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A62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2C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A6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55.2</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74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B99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EF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49.2</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E1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A4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6B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实测（N3点位）</w:t>
                  </w:r>
                </w:p>
              </w:tc>
            </w:tr>
            <w:tr w14:paraId="0F1BA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0F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小胡庄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47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D1-9</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B71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A6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222</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B4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55.0</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E6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A7C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39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49.2</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0F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65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64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类比（N3点位）</w:t>
                  </w:r>
                </w:p>
              </w:tc>
            </w:tr>
            <w:tr w14:paraId="0B03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F3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訾庄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C5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D1-9</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FDF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3A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DB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65.0</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054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776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BD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50.4</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15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10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EDA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实测（N3点位）</w:t>
                  </w:r>
                </w:p>
              </w:tc>
            </w:tr>
            <w:tr w14:paraId="6AD26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B4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訾庄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DA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D1-10</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4AF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40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C6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64.6</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3F7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1A6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3C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50.3</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77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3E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72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r>
            <w:tr w14:paraId="15671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FF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訾庄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F8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D1-11</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AE0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7E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182</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FD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7C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FF0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EA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49.2</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80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FC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A9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r>
            <w:tr w14:paraId="7239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FE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后王庄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88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D1-16</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AE3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5F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132</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78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59.5</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87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844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13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51.3</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87E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21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54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实测（N2点位）</w:t>
                  </w:r>
                </w:p>
              </w:tc>
            </w:tr>
            <w:tr w14:paraId="77581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7A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后王庄</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58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D1-17</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E12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89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8B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71.8</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A1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F57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04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54.4</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4C0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11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E5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r>
            <w:tr w14:paraId="7F4AB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8E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史圩孜</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13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D1-18</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174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FC7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86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69.8</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9F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254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76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58.6</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E8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4a类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AC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7B0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实测（N1点位）</w:t>
                  </w:r>
                </w:p>
              </w:tc>
            </w:tr>
            <w:tr w14:paraId="6228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FC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史圩孜</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57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D1-19</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B3F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A71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4F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56.2</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31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C64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15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56E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4a类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E5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944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r>
            <w:tr w14:paraId="13E5D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86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史圩村</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D3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D1-19</w:t>
                  </w: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18A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07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93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57.6</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8C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w:t>
                  </w: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35C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8E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9E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4a类</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FB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达标</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A30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r>
          </w:tbl>
          <w:p w14:paraId="3DF41929">
            <w:pPr>
              <w:pStyle w:val="31"/>
              <w:adjustRightInd/>
              <w:spacing w:after="0" w:line="360" w:lineRule="auto"/>
              <w:ind w:firstLine="420" w:firstLineChars="200"/>
              <w:jc w:val="both"/>
              <w:rPr>
                <w:rStyle w:val="25"/>
                <w:rFonts w:hint="eastAsia"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highlight w:val="none"/>
                <w:lang w:val="en-US" w:eastAsia="zh-CN"/>
              </w:rPr>
              <w:t>注：</w:t>
            </w:r>
            <w:r>
              <w:rPr>
                <w:rFonts w:ascii="Times New Roman" w:hAnsi="Times New Roman" w:eastAsia="宋体" w:cs="Times New Roman"/>
                <w:b w:val="0"/>
                <w:bCs w:val="0"/>
                <w:color w:val="auto"/>
                <w:sz w:val="21"/>
                <w:szCs w:val="21"/>
              </w:rPr>
              <w:t>本表中</w:t>
            </w:r>
            <w:r>
              <w:rPr>
                <w:rFonts w:hint="eastAsia" w:ascii="Times New Roman" w:hAnsi="Times New Roman" w:eastAsia="宋体" w:cs="Times New Roman"/>
                <w:b w:val="0"/>
                <w:bCs w:val="0"/>
                <w:color w:val="auto"/>
                <w:sz w:val="21"/>
                <w:szCs w:val="21"/>
                <w:lang w:eastAsia="zh-CN"/>
              </w:rPr>
              <w:t>“</w:t>
            </w:r>
            <w:r>
              <w:rPr>
                <w:rFonts w:ascii="Times New Roman" w:hAnsi="Times New Roman" w:eastAsia="宋体" w:cs="Times New Roman"/>
                <w:b w:val="0"/>
                <w:bCs w:val="0"/>
                <w:color w:val="auto"/>
                <w:sz w:val="21"/>
                <w:szCs w:val="21"/>
              </w:rPr>
              <w:t>最近距离</w:t>
            </w:r>
            <w:r>
              <w:rPr>
                <w:rFonts w:hint="eastAsia" w:ascii="Times New Roman" w:hAnsi="Times New Roman" w:eastAsia="宋体" w:cs="Times New Roman"/>
                <w:b w:val="0"/>
                <w:bCs w:val="0"/>
                <w:color w:val="auto"/>
                <w:sz w:val="21"/>
                <w:szCs w:val="21"/>
                <w:lang w:eastAsia="zh-CN"/>
              </w:rPr>
              <w:t>”</w:t>
            </w:r>
            <w:r>
              <w:rPr>
                <w:rFonts w:ascii="Times New Roman" w:hAnsi="Times New Roman" w:eastAsia="宋体" w:cs="Times New Roman"/>
                <w:b w:val="0"/>
                <w:bCs w:val="0"/>
                <w:color w:val="auto"/>
                <w:sz w:val="21"/>
                <w:szCs w:val="21"/>
              </w:rPr>
              <w:t>为</w:t>
            </w:r>
            <w:r>
              <w:rPr>
                <w:rStyle w:val="25"/>
                <w:rFonts w:ascii="Times New Roman" w:hAnsi="Times New Roman" w:eastAsia="宋体" w:cs="Times New Roman"/>
                <w:b w:val="0"/>
                <w:bCs w:val="0"/>
                <w:color w:val="auto"/>
                <w:sz w:val="21"/>
                <w:szCs w:val="21"/>
              </w:rPr>
              <w:t>钻井作业位置（钻机布设位置）至敏感点的直线距离</w:t>
            </w:r>
            <w:r>
              <w:rPr>
                <w:rStyle w:val="25"/>
                <w:rFonts w:hint="eastAsia" w:ascii="Times New Roman" w:hAnsi="Times New Roman" w:eastAsia="宋体" w:cs="Times New Roman"/>
                <w:b w:val="0"/>
                <w:bCs w:val="0"/>
                <w:color w:val="auto"/>
                <w:sz w:val="21"/>
                <w:szCs w:val="21"/>
                <w:lang w:eastAsia="zh-CN"/>
              </w:rPr>
              <w:t>。</w:t>
            </w:r>
          </w:p>
          <w:p w14:paraId="6A132A20">
            <w:pPr>
              <w:pStyle w:val="31"/>
              <w:adjustRightInd/>
              <w:spacing w:after="0" w:line="360" w:lineRule="auto"/>
              <w:ind w:firstLine="480" w:firstLineChars="200"/>
              <w:jc w:val="both"/>
              <w:rPr>
                <w:rFonts w:ascii="Times New Roman" w:hAnsi="Times New Roman"/>
                <w:color w:val="auto"/>
                <w:highlight w:val="none"/>
              </w:rPr>
            </w:pPr>
            <w:r>
              <w:rPr>
                <w:rFonts w:hint="eastAsia" w:ascii="Times New Roman" w:hAnsi="Times New Roman"/>
                <w:color w:val="auto"/>
                <w:highlight w:val="none"/>
              </w:rPr>
              <w:t>④</w:t>
            </w:r>
            <w:r>
              <w:rPr>
                <w:rFonts w:ascii="Times New Roman" w:hAnsi="Times New Roman"/>
                <w:color w:val="auto"/>
                <w:highlight w:val="none"/>
              </w:rPr>
              <w:t>多</w:t>
            </w:r>
            <w:r>
              <w:rPr>
                <w:rFonts w:hint="eastAsia" w:ascii="Times New Roman" w:hAnsi="Times New Roman"/>
                <w:color w:val="auto"/>
                <w:highlight w:val="none"/>
              </w:rPr>
              <w:t>个井场</w:t>
            </w:r>
            <w:r>
              <w:rPr>
                <w:rFonts w:ascii="Times New Roman" w:hAnsi="Times New Roman"/>
                <w:color w:val="auto"/>
                <w:highlight w:val="none"/>
              </w:rPr>
              <w:t>同时作业时的</w:t>
            </w:r>
            <w:r>
              <w:rPr>
                <w:rFonts w:hint="eastAsia" w:ascii="Times New Roman" w:hAnsi="Times New Roman"/>
                <w:color w:val="auto"/>
                <w:highlight w:val="none"/>
              </w:rPr>
              <w:t>敏感点</w:t>
            </w:r>
            <w:r>
              <w:rPr>
                <w:rFonts w:ascii="Times New Roman" w:hAnsi="Times New Roman"/>
                <w:color w:val="auto"/>
                <w:highlight w:val="none"/>
              </w:rPr>
              <w:t>噪声级预测结果见下表</w:t>
            </w:r>
            <w:r>
              <w:rPr>
                <w:rFonts w:hint="eastAsia" w:ascii="Times New Roman" w:hAnsi="Times New Roman"/>
                <w:color w:val="auto"/>
                <w:highlight w:val="none"/>
              </w:rPr>
              <w:t>。</w:t>
            </w:r>
          </w:p>
          <w:p w14:paraId="362CB139">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敏感点周边考虑存在多个井场同时施工，多个井场产生的噪声都会对该敏感点产生影响，由表4-3可知，钻井阶段对敏感点处噪声贡献值大。鉴于各井场场界现状噪声无法达到上述标准限值，要求施工期按照要求规范落实降噪措施。该措施可实现15~30dB（A）的降噪效果，本次评价按2</w:t>
            </w:r>
            <w:r>
              <w:rPr>
                <w:rFonts w:hint="eastAsia" w:ascii="Times New Roman" w:hAnsi="Times New Roman"/>
                <w:color w:val="auto"/>
                <w:sz w:val="24"/>
                <w:highlight w:val="none"/>
                <w:lang w:val="en-US" w:eastAsia="zh-CN"/>
              </w:rPr>
              <w:t>0</w:t>
            </w:r>
            <w:r>
              <w:rPr>
                <w:rFonts w:hint="eastAsia" w:ascii="Times New Roman" w:hAnsi="Times New Roman"/>
                <w:color w:val="auto"/>
                <w:sz w:val="24"/>
                <w:highlight w:val="none"/>
              </w:rPr>
              <w:t>dB（A）取值</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因此，本次预测多个井场钻井阶段同时施工对敏感目标的叠加影响。多个井场同时施工对各临近敏感点声环境影响预测结果见下表。</w:t>
            </w:r>
          </w:p>
          <w:p w14:paraId="16F5F79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4  多个井场同时施工环境敏感目标处昼间噪声预测结果</w:t>
            </w:r>
            <w:r>
              <w:rPr>
                <w:rFonts w:ascii="Times New Roman" w:hAnsi="Times New Roman"/>
                <w:b/>
                <w:color w:val="auto"/>
                <w:szCs w:val="21"/>
                <w:highlight w:val="none"/>
              </w:rPr>
              <w:t xml:space="preserve">  单位：dB（A）</w:t>
            </w:r>
          </w:p>
          <w:tbl>
            <w:tblPr>
              <w:tblStyle w:val="22"/>
              <w:tblW w:w="80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6"/>
              <w:gridCol w:w="1060"/>
              <w:gridCol w:w="1059"/>
              <w:gridCol w:w="670"/>
              <w:gridCol w:w="790"/>
              <w:gridCol w:w="850"/>
              <w:gridCol w:w="670"/>
              <w:gridCol w:w="659"/>
              <w:gridCol w:w="606"/>
              <w:gridCol w:w="427"/>
              <w:gridCol w:w="637"/>
            </w:tblGrid>
            <w:tr w14:paraId="56984912">
              <w:tblPrEx>
                <w:shd w:val="clear" w:color="auto" w:fill="auto"/>
                <w:tblCellMar>
                  <w:top w:w="0" w:type="dxa"/>
                  <w:left w:w="108" w:type="dxa"/>
                  <w:bottom w:w="0" w:type="dxa"/>
                  <w:right w:w="108" w:type="dxa"/>
                </w:tblCellMar>
              </w:tblPrEx>
              <w:trPr>
                <w:trHeight w:val="720" w:hRule="atLeast"/>
                <w:jc w:val="center"/>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AB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保护目标名称</w:t>
                  </w: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8F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预测情景</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E2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预测位置</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30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与井场相对距离（m）</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C8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降噪措施</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46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highlight w:val="none"/>
                      <w:u w:val="none"/>
                    </w:rPr>
                  </w:pPr>
                  <w:r>
                    <w:rPr>
                      <w:rFonts w:hint="eastAsia" w:ascii="Times New Roman" w:hAnsi="Times New Roman" w:eastAsia="宋体" w:cs="Times New Roman"/>
                      <w:b/>
                      <w:bCs/>
                      <w:i w:val="0"/>
                      <w:iCs w:val="0"/>
                      <w:color w:val="auto"/>
                      <w:kern w:val="0"/>
                      <w:sz w:val="21"/>
                      <w:szCs w:val="21"/>
                      <w:highlight w:val="none"/>
                      <w:u w:val="none"/>
                      <w:lang w:val="en-US" w:eastAsia="zh-CN" w:bidi="ar"/>
                    </w:rPr>
                    <w:t>单井施工贡献值</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EB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叠加贡献值</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0E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现状值</w:t>
                  </w: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74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叠加预测值</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25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执行标准</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19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降噪措施后是否达标</w:t>
                  </w:r>
                </w:p>
              </w:tc>
            </w:tr>
            <w:tr w14:paraId="4398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14B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小胡庄（1类区）</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5D7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8#、9#井场同时施工</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C2D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8#井场东北侧居民点</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9C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176</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2A6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选用低噪声设备、减震、距离衰减、声屏障等措施，降噪20dB</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0C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37.0</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B57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39.2</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B2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45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49.4</w:t>
                  </w:r>
                </w:p>
              </w:tc>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2F2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1类</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DF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达标</w:t>
                  </w:r>
                </w:p>
              </w:tc>
            </w:tr>
            <w:tr w14:paraId="40249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ABDF7">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DB1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A685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8F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216</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9202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CE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35.2</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5E0A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5E80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606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AADFD">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DF94">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66F0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81C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訾庄（1类区）</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3E5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8#、9#、10#井场同时施工</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85A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9#井场东北侧居民点</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CD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215</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666C1">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86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35.2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B8B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46.1</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74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49</w:t>
                  </w:r>
                </w:p>
              </w:tc>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19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50.8</w:t>
                  </w:r>
                </w:p>
              </w:tc>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05E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1类</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10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达标</w:t>
                  </w:r>
                </w:p>
              </w:tc>
            </w:tr>
            <w:tr w14:paraId="0CB5D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3CFA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CF147">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5FBB7">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AB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70</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99D9">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D3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45.0</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BA7F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92C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E12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EE9D5">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BF97">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43169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29302">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99F05">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E5A3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22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165</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BA65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3E8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37.5</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C73E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6EA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874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2A2BF">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BF64">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0BE3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EE1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后王庄（1类区）</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0AA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16#、17#井场同时施工</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181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17#井场东侧居民点</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3C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188</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81B4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83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36.4</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85F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51.9</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DF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51</w:t>
                  </w:r>
                </w:p>
              </w:tc>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11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54.5</w:t>
                  </w:r>
                </w:p>
              </w:tc>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C2B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1类</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1E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达标</w:t>
                  </w:r>
                </w:p>
              </w:tc>
            </w:tr>
            <w:tr w14:paraId="61B7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D290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813B4">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5B9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04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32</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ED179">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1F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51.8</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49B2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C11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8D5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i w:val="0"/>
                      <w:iCs w:val="0"/>
                      <w:color w:val="auto"/>
                      <w:sz w:val="21"/>
                      <w:szCs w:val="21"/>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6F5D6">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D5E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r w14:paraId="7C5CA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jc w:val="center"/>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F9F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史圩孜（1类区）</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5DF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18#、19#井场同时施工</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624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18#井场西侧居民点</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2F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40</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596DF">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34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49.8</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C7D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50.0</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C3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58</w:t>
                  </w:r>
                </w:p>
              </w:tc>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6C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58.6</w:t>
                  </w:r>
                </w:p>
              </w:tc>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EEE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4a类</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4E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达标</w:t>
                  </w:r>
                </w:p>
              </w:tc>
            </w:tr>
            <w:tr w14:paraId="5BD66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784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34A5C">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DAE1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DC7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200</w:t>
                  </w: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80B59">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D4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b w:val="0"/>
                      <w:bCs w:val="0"/>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35.9</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9E1C8">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D0C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5FF5">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E8DD">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2C8B">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Times New Roman" w:hAnsi="Times New Roman" w:eastAsia="宋体" w:cs="Times New Roman"/>
                      <w:b w:val="0"/>
                      <w:bCs w:val="0"/>
                      <w:i w:val="0"/>
                      <w:iCs w:val="0"/>
                      <w:color w:val="auto"/>
                      <w:sz w:val="21"/>
                      <w:szCs w:val="21"/>
                      <w:u w:val="none"/>
                    </w:rPr>
                  </w:pPr>
                </w:p>
              </w:tc>
            </w:tr>
          </w:tbl>
          <w:p w14:paraId="0258CBC7">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经预测，史圩孜居民点距离18#井场仅</w:t>
            </w:r>
            <w:r>
              <w:rPr>
                <w:rFonts w:hint="eastAsia" w:ascii="Times New Roman" w:hAnsi="Times New Roman"/>
                <w:color w:val="auto"/>
                <w:sz w:val="24"/>
                <w:highlight w:val="none"/>
                <w:lang w:val="en-US" w:eastAsia="zh-CN"/>
              </w:rPr>
              <w:t>40</w:t>
            </w:r>
            <w:r>
              <w:rPr>
                <w:rFonts w:hint="eastAsia" w:ascii="Times New Roman" w:hAnsi="Times New Roman"/>
                <w:color w:val="auto"/>
                <w:sz w:val="24"/>
                <w:highlight w:val="none"/>
              </w:rPr>
              <w:t>m，项目施工在不采取有效措施时可能会对这些居民产生短时间噪声</w:t>
            </w:r>
            <w:r>
              <w:rPr>
                <w:rFonts w:hint="eastAsia" w:ascii="Times New Roman" w:hAnsi="Times New Roman"/>
                <w:color w:val="auto"/>
                <w:sz w:val="24"/>
                <w:highlight w:val="none"/>
                <w:lang w:val="en-US" w:eastAsia="zh-CN"/>
              </w:rPr>
              <w:t>影响</w:t>
            </w:r>
            <w:r>
              <w:rPr>
                <w:rFonts w:hint="eastAsia" w:ascii="Times New Roman" w:hAnsi="Times New Roman"/>
                <w:color w:val="auto"/>
                <w:sz w:val="24"/>
                <w:highlight w:val="none"/>
              </w:rPr>
              <w:t>，施工单位在施工阶段需系统落实降噪措施，方可实现敏感目标满足标准要求；同时要求施工单位禁止在夜间施工。施工噪声应采取如下治理措施以保证敏感点声环境质量达标：</w:t>
            </w:r>
          </w:p>
          <w:p w14:paraId="246DC640">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lang w:eastAsia="zh-CN"/>
              </w:rPr>
              <w:t>①采用声屏障或者隔声措施：根据预测结果，项目部分井场邻近噪声敏感保护目标，史圩孜居民点距离18#井场仅</w:t>
            </w:r>
            <w:r>
              <w:rPr>
                <w:rFonts w:hint="eastAsia" w:ascii="Times New Roman" w:hAnsi="Times New Roman"/>
                <w:color w:val="auto"/>
                <w:sz w:val="24"/>
                <w:highlight w:val="none"/>
                <w:lang w:val="en-US" w:eastAsia="zh-CN"/>
              </w:rPr>
              <w:t>40</w:t>
            </w:r>
            <w:r>
              <w:rPr>
                <w:rFonts w:hint="eastAsia" w:ascii="Times New Roman" w:hAnsi="Times New Roman"/>
                <w:color w:val="auto"/>
                <w:sz w:val="24"/>
                <w:highlight w:val="none"/>
                <w:lang w:eastAsia="zh-CN"/>
              </w:rPr>
              <w:t>m，</w:t>
            </w:r>
            <w:r>
              <w:rPr>
                <w:rFonts w:hint="eastAsia" w:ascii="Times New Roman" w:hAnsi="Times New Roman"/>
                <w:color w:val="auto"/>
                <w:sz w:val="24"/>
                <w:highlight w:val="none"/>
                <w:lang w:val="en-US" w:eastAsia="zh-CN"/>
              </w:rPr>
              <w:t>后王庄居民点距离</w:t>
            </w:r>
            <w:r>
              <w:rPr>
                <w:rFonts w:hint="eastAsia" w:ascii="Times New Roman" w:hAnsi="Times New Roman"/>
                <w:color w:val="auto"/>
                <w:sz w:val="24"/>
                <w:highlight w:val="none"/>
                <w:lang w:eastAsia="zh-CN"/>
              </w:rPr>
              <w:t>17#井场最近</w:t>
            </w:r>
            <w:r>
              <w:rPr>
                <w:rFonts w:hint="eastAsia" w:ascii="Times New Roman" w:hAnsi="Times New Roman"/>
                <w:color w:val="auto"/>
                <w:sz w:val="24"/>
                <w:highlight w:val="none"/>
                <w:lang w:val="en-US" w:eastAsia="zh-CN"/>
              </w:rPr>
              <w:t>距离仅32</w:t>
            </w:r>
            <w:r>
              <w:rPr>
                <w:rFonts w:hint="eastAsia" w:ascii="Times New Roman" w:hAnsi="Times New Roman"/>
                <w:color w:val="auto"/>
                <w:sz w:val="24"/>
                <w:highlight w:val="none"/>
                <w:lang w:eastAsia="zh-CN"/>
              </w:rPr>
              <w:t>m，昼间施工考虑采取移动式隔声屏障（采用双层彩钢板+5cm吸声棉复合结构，高度≥2.5m）</w:t>
            </w:r>
            <w:r>
              <w:rPr>
                <w:rFonts w:hint="eastAsia" w:ascii="Times New Roman" w:hAnsi="Times New Roman"/>
                <w:color w:val="auto"/>
                <w:sz w:val="24"/>
                <w:highlight w:val="none"/>
              </w:rPr>
              <w:t>，其隔声降噪措施降低噪声1</w:t>
            </w:r>
            <w:r>
              <w:rPr>
                <w:rFonts w:hint="eastAsia" w:ascii="Times New Roman" w:hAnsi="Times New Roman"/>
                <w:color w:val="auto"/>
                <w:sz w:val="24"/>
                <w:highlight w:val="none"/>
                <w:lang w:val="en-US" w:eastAsia="zh-CN"/>
              </w:rPr>
              <w:t>0</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20</w:t>
            </w:r>
            <w:r>
              <w:rPr>
                <w:rFonts w:hint="eastAsia" w:ascii="Times New Roman" w:hAnsi="Times New Roman"/>
                <w:color w:val="auto"/>
                <w:sz w:val="24"/>
                <w:highlight w:val="none"/>
              </w:rPr>
              <w:t>dB（A），本次评价选取</w:t>
            </w:r>
            <w:r>
              <w:rPr>
                <w:rFonts w:hint="eastAsia" w:ascii="Times New Roman" w:hAnsi="Times New Roman"/>
                <w:color w:val="auto"/>
                <w:sz w:val="24"/>
                <w:highlight w:val="none"/>
                <w:lang w:val="en-US" w:eastAsia="zh-CN"/>
              </w:rPr>
              <w:t>10</w:t>
            </w:r>
            <w:r>
              <w:rPr>
                <w:rFonts w:hint="eastAsia" w:ascii="Times New Roman" w:hAnsi="Times New Roman"/>
                <w:color w:val="auto"/>
                <w:sz w:val="24"/>
                <w:highlight w:val="none"/>
              </w:rPr>
              <w:t>dB（A），泥浆泵设置隔音罩等措施，降噪效果需≥20dB，最大程度</w:t>
            </w:r>
            <w:r>
              <w:rPr>
                <w:rFonts w:hint="eastAsia" w:ascii="Times New Roman" w:hAnsi="Times New Roman"/>
                <w:color w:val="auto"/>
                <w:sz w:val="24"/>
                <w:highlight w:val="none"/>
                <w:lang w:eastAsia="zh-CN"/>
              </w:rPr>
              <w:t>地</w:t>
            </w:r>
            <w:r>
              <w:rPr>
                <w:rFonts w:hint="eastAsia" w:ascii="Times New Roman" w:hAnsi="Times New Roman"/>
                <w:color w:val="auto"/>
                <w:sz w:val="24"/>
                <w:highlight w:val="none"/>
              </w:rPr>
              <w:t>减少对声环境敏感点的不利影响</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采取措施后，敏感点噪声均达标。同时要求施工单位禁止在夜间施工。</w:t>
            </w:r>
          </w:p>
          <w:p w14:paraId="58F027CD">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②施工过程中使用的主要机械设备应为低噪声机械设备，较传统设备降噪6dB（A）；设备底座加装10mm厚橡胶减震垫，削弱结构传声降噪3dB（A）；同时设专人每周对设备进行润滑保养，避免机械摩擦产生额外噪声，稳定降噪2dB（A），该项措施合计降噪11dB（A）。并</w:t>
            </w:r>
            <w:r>
              <w:rPr>
                <w:rFonts w:hint="eastAsia" w:ascii="Times New Roman" w:hAnsi="Times New Roman"/>
                <w:color w:val="auto"/>
                <w:sz w:val="24"/>
                <w:highlight w:val="none"/>
                <w:lang w:val="en-US" w:eastAsia="zh-CN"/>
              </w:rPr>
              <w:t>安排</w:t>
            </w:r>
            <w:r>
              <w:rPr>
                <w:rFonts w:hint="eastAsia" w:ascii="Times New Roman" w:hAnsi="Times New Roman"/>
                <w:color w:val="auto"/>
                <w:sz w:val="24"/>
                <w:highlight w:val="none"/>
              </w:rPr>
              <w:t>负责</w:t>
            </w:r>
            <w:r>
              <w:rPr>
                <w:rFonts w:hint="eastAsia" w:ascii="Times New Roman" w:hAnsi="Times New Roman"/>
                <w:color w:val="auto"/>
                <w:sz w:val="24"/>
                <w:highlight w:val="none"/>
                <w:lang w:val="en-US" w:eastAsia="zh-CN"/>
              </w:rPr>
              <w:t>人</w:t>
            </w:r>
            <w:r>
              <w:rPr>
                <w:rFonts w:hint="eastAsia" w:ascii="Times New Roman" w:hAnsi="Times New Roman"/>
                <w:color w:val="auto"/>
                <w:sz w:val="24"/>
                <w:highlight w:val="none"/>
              </w:rPr>
              <w:t>对现场工作人员进行培训，严格按操作规范使用各类机械。</w:t>
            </w:r>
          </w:p>
          <w:p w14:paraId="649853AB">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③采用距离防护措施：在不影响施工流程的前提下，将钻机、钻井泵等高噪声设备集中布置于井场远离史圩孜的一侧</w:t>
            </w:r>
            <w:r>
              <w:rPr>
                <w:rFonts w:hint="eastAsia" w:ascii="Times New Roman" w:hAnsi="Times New Roman"/>
                <w:color w:val="auto"/>
                <w:sz w:val="24"/>
                <w:highlight w:val="none"/>
                <w:lang w:eastAsia="zh-CN"/>
              </w:rPr>
              <w:t>。</w:t>
            </w:r>
          </w:p>
          <w:p w14:paraId="67618697">
            <w:pPr>
              <w:pStyle w:val="5"/>
              <w:spacing w:after="0" w:line="360" w:lineRule="auto"/>
              <w:ind w:firstLine="480"/>
              <w:rPr>
                <w:rFonts w:hint="eastAsia" w:ascii="Times New Roman" w:hAnsi="Times New Roman"/>
                <w:color w:val="auto"/>
                <w:sz w:val="24"/>
                <w:highlight w:val="none"/>
              </w:rPr>
            </w:pPr>
            <w:r>
              <w:rPr>
                <w:rFonts w:hint="eastAsia" w:ascii="Times New Roman" w:hAnsi="Times New Roman"/>
                <w:color w:val="auto"/>
                <w:sz w:val="24"/>
                <w:highlight w:val="none"/>
              </w:rPr>
              <w:t>④优化车辆通行管理：施工场地车辆出入地点避开居民点集中区域，设置专用出入口；运输车辆进出现场时低速行驶（≤5km/h）、全程禁鸣，减少车辆行驶噪声干扰，可实现2dB（A）降噪。通过现场设置标识牌、安排专人引导即可落实，无额外成本投入，易落地执行。</w:t>
            </w:r>
          </w:p>
          <w:p w14:paraId="5FDF672E">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⑤建设管理部门应加强对施工场地的噪声管理，施工企业也应对施工噪声进行自律，文明施工，避免因施工噪声产生纠纷。</w:t>
            </w:r>
          </w:p>
          <w:p w14:paraId="0E2C4C2E">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⑥加强施工期噪声监测，发现施工噪声超标并对附近居民点产生影响时必须首先停止施工，并应及时采取有效的噪声污染防治措施，在验证可做到噪声达标排放的前提下方可继续施工。</w:t>
            </w:r>
          </w:p>
          <w:p w14:paraId="52785661">
            <w:pPr>
              <w:pStyle w:val="5"/>
              <w:spacing w:after="0" w:line="360" w:lineRule="auto"/>
              <w:ind w:firstLine="482"/>
              <w:rPr>
                <w:rFonts w:ascii="Times New Roman" w:hAnsi="Times New Roman"/>
                <w:b/>
                <w:bCs/>
                <w:color w:val="auto"/>
                <w:sz w:val="24"/>
                <w:highlight w:val="none"/>
              </w:rPr>
            </w:pPr>
            <w:r>
              <w:rPr>
                <w:rFonts w:ascii="Times New Roman" w:hAnsi="Times New Roman"/>
                <w:b/>
                <w:bCs/>
                <w:color w:val="auto"/>
                <w:sz w:val="24"/>
                <w:highlight w:val="none"/>
              </w:rPr>
              <w:t>4、施工固体废物处理处置</w:t>
            </w:r>
          </w:p>
          <w:p w14:paraId="68B2CFCF">
            <w:pPr>
              <w:pStyle w:val="5"/>
              <w:spacing w:after="0" w:line="360" w:lineRule="auto"/>
              <w:ind w:firstLine="480"/>
              <w:rPr>
                <w:rFonts w:ascii="Times New Roman" w:hAnsi="Times New Roman"/>
                <w:bCs/>
                <w:color w:val="auto"/>
                <w:sz w:val="24"/>
                <w:highlight w:val="none"/>
              </w:rPr>
            </w:pPr>
            <w:r>
              <w:rPr>
                <w:rFonts w:ascii="Times New Roman" w:hAnsi="Times New Roman"/>
                <w:bCs/>
                <w:color w:val="auto"/>
                <w:sz w:val="24"/>
                <w:highlight w:val="none"/>
              </w:rPr>
              <w:t>本项目产生的固体废物主要为一般固废、生活垃圾和危险废物。</w:t>
            </w:r>
          </w:p>
          <w:p w14:paraId="4E5023AE">
            <w:pPr>
              <w:pStyle w:val="3"/>
              <w:spacing w:after="0" w:line="360" w:lineRule="auto"/>
              <w:ind w:left="0" w:firstLine="480" w:firstLineChars="200"/>
              <w:rPr>
                <w:rFonts w:ascii="Times New Roman" w:hAnsi="Times New Roman" w:cs="Times New Roman"/>
                <w:b w:val="0"/>
                <w:color w:val="auto"/>
                <w:highlight w:val="none"/>
                <w:lang w:val="en-US" w:bidi="ar-SA"/>
              </w:rPr>
            </w:pPr>
            <w:r>
              <w:rPr>
                <w:rFonts w:ascii="Times New Roman" w:hAnsi="Times New Roman" w:cs="Times New Roman"/>
                <w:b w:val="0"/>
                <w:color w:val="auto"/>
                <w:highlight w:val="none"/>
                <w:lang w:val="en-US" w:bidi="ar-SA"/>
              </w:rPr>
              <w:t>（1）一般固废</w:t>
            </w:r>
          </w:p>
          <w:p w14:paraId="00DDF2D9">
            <w:pPr>
              <w:pStyle w:val="5"/>
              <w:spacing w:after="0" w:line="360" w:lineRule="auto"/>
              <w:ind w:firstLine="480"/>
              <w:rPr>
                <w:rFonts w:ascii="Times New Roman" w:hAnsi="Times New Roman"/>
                <w:bCs/>
                <w:color w:val="auto"/>
                <w:sz w:val="24"/>
                <w:highlight w:val="none"/>
              </w:rPr>
            </w:pPr>
            <w:r>
              <w:rPr>
                <w:rFonts w:ascii="Times New Roman" w:hAnsi="Times New Roman"/>
                <w:bCs/>
                <w:color w:val="auto"/>
                <w:sz w:val="24"/>
                <w:highlight w:val="none"/>
              </w:rPr>
              <w:t>一般固废主要为钻井</w:t>
            </w:r>
            <w:r>
              <w:rPr>
                <w:rFonts w:hint="eastAsia" w:ascii="Times New Roman" w:hAnsi="Times New Roman"/>
                <w:bCs/>
                <w:color w:val="auto"/>
                <w:sz w:val="24"/>
                <w:highlight w:val="none"/>
              </w:rPr>
              <w:t>泥浆</w:t>
            </w:r>
            <w:r>
              <w:rPr>
                <w:rFonts w:ascii="Times New Roman" w:hAnsi="Times New Roman"/>
                <w:bCs/>
                <w:color w:val="auto"/>
                <w:sz w:val="24"/>
                <w:highlight w:val="none"/>
              </w:rPr>
              <w:t>、</w:t>
            </w:r>
            <w:r>
              <w:rPr>
                <w:rFonts w:hint="eastAsia" w:ascii="Times New Roman" w:hAnsi="Times New Roman"/>
                <w:bCs/>
                <w:color w:val="auto"/>
                <w:sz w:val="24"/>
                <w:highlight w:val="none"/>
              </w:rPr>
              <w:t>岩芯碎屑</w:t>
            </w:r>
            <w:r>
              <w:rPr>
                <w:rFonts w:ascii="Times New Roman" w:hAnsi="Times New Roman"/>
                <w:bCs/>
                <w:color w:val="auto"/>
                <w:sz w:val="24"/>
                <w:highlight w:val="none"/>
              </w:rPr>
              <w:t>和废包装材料。</w:t>
            </w:r>
          </w:p>
          <w:p w14:paraId="6E844379">
            <w:pPr>
              <w:pStyle w:val="5"/>
              <w:spacing w:after="0" w:line="360" w:lineRule="auto"/>
              <w:ind w:firstLine="480"/>
              <w:rPr>
                <w:rFonts w:ascii="Times New Roman" w:hAnsi="Times New Roman"/>
                <w:bCs/>
                <w:color w:val="auto"/>
                <w:sz w:val="24"/>
                <w:highlight w:val="none"/>
              </w:rPr>
            </w:pPr>
            <w:r>
              <w:rPr>
                <w:rFonts w:ascii="宋体" w:hAnsi="宋体"/>
                <w:bCs/>
                <w:color w:val="auto"/>
                <w:sz w:val="24"/>
                <w:highlight w:val="none"/>
              </w:rPr>
              <w:t>①</w:t>
            </w:r>
            <w:r>
              <w:rPr>
                <w:rFonts w:hint="eastAsia" w:ascii="Times New Roman" w:hAnsi="宋体"/>
                <w:bCs/>
                <w:color w:val="auto"/>
                <w:sz w:val="24"/>
                <w:highlight w:val="none"/>
              </w:rPr>
              <w:t>钻井泥浆</w:t>
            </w:r>
          </w:p>
          <w:p w14:paraId="1B3E6FE6">
            <w:pPr>
              <w:pStyle w:val="5"/>
              <w:spacing w:after="0" w:line="360" w:lineRule="auto"/>
              <w:ind w:firstLine="480"/>
              <w:rPr>
                <w:rFonts w:ascii="Times New Roman" w:hAnsi="Times New Roman"/>
                <w:bCs/>
                <w:color w:val="auto"/>
                <w:sz w:val="24"/>
                <w:highlight w:val="none"/>
              </w:rPr>
            </w:pPr>
            <w:r>
              <w:rPr>
                <w:rFonts w:hint="eastAsia" w:ascii="Times New Roman" w:hAnsi="宋体"/>
                <w:bCs/>
                <w:color w:val="auto"/>
                <w:sz w:val="24"/>
                <w:highlight w:val="none"/>
              </w:rPr>
              <w:t>钻井泥浆</w:t>
            </w:r>
            <w:r>
              <w:rPr>
                <w:rFonts w:ascii="Times New Roman" w:hAnsi="宋体"/>
                <w:bCs/>
                <w:color w:val="auto"/>
                <w:sz w:val="24"/>
                <w:highlight w:val="none"/>
              </w:rPr>
              <w:t>主要来源于被更换的不适于钻井工程和地质要求的泥浆，因部分性能不合格而被排放的钻井泥浆。项目钻井泥浆为水基泥浆，根据设计资料及类比同类钻井行业，项目产生的</w:t>
            </w:r>
            <w:r>
              <w:rPr>
                <w:rFonts w:hint="eastAsia" w:ascii="Times New Roman" w:hAnsi="宋体"/>
                <w:bCs/>
                <w:color w:val="auto"/>
                <w:sz w:val="24"/>
                <w:highlight w:val="none"/>
              </w:rPr>
              <w:t>钻井泥浆总计</w:t>
            </w:r>
            <w:r>
              <w:rPr>
                <w:rFonts w:ascii="Times New Roman" w:hAnsi="宋体"/>
                <w:bCs/>
                <w:color w:val="auto"/>
                <w:sz w:val="24"/>
                <w:highlight w:val="none"/>
              </w:rPr>
              <w:t>约为</w:t>
            </w:r>
            <w:r>
              <w:rPr>
                <w:rFonts w:hint="eastAsia" w:ascii="Times New Roman" w:hAnsi="宋体"/>
                <w:bCs/>
                <w:color w:val="auto"/>
                <w:sz w:val="24"/>
                <w:highlight w:val="none"/>
                <w:lang w:val="en-US" w:eastAsia="zh-CN"/>
              </w:rPr>
              <w:t>361</w:t>
            </w:r>
            <w:r>
              <w:rPr>
                <w:rFonts w:ascii="Times New Roman" w:hAnsi="Times New Roman"/>
                <w:bCs/>
                <w:color w:val="auto"/>
                <w:sz w:val="24"/>
                <w:highlight w:val="none"/>
              </w:rPr>
              <w:t>m</w:t>
            </w:r>
            <w:r>
              <w:rPr>
                <w:rFonts w:ascii="Times New Roman" w:hAnsi="Times New Roman"/>
                <w:bCs/>
                <w:color w:val="auto"/>
                <w:sz w:val="24"/>
                <w:highlight w:val="none"/>
                <w:vertAlign w:val="superscript"/>
              </w:rPr>
              <w:t>3</w:t>
            </w:r>
            <w:r>
              <w:rPr>
                <w:rFonts w:ascii="Times New Roman" w:hAnsi="宋体"/>
                <w:bCs/>
                <w:color w:val="auto"/>
                <w:sz w:val="24"/>
                <w:highlight w:val="none"/>
              </w:rPr>
              <w:t>，暂存于</w:t>
            </w:r>
            <w:r>
              <w:rPr>
                <w:rFonts w:hint="eastAsia" w:ascii="Times New Roman" w:hAnsi="宋体"/>
                <w:bCs/>
                <w:color w:val="auto"/>
                <w:sz w:val="24"/>
                <w:highlight w:val="none"/>
              </w:rPr>
              <w:t>泥浆池</w:t>
            </w:r>
            <w:r>
              <w:rPr>
                <w:rFonts w:ascii="Times New Roman" w:hAnsi="宋体"/>
                <w:bCs/>
                <w:color w:val="auto"/>
                <w:sz w:val="24"/>
                <w:highlight w:val="none"/>
              </w:rPr>
              <w:t>中，待钻井结束后投加泥浆固化剂</w:t>
            </w:r>
            <w:r>
              <w:rPr>
                <w:rFonts w:hint="eastAsia" w:ascii="Times New Roman" w:hAnsi="宋体"/>
                <w:bCs/>
                <w:color w:val="auto"/>
                <w:sz w:val="24"/>
                <w:highlight w:val="none"/>
              </w:rPr>
              <w:t>固化后</w:t>
            </w:r>
            <w:r>
              <w:rPr>
                <w:rFonts w:hint="eastAsia" w:ascii="Times New Roman" w:hAnsi="宋体"/>
                <w:bCs/>
                <w:color w:val="auto"/>
                <w:sz w:val="24"/>
                <w:highlight w:val="none"/>
                <w:lang w:eastAsia="zh-CN"/>
              </w:rPr>
              <w:t>，</w:t>
            </w:r>
            <w:r>
              <w:rPr>
                <w:rFonts w:hint="eastAsia" w:ascii="Times New Roman" w:hAnsi="宋体"/>
                <w:bCs/>
                <w:color w:val="auto"/>
                <w:sz w:val="24"/>
                <w:highlight w:val="none"/>
              </w:rPr>
              <w:t>交由建材公司回收综合利用</w:t>
            </w:r>
            <w:r>
              <w:rPr>
                <w:rFonts w:ascii="Times New Roman" w:hAnsi="宋体"/>
                <w:bCs/>
                <w:color w:val="auto"/>
                <w:sz w:val="24"/>
                <w:highlight w:val="none"/>
              </w:rPr>
              <w:t>。</w:t>
            </w:r>
          </w:p>
          <w:p w14:paraId="4FEEE5EB">
            <w:pPr>
              <w:pStyle w:val="5"/>
              <w:spacing w:after="0" w:line="360" w:lineRule="auto"/>
              <w:ind w:firstLine="480"/>
              <w:rPr>
                <w:rFonts w:ascii="Times New Roman" w:hAnsi="Times New Roman"/>
                <w:bCs/>
                <w:color w:val="auto"/>
                <w:sz w:val="24"/>
                <w:highlight w:val="none"/>
              </w:rPr>
            </w:pPr>
            <w:r>
              <w:rPr>
                <w:rFonts w:ascii="宋体" w:hAnsi="宋体"/>
                <w:bCs/>
                <w:color w:val="auto"/>
                <w:sz w:val="24"/>
                <w:highlight w:val="none"/>
              </w:rPr>
              <w:t>②</w:t>
            </w:r>
            <w:r>
              <w:rPr>
                <w:rFonts w:hint="eastAsia" w:ascii="Times New Roman" w:hAnsi="宋体"/>
                <w:bCs/>
                <w:color w:val="auto"/>
                <w:sz w:val="24"/>
                <w:highlight w:val="none"/>
              </w:rPr>
              <w:t>岩芯碎屑</w:t>
            </w:r>
          </w:p>
          <w:p w14:paraId="08E87814">
            <w:pPr>
              <w:pStyle w:val="5"/>
              <w:spacing w:after="0" w:line="360" w:lineRule="auto"/>
              <w:ind w:firstLine="480"/>
              <w:rPr>
                <w:rFonts w:ascii="Times New Roman" w:hAnsi="Times New Roman"/>
                <w:bCs/>
                <w:color w:val="auto"/>
                <w:sz w:val="24"/>
                <w:highlight w:val="none"/>
              </w:rPr>
            </w:pPr>
            <w:r>
              <w:rPr>
                <w:rFonts w:hint="eastAsia" w:ascii="Times New Roman" w:hAnsi="宋体"/>
                <w:bCs/>
                <w:color w:val="auto"/>
                <w:sz w:val="24"/>
                <w:highlight w:val="none"/>
              </w:rPr>
              <w:t>岩芯碎屑</w:t>
            </w:r>
            <w:r>
              <w:rPr>
                <w:rFonts w:ascii="Times New Roman" w:hAnsi="宋体"/>
                <w:bCs/>
                <w:color w:val="auto"/>
                <w:sz w:val="24"/>
                <w:highlight w:val="none"/>
              </w:rPr>
              <w:t>是在钻井过程中钻头切屑地层岩石而产生的碎屑，并通过钻井泥浆带出至地面，主要成分为岩石、土壤及钻井泥浆液，其产生量与井眼长度、平均井径有关。根据本项目各开次钻头尺寸、钻深核算</w:t>
            </w:r>
            <w:r>
              <w:rPr>
                <w:rFonts w:hint="eastAsia" w:ascii="Times New Roman" w:hAnsi="宋体"/>
                <w:bCs/>
                <w:color w:val="auto"/>
                <w:sz w:val="24"/>
                <w:highlight w:val="none"/>
              </w:rPr>
              <w:t>岩芯碎屑</w:t>
            </w:r>
            <w:r>
              <w:rPr>
                <w:rFonts w:ascii="Times New Roman" w:hAnsi="宋体"/>
                <w:bCs/>
                <w:color w:val="auto"/>
                <w:sz w:val="24"/>
                <w:highlight w:val="none"/>
              </w:rPr>
              <w:t>产生量及企业提供资料估算，</w:t>
            </w:r>
            <w:r>
              <w:rPr>
                <w:rFonts w:hint="eastAsia" w:ascii="Times New Roman" w:hAnsi="宋体"/>
                <w:bCs/>
                <w:color w:val="auto"/>
                <w:sz w:val="24"/>
                <w:highlight w:val="none"/>
              </w:rPr>
              <w:t>本项目产生的岩芯碎屑总计</w:t>
            </w:r>
            <w:r>
              <w:rPr>
                <w:rFonts w:ascii="Times New Roman" w:hAnsi="宋体"/>
                <w:bCs/>
                <w:color w:val="auto"/>
                <w:sz w:val="24"/>
                <w:highlight w:val="none"/>
              </w:rPr>
              <w:t>约为</w:t>
            </w:r>
            <w:r>
              <w:rPr>
                <w:rFonts w:hint="eastAsia" w:ascii="Times New Roman" w:hAnsi="宋体"/>
                <w:bCs/>
                <w:color w:val="auto"/>
                <w:sz w:val="24"/>
                <w:highlight w:val="none"/>
                <w:lang w:val="en-US" w:eastAsia="zh-CN"/>
              </w:rPr>
              <w:t>19</w:t>
            </w:r>
            <w:r>
              <w:rPr>
                <w:rFonts w:hint="eastAsia" w:ascii="Times New Roman" w:hAnsi="Times New Roman"/>
                <w:bCs/>
                <w:color w:val="auto"/>
                <w:sz w:val="24"/>
                <w:highlight w:val="none"/>
              </w:rPr>
              <w:t>t，</w:t>
            </w:r>
            <w:r>
              <w:rPr>
                <w:rFonts w:ascii="Times New Roman" w:hAnsi="宋体"/>
                <w:bCs/>
                <w:color w:val="auto"/>
                <w:sz w:val="24"/>
                <w:highlight w:val="none"/>
              </w:rPr>
              <w:t>产生的</w:t>
            </w:r>
            <w:r>
              <w:rPr>
                <w:rFonts w:hint="eastAsia" w:ascii="Times New Roman" w:hAnsi="宋体"/>
                <w:bCs/>
                <w:color w:val="auto"/>
                <w:sz w:val="24"/>
                <w:highlight w:val="none"/>
              </w:rPr>
              <w:t>岩芯碎屑集中暂存于</w:t>
            </w:r>
            <w:r>
              <w:rPr>
                <w:rFonts w:hint="eastAsia" w:ascii="Times New Roman" w:hAnsi="宋体"/>
                <w:bCs/>
                <w:color w:val="auto"/>
                <w:sz w:val="24"/>
                <w:highlight w:val="none"/>
                <w:lang w:eastAsia="zh-CN"/>
              </w:rPr>
              <w:t>岩芯堆放区</w:t>
            </w:r>
            <w:r>
              <w:rPr>
                <w:rFonts w:ascii="Times New Roman" w:hAnsi="宋体"/>
                <w:bCs/>
                <w:color w:val="auto"/>
                <w:sz w:val="24"/>
                <w:highlight w:val="none"/>
              </w:rPr>
              <w:t>。由于本项目使用水基泥浆钻，该阶段产生的岩屑未被列入《国家危险废物名录》（</w:t>
            </w:r>
            <w:r>
              <w:rPr>
                <w:rFonts w:ascii="Times New Roman" w:hAnsi="Times New Roman"/>
                <w:bCs/>
                <w:color w:val="auto"/>
                <w:sz w:val="24"/>
                <w:highlight w:val="none"/>
              </w:rPr>
              <w:t>202</w:t>
            </w:r>
            <w:r>
              <w:rPr>
                <w:rFonts w:hint="eastAsia" w:ascii="Times New Roman" w:hAnsi="Times New Roman"/>
                <w:bCs/>
                <w:color w:val="auto"/>
                <w:sz w:val="24"/>
                <w:highlight w:val="none"/>
              </w:rPr>
              <w:t>5</w:t>
            </w:r>
            <w:r>
              <w:rPr>
                <w:rFonts w:ascii="Times New Roman" w:hAnsi="宋体"/>
                <w:bCs/>
                <w:color w:val="auto"/>
                <w:sz w:val="24"/>
                <w:highlight w:val="none"/>
              </w:rPr>
              <w:t>年版）中规定的危险废物，</w:t>
            </w:r>
            <w:r>
              <w:rPr>
                <w:rFonts w:ascii="Times New Roman" w:hAnsi="宋体"/>
                <w:color w:val="auto"/>
                <w:sz w:val="24"/>
                <w:highlight w:val="none"/>
              </w:rPr>
              <w:t>本项目不以矿物油为连续相配制钻井泥浆，项目采用纤维素等进行钻井工作，</w:t>
            </w:r>
            <w:r>
              <w:rPr>
                <w:rFonts w:hint="eastAsia" w:ascii="Times New Roman" w:hAnsi="宋体"/>
                <w:bCs/>
                <w:color w:val="auto"/>
                <w:sz w:val="24"/>
                <w:highlight w:val="none"/>
              </w:rPr>
              <w:t>岩芯碎屑</w:t>
            </w:r>
            <w:r>
              <w:rPr>
                <w:rFonts w:ascii="Times New Roman" w:hAnsi="宋体"/>
                <w:color w:val="auto"/>
                <w:sz w:val="24"/>
                <w:highlight w:val="none"/>
              </w:rPr>
              <w:t>属于一般固废，</w:t>
            </w:r>
            <w:r>
              <w:rPr>
                <w:rFonts w:hint="eastAsia" w:ascii="Times New Roman" w:hAnsi="宋体"/>
                <w:color w:val="auto"/>
                <w:sz w:val="24"/>
                <w:highlight w:val="none"/>
              </w:rPr>
              <w:t>委托建材单位回收处置</w:t>
            </w:r>
            <w:r>
              <w:rPr>
                <w:rFonts w:ascii="Times New Roman" w:hAnsi="宋体"/>
                <w:bCs/>
                <w:color w:val="auto"/>
                <w:sz w:val="24"/>
                <w:highlight w:val="none"/>
              </w:rPr>
              <w:t>。</w:t>
            </w:r>
          </w:p>
          <w:p w14:paraId="69C9D680">
            <w:pPr>
              <w:pStyle w:val="5"/>
              <w:spacing w:after="0" w:line="360" w:lineRule="auto"/>
              <w:ind w:firstLine="480"/>
              <w:rPr>
                <w:rFonts w:ascii="Times New Roman" w:hAnsi="Times New Roman"/>
                <w:color w:val="auto"/>
                <w:sz w:val="24"/>
                <w:highlight w:val="none"/>
              </w:rPr>
            </w:pPr>
            <w:r>
              <w:rPr>
                <w:rFonts w:ascii="宋体" w:hAnsi="宋体"/>
                <w:color w:val="auto"/>
                <w:sz w:val="24"/>
                <w:highlight w:val="none"/>
              </w:rPr>
              <w:t>③</w:t>
            </w:r>
            <w:r>
              <w:rPr>
                <w:rFonts w:ascii="Times New Roman" w:hAnsi="宋体"/>
                <w:color w:val="auto"/>
                <w:sz w:val="24"/>
                <w:highlight w:val="none"/>
              </w:rPr>
              <w:t>废包装材料</w:t>
            </w:r>
          </w:p>
          <w:p w14:paraId="1558F8C6">
            <w:pPr>
              <w:pStyle w:val="5"/>
              <w:spacing w:after="0" w:line="360" w:lineRule="auto"/>
              <w:ind w:firstLine="480"/>
              <w:rPr>
                <w:rFonts w:ascii="Times New Roman" w:hAnsi="Times New Roman"/>
                <w:color w:val="auto"/>
                <w:sz w:val="24"/>
                <w:highlight w:val="none"/>
              </w:rPr>
            </w:pPr>
            <w:r>
              <w:rPr>
                <w:rFonts w:ascii="Times New Roman" w:hAnsi="宋体"/>
                <w:color w:val="auto"/>
                <w:sz w:val="24"/>
                <w:highlight w:val="none"/>
              </w:rPr>
              <w:t>本项目在钻井过程中会使用一定量的原辅材料，根据企业提供资料，废包装袋产生量约为</w:t>
            </w:r>
            <w:r>
              <w:rPr>
                <w:rFonts w:hint="eastAsia" w:ascii="Times New Roman" w:hAnsi="Times New Roman"/>
                <w:color w:val="auto"/>
                <w:sz w:val="24"/>
                <w:highlight w:val="none"/>
                <w:lang w:val="en-US" w:eastAsia="zh-CN"/>
              </w:rPr>
              <w:t>1.0t</w:t>
            </w:r>
            <w:r>
              <w:rPr>
                <w:rFonts w:ascii="Times New Roman" w:hAnsi="Times New Roman"/>
                <w:color w:val="auto"/>
                <w:sz w:val="24"/>
                <w:highlight w:val="none"/>
              </w:rPr>
              <w:t>/a</w:t>
            </w:r>
            <w:r>
              <w:rPr>
                <w:rFonts w:ascii="Times New Roman" w:hAnsi="宋体"/>
                <w:color w:val="auto"/>
                <w:sz w:val="24"/>
                <w:highlight w:val="none"/>
              </w:rPr>
              <w:t>，集中收集后外售处理。</w:t>
            </w:r>
          </w:p>
          <w:p w14:paraId="7C0D379E">
            <w:pPr>
              <w:pStyle w:val="5"/>
              <w:spacing w:after="0" w:line="360" w:lineRule="auto"/>
              <w:ind w:firstLine="480"/>
              <w:rPr>
                <w:rFonts w:ascii="Times New Roman" w:hAnsi="Times New Roman"/>
                <w:color w:val="auto"/>
                <w:sz w:val="24"/>
                <w:highlight w:val="none"/>
              </w:rPr>
            </w:pPr>
            <w:r>
              <w:rPr>
                <w:rFonts w:ascii="Times New Roman" w:hAnsi="Times New Roman"/>
                <w:color w:val="auto"/>
                <w:sz w:val="24"/>
                <w:highlight w:val="none"/>
              </w:rPr>
              <w:t>（2）生活垃圾</w:t>
            </w:r>
          </w:p>
          <w:p w14:paraId="0A9AC691">
            <w:pPr>
              <w:pStyle w:val="5"/>
              <w:spacing w:after="0" w:line="360" w:lineRule="auto"/>
              <w:ind w:firstLine="480"/>
              <w:rPr>
                <w:rFonts w:ascii="Times New Roman" w:hAnsi="Times New Roman"/>
                <w:bCs/>
                <w:color w:val="auto"/>
                <w:sz w:val="24"/>
                <w:highlight w:val="none"/>
              </w:rPr>
            </w:pPr>
            <w:r>
              <w:rPr>
                <w:rFonts w:ascii="Times New Roman" w:hAnsi="Times New Roman"/>
                <w:color w:val="auto"/>
                <w:sz w:val="24"/>
                <w:highlight w:val="none"/>
              </w:rPr>
              <w:t>生活垃圾主要来自员工办公。本项目劳动定员</w:t>
            </w:r>
            <w:r>
              <w:rPr>
                <w:rFonts w:hint="eastAsia" w:ascii="Times New Roman" w:hAnsi="Times New Roman"/>
                <w:color w:val="auto"/>
                <w:sz w:val="24"/>
                <w:highlight w:val="none"/>
                <w:lang w:val="en-US" w:eastAsia="zh-CN"/>
              </w:rPr>
              <w:t>76</w:t>
            </w:r>
            <w:r>
              <w:rPr>
                <w:rFonts w:ascii="Times New Roman" w:hAnsi="Times New Roman"/>
                <w:color w:val="auto"/>
                <w:sz w:val="24"/>
                <w:highlight w:val="none"/>
              </w:rPr>
              <w:t>人，租赁周边农村民房，用于员工食宿，施工现场不设施工营地，生活垃圾按0.5kg/人·d计算，则生活垃圾的产生量为</w:t>
            </w:r>
            <w:r>
              <w:rPr>
                <w:rFonts w:hint="eastAsia" w:ascii="Times New Roman" w:hAnsi="Times New Roman"/>
                <w:color w:val="auto"/>
                <w:sz w:val="24"/>
                <w:highlight w:val="none"/>
                <w:lang w:val="en-US" w:eastAsia="zh-CN"/>
              </w:rPr>
              <w:t>38</w:t>
            </w:r>
            <w:r>
              <w:rPr>
                <w:rFonts w:ascii="Times New Roman" w:hAnsi="Times New Roman"/>
                <w:color w:val="auto"/>
                <w:sz w:val="24"/>
                <w:highlight w:val="none"/>
              </w:rPr>
              <w:t>kg/d</w:t>
            </w:r>
            <w:r>
              <w:rPr>
                <w:rFonts w:hint="eastAsia" w:ascii="Times New Roman" w:hAnsi="Times New Roman"/>
                <w:color w:val="auto"/>
                <w:sz w:val="24"/>
                <w:highlight w:val="none"/>
              </w:rPr>
              <w:t>，年产生量为</w:t>
            </w:r>
            <w:r>
              <w:rPr>
                <w:rFonts w:hint="eastAsia" w:ascii="Times New Roman" w:hAnsi="Times New Roman"/>
                <w:color w:val="auto"/>
                <w:sz w:val="24"/>
                <w:highlight w:val="none"/>
                <w:lang w:val="en-US" w:eastAsia="zh-CN"/>
              </w:rPr>
              <w:t>10.3</w:t>
            </w:r>
            <w:r>
              <w:rPr>
                <w:rFonts w:hint="eastAsia" w:ascii="Times New Roman" w:hAnsi="Times New Roman"/>
                <w:color w:val="auto"/>
                <w:sz w:val="24"/>
                <w:highlight w:val="none"/>
              </w:rPr>
              <w:t>t/a</w:t>
            </w:r>
            <w:r>
              <w:rPr>
                <w:rFonts w:ascii="Times New Roman" w:hAnsi="Times New Roman"/>
                <w:color w:val="auto"/>
                <w:sz w:val="24"/>
                <w:highlight w:val="none"/>
              </w:rPr>
              <w:t>。产生的生活垃圾利用周边农村农户现有的设施进行收集，由环卫部门统一清运处理。</w:t>
            </w:r>
          </w:p>
          <w:p w14:paraId="0EB0794D">
            <w:pPr>
              <w:pStyle w:val="5"/>
              <w:spacing w:after="0" w:line="360" w:lineRule="auto"/>
              <w:ind w:firstLine="480"/>
              <w:rPr>
                <w:rFonts w:ascii="Times New Roman" w:hAnsi="Times New Roman"/>
                <w:bCs/>
                <w:color w:val="auto"/>
                <w:sz w:val="24"/>
                <w:highlight w:val="none"/>
              </w:rPr>
            </w:pPr>
            <w:r>
              <w:rPr>
                <w:rFonts w:ascii="Times New Roman" w:hAnsi="Times New Roman"/>
                <w:color w:val="auto"/>
                <w:sz w:val="24"/>
                <w:highlight w:val="none"/>
              </w:rPr>
              <w:t>（3）</w:t>
            </w:r>
            <w:r>
              <w:rPr>
                <w:rFonts w:ascii="Times New Roman" w:hAnsi="Times New Roman"/>
                <w:bCs/>
                <w:color w:val="auto"/>
                <w:sz w:val="24"/>
                <w:highlight w:val="none"/>
              </w:rPr>
              <w:t>危险废物</w:t>
            </w:r>
          </w:p>
          <w:p w14:paraId="4E721003">
            <w:pPr>
              <w:pStyle w:val="5"/>
              <w:spacing w:after="0" w:line="360" w:lineRule="auto"/>
              <w:ind w:firstLine="480"/>
              <w:rPr>
                <w:rFonts w:ascii="Times New Roman" w:hAnsi="Times New Roman"/>
                <w:bCs/>
                <w:color w:val="auto"/>
                <w:sz w:val="24"/>
                <w:highlight w:val="none"/>
              </w:rPr>
            </w:pPr>
            <w:r>
              <w:rPr>
                <w:rFonts w:ascii="Times New Roman" w:hAnsi="Times New Roman"/>
                <w:bCs/>
                <w:color w:val="auto"/>
                <w:sz w:val="24"/>
                <w:highlight w:val="none"/>
              </w:rPr>
              <w:t>危险废物主要为废润滑油和废润滑油桶、废含油抹布和废含油手套。</w:t>
            </w:r>
          </w:p>
          <w:p w14:paraId="1CFCEE50">
            <w:pPr>
              <w:pStyle w:val="5"/>
              <w:spacing w:after="0" w:line="360" w:lineRule="auto"/>
              <w:ind w:firstLine="480"/>
              <w:rPr>
                <w:rFonts w:ascii="Times New Roman" w:hAnsi="Times New Roman"/>
                <w:bCs/>
                <w:color w:val="auto"/>
                <w:sz w:val="24"/>
                <w:highlight w:val="none"/>
              </w:rPr>
            </w:pPr>
            <w:r>
              <w:rPr>
                <w:rFonts w:ascii="宋体" w:hAnsi="Times New Roman"/>
                <w:bCs/>
                <w:color w:val="auto"/>
                <w:sz w:val="24"/>
                <w:highlight w:val="none"/>
              </w:rPr>
              <w:t>①</w:t>
            </w:r>
            <w:r>
              <w:rPr>
                <w:rFonts w:ascii="Times New Roman" w:hAnsi="Times New Roman"/>
                <w:bCs/>
                <w:color w:val="auto"/>
                <w:sz w:val="24"/>
                <w:highlight w:val="none"/>
              </w:rPr>
              <w:t>废润滑油和废润滑油桶</w:t>
            </w:r>
          </w:p>
          <w:p w14:paraId="05418135">
            <w:pPr>
              <w:pStyle w:val="5"/>
              <w:spacing w:after="0" w:line="360" w:lineRule="auto"/>
              <w:ind w:firstLine="480"/>
              <w:rPr>
                <w:rFonts w:ascii="Times New Roman" w:hAnsi="Times New Roman"/>
                <w:color w:val="auto"/>
                <w:sz w:val="24"/>
                <w:highlight w:val="none"/>
              </w:rPr>
            </w:pPr>
            <w:r>
              <w:rPr>
                <w:rFonts w:ascii="Times New Roman" w:hAnsi="Times New Roman"/>
                <w:bCs/>
                <w:color w:val="auto"/>
                <w:sz w:val="24"/>
                <w:highlight w:val="none"/>
              </w:rPr>
              <w:t>钻井期间，机械设备运行及维护过程中会产生废润滑油和废润滑油桶。类比同类项目，废润滑油产生量约为0.</w:t>
            </w:r>
            <w:r>
              <w:rPr>
                <w:rFonts w:hint="eastAsia" w:ascii="Times New Roman" w:hAnsi="Times New Roman"/>
                <w:bCs/>
                <w:color w:val="auto"/>
                <w:sz w:val="24"/>
                <w:highlight w:val="none"/>
                <w:lang w:val="en-US" w:eastAsia="zh-CN"/>
              </w:rPr>
              <w:t>19</w:t>
            </w:r>
            <w:r>
              <w:rPr>
                <w:rFonts w:ascii="Times New Roman" w:hAnsi="Times New Roman"/>
                <w:bCs/>
                <w:color w:val="auto"/>
                <w:sz w:val="24"/>
                <w:highlight w:val="none"/>
              </w:rPr>
              <w:t>t/a，废润滑油桶产生量约为0.</w:t>
            </w:r>
            <w:r>
              <w:rPr>
                <w:rFonts w:hint="eastAsia" w:ascii="Times New Roman" w:hAnsi="Times New Roman"/>
                <w:bCs/>
                <w:color w:val="auto"/>
                <w:sz w:val="24"/>
                <w:highlight w:val="none"/>
                <w:lang w:val="en-US" w:eastAsia="zh-CN"/>
              </w:rPr>
              <w:t>1</w:t>
            </w:r>
            <w:r>
              <w:rPr>
                <w:rFonts w:ascii="Times New Roman" w:hAnsi="Times New Roman"/>
                <w:bCs/>
                <w:color w:val="auto"/>
                <w:sz w:val="24"/>
                <w:highlight w:val="none"/>
              </w:rPr>
              <w:t>t/a。根据《国家危险废物名录》（202</w:t>
            </w:r>
            <w:r>
              <w:rPr>
                <w:rFonts w:hint="eastAsia" w:ascii="Times New Roman" w:hAnsi="Times New Roman"/>
                <w:bCs/>
                <w:color w:val="auto"/>
                <w:sz w:val="24"/>
                <w:highlight w:val="none"/>
              </w:rPr>
              <w:t>5</w:t>
            </w:r>
            <w:r>
              <w:rPr>
                <w:rFonts w:ascii="Times New Roman" w:hAnsi="Times New Roman"/>
                <w:bCs/>
                <w:color w:val="auto"/>
                <w:sz w:val="24"/>
                <w:highlight w:val="none"/>
              </w:rPr>
              <w:t>年版）可知，废润滑油属于危险废物，废物类别编号为HW08，废物代码为900-214-08；废润滑油桶属于危险废物，废物类别编号为HW</w:t>
            </w:r>
            <w:r>
              <w:rPr>
                <w:rFonts w:hint="eastAsia" w:ascii="Times New Roman" w:hAnsi="Times New Roman"/>
                <w:bCs/>
                <w:color w:val="auto"/>
                <w:sz w:val="24"/>
                <w:highlight w:val="none"/>
              </w:rPr>
              <w:t>08</w:t>
            </w:r>
            <w:r>
              <w:rPr>
                <w:rFonts w:ascii="Times New Roman" w:hAnsi="Times New Roman"/>
                <w:bCs/>
                <w:color w:val="auto"/>
                <w:sz w:val="24"/>
                <w:highlight w:val="none"/>
              </w:rPr>
              <w:t>，废物代码为</w:t>
            </w:r>
            <w:r>
              <w:rPr>
                <w:rFonts w:hint="eastAsia" w:ascii="Times New Roman" w:hAnsi="Times New Roman"/>
                <w:bCs/>
                <w:color w:val="auto"/>
                <w:sz w:val="24"/>
                <w:highlight w:val="none"/>
              </w:rPr>
              <w:t>900-249-08</w:t>
            </w:r>
            <w:r>
              <w:rPr>
                <w:rFonts w:ascii="Times New Roman" w:hAnsi="Times New Roman"/>
                <w:bCs/>
                <w:color w:val="auto"/>
                <w:sz w:val="24"/>
                <w:highlight w:val="none"/>
              </w:rPr>
              <w:t>。废润滑油、废润滑油桶需集中收集，</w:t>
            </w:r>
            <w:r>
              <w:rPr>
                <w:rFonts w:hint="eastAsia" w:ascii="Times New Roman" w:hAnsi="Times New Roman"/>
                <w:bCs/>
                <w:color w:val="auto"/>
                <w:sz w:val="24"/>
                <w:highlight w:val="none"/>
              </w:rPr>
              <w:t>暂存于各井场内危废暂存间暂存</w:t>
            </w:r>
            <w:r>
              <w:rPr>
                <w:rFonts w:ascii="Times New Roman" w:hAnsi="Times New Roman"/>
                <w:color w:val="auto"/>
                <w:sz w:val="24"/>
                <w:highlight w:val="none"/>
              </w:rPr>
              <w:t>，交由有资质单位处置。</w:t>
            </w:r>
          </w:p>
          <w:p w14:paraId="3BE42119">
            <w:pPr>
              <w:pStyle w:val="5"/>
              <w:spacing w:after="0" w:line="360" w:lineRule="auto"/>
              <w:ind w:firstLine="480"/>
              <w:rPr>
                <w:rFonts w:ascii="Times New Roman" w:hAnsi="Times New Roman"/>
                <w:color w:val="auto"/>
                <w:sz w:val="24"/>
                <w:highlight w:val="none"/>
              </w:rPr>
            </w:pPr>
            <w:r>
              <w:rPr>
                <w:rFonts w:ascii="Times New Roman" w:hAnsi="Times New Roman"/>
                <w:color w:val="auto"/>
                <w:sz w:val="24"/>
                <w:highlight w:val="none"/>
              </w:rPr>
              <w:t>②废含油抹布和废含油手套</w:t>
            </w:r>
          </w:p>
          <w:p w14:paraId="5BB8C758">
            <w:pPr>
              <w:pStyle w:val="5"/>
              <w:spacing w:after="0" w:line="360" w:lineRule="auto"/>
              <w:ind w:firstLine="480"/>
              <w:rPr>
                <w:rFonts w:ascii="Times New Roman" w:hAnsi="Times New Roman"/>
                <w:color w:val="auto"/>
                <w:sz w:val="24"/>
                <w:highlight w:val="none"/>
              </w:rPr>
            </w:pPr>
            <w:r>
              <w:rPr>
                <w:rFonts w:ascii="Times New Roman" w:hAnsi="Times New Roman"/>
                <w:color w:val="auto"/>
                <w:sz w:val="24"/>
                <w:highlight w:val="none"/>
              </w:rPr>
              <w:t>钻井期间，机械设备运转及维护过程中会产生废含油抹布和废含油手套，根据企业提供资料，废含油抹布和废含油手套产生量约为0.</w:t>
            </w:r>
            <w:r>
              <w:rPr>
                <w:rFonts w:hint="eastAsia" w:ascii="Times New Roman" w:hAnsi="Times New Roman"/>
                <w:color w:val="auto"/>
                <w:sz w:val="24"/>
                <w:highlight w:val="none"/>
                <w:lang w:val="en-US" w:eastAsia="zh-CN"/>
              </w:rPr>
              <w:t>1</w:t>
            </w:r>
            <w:r>
              <w:rPr>
                <w:rFonts w:ascii="Times New Roman" w:hAnsi="Times New Roman"/>
                <w:color w:val="auto"/>
                <w:sz w:val="24"/>
                <w:highlight w:val="none"/>
              </w:rPr>
              <w:t>t/a。根据《国家危险废物名录》（202</w:t>
            </w:r>
            <w:r>
              <w:rPr>
                <w:rFonts w:hint="eastAsia" w:ascii="Times New Roman" w:hAnsi="Times New Roman"/>
                <w:color w:val="auto"/>
                <w:sz w:val="24"/>
                <w:highlight w:val="none"/>
              </w:rPr>
              <w:t>5</w:t>
            </w:r>
            <w:r>
              <w:rPr>
                <w:rFonts w:ascii="Times New Roman" w:hAnsi="Times New Roman"/>
                <w:color w:val="auto"/>
                <w:sz w:val="24"/>
                <w:highlight w:val="none"/>
              </w:rPr>
              <w:t>年版）可知，废含油抹布和废含油手套属于危险废物，废物类别编号为HW49，废物代码为900-041-49，</w:t>
            </w:r>
            <w:r>
              <w:rPr>
                <w:rFonts w:hint="eastAsia" w:ascii="Times New Roman" w:hAnsi="Times New Roman"/>
                <w:bCs/>
                <w:color w:val="auto"/>
                <w:sz w:val="24"/>
                <w:highlight w:val="none"/>
              </w:rPr>
              <w:t>暂存于各井场内危废暂存间暂存</w:t>
            </w:r>
            <w:r>
              <w:rPr>
                <w:rFonts w:ascii="Times New Roman" w:hAnsi="Times New Roman"/>
                <w:color w:val="auto"/>
                <w:sz w:val="24"/>
                <w:highlight w:val="none"/>
              </w:rPr>
              <w:t>，交由有资质单位处置。</w:t>
            </w:r>
          </w:p>
          <w:p w14:paraId="0EEF0799">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5</w:t>
            </w:r>
            <w:r>
              <w:rPr>
                <w:rFonts w:ascii="Times New Roman" w:hAnsi="Times New Roman"/>
                <w:b/>
                <w:color w:val="auto"/>
                <w:szCs w:val="21"/>
                <w:highlight w:val="none"/>
              </w:rPr>
              <w:t>固体废弃物产生情况一览表</w:t>
            </w:r>
          </w:p>
          <w:tbl>
            <w:tblPr>
              <w:tblStyle w:val="22"/>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17"/>
              <w:gridCol w:w="1153"/>
              <w:gridCol w:w="1274"/>
              <w:gridCol w:w="852"/>
              <w:gridCol w:w="952"/>
              <w:gridCol w:w="1860"/>
            </w:tblGrid>
            <w:tr w14:paraId="3452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1D64D254">
                  <w:pPr>
                    <w:spacing w:after="0"/>
                    <w:jc w:val="center"/>
                    <w:rPr>
                      <w:rFonts w:ascii="Times New Roman" w:hAnsi="Times New Roman"/>
                      <w:color w:val="auto"/>
                      <w:szCs w:val="21"/>
                      <w:highlight w:val="none"/>
                    </w:rPr>
                  </w:pPr>
                  <w:r>
                    <w:rPr>
                      <w:rFonts w:ascii="Times New Roman" w:hAnsi="Times New Roman"/>
                      <w:color w:val="auto"/>
                      <w:szCs w:val="21"/>
                      <w:highlight w:val="none"/>
                    </w:rPr>
                    <w:t>序号</w:t>
                  </w:r>
                </w:p>
              </w:tc>
              <w:tc>
                <w:tcPr>
                  <w:tcW w:w="1117" w:type="dxa"/>
                  <w:noWrap/>
                  <w:vAlign w:val="center"/>
                </w:tcPr>
                <w:p w14:paraId="69F1B610">
                  <w:pPr>
                    <w:spacing w:after="0"/>
                    <w:jc w:val="center"/>
                    <w:rPr>
                      <w:rFonts w:ascii="Times New Roman" w:hAnsi="Times New Roman"/>
                      <w:color w:val="auto"/>
                      <w:szCs w:val="21"/>
                      <w:highlight w:val="none"/>
                    </w:rPr>
                  </w:pPr>
                  <w:r>
                    <w:rPr>
                      <w:rFonts w:ascii="Times New Roman" w:hAnsi="Times New Roman"/>
                      <w:color w:val="auto"/>
                      <w:szCs w:val="21"/>
                      <w:highlight w:val="none"/>
                    </w:rPr>
                    <w:t>污染物</w:t>
                  </w:r>
                </w:p>
              </w:tc>
              <w:tc>
                <w:tcPr>
                  <w:tcW w:w="1153" w:type="dxa"/>
                  <w:noWrap/>
                  <w:vAlign w:val="center"/>
                </w:tcPr>
                <w:p w14:paraId="47DC481C">
                  <w:pPr>
                    <w:spacing w:after="0"/>
                    <w:jc w:val="center"/>
                    <w:rPr>
                      <w:rFonts w:ascii="Times New Roman" w:hAnsi="Times New Roman"/>
                      <w:color w:val="auto"/>
                      <w:szCs w:val="21"/>
                      <w:highlight w:val="none"/>
                    </w:rPr>
                  </w:pPr>
                  <w:r>
                    <w:rPr>
                      <w:rFonts w:ascii="Times New Roman" w:hAnsi="Times New Roman"/>
                      <w:color w:val="auto"/>
                      <w:szCs w:val="21"/>
                      <w:highlight w:val="none"/>
                    </w:rPr>
                    <w:t>废物类别</w:t>
                  </w:r>
                </w:p>
              </w:tc>
              <w:tc>
                <w:tcPr>
                  <w:tcW w:w="1274" w:type="dxa"/>
                  <w:noWrap/>
                  <w:vAlign w:val="center"/>
                </w:tcPr>
                <w:p w14:paraId="6E74EC42">
                  <w:pPr>
                    <w:spacing w:after="0"/>
                    <w:jc w:val="center"/>
                    <w:rPr>
                      <w:rFonts w:ascii="Times New Roman" w:hAnsi="Times New Roman"/>
                      <w:color w:val="auto"/>
                      <w:szCs w:val="21"/>
                      <w:highlight w:val="none"/>
                    </w:rPr>
                  </w:pPr>
                  <w:r>
                    <w:rPr>
                      <w:rFonts w:ascii="Times New Roman" w:hAnsi="Times New Roman"/>
                      <w:color w:val="auto"/>
                      <w:szCs w:val="21"/>
                      <w:highlight w:val="none"/>
                    </w:rPr>
                    <w:t>固废编号/编号</w:t>
                  </w:r>
                </w:p>
              </w:tc>
              <w:tc>
                <w:tcPr>
                  <w:tcW w:w="852" w:type="dxa"/>
                  <w:noWrap/>
                  <w:vAlign w:val="center"/>
                </w:tcPr>
                <w:p w14:paraId="5A2E7F4D">
                  <w:pPr>
                    <w:spacing w:after="0"/>
                    <w:jc w:val="center"/>
                    <w:rPr>
                      <w:rFonts w:ascii="Times New Roman" w:hAnsi="Times New Roman"/>
                      <w:color w:val="auto"/>
                      <w:szCs w:val="21"/>
                      <w:highlight w:val="none"/>
                    </w:rPr>
                  </w:pPr>
                  <w:r>
                    <w:rPr>
                      <w:rFonts w:ascii="Times New Roman" w:hAnsi="Times New Roman"/>
                      <w:color w:val="auto"/>
                      <w:szCs w:val="21"/>
                      <w:highlight w:val="none"/>
                    </w:rPr>
                    <w:t>来源</w:t>
                  </w:r>
                </w:p>
              </w:tc>
              <w:tc>
                <w:tcPr>
                  <w:tcW w:w="952" w:type="dxa"/>
                  <w:noWrap/>
                  <w:vAlign w:val="center"/>
                </w:tcPr>
                <w:p w14:paraId="440574F9">
                  <w:pPr>
                    <w:spacing w:after="0"/>
                    <w:jc w:val="center"/>
                    <w:rPr>
                      <w:rFonts w:ascii="Times New Roman" w:hAnsi="Times New Roman"/>
                      <w:color w:val="auto"/>
                      <w:szCs w:val="21"/>
                      <w:highlight w:val="none"/>
                    </w:rPr>
                  </w:pPr>
                  <w:r>
                    <w:rPr>
                      <w:rFonts w:ascii="Times New Roman" w:hAnsi="Times New Roman"/>
                      <w:color w:val="auto"/>
                      <w:szCs w:val="21"/>
                      <w:highlight w:val="none"/>
                    </w:rPr>
                    <w:t>产生量</w:t>
                  </w:r>
                </w:p>
              </w:tc>
              <w:tc>
                <w:tcPr>
                  <w:tcW w:w="1860" w:type="dxa"/>
                  <w:noWrap/>
                  <w:vAlign w:val="center"/>
                </w:tcPr>
                <w:p w14:paraId="27DC9425">
                  <w:pPr>
                    <w:spacing w:after="0"/>
                    <w:jc w:val="center"/>
                    <w:rPr>
                      <w:rFonts w:ascii="Times New Roman" w:hAnsi="Times New Roman"/>
                      <w:color w:val="auto"/>
                      <w:szCs w:val="21"/>
                      <w:highlight w:val="none"/>
                    </w:rPr>
                  </w:pPr>
                  <w:r>
                    <w:rPr>
                      <w:rFonts w:ascii="Times New Roman" w:hAnsi="Times New Roman"/>
                      <w:color w:val="auto"/>
                      <w:szCs w:val="21"/>
                      <w:highlight w:val="none"/>
                    </w:rPr>
                    <w:t>处理措施</w:t>
                  </w:r>
                </w:p>
              </w:tc>
            </w:tr>
            <w:tr w14:paraId="66C6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269DCBE9">
                  <w:pPr>
                    <w:spacing w:after="0"/>
                    <w:jc w:val="center"/>
                    <w:rPr>
                      <w:rFonts w:ascii="Times New Roman" w:hAnsi="Times New Roman"/>
                      <w:color w:val="auto"/>
                      <w:szCs w:val="21"/>
                      <w:highlight w:val="none"/>
                    </w:rPr>
                  </w:pPr>
                  <w:r>
                    <w:rPr>
                      <w:rFonts w:ascii="Times New Roman" w:hAnsi="Times New Roman"/>
                      <w:color w:val="auto"/>
                      <w:szCs w:val="21"/>
                      <w:highlight w:val="none"/>
                    </w:rPr>
                    <w:t>1</w:t>
                  </w:r>
                </w:p>
              </w:tc>
              <w:tc>
                <w:tcPr>
                  <w:tcW w:w="1117" w:type="dxa"/>
                  <w:noWrap/>
                  <w:vAlign w:val="center"/>
                </w:tcPr>
                <w:p w14:paraId="773A83EA">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钻井泥浆</w:t>
                  </w:r>
                </w:p>
              </w:tc>
              <w:tc>
                <w:tcPr>
                  <w:tcW w:w="1153" w:type="dxa"/>
                  <w:noWrap/>
                  <w:vAlign w:val="center"/>
                </w:tcPr>
                <w:p w14:paraId="48487BC3">
                  <w:pPr>
                    <w:spacing w:after="0"/>
                    <w:jc w:val="center"/>
                    <w:rPr>
                      <w:rFonts w:hint="default" w:ascii="Times New Roman" w:hAnsi="Times New Roman" w:eastAsia="宋体"/>
                      <w:color w:val="auto"/>
                      <w:szCs w:val="21"/>
                      <w:highlight w:val="none"/>
                      <w:lang w:val="en-US" w:eastAsia="zh-CN"/>
                    </w:rPr>
                  </w:pPr>
                  <w:r>
                    <w:rPr>
                      <w:rFonts w:ascii="Times New Roman" w:hAnsi="Times New Roman"/>
                      <w:color w:val="auto"/>
                      <w:szCs w:val="21"/>
                      <w:highlight w:val="none"/>
                    </w:rPr>
                    <w:t>一般固废</w:t>
                  </w:r>
                </w:p>
              </w:tc>
              <w:tc>
                <w:tcPr>
                  <w:tcW w:w="1274" w:type="dxa"/>
                  <w:noWrap/>
                  <w:vAlign w:val="center"/>
                </w:tcPr>
                <w:p w14:paraId="66AA4658">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SW12，</w:t>
                  </w:r>
                  <w:r>
                    <w:rPr>
                      <w:rFonts w:ascii="Times New Roman" w:hAnsi="Times New Roman"/>
                      <w:color w:val="auto"/>
                      <w:szCs w:val="21"/>
                      <w:highlight w:val="none"/>
                    </w:rPr>
                    <w:t>072-001-S12</w:t>
                  </w:r>
                </w:p>
              </w:tc>
              <w:tc>
                <w:tcPr>
                  <w:tcW w:w="852" w:type="dxa"/>
                  <w:noWrap/>
                  <w:vAlign w:val="center"/>
                </w:tcPr>
                <w:p w14:paraId="38B09753">
                  <w:pPr>
                    <w:spacing w:after="0"/>
                    <w:jc w:val="center"/>
                    <w:rPr>
                      <w:rFonts w:ascii="Times New Roman" w:hAnsi="Times New Roman"/>
                      <w:color w:val="auto"/>
                      <w:szCs w:val="21"/>
                      <w:highlight w:val="none"/>
                    </w:rPr>
                  </w:pPr>
                  <w:r>
                    <w:rPr>
                      <w:rFonts w:ascii="Times New Roman" w:hAnsi="Times New Roman"/>
                      <w:color w:val="auto"/>
                      <w:szCs w:val="21"/>
                      <w:highlight w:val="none"/>
                    </w:rPr>
                    <w:t>钻井</w:t>
                  </w:r>
                </w:p>
              </w:tc>
              <w:tc>
                <w:tcPr>
                  <w:tcW w:w="952" w:type="dxa"/>
                  <w:noWrap/>
                  <w:vAlign w:val="center"/>
                </w:tcPr>
                <w:p w14:paraId="44F58DE8">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361</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p>
              </w:tc>
              <w:tc>
                <w:tcPr>
                  <w:tcW w:w="1860" w:type="dxa"/>
                  <w:noWrap/>
                  <w:vAlign w:val="center"/>
                </w:tcPr>
                <w:p w14:paraId="3D1853B9">
                  <w:pPr>
                    <w:spacing w:after="0"/>
                    <w:jc w:val="center"/>
                    <w:rPr>
                      <w:rFonts w:hint="default" w:ascii="Times New Roman" w:hAnsi="Times New Roman"/>
                      <w:color w:val="auto"/>
                      <w:szCs w:val="21"/>
                      <w:highlight w:val="none"/>
                      <w:lang w:val="en-US"/>
                    </w:rPr>
                  </w:pPr>
                  <w:r>
                    <w:rPr>
                      <w:rFonts w:ascii="Times New Roman" w:hAnsi="Times New Roman"/>
                      <w:color w:val="auto"/>
                      <w:szCs w:val="21"/>
                      <w:highlight w:val="none"/>
                    </w:rPr>
                    <w:t>暂存于</w:t>
                  </w:r>
                  <w:r>
                    <w:rPr>
                      <w:rFonts w:hint="eastAsia" w:ascii="Times New Roman" w:hAnsi="Times New Roman"/>
                      <w:color w:val="auto"/>
                      <w:szCs w:val="21"/>
                      <w:highlight w:val="none"/>
                    </w:rPr>
                    <w:t>泥浆池</w:t>
                  </w:r>
                  <w:r>
                    <w:rPr>
                      <w:rFonts w:ascii="Times New Roman" w:hAnsi="Times New Roman"/>
                      <w:color w:val="auto"/>
                      <w:szCs w:val="21"/>
                      <w:highlight w:val="none"/>
                    </w:rPr>
                    <w:t>中，待钻井结束后投加泥浆固化剂后</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交由建材公司回收综合利用</w:t>
                  </w:r>
                </w:p>
              </w:tc>
            </w:tr>
            <w:tr w14:paraId="6D90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0CD2C27C">
                  <w:pPr>
                    <w:spacing w:after="0"/>
                    <w:jc w:val="center"/>
                    <w:rPr>
                      <w:rFonts w:ascii="Times New Roman" w:hAnsi="Times New Roman"/>
                      <w:color w:val="auto"/>
                      <w:szCs w:val="21"/>
                      <w:highlight w:val="none"/>
                    </w:rPr>
                  </w:pPr>
                  <w:r>
                    <w:rPr>
                      <w:rFonts w:ascii="Times New Roman" w:hAnsi="Times New Roman"/>
                      <w:color w:val="auto"/>
                      <w:szCs w:val="21"/>
                      <w:highlight w:val="none"/>
                    </w:rPr>
                    <w:t>2</w:t>
                  </w:r>
                </w:p>
              </w:tc>
              <w:tc>
                <w:tcPr>
                  <w:tcW w:w="1117" w:type="dxa"/>
                  <w:noWrap/>
                  <w:vAlign w:val="center"/>
                </w:tcPr>
                <w:p w14:paraId="360571A3">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岩芯碎屑</w:t>
                  </w:r>
                </w:p>
              </w:tc>
              <w:tc>
                <w:tcPr>
                  <w:tcW w:w="1153" w:type="dxa"/>
                  <w:noWrap/>
                  <w:vAlign w:val="center"/>
                </w:tcPr>
                <w:p w14:paraId="073A5194">
                  <w:pPr>
                    <w:spacing w:after="0"/>
                    <w:jc w:val="center"/>
                    <w:rPr>
                      <w:rFonts w:hint="default" w:ascii="Times New Roman" w:hAnsi="Times New Roman" w:eastAsia="宋体"/>
                      <w:color w:val="auto"/>
                      <w:szCs w:val="21"/>
                      <w:highlight w:val="none"/>
                      <w:lang w:val="en-US" w:eastAsia="zh-CN"/>
                    </w:rPr>
                  </w:pPr>
                  <w:r>
                    <w:rPr>
                      <w:rFonts w:ascii="Times New Roman" w:hAnsi="Times New Roman"/>
                      <w:color w:val="auto"/>
                      <w:szCs w:val="21"/>
                      <w:highlight w:val="none"/>
                    </w:rPr>
                    <w:t>一般固废</w:t>
                  </w:r>
                </w:p>
              </w:tc>
              <w:tc>
                <w:tcPr>
                  <w:tcW w:w="1274" w:type="dxa"/>
                  <w:noWrap/>
                  <w:vAlign w:val="center"/>
                </w:tcPr>
                <w:p w14:paraId="2673EFBB">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SW12，</w:t>
                  </w:r>
                  <w:r>
                    <w:rPr>
                      <w:rFonts w:ascii="Times New Roman" w:hAnsi="Times New Roman"/>
                      <w:bCs/>
                      <w:color w:val="auto"/>
                      <w:szCs w:val="21"/>
                      <w:highlight w:val="none"/>
                    </w:rPr>
                    <w:t>072-001-S12</w:t>
                  </w:r>
                </w:p>
              </w:tc>
              <w:tc>
                <w:tcPr>
                  <w:tcW w:w="852" w:type="dxa"/>
                  <w:noWrap/>
                  <w:vAlign w:val="center"/>
                </w:tcPr>
                <w:p w14:paraId="2074AFCC">
                  <w:pPr>
                    <w:spacing w:after="0"/>
                    <w:jc w:val="center"/>
                    <w:rPr>
                      <w:rFonts w:ascii="Times New Roman" w:hAnsi="Times New Roman"/>
                      <w:color w:val="auto"/>
                      <w:szCs w:val="21"/>
                      <w:highlight w:val="none"/>
                    </w:rPr>
                  </w:pPr>
                  <w:r>
                    <w:rPr>
                      <w:rFonts w:ascii="Times New Roman" w:hAnsi="Times New Roman"/>
                      <w:color w:val="auto"/>
                      <w:szCs w:val="21"/>
                      <w:highlight w:val="none"/>
                    </w:rPr>
                    <w:t>钻井</w:t>
                  </w:r>
                </w:p>
              </w:tc>
              <w:tc>
                <w:tcPr>
                  <w:tcW w:w="952" w:type="dxa"/>
                  <w:noWrap/>
                  <w:vAlign w:val="center"/>
                </w:tcPr>
                <w:p w14:paraId="11574B3C">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19</w:t>
                  </w:r>
                  <w:r>
                    <w:rPr>
                      <w:rFonts w:hint="eastAsia" w:ascii="Times New Roman" w:hAnsi="Times New Roman"/>
                      <w:color w:val="auto"/>
                      <w:szCs w:val="21"/>
                      <w:highlight w:val="none"/>
                    </w:rPr>
                    <w:t>t/a</w:t>
                  </w:r>
                </w:p>
              </w:tc>
              <w:tc>
                <w:tcPr>
                  <w:tcW w:w="1860" w:type="dxa"/>
                  <w:noWrap/>
                  <w:vAlign w:val="center"/>
                </w:tcPr>
                <w:p w14:paraId="336DD65B">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集中收集后委托建材单位回收处置</w:t>
                  </w:r>
                </w:p>
              </w:tc>
            </w:tr>
            <w:tr w14:paraId="3503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250C08DB">
                  <w:pPr>
                    <w:spacing w:after="0"/>
                    <w:jc w:val="center"/>
                    <w:rPr>
                      <w:rFonts w:ascii="Times New Roman" w:hAnsi="Times New Roman"/>
                      <w:color w:val="auto"/>
                      <w:szCs w:val="21"/>
                      <w:highlight w:val="none"/>
                    </w:rPr>
                  </w:pPr>
                  <w:r>
                    <w:rPr>
                      <w:rFonts w:ascii="Times New Roman" w:hAnsi="Times New Roman"/>
                      <w:color w:val="auto"/>
                      <w:szCs w:val="21"/>
                      <w:highlight w:val="none"/>
                    </w:rPr>
                    <w:t>3</w:t>
                  </w:r>
                </w:p>
              </w:tc>
              <w:tc>
                <w:tcPr>
                  <w:tcW w:w="1117" w:type="dxa"/>
                  <w:noWrap/>
                  <w:vAlign w:val="center"/>
                </w:tcPr>
                <w:p w14:paraId="75F55EED">
                  <w:pPr>
                    <w:spacing w:after="0"/>
                    <w:jc w:val="center"/>
                    <w:rPr>
                      <w:rFonts w:ascii="Times New Roman" w:hAnsi="Times New Roman"/>
                      <w:color w:val="auto"/>
                      <w:szCs w:val="21"/>
                      <w:highlight w:val="none"/>
                    </w:rPr>
                  </w:pPr>
                  <w:r>
                    <w:rPr>
                      <w:rFonts w:ascii="Times New Roman" w:hAnsi="Times New Roman"/>
                      <w:color w:val="auto"/>
                      <w:szCs w:val="21"/>
                      <w:highlight w:val="none"/>
                    </w:rPr>
                    <w:t>废包装材料</w:t>
                  </w:r>
                </w:p>
              </w:tc>
              <w:tc>
                <w:tcPr>
                  <w:tcW w:w="1153" w:type="dxa"/>
                  <w:noWrap/>
                  <w:vAlign w:val="center"/>
                </w:tcPr>
                <w:p w14:paraId="651C0DFD">
                  <w:pPr>
                    <w:spacing w:after="0"/>
                    <w:jc w:val="center"/>
                    <w:rPr>
                      <w:rFonts w:hint="default" w:ascii="Times New Roman" w:hAnsi="Times New Roman" w:eastAsia="宋体"/>
                      <w:color w:val="auto"/>
                      <w:szCs w:val="21"/>
                      <w:highlight w:val="none"/>
                      <w:lang w:val="en-US" w:eastAsia="zh-CN"/>
                    </w:rPr>
                  </w:pPr>
                  <w:r>
                    <w:rPr>
                      <w:rFonts w:ascii="Times New Roman" w:hAnsi="Times New Roman"/>
                      <w:color w:val="auto"/>
                      <w:szCs w:val="21"/>
                      <w:highlight w:val="none"/>
                    </w:rPr>
                    <w:t>一般固废</w:t>
                  </w:r>
                </w:p>
              </w:tc>
              <w:tc>
                <w:tcPr>
                  <w:tcW w:w="1274" w:type="dxa"/>
                  <w:noWrap/>
                  <w:vAlign w:val="center"/>
                </w:tcPr>
                <w:p w14:paraId="39046069">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SW12，</w:t>
                  </w:r>
                  <w:r>
                    <w:rPr>
                      <w:rFonts w:ascii="Times New Roman" w:hAnsi="Times New Roman"/>
                      <w:color w:val="auto"/>
                      <w:szCs w:val="21"/>
                      <w:highlight w:val="none"/>
                    </w:rPr>
                    <w:t>900-099-S59</w:t>
                  </w:r>
                </w:p>
              </w:tc>
              <w:tc>
                <w:tcPr>
                  <w:tcW w:w="852" w:type="dxa"/>
                  <w:noWrap/>
                  <w:vAlign w:val="center"/>
                </w:tcPr>
                <w:p w14:paraId="15807F1E">
                  <w:pPr>
                    <w:spacing w:after="0"/>
                    <w:jc w:val="center"/>
                    <w:rPr>
                      <w:rFonts w:ascii="Times New Roman" w:hAnsi="Times New Roman"/>
                      <w:color w:val="auto"/>
                      <w:szCs w:val="21"/>
                      <w:highlight w:val="none"/>
                    </w:rPr>
                  </w:pPr>
                  <w:r>
                    <w:rPr>
                      <w:rFonts w:ascii="Times New Roman" w:hAnsi="Times New Roman"/>
                      <w:color w:val="auto"/>
                      <w:szCs w:val="21"/>
                      <w:highlight w:val="none"/>
                    </w:rPr>
                    <w:t>原辅材料</w:t>
                  </w:r>
                </w:p>
              </w:tc>
              <w:tc>
                <w:tcPr>
                  <w:tcW w:w="952" w:type="dxa"/>
                  <w:noWrap/>
                  <w:vAlign w:val="center"/>
                </w:tcPr>
                <w:p w14:paraId="40A52766">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1.0</w:t>
                  </w:r>
                  <w:r>
                    <w:rPr>
                      <w:rFonts w:ascii="Times New Roman" w:hAnsi="Times New Roman"/>
                      <w:color w:val="auto"/>
                      <w:szCs w:val="21"/>
                      <w:highlight w:val="none"/>
                    </w:rPr>
                    <w:t>t/a</w:t>
                  </w:r>
                </w:p>
              </w:tc>
              <w:tc>
                <w:tcPr>
                  <w:tcW w:w="1860" w:type="dxa"/>
                  <w:noWrap/>
                  <w:vAlign w:val="center"/>
                </w:tcPr>
                <w:p w14:paraId="3D9BEF4C">
                  <w:pPr>
                    <w:spacing w:after="0"/>
                    <w:jc w:val="center"/>
                    <w:rPr>
                      <w:rFonts w:ascii="Times New Roman" w:hAnsi="Times New Roman"/>
                      <w:color w:val="auto"/>
                      <w:szCs w:val="21"/>
                      <w:highlight w:val="none"/>
                    </w:rPr>
                  </w:pPr>
                  <w:r>
                    <w:rPr>
                      <w:rFonts w:ascii="Times New Roman" w:hAnsi="Times New Roman"/>
                      <w:color w:val="auto"/>
                      <w:szCs w:val="21"/>
                      <w:highlight w:val="none"/>
                    </w:rPr>
                    <w:t>集中收集后外售处理</w:t>
                  </w:r>
                </w:p>
              </w:tc>
            </w:tr>
            <w:tr w14:paraId="6F62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4EDDBB0F">
                  <w:pPr>
                    <w:spacing w:after="0"/>
                    <w:jc w:val="center"/>
                    <w:rPr>
                      <w:rFonts w:ascii="Times New Roman" w:hAnsi="Times New Roman"/>
                      <w:color w:val="auto"/>
                      <w:szCs w:val="21"/>
                      <w:highlight w:val="none"/>
                    </w:rPr>
                  </w:pPr>
                  <w:r>
                    <w:rPr>
                      <w:rFonts w:ascii="Times New Roman" w:hAnsi="Times New Roman"/>
                      <w:color w:val="auto"/>
                      <w:szCs w:val="21"/>
                      <w:highlight w:val="none"/>
                    </w:rPr>
                    <w:t>4</w:t>
                  </w:r>
                </w:p>
              </w:tc>
              <w:tc>
                <w:tcPr>
                  <w:tcW w:w="1117" w:type="dxa"/>
                  <w:noWrap/>
                  <w:vAlign w:val="center"/>
                </w:tcPr>
                <w:p w14:paraId="606EF1BA">
                  <w:pPr>
                    <w:spacing w:after="0"/>
                    <w:jc w:val="center"/>
                    <w:rPr>
                      <w:rFonts w:ascii="Times New Roman" w:hAnsi="Times New Roman"/>
                      <w:color w:val="auto"/>
                      <w:szCs w:val="21"/>
                      <w:highlight w:val="none"/>
                    </w:rPr>
                  </w:pPr>
                  <w:r>
                    <w:rPr>
                      <w:rFonts w:ascii="Times New Roman" w:hAnsi="Times New Roman"/>
                      <w:color w:val="auto"/>
                      <w:szCs w:val="21"/>
                      <w:highlight w:val="none"/>
                    </w:rPr>
                    <w:t>生活垃圾</w:t>
                  </w:r>
                </w:p>
              </w:tc>
              <w:tc>
                <w:tcPr>
                  <w:tcW w:w="1153" w:type="dxa"/>
                  <w:noWrap/>
                  <w:vAlign w:val="center"/>
                </w:tcPr>
                <w:p w14:paraId="18D2E17E">
                  <w:pPr>
                    <w:spacing w:after="0"/>
                    <w:jc w:val="center"/>
                    <w:rPr>
                      <w:rFonts w:ascii="Times New Roman" w:hAnsi="Times New Roman"/>
                      <w:color w:val="auto"/>
                      <w:szCs w:val="21"/>
                      <w:highlight w:val="none"/>
                    </w:rPr>
                  </w:pPr>
                  <w:r>
                    <w:rPr>
                      <w:rFonts w:ascii="Times New Roman" w:hAnsi="Times New Roman"/>
                      <w:color w:val="auto"/>
                      <w:szCs w:val="21"/>
                      <w:highlight w:val="none"/>
                    </w:rPr>
                    <w:t>生活垃圾</w:t>
                  </w:r>
                </w:p>
              </w:tc>
              <w:tc>
                <w:tcPr>
                  <w:tcW w:w="1274" w:type="dxa"/>
                  <w:noWrap/>
                  <w:vAlign w:val="center"/>
                </w:tcPr>
                <w:p w14:paraId="7A330DE0">
                  <w:pPr>
                    <w:spacing w:after="0"/>
                    <w:jc w:val="center"/>
                    <w:rPr>
                      <w:rFonts w:ascii="Times New Roman" w:hAnsi="Times New Roman"/>
                      <w:color w:val="auto"/>
                      <w:szCs w:val="21"/>
                      <w:highlight w:val="none"/>
                    </w:rPr>
                  </w:pPr>
                  <w:r>
                    <w:rPr>
                      <w:rFonts w:ascii="Times New Roman" w:hAnsi="Times New Roman"/>
                      <w:bCs/>
                      <w:color w:val="auto"/>
                      <w:szCs w:val="21"/>
                      <w:highlight w:val="none"/>
                    </w:rPr>
                    <w:t>/</w:t>
                  </w:r>
                </w:p>
              </w:tc>
              <w:tc>
                <w:tcPr>
                  <w:tcW w:w="852" w:type="dxa"/>
                  <w:noWrap/>
                  <w:vAlign w:val="center"/>
                </w:tcPr>
                <w:p w14:paraId="4136AFBD">
                  <w:pPr>
                    <w:spacing w:after="0"/>
                    <w:jc w:val="center"/>
                    <w:rPr>
                      <w:rFonts w:ascii="Times New Roman" w:hAnsi="Times New Roman"/>
                      <w:color w:val="auto"/>
                      <w:szCs w:val="21"/>
                      <w:highlight w:val="none"/>
                    </w:rPr>
                  </w:pPr>
                  <w:r>
                    <w:rPr>
                      <w:rFonts w:ascii="Times New Roman" w:hAnsi="Times New Roman"/>
                      <w:color w:val="auto"/>
                      <w:szCs w:val="21"/>
                      <w:highlight w:val="none"/>
                    </w:rPr>
                    <w:t>员工</w:t>
                  </w:r>
                </w:p>
              </w:tc>
              <w:tc>
                <w:tcPr>
                  <w:tcW w:w="952" w:type="dxa"/>
                  <w:noWrap/>
                  <w:vAlign w:val="center"/>
                </w:tcPr>
                <w:p w14:paraId="3E5EEBC9">
                  <w:pPr>
                    <w:spacing w:after="0"/>
                    <w:jc w:val="center"/>
                    <w:rPr>
                      <w:rFonts w:ascii="Times New Roman" w:hAnsi="Times New Roman"/>
                      <w:color w:val="auto"/>
                      <w:szCs w:val="21"/>
                      <w:highlight w:val="none"/>
                    </w:rPr>
                  </w:pPr>
                  <w:r>
                    <w:rPr>
                      <w:rFonts w:hint="eastAsia" w:ascii="Times New Roman" w:hAnsi="Times New Roman"/>
                      <w:color w:val="auto"/>
                      <w:szCs w:val="21"/>
                      <w:highlight w:val="none"/>
                      <w:lang w:val="en-US" w:eastAsia="zh-CN"/>
                    </w:rPr>
                    <w:t>10.3</w:t>
                  </w:r>
                  <w:r>
                    <w:rPr>
                      <w:rFonts w:ascii="Times New Roman" w:hAnsi="Times New Roman"/>
                      <w:color w:val="auto"/>
                      <w:szCs w:val="21"/>
                      <w:highlight w:val="none"/>
                    </w:rPr>
                    <w:t>t/a</w:t>
                  </w:r>
                </w:p>
              </w:tc>
              <w:tc>
                <w:tcPr>
                  <w:tcW w:w="1860" w:type="dxa"/>
                  <w:noWrap/>
                  <w:vAlign w:val="center"/>
                </w:tcPr>
                <w:p w14:paraId="7FAF62FF">
                  <w:pPr>
                    <w:spacing w:after="0"/>
                    <w:jc w:val="center"/>
                    <w:rPr>
                      <w:rFonts w:ascii="Times New Roman" w:hAnsi="Times New Roman"/>
                      <w:color w:val="auto"/>
                      <w:szCs w:val="21"/>
                      <w:highlight w:val="none"/>
                    </w:rPr>
                  </w:pPr>
                  <w:r>
                    <w:rPr>
                      <w:rFonts w:ascii="Times New Roman" w:hAnsi="Times New Roman"/>
                      <w:color w:val="auto"/>
                      <w:szCs w:val="21"/>
                      <w:highlight w:val="none"/>
                    </w:rPr>
                    <w:t>纳入周边农村的生活垃圾收集设施，由环卫部门统一清运</w:t>
                  </w:r>
                </w:p>
              </w:tc>
            </w:tr>
            <w:tr w14:paraId="12CC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2F12B204">
                  <w:pPr>
                    <w:spacing w:after="0"/>
                    <w:jc w:val="center"/>
                    <w:rPr>
                      <w:rFonts w:ascii="Times New Roman" w:hAnsi="Times New Roman"/>
                      <w:color w:val="auto"/>
                      <w:szCs w:val="21"/>
                      <w:highlight w:val="none"/>
                    </w:rPr>
                  </w:pPr>
                  <w:r>
                    <w:rPr>
                      <w:rFonts w:ascii="Times New Roman" w:hAnsi="Times New Roman"/>
                      <w:color w:val="auto"/>
                      <w:szCs w:val="21"/>
                      <w:highlight w:val="none"/>
                    </w:rPr>
                    <w:t>5</w:t>
                  </w:r>
                </w:p>
              </w:tc>
              <w:tc>
                <w:tcPr>
                  <w:tcW w:w="1117" w:type="dxa"/>
                  <w:noWrap/>
                  <w:vAlign w:val="center"/>
                </w:tcPr>
                <w:p w14:paraId="18ECB924">
                  <w:pPr>
                    <w:spacing w:after="0"/>
                    <w:jc w:val="center"/>
                    <w:rPr>
                      <w:rFonts w:ascii="Times New Roman" w:hAnsi="Times New Roman"/>
                      <w:color w:val="auto"/>
                      <w:szCs w:val="21"/>
                      <w:highlight w:val="none"/>
                    </w:rPr>
                  </w:pPr>
                  <w:r>
                    <w:rPr>
                      <w:rFonts w:ascii="Times New Roman" w:hAnsi="Times New Roman"/>
                      <w:color w:val="auto"/>
                      <w:szCs w:val="21"/>
                      <w:highlight w:val="none"/>
                    </w:rPr>
                    <w:t>废润滑油</w:t>
                  </w:r>
                </w:p>
              </w:tc>
              <w:tc>
                <w:tcPr>
                  <w:tcW w:w="1153" w:type="dxa"/>
                  <w:vMerge w:val="restart"/>
                  <w:noWrap/>
                  <w:vAlign w:val="center"/>
                </w:tcPr>
                <w:p w14:paraId="1B75F2BC">
                  <w:pPr>
                    <w:spacing w:after="0"/>
                    <w:jc w:val="center"/>
                    <w:rPr>
                      <w:rFonts w:ascii="Times New Roman" w:hAnsi="Times New Roman"/>
                      <w:color w:val="auto"/>
                      <w:szCs w:val="21"/>
                      <w:highlight w:val="none"/>
                    </w:rPr>
                  </w:pPr>
                  <w:r>
                    <w:rPr>
                      <w:rFonts w:ascii="Times New Roman" w:hAnsi="Times New Roman"/>
                      <w:color w:val="auto"/>
                      <w:szCs w:val="21"/>
                      <w:highlight w:val="none"/>
                    </w:rPr>
                    <w:t>危险废物</w:t>
                  </w:r>
                </w:p>
              </w:tc>
              <w:tc>
                <w:tcPr>
                  <w:tcW w:w="1274" w:type="dxa"/>
                  <w:noWrap/>
                  <w:vAlign w:val="center"/>
                </w:tcPr>
                <w:p w14:paraId="54041DE5">
                  <w:pPr>
                    <w:spacing w:after="0"/>
                    <w:jc w:val="center"/>
                    <w:rPr>
                      <w:rFonts w:ascii="Times New Roman" w:hAnsi="Times New Roman"/>
                      <w:color w:val="auto"/>
                      <w:szCs w:val="21"/>
                      <w:highlight w:val="none"/>
                    </w:rPr>
                  </w:pPr>
                  <w:r>
                    <w:rPr>
                      <w:rFonts w:ascii="Times New Roman" w:hAnsi="Times New Roman"/>
                      <w:bCs/>
                      <w:color w:val="auto"/>
                      <w:szCs w:val="21"/>
                      <w:highlight w:val="none"/>
                    </w:rPr>
                    <w:t>HW08，900-214-08</w:t>
                  </w:r>
                </w:p>
              </w:tc>
              <w:tc>
                <w:tcPr>
                  <w:tcW w:w="852" w:type="dxa"/>
                  <w:noWrap/>
                  <w:vAlign w:val="center"/>
                </w:tcPr>
                <w:p w14:paraId="13BBE8FC">
                  <w:pPr>
                    <w:spacing w:after="0"/>
                    <w:jc w:val="center"/>
                    <w:rPr>
                      <w:rFonts w:ascii="Times New Roman" w:hAnsi="Times New Roman"/>
                      <w:color w:val="auto"/>
                      <w:szCs w:val="21"/>
                      <w:highlight w:val="none"/>
                    </w:rPr>
                  </w:pPr>
                  <w:r>
                    <w:rPr>
                      <w:rFonts w:ascii="Times New Roman" w:hAnsi="Times New Roman"/>
                      <w:color w:val="auto"/>
                      <w:szCs w:val="21"/>
                      <w:highlight w:val="none"/>
                    </w:rPr>
                    <w:t>机械设备</w:t>
                  </w:r>
                </w:p>
              </w:tc>
              <w:tc>
                <w:tcPr>
                  <w:tcW w:w="952" w:type="dxa"/>
                  <w:noWrap/>
                  <w:vAlign w:val="center"/>
                </w:tcPr>
                <w:p w14:paraId="46B16103">
                  <w:pPr>
                    <w:spacing w:after="0"/>
                    <w:jc w:val="center"/>
                    <w:rPr>
                      <w:rFonts w:ascii="Times New Roman" w:hAnsi="Times New Roman"/>
                      <w:color w:val="auto"/>
                      <w:szCs w:val="21"/>
                      <w:highlight w:val="none"/>
                    </w:rPr>
                  </w:pPr>
                  <w:r>
                    <w:rPr>
                      <w:rFonts w:ascii="Times New Roman" w:hAnsi="Times New Roman"/>
                      <w:color w:val="auto"/>
                      <w:szCs w:val="21"/>
                      <w:highlight w:val="none"/>
                    </w:rPr>
                    <w:t>0.</w:t>
                  </w:r>
                  <w:r>
                    <w:rPr>
                      <w:rFonts w:hint="eastAsia" w:ascii="Times New Roman" w:hAnsi="Times New Roman"/>
                      <w:color w:val="auto"/>
                      <w:szCs w:val="21"/>
                      <w:highlight w:val="none"/>
                      <w:lang w:val="en-US" w:eastAsia="zh-CN"/>
                    </w:rPr>
                    <w:t>19</w:t>
                  </w:r>
                  <w:r>
                    <w:rPr>
                      <w:rFonts w:ascii="Times New Roman" w:hAnsi="Times New Roman"/>
                      <w:color w:val="auto"/>
                      <w:szCs w:val="21"/>
                      <w:highlight w:val="none"/>
                    </w:rPr>
                    <w:t>t/a</w:t>
                  </w:r>
                </w:p>
              </w:tc>
              <w:tc>
                <w:tcPr>
                  <w:tcW w:w="1860" w:type="dxa"/>
                  <w:vMerge w:val="restart"/>
                  <w:noWrap/>
                  <w:vAlign w:val="center"/>
                </w:tcPr>
                <w:p w14:paraId="441529BF">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暂存于各井场</w:t>
                  </w:r>
                  <w:r>
                    <w:rPr>
                      <w:rFonts w:ascii="Times New Roman" w:hAnsi="Times New Roman"/>
                      <w:color w:val="auto"/>
                      <w:szCs w:val="21"/>
                      <w:highlight w:val="none"/>
                    </w:rPr>
                    <w:t>危废暂存间暂存，交由有资质单位处置</w:t>
                  </w:r>
                </w:p>
              </w:tc>
            </w:tr>
            <w:tr w14:paraId="2ACA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6987B940">
                  <w:pPr>
                    <w:spacing w:after="0"/>
                    <w:jc w:val="center"/>
                    <w:rPr>
                      <w:rFonts w:ascii="Times New Roman" w:hAnsi="Times New Roman"/>
                      <w:color w:val="auto"/>
                      <w:szCs w:val="21"/>
                      <w:highlight w:val="none"/>
                    </w:rPr>
                  </w:pPr>
                  <w:r>
                    <w:rPr>
                      <w:rFonts w:ascii="Times New Roman" w:hAnsi="Times New Roman"/>
                      <w:color w:val="auto"/>
                      <w:szCs w:val="21"/>
                      <w:highlight w:val="none"/>
                    </w:rPr>
                    <w:t>6</w:t>
                  </w:r>
                </w:p>
              </w:tc>
              <w:tc>
                <w:tcPr>
                  <w:tcW w:w="1117" w:type="dxa"/>
                  <w:noWrap/>
                  <w:vAlign w:val="center"/>
                </w:tcPr>
                <w:p w14:paraId="63A2EB23">
                  <w:pPr>
                    <w:spacing w:after="0"/>
                    <w:jc w:val="center"/>
                    <w:rPr>
                      <w:rFonts w:ascii="Times New Roman" w:hAnsi="Times New Roman"/>
                      <w:color w:val="auto"/>
                      <w:szCs w:val="21"/>
                      <w:highlight w:val="none"/>
                    </w:rPr>
                  </w:pPr>
                  <w:r>
                    <w:rPr>
                      <w:rFonts w:ascii="Times New Roman" w:hAnsi="Times New Roman"/>
                      <w:color w:val="auto"/>
                      <w:szCs w:val="21"/>
                      <w:highlight w:val="none"/>
                    </w:rPr>
                    <w:t>废润滑油桶</w:t>
                  </w:r>
                </w:p>
              </w:tc>
              <w:tc>
                <w:tcPr>
                  <w:tcW w:w="1153" w:type="dxa"/>
                  <w:vMerge w:val="continue"/>
                  <w:noWrap/>
                  <w:vAlign w:val="center"/>
                </w:tcPr>
                <w:p w14:paraId="29F6D8AE">
                  <w:pPr>
                    <w:spacing w:after="0"/>
                    <w:jc w:val="center"/>
                    <w:rPr>
                      <w:rFonts w:ascii="Times New Roman" w:hAnsi="Times New Roman"/>
                      <w:color w:val="auto"/>
                      <w:szCs w:val="21"/>
                      <w:highlight w:val="none"/>
                    </w:rPr>
                  </w:pPr>
                </w:p>
              </w:tc>
              <w:tc>
                <w:tcPr>
                  <w:tcW w:w="1274" w:type="dxa"/>
                  <w:noWrap/>
                  <w:vAlign w:val="center"/>
                </w:tcPr>
                <w:p w14:paraId="4A7632B2">
                  <w:pPr>
                    <w:spacing w:after="0"/>
                    <w:jc w:val="center"/>
                    <w:rPr>
                      <w:rFonts w:ascii="Times New Roman" w:hAnsi="Times New Roman"/>
                      <w:color w:val="auto"/>
                      <w:szCs w:val="21"/>
                      <w:highlight w:val="none"/>
                    </w:rPr>
                  </w:pPr>
                  <w:r>
                    <w:rPr>
                      <w:rFonts w:ascii="Times New Roman" w:hAnsi="Times New Roman"/>
                      <w:bCs/>
                      <w:color w:val="auto"/>
                      <w:szCs w:val="21"/>
                      <w:highlight w:val="none"/>
                    </w:rPr>
                    <w:t>HW08，900-249-08</w:t>
                  </w:r>
                </w:p>
              </w:tc>
              <w:tc>
                <w:tcPr>
                  <w:tcW w:w="852" w:type="dxa"/>
                  <w:noWrap/>
                  <w:vAlign w:val="center"/>
                </w:tcPr>
                <w:p w14:paraId="7E52935F">
                  <w:pPr>
                    <w:spacing w:after="0"/>
                    <w:jc w:val="center"/>
                    <w:rPr>
                      <w:rFonts w:ascii="Times New Roman" w:hAnsi="Times New Roman"/>
                      <w:color w:val="auto"/>
                      <w:szCs w:val="21"/>
                      <w:highlight w:val="none"/>
                    </w:rPr>
                  </w:pPr>
                  <w:r>
                    <w:rPr>
                      <w:rFonts w:ascii="Times New Roman" w:hAnsi="Times New Roman"/>
                      <w:color w:val="auto"/>
                      <w:szCs w:val="21"/>
                      <w:highlight w:val="none"/>
                    </w:rPr>
                    <w:t>机械设备</w:t>
                  </w:r>
                </w:p>
              </w:tc>
              <w:tc>
                <w:tcPr>
                  <w:tcW w:w="952" w:type="dxa"/>
                  <w:noWrap/>
                  <w:vAlign w:val="center"/>
                </w:tcPr>
                <w:p w14:paraId="6B21DF92">
                  <w:pPr>
                    <w:spacing w:after="0"/>
                    <w:jc w:val="center"/>
                    <w:rPr>
                      <w:rFonts w:ascii="Times New Roman" w:hAnsi="Times New Roman"/>
                      <w:color w:val="auto"/>
                      <w:szCs w:val="21"/>
                      <w:highlight w:val="none"/>
                    </w:rPr>
                  </w:pPr>
                  <w:r>
                    <w:rPr>
                      <w:rFonts w:ascii="Times New Roman" w:hAnsi="Times New Roman"/>
                      <w:color w:val="auto"/>
                      <w:szCs w:val="21"/>
                      <w:highlight w:val="none"/>
                    </w:rPr>
                    <w:t>0.</w:t>
                  </w:r>
                  <w:r>
                    <w:rPr>
                      <w:rFonts w:hint="eastAsia" w:ascii="Times New Roman" w:hAnsi="Times New Roman"/>
                      <w:color w:val="auto"/>
                      <w:szCs w:val="21"/>
                      <w:highlight w:val="none"/>
                    </w:rPr>
                    <w:t>1</w:t>
                  </w:r>
                  <w:r>
                    <w:rPr>
                      <w:rFonts w:ascii="Times New Roman" w:hAnsi="Times New Roman"/>
                      <w:color w:val="auto"/>
                      <w:szCs w:val="21"/>
                      <w:highlight w:val="none"/>
                    </w:rPr>
                    <w:t>t/a</w:t>
                  </w:r>
                </w:p>
              </w:tc>
              <w:tc>
                <w:tcPr>
                  <w:tcW w:w="1860" w:type="dxa"/>
                  <w:vMerge w:val="continue"/>
                  <w:noWrap/>
                  <w:vAlign w:val="center"/>
                </w:tcPr>
                <w:p w14:paraId="7431977C">
                  <w:pPr>
                    <w:spacing w:after="0"/>
                    <w:jc w:val="center"/>
                    <w:rPr>
                      <w:rFonts w:ascii="Times New Roman" w:hAnsi="Times New Roman"/>
                      <w:color w:val="auto"/>
                      <w:szCs w:val="21"/>
                      <w:highlight w:val="none"/>
                    </w:rPr>
                  </w:pPr>
                </w:p>
              </w:tc>
            </w:tr>
            <w:tr w14:paraId="5492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ign w:val="center"/>
                </w:tcPr>
                <w:p w14:paraId="339F0459">
                  <w:pPr>
                    <w:spacing w:after="0"/>
                    <w:jc w:val="center"/>
                    <w:rPr>
                      <w:rFonts w:ascii="Times New Roman" w:hAnsi="Times New Roman"/>
                      <w:color w:val="auto"/>
                      <w:szCs w:val="21"/>
                      <w:highlight w:val="none"/>
                    </w:rPr>
                  </w:pPr>
                  <w:r>
                    <w:rPr>
                      <w:rFonts w:ascii="Times New Roman" w:hAnsi="Times New Roman"/>
                      <w:color w:val="auto"/>
                      <w:szCs w:val="21"/>
                      <w:highlight w:val="none"/>
                    </w:rPr>
                    <w:t>7</w:t>
                  </w:r>
                </w:p>
              </w:tc>
              <w:tc>
                <w:tcPr>
                  <w:tcW w:w="1117" w:type="dxa"/>
                  <w:noWrap/>
                  <w:vAlign w:val="center"/>
                </w:tcPr>
                <w:p w14:paraId="4B687437">
                  <w:pPr>
                    <w:spacing w:after="0"/>
                    <w:jc w:val="center"/>
                    <w:rPr>
                      <w:rFonts w:ascii="Times New Roman" w:hAnsi="Times New Roman"/>
                      <w:color w:val="auto"/>
                      <w:szCs w:val="21"/>
                      <w:highlight w:val="none"/>
                    </w:rPr>
                  </w:pPr>
                  <w:r>
                    <w:rPr>
                      <w:rFonts w:ascii="Times New Roman" w:hAnsi="Times New Roman"/>
                      <w:color w:val="auto"/>
                      <w:szCs w:val="21"/>
                      <w:highlight w:val="none"/>
                    </w:rPr>
                    <w:t>废含油抹布和废含油手套</w:t>
                  </w:r>
                </w:p>
              </w:tc>
              <w:tc>
                <w:tcPr>
                  <w:tcW w:w="1153" w:type="dxa"/>
                  <w:vMerge w:val="continue"/>
                  <w:noWrap/>
                  <w:vAlign w:val="center"/>
                </w:tcPr>
                <w:p w14:paraId="2DE5434E">
                  <w:pPr>
                    <w:spacing w:after="0"/>
                    <w:jc w:val="center"/>
                    <w:rPr>
                      <w:rFonts w:ascii="Times New Roman" w:hAnsi="Times New Roman"/>
                      <w:color w:val="auto"/>
                      <w:szCs w:val="21"/>
                      <w:highlight w:val="none"/>
                    </w:rPr>
                  </w:pPr>
                </w:p>
              </w:tc>
              <w:tc>
                <w:tcPr>
                  <w:tcW w:w="1274" w:type="dxa"/>
                  <w:noWrap/>
                  <w:vAlign w:val="center"/>
                </w:tcPr>
                <w:p w14:paraId="4924F791">
                  <w:pPr>
                    <w:spacing w:after="0"/>
                    <w:jc w:val="center"/>
                    <w:rPr>
                      <w:rFonts w:ascii="Times New Roman" w:hAnsi="Times New Roman"/>
                      <w:color w:val="auto"/>
                      <w:szCs w:val="21"/>
                      <w:highlight w:val="none"/>
                    </w:rPr>
                  </w:pPr>
                  <w:r>
                    <w:rPr>
                      <w:rFonts w:ascii="Times New Roman" w:hAnsi="Times New Roman"/>
                      <w:color w:val="auto"/>
                      <w:szCs w:val="21"/>
                      <w:highlight w:val="none"/>
                    </w:rPr>
                    <w:t>HW49，900-041-49</w:t>
                  </w:r>
                </w:p>
              </w:tc>
              <w:tc>
                <w:tcPr>
                  <w:tcW w:w="852" w:type="dxa"/>
                  <w:noWrap/>
                  <w:vAlign w:val="center"/>
                </w:tcPr>
                <w:p w14:paraId="32F16FD9">
                  <w:pPr>
                    <w:spacing w:after="0"/>
                    <w:jc w:val="center"/>
                    <w:rPr>
                      <w:rFonts w:ascii="Times New Roman" w:hAnsi="Times New Roman"/>
                      <w:color w:val="auto"/>
                      <w:szCs w:val="21"/>
                      <w:highlight w:val="none"/>
                    </w:rPr>
                  </w:pPr>
                  <w:r>
                    <w:rPr>
                      <w:rFonts w:ascii="Times New Roman" w:hAnsi="Times New Roman"/>
                      <w:color w:val="auto"/>
                      <w:szCs w:val="21"/>
                      <w:highlight w:val="none"/>
                    </w:rPr>
                    <w:t>机械设备维护</w:t>
                  </w:r>
                </w:p>
              </w:tc>
              <w:tc>
                <w:tcPr>
                  <w:tcW w:w="952" w:type="dxa"/>
                  <w:noWrap/>
                  <w:vAlign w:val="center"/>
                </w:tcPr>
                <w:p w14:paraId="375359AC">
                  <w:pPr>
                    <w:spacing w:after="0"/>
                    <w:jc w:val="center"/>
                    <w:rPr>
                      <w:rFonts w:ascii="Times New Roman" w:hAnsi="Times New Roman"/>
                      <w:color w:val="auto"/>
                      <w:szCs w:val="21"/>
                      <w:highlight w:val="none"/>
                    </w:rPr>
                  </w:pPr>
                  <w:r>
                    <w:rPr>
                      <w:rFonts w:ascii="Times New Roman" w:hAnsi="Times New Roman"/>
                      <w:color w:val="auto"/>
                      <w:szCs w:val="21"/>
                      <w:highlight w:val="none"/>
                    </w:rPr>
                    <w:t>0.</w:t>
                  </w:r>
                  <w:r>
                    <w:rPr>
                      <w:rFonts w:hint="eastAsia" w:ascii="Times New Roman" w:hAnsi="Times New Roman"/>
                      <w:color w:val="auto"/>
                      <w:szCs w:val="21"/>
                      <w:highlight w:val="none"/>
                    </w:rPr>
                    <w:t>1</w:t>
                  </w:r>
                  <w:r>
                    <w:rPr>
                      <w:rFonts w:ascii="Times New Roman" w:hAnsi="Times New Roman"/>
                      <w:color w:val="auto"/>
                      <w:szCs w:val="21"/>
                      <w:highlight w:val="none"/>
                    </w:rPr>
                    <w:t>t/a</w:t>
                  </w:r>
                </w:p>
              </w:tc>
              <w:tc>
                <w:tcPr>
                  <w:tcW w:w="1860" w:type="dxa"/>
                  <w:vMerge w:val="continue"/>
                  <w:noWrap/>
                  <w:vAlign w:val="center"/>
                </w:tcPr>
                <w:p w14:paraId="6355EA6B">
                  <w:pPr>
                    <w:spacing w:after="0"/>
                    <w:jc w:val="center"/>
                    <w:rPr>
                      <w:rFonts w:ascii="Times New Roman" w:hAnsi="Times New Roman"/>
                      <w:color w:val="auto"/>
                      <w:szCs w:val="21"/>
                      <w:highlight w:val="none"/>
                    </w:rPr>
                  </w:pPr>
                </w:p>
              </w:tc>
            </w:tr>
          </w:tbl>
          <w:p w14:paraId="52CBC823">
            <w:pPr>
              <w:pStyle w:val="5"/>
              <w:spacing w:after="0" w:line="360" w:lineRule="auto"/>
              <w:ind w:firstLine="482"/>
              <w:rPr>
                <w:rFonts w:ascii="Times New Roman" w:hAnsi="Times New Roman"/>
                <w:b/>
                <w:bCs/>
                <w:color w:val="auto"/>
                <w:sz w:val="24"/>
                <w:highlight w:val="none"/>
              </w:rPr>
            </w:pPr>
            <w:r>
              <w:rPr>
                <w:rFonts w:ascii="Times New Roman" w:hAnsi="Times New Roman"/>
                <w:b/>
                <w:bCs/>
                <w:color w:val="auto"/>
                <w:sz w:val="24"/>
                <w:highlight w:val="none"/>
              </w:rPr>
              <w:t>5、土壤环境影响分析</w:t>
            </w:r>
          </w:p>
          <w:p w14:paraId="1FDFC62C">
            <w:pPr>
              <w:pStyle w:val="5"/>
              <w:spacing w:after="0" w:line="360" w:lineRule="auto"/>
              <w:ind w:firstLine="480"/>
              <w:rPr>
                <w:rFonts w:ascii="Times New Roman" w:hAnsi="Times New Roman"/>
                <w:color w:val="auto"/>
                <w:sz w:val="24"/>
                <w:highlight w:val="none"/>
              </w:rPr>
            </w:pPr>
            <w:r>
              <w:rPr>
                <w:rFonts w:ascii="Times New Roman" w:hAnsi="Times New Roman"/>
                <w:color w:val="auto"/>
                <w:sz w:val="24"/>
                <w:highlight w:val="none"/>
              </w:rPr>
              <w:t>正常工况下，钻井工程对土壤无影响</w:t>
            </w:r>
            <w:r>
              <w:rPr>
                <w:rFonts w:hint="eastAsia" w:ascii="Times New Roman" w:hAnsi="Times New Roman"/>
                <w:color w:val="auto"/>
                <w:sz w:val="24"/>
                <w:highlight w:val="none"/>
              </w:rPr>
              <w:t>。</w:t>
            </w:r>
            <w:r>
              <w:rPr>
                <w:rFonts w:ascii="Times New Roman" w:hAnsi="Times New Roman"/>
                <w:color w:val="auto"/>
                <w:sz w:val="24"/>
                <w:highlight w:val="none"/>
              </w:rPr>
              <w:t>本项目产生的固体废物均外运处置，不长期储存</w:t>
            </w:r>
            <w:r>
              <w:rPr>
                <w:rFonts w:hint="eastAsia" w:ascii="Times New Roman" w:hAnsi="Times New Roman"/>
                <w:color w:val="auto"/>
                <w:sz w:val="24"/>
                <w:highlight w:val="none"/>
              </w:rPr>
              <w:t>，井场内危废暂存间、泥浆池、</w:t>
            </w:r>
            <w:r>
              <w:rPr>
                <w:rFonts w:hint="eastAsia" w:ascii="Times New Roman" w:hAnsi="Times New Roman"/>
                <w:color w:val="auto"/>
                <w:sz w:val="24"/>
                <w:highlight w:val="none"/>
                <w:lang w:eastAsia="zh-CN"/>
              </w:rPr>
              <w:t>废浆池</w:t>
            </w:r>
            <w:r>
              <w:rPr>
                <w:rFonts w:hint="eastAsia" w:ascii="Times New Roman" w:hAnsi="Times New Roman"/>
                <w:color w:val="auto"/>
                <w:sz w:val="24"/>
                <w:highlight w:val="none"/>
              </w:rPr>
              <w:t>等均采取了防渗措施</w:t>
            </w:r>
            <w:r>
              <w:rPr>
                <w:rFonts w:ascii="Times New Roman" w:hAnsi="Times New Roman"/>
                <w:color w:val="auto"/>
                <w:sz w:val="24"/>
                <w:highlight w:val="none"/>
              </w:rPr>
              <w:t>，通过采取的源头控制和分区防渗措施，不会造成评价范围及周边土壤环境质量超标。</w:t>
            </w:r>
          </w:p>
          <w:p w14:paraId="4C6BC20B">
            <w:pPr>
              <w:pStyle w:val="5"/>
              <w:spacing w:after="0" w:line="360" w:lineRule="auto"/>
              <w:ind w:firstLine="482"/>
              <w:rPr>
                <w:rFonts w:ascii="Times New Roman" w:hAnsi="Times New Roman"/>
                <w:b/>
                <w:bCs/>
                <w:color w:val="auto"/>
                <w:sz w:val="24"/>
                <w:highlight w:val="none"/>
              </w:rPr>
            </w:pPr>
            <w:r>
              <w:rPr>
                <w:rFonts w:ascii="Times New Roman" w:hAnsi="Times New Roman"/>
                <w:b/>
                <w:bCs/>
                <w:color w:val="auto"/>
                <w:sz w:val="24"/>
                <w:highlight w:val="none"/>
              </w:rPr>
              <w:t>6、地下水环境影响分析</w:t>
            </w:r>
          </w:p>
          <w:p w14:paraId="33263C43">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本项目钻井段的地层岩性以砂岩为主，地层孔隙度小，渗透率极低，泥浆漏失的几率很小。此外，本项目钻井阶段利用清水泥浆钻井，在套管的保护下能有效地保护浅层地下水；每开钻井结束后通过固井作业封隔地层与套管之间的环形空间，也可降低污染物进入地层的风险；在钻井过</w:t>
            </w:r>
            <w:r>
              <w:rPr>
                <w:rFonts w:hint="eastAsia" w:ascii="Times New Roman" w:hAnsi="Times New Roman"/>
                <w:color w:val="auto"/>
                <w:sz w:val="24"/>
                <w:highlight w:val="none"/>
                <w:lang w:eastAsia="zh-CN"/>
              </w:rPr>
              <w:t>程中</w:t>
            </w:r>
            <w:r>
              <w:rPr>
                <w:rFonts w:hint="eastAsia" w:ascii="Times New Roman" w:hAnsi="Times New Roman"/>
                <w:color w:val="auto"/>
                <w:sz w:val="24"/>
                <w:highlight w:val="none"/>
              </w:rPr>
              <w:t>对泥浆进行实时监测，一旦有漏失发生，立即采取堵漏措施。</w:t>
            </w:r>
          </w:p>
          <w:p w14:paraId="6976F627">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钻井工程在井场内实施，井身有套管保护，故井筒不易发生</w:t>
            </w:r>
            <w:r>
              <w:rPr>
                <w:rFonts w:hint="eastAsia" w:ascii="Times New Roman" w:hAnsi="Times New Roman"/>
                <w:color w:val="auto"/>
                <w:sz w:val="24"/>
                <w:highlight w:val="none"/>
                <w:lang w:eastAsia="zh-CN"/>
              </w:rPr>
              <w:t>泄漏</w:t>
            </w:r>
            <w:r>
              <w:rPr>
                <w:rFonts w:hint="eastAsia" w:ascii="Times New Roman" w:hAnsi="Times New Roman"/>
                <w:color w:val="auto"/>
                <w:sz w:val="24"/>
                <w:highlight w:val="none"/>
              </w:rPr>
              <w:t>事故。对地下水环境可能造成影响的污染源主要是场地内暂存的钻井工程废水、废泥浆等的渗滤液以及钻井泥浆连续混配过程中的跑、冒、滴、漏，开井返排阶段返排废水收集贮存的跑、冒、滴、漏污染地下水环境。周边村镇均已接通自来水，无分散饮用水井分布。因此，本项目钻井过程对地下水环境的影响较小。</w:t>
            </w:r>
          </w:p>
          <w:p w14:paraId="53E194DA">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根据《环境影响评价技术导则地下水环境》（HJ610-2016），将本项目划分为重点防渗区、一般防渗区以及简单防渗区，具体划分区域如下：</w:t>
            </w:r>
          </w:p>
          <w:p w14:paraId="026A6167">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重点防渗区：</w:t>
            </w:r>
            <w:r>
              <w:rPr>
                <w:rFonts w:hint="eastAsia" w:ascii="Times New Roman" w:hAnsi="Times New Roman"/>
                <w:color w:val="auto"/>
                <w:sz w:val="24"/>
                <w:highlight w:val="none"/>
              </w:rPr>
              <w:t>危废暂存间</w:t>
            </w:r>
            <w:r>
              <w:rPr>
                <w:rFonts w:ascii="Times New Roman" w:hAnsi="Times New Roman"/>
                <w:color w:val="auto"/>
                <w:sz w:val="24"/>
                <w:highlight w:val="none"/>
              </w:rPr>
              <w:t>。防渗要求</w:t>
            </w:r>
            <w:r>
              <w:rPr>
                <w:rFonts w:hint="eastAsia" w:ascii="Times New Roman" w:hAnsi="Times New Roman"/>
                <w:color w:val="auto"/>
                <w:sz w:val="24"/>
                <w:highlight w:val="none"/>
              </w:rPr>
              <w:t>：采用</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高密度聚乙烯（HDPE）防渗膜（厚度≥1.5mm）+土工布（两布一膜）</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复合防渗结构，膜下铺设10cm厚中粗砂垫层，膜上覆盖5cm厚中粗砂保护层，确保等效粘土防渗层厚度≥6.0m，渗透系数≤10</w:t>
            </w:r>
            <w:r>
              <w:rPr>
                <w:rFonts w:hint="eastAsia" w:ascii="Times New Roman" w:hAnsi="Times New Roman"/>
                <w:color w:val="auto"/>
                <w:sz w:val="24"/>
                <w:highlight w:val="none"/>
                <w:vertAlign w:val="superscript"/>
              </w:rPr>
              <w:t>-7</w:t>
            </w:r>
            <w:r>
              <w:rPr>
                <w:rFonts w:hint="eastAsia" w:ascii="Times New Roman" w:hAnsi="Times New Roman"/>
                <w:color w:val="auto"/>
                <w:sz w:val="24"/>
                <w:highlight w:val="none"/>
              </w:rPr>
              <w:t>cm/s。</w:t>
            </w:r>
          </w:p>
          <w:p w14:paraId="4E133429">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一般防渗区：</w:t>
            </w:r>
            <w:r>
              <w:rPr>
                <w:rFonts w:hint="eastAsia" w:ascii="Times New Roman" w:hAnsi="Times New Roman"/>
                <w:color w:val="auto"/>
                <w:sz w:val="24"/>
                <w:highlight w:val="none"/>
              </w:rPr>
              <w:t>钻机房井口区域、泥浆池、沉淀池、</w:t>
            </w:r>
            <w:r>
              <w:rPr>
                <w:rFonts w:hint="eastAsia" w:ascii="Times New Roman" w:hAnsi="Times New Roman"/>
                <w:color w:val="auto"/>
                <w:sz w:val="24"/>
                <w:highlight w:val="none"/>
                <w:lang w:eastAsia="zh-CN"/>
              </w:rPr>
              <w:t>废浆池</w:t>
            </w:r>
            <w:r>
              <w:rPr>
                <w:rFonts w:ascii="Times New Roman" w:hAnsi="Times New Roman"/>
                <w:color w:val="auto"/>
                <w:sz w:val="24"/>
                <w:highlight w:val="none"/>
              </w:rPr>
              <w:t>。防渗要求</w:t>
            </w:r>
            <w:r>
              <w:rPr>
                <w:rFonts w:hint="eastAsia" w:ascii="Times New Roman" w:hAnsi="Times New Roman"/>
                <w:color w:val="auto"/>
                <w:sz w:val="24"/>
                <w:highlight w:val="none"/>
              </w:rPr>
              <w:t>：铺设单层高密度聚乙烯（HDPE）防渗膜（厚度≥1.0mm），膜下铺设8cm厚中粗砂垫层，膜上覆盖5cm厚中粗砂保护层，等效粘土防渗层厚度≥1.5m，渗透系数≤10</w:t>
            </w:r>
            <w:r>
              <w:rPr>
                <w:rFonts w:hint="eastAsia" w:ascii="Times New Roman" w:hAnsi="Times New Roman"/>
                <w:color w:val="auto"/>
                <w:sz w:val="24"/>
                <w:highlight w:val="none"/>
                <w:vertAlign w:val="superscript"/>
              </w:rPr>
              <w:t>-7</w:t>
            </w:r>
            <w:r>
              <w:rPr>
                <w:rFonts w:hint="eastAsia" w:ascii="Times New Roman" w:hAnsi="Times New Roman"/>
                <w:color w:val="auto"/>
                <w:sz w:val="24"/>
                <w:highlight w:val="none"/>
              </w:rPr>
              <w:t>cm/s。</w:t>
            </w:r>
          </w:p>
          <w:p w14:paraId="45B2DB0E">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简单防渗区：除重点防渗区和一般防渗区以外的其他区域。防渗要求</w:t>
            </w:r>
            <w:r>
              <w:rPr>
                <w:rFonts w:hint="eastAsia" w:ascii="Times New Roman" w:hAnsi="Times New Roman"/>
                <w:color w:val="auto"/>
                <w:sz w:val="24"/>
                <w:highlight w:val="none"/>
              </w:rPr>
              <w:t>：采用</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压实土壤+土工布覆盖</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处理，压实度≥93%，防止雨水下渗及土壤扰动，避免污染物通过地表渗透影响地下水</w:t>
            </w:r>
            <w:r>
              <w:rPr>
                <w:rFonts w:ascii="Times New Roman" w:hAnsi="Times New Roman"/>
                <w:color w:val="auto"/>
                <w:sz w:val="24"/>
                <w:highlight w:val="none"/>
              </w:rPr>
              <w:t>。</w:t>
            </w:r>
          </w:p>
          <w:p w14:paraId="70903BCB">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 xml:space="preserve">6 </w:t>
            </w:r>
            <w:r>
              <w:rPr>
                <w:rFonts w:ascii="Times New Roman" w:hAnsi="Times New Roman"/>
                <w:b/>
                <w:color w:val="auto"/>
                <w:szCs w:val="21"/>
                <w:highlight w:val="none"/>
              </w:rPr>
              <w:t xml:space="preserve"> 本项目分区防渗一览表</w:t>
            </w:r>
          </w:p>
          <w:tbl>
            <w:tblPr>
              <w:tblStyle w:val="22"/>
              <w:tblW w:w="8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7"/>
              <w:gridCol w:w="959"/>
              <w:gridCol w:w="4443"/>
            </w:tblGrid>
            <w:tr w14:paraId="0CF7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Borders>
                    <w:tl2br w:val="nil"/>
                    <w:tr2bl w:val="nil"/>
                  </w:tcBorders>
                  <w:noWrap/>
                  <w:vAlign w:val="center"/>
                </w:tcPr>
                <w:p w14:paraId="474F7C3F">
                  <w:pPr>
                    <w:autoSpaceDE w:val="0"/>
                    <w:autoSpaceDN w:val="0"/>
                    <w:spacing w:after="0"/>
                    <w:jc w:val="center"/>
                    <w:rPr>
                      <w:rFonts w:ascii="Times New Roman" w:hAnsi="Times New Roman"/>
                      <w:b/>
                      <w:color w:val="auto"/>
                      <w:szCs w:val="21"/>
                      <w:highlight w:val="none"/>
                    </w:rPr>
                  </w:pPr>
                  <w:r>
                    <w:rPr>
                      <w:rFonts w:ascii="Times New Roman" w:hAnsi="宋体"/>
                      <w:b/>
                      <w:color w:val="auto"/>
                      <w:szCs w:val="21"/>
                      <w:highlight w:val="none"/>
                    </w:rPr>
                    <w:t>区域</w:t>
                  </w:r>
                </w:p>
              </w:tc>
              <w:tc>
                <w:tcPr>
                  <w:tcW w:w="959" w:type="dxa"/>
                  <w:tcBorders>
                    <w:tl2br w:val="nil"/>
                    <w:tr2bl w:val="nil"/>
                  </w:tcBorders>
                  <w:noWrap/>
                  <w:vAlign w:val="center"/>
                </w:tcPr>
                <w:p w14:paraId="5927D588">
                  <w:pPr>
                    <w:autoSpaceDE w:val="0"/>
                    <w:autoSpaceDN w:val="0"/>
                    <w:spacing w:after="0"/>
                    <w:jc w:val="center"/>
                    <w:rPr>
                      <w:rFonts w:ascii="Times New Roman" w:hAnsi="Times New Roman"/>
                      <w:b/>
                      <w:color w:val="auto"/>
                      <w:szCs w:val="21"/>
                      <w:highlight w:val="none"/>
                    </w:rPr>
                  </w:pPr>
                  <w:r>
                    <w:rPr>
                      <w:rFonts w:ascii="Times New Roman" w:hAnsi="宋体"/>
                      <w:b/>
                      <w:color w:val="auto"/>
                      <w:szCs w:val="21"/>
                      <w:highlight w:val="none"/>
                    </w:rPr>
                    <w:t>防渗等级</w:t>
                  </w:r>
                </w:p>
              </w:tc>
              <w:tc>
                <w:tcPr>
                  <w:tcW w:w="4443" w:type="dxa"/>
                  <w:tcBorders>
                    <w:tl2br w:val="nil"/>
                    <w:tr2bl w:val="nil"/>
                  </w:tcBorders>
                  <w:noWrap/>
                  <w:vAlign w:val="center"/>
                </w:tcPr>
                <w:p w14:paraId="2A03BBE7">
                  <w:pPr>
                    <w:autoSpaceDE w:val="0"/>
                    <w:autoSpaceDN w:val="0"/>
                    <w:spacing w:after="0"/>
                    <w:jc w:val="center"/>
                    <w:rPr>
                      <w:rFonts w:ascii="Times New Roman" w:hAnsi="Times New Roman"/>
                      <w:b/>
                      <w:color w:val="auto"/>
                      <w:szCs w:val="21"/>
                      <w:highlight w:val="none"/>
                    </w:rPr>
                  </w:pPr>
                  <w:r>
                    <w:rPr>
                      <w:rFonts w:ascii="Times New Roman" w:hAnsi="宋体"/>
                      <w:b/>
                      <w:color w:val="auto"/>
                      <w:szCs w:val="21"/>
                      <w:highlight w:val="none"/>
                    </w:rPr>
                    <w:t>防渗技术要求</w:t>
                  </w:r>
                </w:p>
              </w:tc>
            </w:tr>
            <w:tr w14:paraId="106A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Borders>
                    <w:tl2br w:val="nil"/>
                    <w:tr2bl w:val="nil"/>
                  </w:tcBorders>
                  <w:noWrap/>
                  <w:vAlign w:val="center"/>
                </w:tcPr>
                <w:p w14:paraId="54744DBC">
                  <w:pPr>
                    <w:autoSpaceDE w:val="0"/>
                    <w:autoSpaceDN w:val="0"/>
                    <w:spacing w:after="0"/>
                    <w:jc w:val="center"/>
                    <w:rPr>
                      <w:rFonts w:ascii="Times New Roman" w:hAnsi="Times New Roman"/>
                      <w:color w:val="auto"/>
                      <w:szCs w:val="21"/>
                      <w:highlight w:val="none"/>
                    </w:rPr>
                  </w:pPr>
                  <w:r>
                    <w:rPr>
                      <w:rFonts w:hint="eastAsia" w:ascii="Times New Roman" w:hAnsi="Times New Roman"/>
                      <w:color w:val="auto"/>
                      <w:szCs w:val="21"/>
                      <w:highlight w:val="none"/>
                    </w:rPr>
                    <w:t>危废暂存间</w:t>
                  </w:r>
                </w:p>
              </w:tc>
              <w:tc>
                <w:tcPr>
                  <w:tcW w:w="959" w:type="dxa"/>
                  <w:tcBorders>
                    <w:tl2br w:val="nil"/>
                    <w:tr2bl w:val="nil"/>
                  </w:tcBorders>
                  <w:noWrap/>
                  <w:vAlign w:val="center"/>
                </w:tcPr>
                <w:p w14:paraId="136F5E1D">
                  <w:pPr>
                    <w:autoSpaceDE w:val="0"/>
                    <w:autoSpaceDN w:val="0"/>
                    <w:spacing w:after="0"/>
                    <w:jc w:val="center"/>
                    <w:rPr>
                      <w:rFonts w:ascii="Times New Roman" w:hAnsi="Times New Roman"/>
                      <w:color w:val="auto"/>
                      <w:szCs w:val="21"/>
                      <w:highlight w:val="none"/>
                    </w:rPr>
                  </w:pPr>
                  <w:r>
                    <w:rPr>
                      <w:rFonts w:ascii="Times New Roman" w:hAnsi="宋体"/>
                      <w:color w:val="auto"/>
                      <w:szCs w:val="21"/>
                      <w:highlight w:val="none"/>
                    </w:rPr>
                    <w:t>重点防渗区</w:t>
                  </w:r>
                </w:p>
              </w:tc>
              <w:tc>
                <w:tcPr>
                  <w:tcW w:w="4443" w:type="dxa"/>
                  <w:tcBorders>
                    <w:tl2br w:val="nil"/>
                    <w:tr2bl w:val="nil"/>
                  </w:tcBorders>
                  <w:noWrap/>
                  <w:vAlign w:val="center"/>
                </w:tcPr>
                <w:p w14:paraId="06FBE7B4">
                  <w:pPr>
                    <w:autoSpaceDE w:val="0"/>
                    <w:autoSpaceDN w:val="0"/>
                    <w:spacing w:after="0"/>
                    <w:jc w:val="center"/>
                    <w:rPr>
                      <w:rFonts w:ascii="Times New Roman" w:hAnsi="Times New Roman"/>
                      <w:color w:val="auto"/>
                      <w:szCs w:val="21"/>
                      <w:highlight w:val="none"/>
                    </w:rPr>
                  </w:pP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高密度聚乙烯（HDPE）防渗膜（厚度≥1.5mm）+土工布（两布一膜）</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复合防渗结构，膜下铺设10cm厚中粗砂垫层，膜上覆盖5cm厚中粗砂保护层，等效粘土防渗层厚度≥6.0m，渗透系数≤10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p>
              </w:tc>
            </w:tr>
            <w:tr w14:paraId="7BB3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Borders>
                    <w:tl2br w:val="nil"/>
                    <w:tr2bl w:val="nil"/>
                  </w:tcBorders>
                  <w:noWrap/>
                  <w:vAlign w:val="center"/>
                </w:tcPr>
                <w:p w14:paraId="78BC361C">
                  <w:pPr>
                    <w:autoSpaceDE w:val="0"/>
                    <w:autoSpaceDN w:val="0"/>
                    <w:spacing w:after="0"/>
                    <w:jc w:val="center"/>
                    <w:rPr>
                      <w:rFonts w:ascii="Times New Roman" w:hAnsi="Times New Roman"/>
                      <w:color w:val="auto"/>
                      <w:szCs w:val="21"/>
                      <w:highlight w:val="none"/>
                    </w:rPr>
                  </w:pPr>
                  <w:r>
                    <w:rPr>
                      <w:rFonts w:hint="eastAsia" w:ascii="Times New Roman" w:hAnsi="Times New Roman"/>
                      <w:color w:val="auto"/>
                      <w:szCs w:val="21"/>
                      <w:highlight w:val="none"/>
                    </w:rPr>
                    <w:t>钻机房井口区域、泥浆池、沉淀池、</w:t>
                  </w:r>
                  <w:r>
                    <w:rPr>
                      <w:rFonts w:hint="eastAsia" w:ascii="Times New Roman" w:hAnsi="Times New Roman"/>
                      <w:color w:val="auto"/>
                      <w:szCs w:val="21"/>
                      <w:highlight w:val="none"/>
                      <w:lang w:eastAsia="zh-CN"/>
                    </w:rPr>
                    <w:t>废浆池</w:t>
                  </w:r>
                </w:p>
              </w:tc>
              <w:tc>
                <w:tcPr>
                  <w:tcW w:w="959" w:type="dxa"/>
                  <w:tcBorders>
                    <w:tl2br w:val="nil"/>
                    <w:tr2bl w:val="nil"/>
                  </w:tcBorders>
                  <w:noWrap/>
                  <w:vAlign w:val="center"/>
                </w:tcPr>
                <w:p w14:paraId="1FC25AAE">
                  <w:pPr>
                    <w:autoSpaceDE w:val="0"/>
                    <w:autoSpaceDN w:val="0"/>
                    <w:spacing w:after="0"/>
                    <w:jc w:val="center"/>
                    <w:rPr>
                      <w:rFonts w:ascii="Times New Roman" w:hAnsi="Times New Roman"/>
                      <w:color w:val="auto"/>
                      <w:szCs w:val="21"/>
                      <w:highlight w:val="none"/>
                    </w:rPr>
                  </w:pPr>
                  <w:r>
                    <w:rPr>
                      <w:rFonts w:ascii="Times New Roman" w:hAnsi="宋体"/>
                      <w:color w:val="auto"/>
                      <w:szCs w:val="21"/>
                      <w:highlight w:val="none"/>
                    </w:rPr>
                    <w:t>一般防渗区</w:t>
                  </w:r>
                </w:p>
              </w:tc>
              <w:tc>
                <w:tcPr>
                  <w:tcW w:w="4443" w:type="dxa"/>
                  <w:tcBorders>
                    <w:tl2br w:val="nil"/>
                    <w:tr2bl w:val="nil"/>
                  </w:tcBorders>
                  <w:noWrap/>
                  <w:vAlign w:val="center"/>
                </w:tcPr>
                <w:p w14:paraId="20D9049C">
                  <w:pPr>
                    <w:autoSpaceDE w:val="0"/>
                    <w:autoSpaceDN w:val="0"/>
                    <w:spacing w:after="0"/>
                    <w:jc w:val="center"/>
                    <w:rPr>
                      <w:rFonts w:ascii="Times New Roman" w:hAnsi="Times New Roman"/>
                      <w:color w:val="auto"/>
                      <w:szCs w:val="21"/>
                      <w:highlight w:val="none"/>
                    </w:rPr>
                  </w:pPr>
                  <w:r>
                    <w:rPr>
                      <w:rFonts w:hint="eastAsia" w:ascii="Times New Roman" w:hAnsi="Times New Roman"/>
                      <w:color w:val="auto"/>
                      <w:szCs w:val="21"/>
                      <w:highlight w:val="none"/>
                    </w:rPr>
                    <w:t>铺设单层高密度聚乙烯（HDPE）防渗膜（厚度≥1.0mm），膜下铺设8cm厚中粗砂垫层，膜上覆盖5cm厚中粗砂保护层，等效粘土防渗层厚度≥1.5m，渗透系数≤10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p>
              </w:tc>
            </w:tr>
            <w:tr w14:paraId="1FF3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Borders>
                    <w:tl2br w:val="nil"/>
                    <w:tr2bl w:val="nil"/>
                  </w:tcBorders>
                  <w:noWrap/>
                  <w:vAlign w:val="center"/>
                </w:tcPr>
                <w:p w14:paraId="50557656">
                  <w:pPr>
                    <w:autoSpaceDE w:val="0"/>
                    <w:autoSpaceDN w:val="0"/>
                    <w:spacing w:after="0"/>
                    <w:jc w:val="center"/>
                    <w:rPr>
                      <w:rFonts w:ascii="Times New Roman" w:hAnsi="Times New Roman"/>
                      <w:color w:val="auto"/>
                      <w:szCs w:val="21"/>
                      <w:highlight w:val="none"/>
                    </w:rPr>
                  </w:pPr>
                  <w:r>
                    <w:rPr>
                      <w:rFonts w:ascii="Times New Roman" w:hAnsi="Times New Roman"/>
                      <w:color w:val="auto"/>
                      <w:szCs w:val="21"/>
                      <w:highlight w:val="none"/>
                    </w:rPr>
                    <w:t>除重点防渗区和一般防渗区以外的其他区域</w:t>
                  </w:r>
                </w:p>
              </w:tc>
              <w:tc>
                <w:tcPr>
                  <w:tcW w:w="959" w:type="dxa"/>
                  <w:tcBorders>
                    <w:tl2br w:val="nil"/>
                    <w:tr2bl w:val="nil"/>
                  </w:tcBorders>
                  <w:noWrap/>
                  <w:vAlign w:val="center"/>
                </w:tcPr>
                <w:p w14:paraId="18BF7FCB">
                  <w:pPr>
                    <w:autoSpaceDE w:val="0"/>
                    <w:autoSpaceDN w:val="0"/>
                    <w:spacing w:after="0"/>
                    <w:jc w:val="center"/>
                    <w:rPr>
                      <w:rFonts w:ascii="Times New Roman" w:hAnsi="Times New Roman"/>
                      <w:color w:val="auto"/>
                      <w:szCs w:val="21"/>
                      <w:highlight w:val="none"/>
                    </w:rPr>
                  </w:pPr>
                  <w:r>
                    <w:rPr>
                      <w:rFonts w:ascii="Times New Roman" w:hAnsi="宋体"/>
                      <w:color w:val="auto"/>
                      <w:szCs w:val="21"/>
                      <w:highlight w:val="none"/>
                    </w:rPr>
                    <w:t>简单防渗区</w:t>
                  </w:r>
                </w:p>
              </w:tc>
              <w:tc>
                <w:tcPr>
                  <w:tcW w:w="4443" w:type="dxa"/>
                  <w:tcBorders>
                    <w:tl2br w:val="nil"/>
                    <w:tr2bl w:val="nil"/>
                  </w:tcBorders>
                  <w:noWrap/>
                  <w:vAlign w:val="center"/>
                </w:tcPr>
                <w:p w14:paraId="5CD2D3EB">
                  <w:pPr>
                    <w:autoSpaceDE w:val="0"/>
                    <w:autoSpaceDN w:val="0"/>
                    <w:spacing w:after="0"/>
                    <w:jc w:val="center"/>
                    <w:rPr>
                      <w:rFonts w:ascii="Times New Roman" w:hAnsi="Times New Roman"/>
                      <w:color w:val="auto"/>
                      <w:szCs w:val="21"/>
                      <w:highlight w:val="none"/>
                    </w:rPr>
                  </w:pPr>
                  <w:r>
                    <w:rPr>
                      <w:rFonts w:hint="eastAsia" w:ascii="Times New Roman" w:hAnsi="宋体"/>
                      <w:color w:val="auto"/>
                      <w:szCs w:val="21"/>
                      <w:highlight w:val="none"/>
                    </w:rPr>
                    <w:t>采用</w:t>
                  </w:r>
                  <w:r>
                    <w:rPr>
                      <w:rFonts w:hint="eastAsia" w:ascii="Times New Roman" w:hAnsi="宋体"/>
                      <w:color w:val="auto"/>
                      <w:szCs w:val="21"/>
                      <w:highlight w:val="none"/>
                      <w:lang w:eastAsia="zh-CN"/>
                    </w:rPr>
                    <w:t>“</w:t>
                  </w:r>
                  <w:r>
                    <w:rPr>
                      <w:rFonts w:hint="eastAsia" w:ascii="Times New Roman" w:hAnsi="宋体"/>
                      <w:color w:val="auto"/>
                      <w:szCs w:val="21"/>
                      <w:highlight w:val="none"/>
                    </w:rPr>
                    <w:t>压实土壤+土工布覆盖</w:t>
                  </w:r>
                  <w:r>
                    <w:rPr>
                      <w:rFonts w:hint="eastAsia" w:ascii="Times New Roman" w:hAnsi="宋体"/>
                      <w:color w:val="auto"/>
                      <w:szCs w:val="21"/>
                      <w:highlight w:val="none"/>
                      <w:lang w:eastAsia="zh-CN"/>
                    </w:rPr>
                    <w:t>”</w:t>
                  </w:r>
                  <w:r>
                    <w:rPr>
                      <w:rFonts w:hint="eastAsia" w:ascii="Times New Roman" w:hAnsi="宋体"/>
                      <w:color w:val="auto"/>
                      <w:szCs w:val="21"/>
                      <w:highlight w:val="none"/>
                    </w:rPr>
                    <w:t>处理，压实度≥93%</w:t>
                  </w:r>
                </w:p>
              </w:tc>
            </w:tr>
          </w:tbl>
          <w:p w14:paraId="6E944F57">
            <w:pPr>
              <w:pStyle w:val="7"/>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b/>
                <w:bCs/>
                <w:color w:val="auto"/>
                <w:szCs w:val="24"/>
                <w:highlight w:val="none"/>
              </w:rPr>
            </w:pPr>
            <w:r>
              <w:rPr>
                <w:color w:val="auto"/>
              </w:rPr>
              <w:drawing>
                <wp:inline distT="0" distB="0" distL="114300" distR="114300">
                  <wp:extent cx="5113655" cy="3462655"/>
                  <wp:effectExtent l="0" t="0" r="4445" b="44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8"/>
                          <a:stretch>
                            <a:fillRect/>
                          </a:stretch>
                        </pic:blipFill>
                        <pic:spPr>
                          <a:xfrm>
                            <a:off x="0" y="0"/>
                            <a:ext cx="5113655" cy="3462655"/>
                          </a:xfrm>
                          <a:prstGeom prst="rect">
                            <a:avLst/>
                          </a:prstGeom>
                          <a:noFill/>
                          <a:ln>
                            <a:noFill/>
                          </a:ln>
                        </pic:spPr>
                      </pic:pic>
                    </a:graphicData>
                  </a:graphic>
                </wp:inline>
              </w:drawing>
            </w:r>
          </w:p>
          <w:p w14:paraId="5E2851E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b/>
                <w:color w:val="auto"/>
                <w:szCs w:val="21"/>
                <w:highlight w:val="none"/>
                <w:lang w:val="en-US" w:eastAsia="zh-CN"/>
              </w:rPr>
            </w:pPr>
            <w:r>
              <w:rPr>
                <w:rFonts w:hint="eastAsia" w:ascii="Times New Roman" w:hAnsi="Times New Roman"/>
                <w:b/>
                <w:color w:val="auto"/>
                <w:szCs w:val="21"/>
                <w:highlight w:val="none"/>
                <w:lang w:val="en-US" w:eastAsia="zh-CN"/>
              </w:rPr>
              <w:t>图</w:t>
            </w:r>
            <w:r>
              <w:rPr>
                <w:rFonts w:ascii="Times New Roman" w:hAnsi="Times New Roman"/>
                <w:b/>
                <w:color w:val="auto"/>
                <w:szCs w:val="21"/>
                <w:highlight w:val="none"/>
              </w:rPr>
              <w:t>4-</w:t>
            </w:r>
            <w:r>
              <w:rPr>
                <w:rFonts w:hint="eastAsia" w:ascii="Times New Roman" w:hAnsi="Times New Roman"/>
                <w:b/>
                <w:color w:val="auto"/>
                <w:szCs w:val="21"/>
                <w:highlight w:val="none"/>
                <w:lang w:val="en-US" w:eastAsia="zh-CN"/>
              </w:rPr>
              <w:t>1</w:t>
            </w:r>
            <w:r>
              <w:rPr>
                <w:rFonts w:ascii="Times New Roman" w:hAnsi="Times New Roman"/>
                <w:b/>
                <w:color w:val="auto"/>
                <w:szCs w:val="21"/>
                <w:highlight w:val="none"/>
              </w:rPr>
              <w:t xml:space="preserve"> </w:t>
            </w:r>
            <w:r>
              <w:rPr>
                <w:rFonts w:hint="eastAsia" w:ascii="Times New Roman" w:hAnsi="Times New Roman"/>
                <w:b/>
                <w:color w:val="auto"/>
                <w:szCs w:val="21"/>
                <w:highlight w:val="none"/>
                <w:lang w:val="en-US" w:eastAsia="zh-CN"/>
              </w:rPr>
              <w:t>分区防渗图</w:t>
            </w:r>
          </w:p>
          <w:p w14:paraId="5CB69C50">
            <w:pPr>
              <w:pStyle w:val="7"/>
              <w:adjustRightInd w:val="0"/>
              <w:snapToGrid w:val="0"/>
              <w:spacing w:after="0" w:line="360" w:lineRule="auto"/>
              <w:ind w:firstLine="482" w:firstLineChars="200"/>
              <w:jc w:val="both"/>
              <w:rPr>
                <w:b/>
                <w:bCs/>
                <w:color w:val="auto"/>
                <w:szCs w:val="24"/>
                <w:highlight w:val="none"/>
              </w:rPr>
            </w:pPr>
            <w:r>
              <w:rPr>
                <w:b/>
                <w:bCs/>
                <w:color w:val="auto"/>
                <w:szCs w:val="24"/>
                <w:highlight w:val="none"/>
              </w:rPr>
              <w:t>7、</w:t>
            </w:r>
            <w:r>
              <w:rPr>
                <w:rFonts w:hint="eastAsia"/>
                <w:b/>
                <w:bCs/>
                <w:color w:val="auto"/>
                <w:szCs w:val="24"/>
                <w:highlight w:val="none"/>
              </w:rPr>
              <w:t>表土堆放场防治区影响分析</w:t>
            </w:r>
          </w:p>
          <w:p w14:paraId="42EE8671">
            <w:pPr>
              <w:spacing w:after="0" w:line="360" w:lineRule="auto"/>
              <w:ind w:firstLine="480"/>
              <w:rPr>
                <w:rStyle w:val="44"/>
                <w:rFonts w:hint="default" w:ascii="Times New Roman" w:hAnsi="宋体"/>
                <w:color w:val="auto"/>
                <w:highlight w:val="none"/>
              </w:rPr>
            </w:pPr>
            <w:r>
              <w:rPr>
                <w:rFonts w:ascii="Times New Roman" w:hAnsi="宋体"/>
                <w:bCs/>
                <w:color w:val="auto"/>
                <w:sz w:val="24"/>
                <w:highlight w:val="none"/>
              </w:rPr>
              <w:t>根据本项目在实施前办理项目临时用地批复时已编制了《临时用地复垦方案》，项目区域</w:t>
            </w:r>
            <w:r>
              <w:rPr>
                <w:rStyle w:val="44"/>
                <w:rFonts w:hint="default" w:ascii="Times New Roman" w:hAnsi="宋体"/>
                <w:color w:val="auto"/>
                <w:highlight w:val="none"/>
              </w:rPr>
              <w:t>表土剥离时应选择土质较好，适合农作物生长的土地，此次对项目区内的耕地表土进行20-</w:t>
            </w:r>
            <w:r>
              <w:rPr>
                <w:rStyle w:val="44"/>
                <w:rFonts w:hint="default" w:ascii="Times New Roman" w:hAnsi="Times New Roman"/>
                <w:color w:val="auto"/>
                <w:highlight w:val="none"/>
              </w:rPr>
              <w:t>30cm</w:t>
            </w:r>
            <w:r>
              <w:rPr>
                <w:rStyle w:val="44"/>
                <w:rFonts w:hint="default" w:ascii="Times New Roman" w:hAnsi="宋体"/>
                <w:color w:val="auto"/>
                <w:highlight w:val="none"/>
              </w:rPr>
              <w:t>厚剥离（本次评价按25cm计）。</w:t>
            </w:r>
            <w:r>
              <w:rPr>
                <w:rFonts w:hint="eastAsia" w:ascii="Times New Roman" w:hAnsi="宋体"/>
                <w:color w:val="auto"/>
                <w:sz w:val="24"/>
                <w:highlight w:val="none"/>
              </w:rPr>
              <w:t>项目区共</w:t>
            </w:r>
            <w:r>
              <w:rPr>
                <w:rFonts w:hint="eastAsia" w:ascii="Times New Roman" w:hAnsi="宋体"/>
                <w:color w:val="auto"/>
                <w:sz w:val="24"/>
                <w:highlight w:val="none"/>
                <w:lang w:val="en-US" w:eastAsia="zh-CN"/>
              </w:rPr>
              <w:t>19</w:t>
            </w:r>
            <w:r>
              <w:rPr>
                <w:rFonts w:hint="eastAsia" w:ascii="Times New Roman" w:hAnsi="宋体"/>
                <w:color w:val="auto"/>
                <w:sz w:val="24"/>
                <w:highlight w:val="none"/>
              </w:rPr>
              <w:t>个地块，井场总面积</w:t>
            </w:r>
            <w:r>
              <w:rPr>
                <w:rFonts w:hint="eastAsia" w:ascii="Times New Roman" w:hAnsi="宋体"/>
                <w:color w:val="auto"/>
                <w:sz w:val="24"/>
                <w:highlight w:val="none"/>
                <w:lang w:eastAsia="zh-CN"/>
              </w:rPr>
              <w:t>28268</w:t>
            </w:r>
            <w:r>
              <w:rPr>
                <w:rFonts w:ascii="Times New Roman" w:hAnsi="Times New Roman"/>
                <w:bCs/>
                <w:color w:val="auto"/>
                <w:sz w:val="24"/>
                <w:highlight w:val="none"/>
              </w:rPr>
              <w:t>m</w:t>
            </w:r>
            <w:r>
              <w:rPr>
                <w:rFonts w:ascii="Times New Roman" w:hAnsi="Times New Roman"/>
                <w:bCs/>
                <w:color w:val="auto"/>
                <w:sz w:val="24"/>
                <w:highlight w:val="none"/>
                <w:vertAlign w:val="superscript"/>
              </w:rPr>
              <w:t>2</w:t>
            </w:r>
            <w:r>
              <w:rPr>
                <w:rFonts w:hint="eastAsia" w:ascii="Times New Roman" w:hAnsi="宋体"/>
                <w:color w:val="auto"/>
                <w:sz w:val="24"/>
                <w:highlight w:val="none"/>
              </w:rPr>
              <w:t>，耕地总面积</w:t>
            </w:r>
            <w:r>
              <w:rPr>
                <w:rFonts w:hint="eastAsia" w:ascii="Times New Roman" w:hAnsi="宋体"/>
                <w:color w:val="auto"/>
                <w:sz w:val="24"/>
                <w:highlight w:val="none"/>
                <w:lang w:val="en-US" w:eastAsia="zh-CN"/>
              </w:rPr>
              <w:t>30623</w:t>
            </w:r>
            <w:r>
              <w:rPr>
                <w:rFonts w:ascii="Times New Roman" w:hAnsi="Times New Roman"/>
                <w:bCs/>
                <w:color w:val="auto"/>
                <w:sz w:val="24"/>
                <w:highlight w:val="none"/>
              </w:rPr>
              <w:t>m</w:t>
            </w:r>
            <w:r>
              <w:rPr>
                <w:rFonts w:ascii="Times New Roman" w:hAnsi="Times New Roman"/>
                <w:bCs/>
                <w:color w:val="auto"/>
                <w:sz w:val="24"/>
                <w:highlight w:val="none"/>
                <w:vertAlign w:val="superscript"/>
              </w:rPr>
              <w:t>2</w:t>
            </w:r>
            <w:r>
              <w:rPr>
                <w:rFonts w:hint="eastAsia" w:ascii="Times New Roman" w:hAnsi="宋体"/>
                <w:color w:val="auto"/>
                <w:sz w:val="24"/>
                <w:highlight w:val="none"/>
              </w:rPr>
              <w:t>，表土剥离堆放场总底面积</w:t>
            </w:r>
            <w:r>
              <w:rPr>
                <w:rFonts w:hint="eastAsia" w:ascii="Times New Roman" w:hAnsi="宋体"/>
                <w:color w:val="auto"/>
                <w:sz w:val="24"/>
                <w:highlight w:val="none"/>
                <w:lang w:val="en-US" w:eastAsia="zh-CN"/>
              </w:rPr>
              <w:t>4873</w:t>
            </w:r>
            <w:r>
              <w:rPr>
                <w:rFonts w:hint="eastAsia" w:ascii="Times New Roman" w:hAnsi="宋体"/>
                <w:color w:val="auto"/>
                <w:sz w:val="24"/>
                <w:highlight w:val="none"/>
              </w:rPr>
              <w:t>m</w:t>
            </w:r>
            <w:r>
              <w:rPr>
                <w:rFonts w:hint="eastAsia" w:ascii="Times New Roman" w:hAnsi="宋体"/>
                <w:color w:val="auto"/>
                <w:sz w:val="24"/>
                <w:highlight w:val="none"/>
                <w:vertAlign w:val="superscript"/>
              </w:rPr>
              <w:t>2</w:t>
            </w:r>
            <w:r>
              <w:rPr>
                <w:rFonts w:hint="eastAsia" w:ascii="Times New Roman" w:hAnsi="宋体"/>
                <w:color w:val="auto"/>
                <w:sz w:val="24"/>
                <w:highlight w:val="none"/>
              </w:rPr>
              <w:t>，表土剥离量（</w:t>
            </w:r>
            <w:r>
              <w:rPr>
                <w:rFonts w:hint="eastAsia" w:ascii="Times New Roman" w:hAnsi="宋体"/>
                <w:color w:val="auto"/>
                <w:sz w:val="24"/>
                <w:highlight w:val="none"/>
                <w:lang w:eastAsia="zh-CN"/>
              </w:rPr>
              <w:t>28268</w:t>
            </w:r>
            <w:r>
              <w:rPr>
                <w:rFonts w:hint="eastAsia" w:ascii="Times New Roman" w:hAnsi="宋体"/>
                <w:color w:val="auto"/>
                <w:sz w:val="24"/>
                <w:highlight w:val="none"/>
              </w:rPr>
              <w:t>-</w:t>
            </w:r>
            <w:r>
              <w:rPr>
                <w:rFonts w:hint="eastAsia" w:ascii="Times New Roman" w:hAnsi="宋体"/>
                <w:color w:val="auto"/>
                <w:sz w:val="24"/>
                <w:highlight w:val="none"/>
                <w:lang w:val="en-US" w:eastAsia="zh-CN"/>
              </w:rPr>
              <w:t>4873</w:t>
            </w:r>
            <w:r>
              <w:rPr>
                <w:rFonts w:hint="eastAsia" w:ascii="Times New Roman" w:hAnsi="宋体"/>
                <w:color w:val="auto"/>
                <w:sz w:val="24"/>
                <w:highlight w:val="none"/>
              </w:rPr>
              <w:t>）</w:t>
            </w:r>
            <w:r>
              <w:rPr>
                <w:rFonts w:ascii="Times New Roman" w:hAnsi="Times New Roman"/>
                <w:bCs/>
                <w:color w:val="auto"/>
                <w:sz w:val="24"/>
                <w:highlight w:val="none"/>
              </w:rPr>
              <w:t>m</w:t>
            </w:r>
            <w:r>
              <w:rPr>
                <w:rFonts w:ascii="Times New Roman" w:hAnsi="Times New Roman"/>
                <w:bCs/>
                <w:color w:val="auto"/>
                <w:sz w:val="24"/>
                <w:highlight w:val="none"/>
                <w:vertAlign w:val="superscript"/>
              </w:rPr>
              <w:t>2</w:t>
            </w:r>
            <w:r>
              <w:rPr>
                <w:rFonts w:hint="eastAsia" w:ascii="Times New Roman" w:hAnsi="宋体"/>
                <w:color w:val="auto"/>
                <w:sz w:val="24"/>
                <w:highlight w:val="none"/>
              </w:rPr>
              <w:t>*0.25m=</w:t>
            </w:r>
            <w:r>
              <w:rPr>
                <w:rFonts w:hint="eastAsia" w:ascii="Times New Roman" w:hAnsi="宋体"/>
                <w:color w:val="auto"/>
                <w:sz w:val="24"/>
                <w:highlight w:val="none"/>
                <w:lang w:val="en-US" w:eastAsia="zh-CN"/>
              </w:rPr>
              <w:t>5849</w:t>
            </w:r>
            <w:r>
              <w:rPr>
                <w:rFonts w:hint="eastAsia" w:ascii="Times New Roman" w:hAnsi="宋体"/>
                <w:color w:val="auto"/>
                <w:sz w:val="24"/>
                <w:highlight w:val="none"/>
              </w:rPr>
              <w:t>m</w:t>
            </w:r>
            <w:r>
              <w:rPr>
                <w:rFonts w:ascii="Times New Roman" w:hAnsi="Times New Roman"/>
                <w:color w:val="auto"/>
                <w:sz w:val="24"/>
                <w:highlight w:val="none"/>
                <w:vertAlign w:val="superscript"/>
              </w:rPr>
              <w:t>3</w:t>
            </w:r>
            <w:r>
              <w:rPr>
                <w:rFonts w:ascii="Times New Roman" w:hAnsi="宋体"/>
                <w:color w:val="auto"/>
                <w:sz w:val="24"/>
                <w:highlight w:val="none"/>
              </w:rPr>
              <w:t>。</w:t>
            </w:r>
            <w:r>
              <w:rPr>
                <w:rStyle w:val="44"/>
                <w:rFonts w:hint="default" w:ascii="Times New Roman" w:hAnsi="宋体"/>
                <w:color w:val="auto"/>
                <w:highlight w:val="none"/>
              </w:rPr>
              <w:t>在复垦后期，为了恢复项目区土壤肥力，需回填具有肥力的表土。本项目将前期剥离的表土进行回填至原区域内，回填对象为项目区内耕地部分，回填面积为</w:t>
            </w:r>
            <w:r>
              <w:rPr>
                <w:rFonts w:hint="eastAsia" w:ascii="Times New Roman" w:hAnsi="Times New Roman"/>
                <w:color w:val="auto"/>
                <w:sz w:val="24"/>
                <w:highlight w:val="none"/>
                <w:lang w:val="en-US" w:eastAsia="zh-CN"/>
              </w:rPr>
              <w:t>30623</w:t>
            </w:r>
            <w:r>
              <w:rPr>
                <w:rFonts w:ascii="Times New Roman" w:hAnsi="Times New Roman"/>
                <w:bCs/>
                <w:color w:val="auto"/>
                <w:sz w:val="24"/>
                <w:highlight w:val="none"/>
              </w:rPr>
              <w:t>m</w:t>
            </w:r>
            <w:r>
              <w:rPr>
                <w:rFonts w:ascii="Times New Roman" w:hAnsi="Times New Roman"/>
                <w:bCs/>
                <w:color w:val="auto"/>
                <w:sz w:val="24"/>
                <w:highlight w:val="none"/>
                <w:vertAlign w:val="superscript"/>
              </w:rPr>
              <w:t>2</w:t>
            </w:r>
            <w:r>
              <w:rPr>
                <w:rStyle w:val="44"/>
                <w:rFonts w:hint="default" w:ascii="Times New Roman" w:hAnsi="宋体"/>
                <w:color w:val="auto"/>
                <w:highlight w:val="none"/>
              </w:rPr>
              <w:t>，回填厚度为</w:t>
            </w:r>
            <w:r>
              <w:rPr>
                <w:rStyle w:val="44"/>
                <w:rFonts w:hint="default" w:ascii="Times New Roman" w:hAnsi="Times New Roman"/>
                <w:color w:val="auto"/>
                <w:highlight w:val="none"/>
              </w:rPr>
              <w:t>0.25m</w:t>
            </w:r>
            <w:r>
              <w:rPr>
                <w:rStyle w:val="44"/>
                <w:rFonts w:hint="default" w:ascii="Times New Roman" w:hAnsi="宋体"/>
                <w:color w:val="auto"/>
                <w:highlight w:val="none"/>
              </w:rPr>
              <w:t>，回填土方为</w:t>
            </w:r>
            <w:r>
              <w:rPr>
                <w:rStyle w:val="44"/>
                <w:rFonts w:hint="eastAsia" w:ascii="Times New Roman" w:hAnsi="宋体"/>
                <w:color w:val="auto"/>
                <w:highlight w:val="none"/>
                <w:lang w:val="en-US" w:eastAsia="zh-CN"/>
              </w:rPr>
              <w:t>5849</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Style w:val="44"/>
                <w:rFonts w:hint="default" w:ascii="Times New Roman" w:hAnsi="宋体"/>
                <w:color w:val="auto"/>
                <w:highlight w:val="none"/>
              </w:rPr>
              <w:t>。</w:t>
            </w:r>
          </w:p>
          <w:p w14:paraId="03952F41">
            <w:pPr>
              <w:spacing w:after="0" w:line="360" w:lineRule="auto"/>
              <w:ind w:firstLine="480"/>
              <w:rPr>
                <w:rStyle w:val="44"/>
                <w:rFonts w:hint="default" w:ascii="Times New Roman" w:hAnsi="宋体"/>
                <w:color w:val="auto"/>
                <w:highlight w:val="none"/>
              </w:rPr>
            </w:pPr>
            <w:r>
              <w:rPr>
                <w:rStyle w:val="44"/>
                <w:rFonts w:hint="default" w:ascii="Times New Roman" w:hAnsi="宋体"/>
                <w:color w:val="auto"/>
                <w:highlight w:val="none"/>
              </w:rPr>
              <w:t>钻井过程中产生的岩芯碎屑（体积约</w:t>
            </w:r>
            <w:r>
              <w:rPr>
                <w:rStyle w:val="44"/>
                <w:rFonts w:hint="eastAsia" w:ascii="Times New Roman" w:hAnsi="宋体"/>
                <w:color w:val="auto"/>
                <w:highlight w:val="none"/>
                <w:lang w:val="en-US" w:eastAsia="zh-CN"/>
              </w:rPr>
              <w:t>7.03</w:t>
            </w:r>
            <w:r>
              <w:rPr>
                <w:rStyle w:val="44"/>
                <w:rFonts w:hint="default" w:ascii="Times New Roman" w:hAnsi="宋体"/>
                <w:color w:val="auto"/>
                <w:highlight w:val="none"/>
              </w:rPr>
              <w:t>m</w:t>
            </w:r>
            <w:r>
              <w:rPr>
                <w:rStyle w:val="44"/>
                <w:rFonts w:hint="default" w:ascii="Times New Roman" w:hAnsi="宋体"/>
                <w:color w:val="auto"/>
                <w:highlight w:val="none"/>
                <w:vertAlign w:val="superscript"/>
              </w:rPr>
              <w:t>3</w:t>
            </w:r>
            <w:r>
              <w:rPr>
                <w:rStyle w:val="44"/>
                <w:rFonts w:hint="default" w:ascii="Times New Roman" w:hAnsi="宋体"/>
                <w:color w:val="auto"/>
                <w:highlight w:val="none"/>
              </w:rPr>
              <w:t>）也纳入土石方统筹管理：岩芯碎屑随钻井泥浆分离后，集中存放于</w:t>
            </w:r>
            <w:r>
              <w:rPr>
                <w:rStyle w:val="44"/>
                <w:rFonts w:hint="eastAsia" w:ascii="Times New Roman" w:hAnsi="宋体"/>
                <w:color w:val="auto"/>
                <w:highlight w:val="none"/>
                <w:lang w:eastAsia="zh-CN"/>
              </w:rPr>
              <w:t>岩芯堆放区</w:t>
            </w:r>
            <w:r>
              <w:rPr>
                <w:rStyle w:val="44"/>
                <w:rFonts w:hint="default" w:ascii="Times New Roman" w:hAnsi="宋体"/>
                <w:color w:val="auto"/>
                <w:highlight w:val="none"/>
              </w:rPr>
              <w:t>，委托建材单位综合利用。</w:t>
            </w:r>
          </w:p>
          <w:p w14:paraId="5172B0C5">
            <w:pPr>
              <w:pStyle w:val="31"/>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ascii="Times New Roman" w:hAnsi="Times New Roman"/>
                <w:color w:val="auto"/>
                <w:highlight w:val="none"/>
              </w:rPr>
            </w:pPr>
            <w:r>
              <w:rPr>
                <w:rFonts w:hint="eastAsia" w:ascii="Times New Roman" w:hAnsi="Times New Roman"/>
                <w:color w:val="auto"/>
                <w:highlight w:val="none"/>
              </w:rPr>
              <w:drawing>
                <wp:inline distT="0" distB="0" distL="114300" distR="114300">
                  <wp:extent cx="5239385" cy="2104390"/>
                  <wp:effectExtent l="0" t="0" r="5715" b="3810"/>
                  <wp:docPr id="6" name="F360BE8B-6686-4F3D-AEAF-501FE73E4058-3" descr="C:/Users/11279/AppData/Local/Temp/绘图1(8).png绘图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360BE8B-6686-4F3D-AEAF-501FE73E4058-3" descr="C:/Users/11279/AppData/Local/Temp/绘图1(8).png绘图1(8)"/>
                          <pic:cNvPicPr>
                            <a:picLocks noChangeAspect="1"/>
                          </pic:cNvPicPr>
                        </pic:nvPicPr>
                        <pic:blipFill>
                          <a:blip r:embed="rId39"/>
                          <a:stretch>
                            <a:fillRect/>
                          </a:stretch>
                        </pic:blipFill>
                        <pic:spPr>
                          <a:xfrm>
                            <a:off x="0" y="0"/>
                            <a:ext cx="5239512" cy="2104644"/>
                          </a:xfrm>
                          <a:prstGeom prst="rect">
                            <a:avLst/>
                          </a:prstGeom>
                        </pic:spPr>
                      </pic:pic>
                    </a:graphicData>
                  </a:graphic>
                </wp:inline>
              </w:drawing>
            </w:r>
          </w:p>
          <w:p w14:paraId="623C9757">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图4-</w:t>
            </w:r>
            <w:r>
              <w:rPr>
                <w:rFonts w:hint="eastAsia" w:ascii="Times New Roman" w:hAnsi="Times New Roman"/>
                <w:b/>
                <w:color w:val="auto"/>
                <w:szCs w:val="21"/>
                <w:highlight w:val="none"/>
                <w:lang w:val="en-US" w:eastAsia="zh-CN"/>
              </w:rPr>
              <w:t>2</w:t>
            </w:r>
            <w:r>
              <w:rPr>
                <w:rFonts w:ascii="Times New Roman" w:hAnsi="Times New Roman"/>
                <w:b/>
                <w:color w:val="auto"/>
                <w:szCs w:val="21"/>
                <w:highlight w:val="none"/>
              </w:rPr>
              <w:t xml:space="preserve"> 项目土石方平衡图</w:t>
            </w:r>
          </w:p>
          <w:p w14:paraId="575DEBA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7</w:t>
            </w:r>
            <w:r>
              <w:rPr>
                <w:rFonts w:ascii="Times New Roman" w:hAnsi="Times New Roman"/>
                <w:b/>
                <w:color w:val="auto"/>
                <w:szCs w:val="21"/>
                <w:highlight w:val="none"/>
              </w:rPr>
              <w:t>项目土石方平衡表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3857"/>
              <w:gridCol w:w="3310"/>
            </w:tblGrid>
            <w:tr w14:paraId="25F7ACB0">
              <w:trPr>
                <w:jc w:val="center"/>
              </w:trPr>
              <w:tc>
                <w:tcPr>
                  <w:tcW w:w="884" w:type="dxa"/>
                  <w:vAlign w:val="center"/>
                </w:tcPr>
                <w:p w14:paraId="0F67C6FA">
                  <w:pPr>
                    <w:spacing w:after="0" w:line="240" w:lineRule="auto"/>
                    <w:jc w:val="center"/>
                    <w:rPr>
                      <w:rFonts w:ascii="Times New Roman" w:hAnsi="Times New Roman" w:cs="Times New Roman"/>
                      <w:b/>
                      <w:bCs/>
                      <w:color w:val="auto"/>
                      <w:kern w:val="0"/>
                      <w:sz w:val="21"/>
                      <w:szCs w:val="21"/>
                      <w:highlight w:val="none"/>
                    </w:rPr>
                  </w:pPr>
                  <w:r>
                    <w:rPr>
                      <w:rFonts w:hint="eastAsia" w:ascii="Times New Roman" w:hAnsi="Times New Roman" w:cs="Times New Roman"/>
                      <w:b/>
                      <w:bCs/>
                      <w:color w:val="auto"/>
                      <w:kern w:val="0"/>
                      <w:sz w:val="21"/>
                      <w:szCs w:val="21"/>
                      <w:highlight w:val="none"/>
                    </w:rPr>
                    <w:t>序号</w:t>
                  </w:r>
                </w:p>
              </w:tc>
              <w:tc>
                <w:tcPr>
                  <w:tcW w:w="3857" w:type="dxa"/>
                  <w:vAlign w:val="center"/>
                </w:tcPr>
                <w:p w14:paraId="7D304119">
                  <w:pPr>
                    <w:spacing w:after="0" w:line="240" w:lineRule="auto"/>
                    <w:jc w:val="center"/>
                    <w:rPr>
                      <w:rFonts w:ascii="Times New Roman" w:hAnsi="Times New Roman" w:cs="Times New Roman"/>
                      <w:b/>
                      <w:bCs/>
                      <w:color w:val="auto"/>
                      <w:kern w:val="0"/>
                      <w:sz w:val="21"/>
                      <w:szCs w:val="21"/>
                      <w:highlight w:val="none"/>
                    </w:rPr>
                  </w:pPr>
                  <w:r>
                    <w:rPr>
                      <w:rFonts w:hint="eastAsia" w:ascii="Times New Roman" w:hAnsi="Times New Roman" w:cs="Times New Roman"/>
                      <w:b/>
                      <w:bCs/>
                      <w:color w:val="auto"/>
                      <w:kern w:val="0"/>
                      <w:sz w:val="21"/>
                      <w:szCs w:val="21"/>
                      <w:highlight w:val="none"/>
                    </w:rPr>
                    <w:t>土石方类型</w:t>
                  </w:r>
                </w:p>
              </w:tc>
              <w:tc>
                <w:tcPr>
                  <w:tcW w:w="3310" w:type="dxa"/>
                  <w:vAlign w:val="center"/>
                </w:tcPr>
                <w:p w14:paraId="57EF5794">
                  <w:pPr>
                    <w:spacing w:after="0" w:line="240" w:lineRule="auto"/>
                    <w:jc w:val="center"/>
                    <w:rPr>
                      <w:rFonts w:ascii="Times New Roman" w:hAnsi="Times New Roman" w:cs="Times New Roman"/>
                      <w:b/>
                      <w:bCs/>
                      <w:color w:val="auto"/>
                      <w:kern w:val="0"/>
                      <w:sz w:val="21"/>
                      <w:szCs w:val="21"/>
                      <w:highlight w:val="none"/>
                    </w:rPr>
                  </w:pPr>
                  <w:r>
                    <w:rPr>
                      <w:rFonts w:hint="eastAsia" w:ascii="Times New Roman" w:hAnsi="Times New Roman" w:cs="Times New Roman"/>
                      <w:b/>
                      <w:bCs/>
                      <w:color w:val="auto"/>
                      <w:kern w:val="0"/>
                      <w:sz w:val="21"/>
                      <w:szCs w:val="21"/>
                      <w:highlight w:val="none"/>
                    </w:rPr>
                    <w:t>工程量（m</w:t>
                  </w:r>
                  <w:r>
                    <w:rPr>
                      <w:rFonts w:hint="eastAsia" w:ascii="Times New Roman" w:hAnsi="Times New Roman" w:cs="Times New Roman"/>
                      <w:b/>
                      <w:bCs/>
                      <w:color w:val="auto"/>
                      <w:kern w:val="0"/>
                      <w:sz w:val="21"/>
                      <w:szCs w:val="21"/>
                      <w:highlight w:val="none"/>
                      <w:vertAlign w:val="superscript"/>
                    </w:rPr>
                    <w:t>3</w:t>
                  </w:r>
                  <w:r>
                    <w:rPr>
                      <w:rFonts w:hint="eastAsia" w:ascii="Times New Roman" w:hAnsi="Times New Roman" w:cs="Times New Roman"/>
                      <w:b/>
                      <w:bCs/>
                      <w:color w:val="auto"/>
                      <w:kern w:val="0"/>
                      <w:sz w:val="21"/>
                      <w:szCs w:val="21"/>
                      <w:highlight w:val="none"/>
                    </w:rPr>
                    <w:t>）</w:t>
                  </w:r>
                </w:p>
              </w:tc>
            </w:tr>
            <w:tr w14:paraId="00AE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1342E96D">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1</w:t>
                  </w:r>
                </w:p>
              </w:tc>
              <w:tc>
                <w:tcPr>
                  <w:tcW w:w="3857" w:type="dxa"/>
                  <w:vAlign w:val="center"/>
                </w:tcPr>
                <w:p w14:paraId="3E40F402">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挖方总量</w:t>
                  </w:r>
                </w:p>
              </w:tc>
              <w:tc>
                <w:tcPr>
                  <w:tcW w:w="3310" w:type="dxa"/>
                  <w:vAlign w:val="center"/>
                </w:tcPr>
                <w:p w14:paraId="3BFFBF34">
                  <w:pPr>
                    <w:spacing w:after="0"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5856.03</w:t>
                  </w:r>
                </w:p>
              </w:tc>
            </w:tr>
            <w:tr w14:paraId="7424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Merge w:val="restart"/>
                  <w:vAlign w:val="center"/>
                </w:tcPr>
                <w:p w14:paraId="13E68BB0">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2</w:t>
                  </w:r>
                </w:p>
              </w:tc>
              <w:tc>
                <w:tcPr>
                  <w:tcW w:w="3857" w:type="dxa"/>
                  <w:vAlign w:val="center"/>
                </w:tcPr>
                <w:p w14:paraId="2F295323">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临时堆存</w:t>
                  </w:r>
                </w:p>
              </w:tc>
              <w:tc>
                <w:tcPr>
                  <w:tcW w:w="3310" w:type="dxa"/>
                  <w:vAlign w:val="center"/>
                </w:tcPr>
                <w:p w14:paraId="78030873">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w:t>
                  </w:r>
                </w:p>
              </w:tc>
            </w:tr>
            <w:tr w14:paraId="051D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Merge w:val="continue"/>
                  <w:vAlign w:val="center"/>
                </w:tcPr>
                <w:p w14:paraId="29BABFDF">
                  <w:pPr>
                    <w:spacing w:after="0" w:line="240" w:lineRule="auto"/>
                    <w:jc w:val="center"/>
                    <w:rPr>
                      <w:rFonts w:ascii="Times New Roman" w:hAnsi="Times New Roman" w:cs="Times New Roman"/>
                      <w:color w:val="auto"/>
                      <w:kern w:val="0"/>
                      <w:sz w:val="21"/>
                      <w:szCs w:val="21"/>
                      <w:highlight w:val="none"/>
                    </w:rPr>
                  </w:pPr>
                </w:p>
              </w:tc>
              <w:tc>
                <w:tcPr>
                  <w:tcW w:w="3857" w:type="dxa"/>
                  <w:vAlign w:val="center"/>
                </w:tcPr>
                <w:p w14:paraId="37E75CD1">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表土堆放</w:t>
                  </w:r>
                </w:p>
              </w:tc>
              <w:tc>
                <w:tcPr>
                  <w:tcW w:w="3310" w:type="dxa"/>
                  <w:vAlign w:val="center"/>
                </w:tcPr>
                <w:p w14:paraId="43E41A88">
                  <w:pPr>
                    <w:spacing w:after="0"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5849</w:t>
                  </w:r>
                </w:p>
              </w:tc>
            </w:tr>
            <w:tr w14:paraId="41A4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Merge w:val="continue"/>
                  <w:vAlign w:val="center"/>
                </w:tcPr>
                <w:p w14:paraId="6BBD6E5E">
                  <w:pPr>
                    <w:spacing w:after="0" w:line="240" w:lineRule="auto"/>
                    <w:jc w:val="center"/>
                    <w:rPr>
                      <w:rFonts w:ascii="Times New Roman" w:hAnsi="Times New Roman" w:cs="Times New Roman"/>
                      <w:color w:val="auto"/>
                      <w:kern w:val="0"/>
                      <w:sz w:val="21"/>
                      <w:szCs w:val="21"/>
                      <w:highlight w:val="none"/>
                    </w:rPr>
                  </w:pPr>
                </w:p>
              </w:tc>
              <w:tc>
                <w:tcPr>
                  <w:tcW w:w="3857" w:type="dxa"/>
                  <w:vAlign w:val="center"/>
                </w:tcPr>
                <w:p w14:paraId="67313D7C">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eastAsia="zh-CN"/>
                    </w:rPr>
                    <w:t>岩芯堆放区</w:t>
                  </w:r>
                  <w:r>
                    <w:rPr>
                      <w:rFonts w:hint="eastAsia" w:ascii="Times New Roman" w:hAnsi="Times New Roman" w:cs="Times New Roman"/>
                      <w:color w:val="auto"/>
                      <w:kern w:val="0"/>
                      <w:sz w:val="21"/>
                      <w:szCs w:val="21"/>
                      <w:highlight w:val="none"/>
                    </w:rPr>
                    <w:t>暂存</w:t>
                  </w:r>
                </w:p>
              </w:tc>
              <w:tc>
                <w:tcPr>
                  <w:tcW w:w="3310" w:type="dxa"/>
                  <w:vAlign w:val="center"/>
                </w:tcPr>
                <w:p w14:paraId="2EDCB235">
                  <w:pPr>
                    <w:spacing w:after="0"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7.03</w:t>
                  </w:r>
                </w:p>
              </w:tc>
            </w:tr>
            <w:tr w14:paraId="3FA4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84" w:type="dxa"/>
                  <w:vMerge w:val="restart"/>
                  <w:vAlign w:val="center"/>
                </w:tcPr>
                <w:p w14:paraId="5E5E62C5">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3</w:t>
                  </w:r>
                </w:p>
              </w:tc>
              <w:tc>
                <w:tcPr>
                  <w:tcW w:w="3857" w:type="dxa"/>
                  <w:vAlign w:val="center"/>
                </w:tcPr>
                <w:p w14:paraId="197BFD7E">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最终处置/利用</w:t>
                  </w:r>
                </w:p>
              </w:tc>
              <w:tc>
                <w:tcPr>
                  <w:tcW w:w="3310" w:type="dxa"/>
                  <w:vAlign w:val="center"/>
                </w:tcPr>
                <w:p w14:paraId="4B8EC3AD">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w:t>
                  </w:r>
                </w:p>
              </w:tc>
            </w:tr>
            <w:tr w14:paraId="6389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Merge w:val="continue"/>
                  <w:vAlign w:val="center"/>
                </w:tcPr>
                <w:p w14:paraId="791A57DF">
                  <w:pPr>
                    <w:spacing w:after="0" w:line="240" w:lineRule="auto"/>
                    <w:jc w:val="center"/>
                    <w:rPr>
                      <w:rFonts w:ascii="Times New Roman" w:hAnsi="Times New Roman" w:cs="Times New Roman"/>
                      <w:color w:val="auto"/>
                      <w:kern w:val="0"/>
                      <w:sz w:val="21"/>
                      <w:szCs w:val="21"/>
                      <w:highlight w:val="none"/>
                    </w:rPr>
                  </w:pPr>
                </w:p>
              </w:tc>
              <w:tc>
                <w:tcPr>
                  <w:tcW w:w="3857" w:type="dxa"/>
                  <w:vAlign w:val="center"/>
                </w:tcPr>
                <w:p w14:paraId="34745816">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表土复垦</w:t>
                  </w:r>
                </w:p>
              </w:tc>
              <w:tc>
                <w:tcPr>
                  <w:tcW w:w="3310" w:type="dxa"/>
                  <w:vAlign w:val="center"/>
                </w:tcPr>
                <w:p w14:paraId="3B3D2372">
                  <w:pPr>
                    <w:spacing w:after="0"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5849</w:t>
                  </w:r>
                </w:p>
              </w:tc>
            </w:tr>
            <w:tr w14:paraId="53FA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Merge w:val="continue"/>
                  <w:vAlign w:val="center"/>
                </w:tcPr>
                <w:p w14:paraId="01AA0B5D">
                  <w:pPr>
                    <w:spacing w:after="0" w:line="240" w:lineRule="auto"/>
                    <w:jc w:val="center"/>
                    <w:rPr>
                      <w:rFonts w:ascii="Times New Roman" w:hAnsi="Times New Roman" w:cs="Times New Roman"/>
                      <w:color w:val="auto"/>
                      <w:kern w:val="0"/>
                      <w:sz w:val="21"/>
                      <w:szCs w:val="21"/>
                      <w:highlight w:val="none"/>
                    </w:rPr>
                  </w:pPr>
                </w:p>
              </w:tc>
              <w:tc>
                <w:tcPr>
                  <w:tcW w:w="3857" w:type="dxa"/>
                  <w:vAlign w:val="center"/>
                </w:tcPr>
                <w:p w14:paraId="3A90F253">
                  <w:pPr>
                    <w:spacing w:after="0" w:line="240" w:lineRule="auto"/>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rPr>
                    <w:t>综合利用</w:t>
                  </w:r>
                </w:p>
              </w:tc>
              <w:tc>
                <w:tcPr>
                  <w:tcW w:w="3310" w:type="dxa"/>
                  <w:vAlign w:val="center"/>
                </w:tcPr>
                <w:p w14:paraId="385AF56B">
                  <w:pPr>
                    <w:spacing w:after="0"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7.03</w:t>
                  </w:r>
                </w:p>
              </w:tc>
            </w:tr>
          </w:tbl>
          <w:p w14:paraId="34F00ED3">
            <w:pPr>
              <w:spacing w:after="0" w:line="360" w:lineRule="auto"/>
              <w:ind w:firstLine="482" w:firstLineChars="200"/>
              <w:rPr>
                <w:rFonts w:ascii="Times New Roman" w:hAnsi="Times New Roman"/>
                <w:b/>
                <w:bCs/>
                <w:color w:val="auto"/>
                <w:kern w:val="0"/>
                <w:sz w:val="24"/>
                <w:highlight w:val="none"/>
              </w:rPr>
            </w:pPr>
            <w:r>
              <w:rPr>
                <w:rFonts w:ascii="Times New Roman" w:hAnsi="Times New Roman"/>
                <w:b/>
                <w:bCs/>
                <w:color w:val="auto"/>
                <w:kern w:val="0"/>
                <w:sz w:val="24"/>
                <w:highlight w:val="none"/>
              </w:rPr>
              <w:t>8、生态环境影响分析</w:t>
            </w:r>
          </w:p>
          <w:p w14:paraId="63F03FE2">
            <w:pPr>
              <w:spacing w:after="0" w:line="360" w:lineRule="auto"/>
              <w:ind w:firstLine="484" w:firstLineChars="202"/>
              <w:rPr>
                <w:bCs/>
                <w:color w:val="auto"/>
                <w:sz w:val="24"/>
                <w:highlight w:val="none"/>
              </w:rPr>
            </w:pPr>
            <w:r>
              <w:rPr>
                <w:rFonts w:ascii="Times New Roman" w:hAnsi="Times New Roman"/>
                <w:bCs/>
                <w:color w:val="auto"/>
                <w:sz w:val="24"/>
                <w:highlight w:val="none"/>
              </w:rPr>
              <w:t>（1）</w:t>
            </w:r>
            <w:r>
              <w:rPr>
                <w:bCs/>
                <w:color w:val="auto"/>
                <w:sz w:val="24"/>
                <w:highlight w:val="none"/>
              </w:rPr>
              <w:t>项目占地对区域土地利用影响分析</w:t>
            </w:r>
          </w:p>
          <w:p w14:paraId="35878A57">
            <w:pPr>
              <w:spacing w:after="0" w:line="360" w:lineRule="auto"/>
              <w:ind w:firstLine="484" w:firstLineChars="202"/>
              <w:rPr>
                <w:rFonts w:hint="eastAsia" w:ascii="Times New Roman" w:hAnsi="Times New Roman"/>
                <w:bCs/>
                <w:color w:val="auto"/>
                <w:sz w:val="24"/>
                <w:highlight w:val="none"/>
              </w:rPr>
            </w:pPr>
            <w:r>
              <w:rPr>
                <w:rFonts w:hint="eastAsia" w:ascii="Times New Roman" w:hAnsi="Times New Roman"/>
                <w:bCs/>
                <w:color w:val="auto"/>
                <w:sz w:val="24"/>
                <w:highlight w:val="none"/>
              </w:rPr>
              <w:t>本工程全部为临时占地，施工范围用地3.</w:t>
            </w:r>
            <w:r>
              <w:rPr>
                <w:rFonts w:hint="eastAsia" w:ascii="Times New Roman" w:hAnsi="Times New Roman"/>
                <w:bCs/>
                <w:color w:val="auto"/>
                <w:sz w:val="24"/>
                <w:highlight w:val="none"/>
                <w:lang w:val="en-US" w:eastAsia="zh-CN"/>
              </w:rPr>
              <w:t>1378</w:t>
            </w:r>
            <w:r>
              <w:rPr>
                <w:rFonts w:hint="eastAsia" w:ascii="Times New Roman" w:hAnsi="Times New Roman"/>
                <w:bCs/>
                <w:color w:val="auto"/>
                <w:sz w:val="24"/>
                <w:highlight w:val="none"/>
              </w:rPr>
              <w:t>hm²，用地包括施工区、临时道路等，均为临时用地，临时用地时间为9个月。项目区涉及3处现状标注为沟渠的地块，总面积0.1029hm²，经现场结合第三次全国国土调查变更调查成果核实，其中0.0621hm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rPr>
              <w:t>实际现状地类为耕地，0.0275hm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rPr>
              <w:t>实际现状地类为农村道路，该部分按照实际现状地类开展复垦；真正沟渠地类面积为0.0133hm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rPr>
              <w:t>。本项目周边及300米范围内以耕地为主，有少量的林地、住宅用地、城镇村道路用地，项目区域内土地利用现状图见附图15；本区域内植被主要以水田农作物为主，部分进场附近有落叶阔叶林。</w:t>
            </w:r>
          </w:p>
          <w:p w14:paraId="496264F4">
            <w:pPr>
              <w:spacing w:after="0" w:line="360" w:lineRule="auto"/>
              <w:ind w:firstLine="484" w:firstLineChars="202"/>
              <w:rPr>
                <w:bCs/>
                <w:color w:val="auto"/>
                <w:sz w:val="24"/>
                <w:highlight w:val="none"/>
              </w:rPr>
            </w:pPr>
            <w:r>
              <w:rPr>
                <w:rFonts w:ascii="Times New Roman" w:hAnsi="Times New Roman"/>
                <w:bCs/>
                <w:color w:val="auto"/>
                <w:sz w:val="24"/>
                <w:highlight w:val="none"/>
              </w:rPr>
              <w:t>本项目的临时占地在占用完毕后都可在较短时间内恢复，区域土地利用格局造成轻微影响，对农业生产的直接影响主要体现为因临时占用农田而造成经济作物减产，对于临时占地造成的农作物减产，除应对耕种农户进行经济补偿外，工程开工前，应先剥离占地范围内表层土，</w:t>
            </w:r>
            <w:r>
              <w:rPr>
                <w:rFonts w:hint="eastAsia" w:ascii="Times New Roman" w:hAnsi="Times New Roman"/>
                <w:bCs/>
                <w:color w:val="auto"/>
                <w:sz w:val="24"/>
                <w:highlight w:val="none"/>
              </w:rPr>
              <w:t>项目剥离表土集中堆放于每个井场内的临时表土剥离堆场，表土剥离堆放区设置在距离钻孔作业区较近位置，主要用于复垦时恢复原貌剥离的表土采用分别集中堆放方式，表土剥离厚度为0.25m。项目表土剥离量</w:t>
            </w:r>
            <w:r>
              <w:rPr>
                <w:rFonts w:hint="eastAsia" w:ascii="Times New Roman" w:hAnsi="Times New Roman"/>
                <w:bCs/>
                <w:color w:val="auto"/>
                <w:sz w:val="24"/>
                <w:highlight w:val="none"/>
                <w:lang w:eastAsia="zh-CN"/>
              </w:rPr>
              <w:t>5849</w:t>
            </w:r>
            <w:r>
              <w:rPr>
                <w:rFonts w:hint="eastAsia" w:ascii="Times New Roman" w:hAnsi="Times New Roman"/>
                <w:bCs/>
                <w:color w:val="auto"/>
                <w:sz w:val="24"/>
                <w:highlight w:val="none"/>
              </w:rPr>
              <w:t>m</w:t>
            </w:r>
            <w:r>
              <w:rPr>
                <w:rFonts w:hint="eastAsia" w:ascii="Times New Roman" w:hAnsi="Times New Roman"/>
                <w:bCs/>
                <w:color w:val="auto"/>
                <w:sz w:val="24"/>
                <w:highlight w:val="none"/>
                <w:vertAlign w:val="superscript"/>
              </w:rPr>
              <w:t>3</w:t>
            </w:r>
            <w:r>
              <w:rPr>
                <w:rFonts w:hint="eastAsia" w:ascii="Times New Roman" w:hAnsi="Times New Roman"/>
                <w:bCs/>
                <w:color w:val="auto"/>
                <w:sz w:val="24"/>
                <w:highlight w:val="none"/>
              </w:rPr>
              <w:t>，</w:t>
            </w:r>
            <w:r>
              <w:rPr>
                <w:rFonts w:ascii="Times New Roman" w:hAnsi="Times New Roman"/>
                <w:bCs/>
                <w:color w:val="auto"/>
                <w:sz w:val="24"/>
                <w:highlight w:val="none"/>
              </w:rPr>
              <w:t>独立堆存并做好水保措施；</w:t>
            </w:r>
            <w:r>
              <w:rPr>
                <w:bCs/>
                <w:color w:val="auto"/>
                <w:sz w:val="24"/>
                <w:highlight w:val="none"/>
              </w:rPr>
              <w:t>本项目的临时占地在占用完毕后都可在较短时间内恢复</w:t>
            </w:r>
            <w:r>
              <w:rPr>
                <w:rFonts w:hint="eastAsia"/>
                <w:bCs/>
                <w:color w:val="auto"/>
                <w:sz w:val="24"/>
                <w:highlight w:val="none"/>
                <w:lang w:eastAsia="zh-CN"/>
              </w:rPr>
              <w:t>，对</w:t>
            </w:r>
            <w:r>
              <w:rPr>
                <w:bCs/>
                <w:color w:val="auto"/>
                <w:sz w:val="24"/>
                <w:highlight w:val="none"/>
              </w:rPr>
              <w:t>区域土地利用格局造成轻微影响，在施工结束后，</w:t>
            </w:r>
            <w:r>
              <w:rPr>
                <w:rFonts w:hint="eastAsia"/>
                <w:bCs/>
                <w:color w:val="auto"/>
                <w:sz w:val="24"/>
                <w:highlight w:val="none"/>
              </w:rPr>
              <w:t>需要</w:t>
            </w:r>
            <w:r>
              <w:rPr>
                <w:bCs/>
                <w:color w:val="auto"/>
                <w:sz w:val="24"/>
                <w:highlight w:val="none"/>
              </w:rPr>
              <w:t>及时恢复原貌。</w:t>
            </w:r>
          </w:p>
          <w:p w14:paraId="7AC6D30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8</w:t>
            </w:r>
            <w:r>
              <w:rPr>
                <w:rFonts w:ascii="Times New Roman" w:hAnsi="Times New Roman"/>
                <w:b/>
                <w:color w:val="auto"/>
                <w:szCs w:val="21"/>
                <w:highlight w:val="none"/>
              </w:rPr>
              <w:t xml:space="preserve">  项目临时占地类型一览表        单位hm</w:t>
            </w:r>
            <w:r>
              <w:rPr>
                <w:rFonts w:ascii="Times New Roman" w:hAnsi="Times New Roman"/>
                <w:b/>
                <w:color w:val="auto"/>
                <w:szCs w:val="21"/>
                <w:highlight w:val="none"/>
                <w:vertAlign w:val="superscript"/>
              </w:rPr>
              <w:t>2</w:t>
            </w:r>
          </w:p>
          <w:tbl>
            <w:tblPr>
              <w:tblStyle w:val="22"/>
              <w:tblW w:w="8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1"/>
              <w:gridCol w:w="3475"/>
              <w:gridCol w:w="2685"/>
            </w:tblGrid>
            <w:tr w14:paraId="31C5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1" w:type="dxa"/>
                  <w:vAlign w:val="center"/>
                </w:tcPr>
                <w:p w14:paraId="7477B75E">
                  <w:pPr>
                    <w:pStyle w:val="31"/>
                    <w:adjustRightInd/>
                    <w:spacing w:after="0"/>
                    <w:jc w:val="center"/>
                    <w:rPr>
                      <w:rFonts w:ascii="Times New Roman" w:hAnsi="Times New Roman"/>
                      <w:color w:val="auto"/>
                      <w:sz w:val="21"/>
                      <w:szCs w:val="21"/>
                      <w:highlight w:val="none"/>
                    </w:rPr>
                  </w:pPr>
                  <w:r>
                    <w:rPr>
                      <w:rFonts w:ascii="Times New Roman"/>
                      <w:color w:val="auto"/>
                      <w:sz w:val="21"/>
                      <w:szCs w:val="21"/>
                      <w:highlight w:val="none"/>
                    </w:rPr>
                    <w:t>序号</w:t>
                  </w:r>
                </w:p>
              </w:tc>
              <w:tc>
                <w:tcPr>
                  <w:tcW w:w="3475" w:type="dxa"/>
                  <w:vAlign w:val="center"/>
                </w:tcPr>
                <w:p w14:paraId="62A1CBCF">
                  <w:pPr>
                    <w:pStyle w:val="31"/>
                    <w:adjustRightInd/>
                    <w:spacing w:after="0"/>
                    <w:jc w:val="center"/>
                    <w:rPr>
                      <w:rFonts w:ascii="Times New Roman" w:hAnsi="Times New Roman"/>
                      <w:color w:val="auto"/>
                      <w:sz w:val="21"/>
                      <w:szCs w:val="21"/>
                      <w:highlight w:val="none"/>
                    </w:rPr>
                  </w:pPr>
                  <w:r>
                    <w:rPr>
                      <w:rFonts w:ascii="Times New Roman"/>
                      <w:color w:val="auto"/>
                      <w:sz w:val="21"/>
                      <w:szCs w:val="21"/>
                      <w:highlight w:val="none"/>
                    </w:rPr>
                    <w:t>用地类型</w:t>
                  </w:r>
                </w:p>
              </w:tc>
              <w:tc>
                <w:tcPr>
                  <w:tcW w:w="2685" w:type="dxa"/>
                  <w:vAlign w:val="center"/>
                </w:tcPr>
                <w:p w14:paraId="1378EB62">
                  <w:pPr>
                    <w:pStyle w:val="31"/>
                    <w:adjustRightInd/>
                    <w:spacing w:after="0"/>
                    <w:jc w:val="center"/>
                    <w:rPr>
                      <w:rFonts w:ascii="Times New Roman" w:hAnsi="Times New Roman"/>
                      <w:color w:val="auto"/>
                      <w:sz w:val="21"/>
                      <w:szCs w:val="21"/>
                      <w:highlight w:val="none"/>
                    </w:rPr>
                  </w:pPr>
                  <w:r>
                    <w:rPr>
                      <w:rFonts w:ascii="Times New Roman"/>
                      <w:color w:val="auto"/>
                      <w:sz w:val="21"/>
                      <w:szCs w:val="21"/>
                      <w:highlight w:val="none"/>
                    </w:rPr>
                    <w:t>用地面积</w:t>
                  </w:r>
                </w:p>
              </w:tc>
            </w:tr>
            <w:tr w14:paraId="57B1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1" w:type="dxa"/>
                  <w:vAlign w:val="center"/>
                </w:tcPr>
                <w:p w14:paraId="4611E6AE">
                  <w:pPr>
                    <w:spacing w:after="0"/>
                    <w:jc w:val="center"/>
                    <w:rPr>
                      <w:rFonts w:ascii="Times New Roman" w:hAnsi="Times New Roman"/>
                      <w:color w:val="auto"/>
                      <w:szCs w:val="21"/>
                      <w:highlight w:val="none"/>
                    </w:rPr>
                  </w:pPr>
                  <w:r>
                    <w:rPr>
                      <w:rFonts w:ascii="Times New Roman" w:hAnsi="Times New Roman"/>
                      <w:color w:val="auto"/>
                      <w:szCs w:val="21"/>
                      <w:highlight w:val="none"/>
                    </w:rPr>
                    <w:t>1</w:t>
                  </w:r>
                </w:p>
              </w:tc>
              <w:tc>
                <w:tcPr>
                  <w:tcW w:w="3475" w:type="dxa"/>
                  <w:vAlign w:val="center"/>
                </w:tcPr>
                <w:p w14:paraId="4A31CE63">
                  <w:pPr>
                    <w:pStyle w:val="31"/>
                    <w:adjustRightInd/>
                    <w:spacing w:after="0"/>
                    <w:jc w:val="center"/>
                    <w:rPr>
                      <w:rFonts w:hint="eastAsia" w:ascii="Times New Roman" w:hAnsi="Times New Roman" w:eastAsia="宋体"/>
                      <w:color w:val="auto"/>
                      <w:sz w:val="21"/>
                      <w:szCs w:val="21"/>
                      <w:highlight w:val="none"/>
                      <w:lang w:eastAsia="zh-CN"/>
                    </w:rPr>
                  </w:pPr>
                  <w:r>
                    <w:rPr>
                      <w:rFonts w:hint="eastAsia" w:ascii="Times New Roman" w:hAnsi="Times New Roman"/>
                      <w:color w:val="auto"/>
                      <w:sz w:val="21"/>
                      <w:szCs w:val="21"/>
                      <w:highlight w:val="none"/>
                      <w:lang w:val="en-US" w:eastAsia="zh-CN"/>
                    </w:rPr>
                    <w:t>农用地</w:t>
                  </w:r>
                </w:p>
              </w:tc>
              <w:tc>
                <w:tcPr>
                  <w:tcW w:w="2685" w:type="dxa"/>
                  <w:vAlign w:val="center"/>
                </w:tcPr>
                <w:p w14:paraId="2F1D599C">
                  <w:pPr>
                    <w:pStyle w:val="31"/>
                    <w:adjustRightInd/>
                    <w:spacing w:after="0"/>
                    <w:jc w:val="center"/>
                    <w:rPr>
                      <w:rFonts w:hint="default" w:ascii="Times New Roman" w:hAnsi="Times New Roman" w:eastAsia="宋体"/>
                      <w:b/>
                      <w:bCs/>
                      <w:color w:val="auto"/>
                      <w:sz w:val="21"/>
                      <w:szCs w:val="21"/>
                      <w:highlight w:val="none"/>
                      <w:lang w:val="en-US" w:eastAsia="zh-CN"/>
                    </w:rPr>
                  </w:pPr>
                  <w:r>
                    <w:rPr>
                      <w:rFonts w:hint="eastAsia" w:ascii="Times New Roman" w:hAnsi="Times New Roman"/>
                      <w:color w:val="auto"/>
                      <w:sz w:val="21"/>
                      <w:szCs w:val="21"/>
                      <w:highlight w:val="none"/>
                      <w:lang w:val="en-US" w:eastAsia="zh-CN"/>
                    </w:rPr>
                    <w:t>3.1345</w:t>
                  </w:r>
                </w:p>
              </w:tc>
            </w:tr>
            <w:tr w14:paraId="1CA0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1" w:type="dxa"/>
                  <w:vAlign w:val="center"/>
                </w:tcPr>
                <w:p w14:paraId="7BBA6576">
                  <w:pPr>
                    <w:spacing w:after="0"/>
                    <w:jc w:val="center"/>
                    <w:rPr>
                      <w:rFonts w:ascii="Times New Roman" w:hAnsi="Times New Roman"/>
                      <w:color w:val="auto"/>
                      <w:szCs w:val="21"/>
                      <w:highlight w:val="none"/>
                    </w:rPr>
                  </w:pPr>
                  <w:r>
                    <w:rPr>
                      <w:rFonts w:ascii="Times New Roman" w:hAnsi="Times New Roman"/>
                      <w:color w:val="auto"/>
                      <w:szCs w:val="21"/>
                      <w:highlight w:val="none"/>
                    </w:rPr>
                    <w:t>2</w:t>
                  </w:r>
                </w:p>
              </w:tc>
              <w:tc>
                <w:tcPr>
                  <w:tcW w:w="3475" w:type="dxa"/>
                  <w:vAlign w:val="center"/>
                </w:tcPr>
                <w:p w14:paraId="1130BC7B">
                  <w:pPr>
                    <w:pStyle w:val="31"/>
                    <w:adjustRightInd/>
                    <w:spacing w:after="0"/>
                    <w:jc w:val="center"/>
                    <w:rPr>
                      <w:rFonts w:ascii="仿宋" w:hAnsi="仿宋" w:eastAsia="仿宋" w:cs="仿宋"/>
                      <w:color w:val="auto"/>
                      <w:spacing w:val="-6"/>
                      <w:kern w:val="2"/>
                      <w:sz w:val="18"/>
                      <w:szCs w:val="18"/>
                      <w:highlight w:val="none"/>
                    </w:rPr>
                  </w:pPr>
                  <w:r>
                    <w:rPr>
                      <w:rFonts w:hint="eastAsia" w:ascii="Times New Roman" w:hAnsi="Times New Roman"/>
                      <w:color w:val="auto"/>
                      <w:sz w:val="21"/>
                      <w:szCs w:val="21"/>
                      <w:highlight w:val="none"/>
                    </w:rPr>
                    <w:t>其他农业地</w:t>
                  </w:r>
                </w:p>
              </w:tc>
              <w:tc>
                <w:tcPr>
                  <w:tcW w:w="2685" w:type="dxa"/>
                  <w:vAlign w:val="center"/>
                </w:tcPr>
                <w:p w14:paraId="0FA96F95">
                  <w:pPr>
                    <w:pStyle w:val="31"/>
                    <w:adjustRightInd/>
                    <w:spacing w:after="0"/>
                    <w:jc w:val="center"/>
                    <w:rPr>
                      <w:rFonts w:hint="default" w:ascii="宋体" w:hAnsi="宋体" w:eastAsia="宋体" w:cs="宋体"/>
                      <w:color w:val="auto"/>
                      <w:spacing w:val="-4"/>
                      <w:kern w:val="2"/>
                      <w:sz w:val="18"/>
                      <w:szCs w:val="18"/>
                      <w:highlight w:val="none"/>
                      <w:lang w:val="en-US" w:eastAsia="zh-CN"/>
                    </w:rPr>
                  </w:pPr>
                  <w:r>
                    <w:rPr>
                      <w:rFonts w:hint="eastAsia" w:ascii="Times New Roman" w:hAnsi="Times New Roman"/>
                      <w:color w:val="auto"/>
                      <w:sz w:val="21"/>
                      <w:szCs w:val="21"/>
                      <w:highlight w:val="none"/>
                      <w:lang w:val="en-US" w:eastAsia="zh-CN"/>
                    </w:rPr>
                    <w:t>0.0033</w:t>
                  </w:r>
                </w:p>
              </w:tc>
            </w:tr>
            <w:tr w14:paraId="6BA7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gridSpan w:val="2"/>
                  <w:vAlign w:val="center"/>
                </w:tcPr>
                <w:p w14:paraId="191D6DFC">
                  <w:pPr>
                    <w:pStyle w:val="31"/>
                    <w:adjustRightInd/>
                    <w:spacing w:after="0"/>
                    <w:jc w:val="center"/>
                    <w:rPr>
                      <w:rFonts w:ascii="Times New Roman" w:hAnsi="Times New Roman"/>
                      <w:color w:val="auto"/>
                      <w:sz w:val="21"/>
                      <w:szCs w:val="21"/>
                      <w:highlight w:val="none"/>
                    </w:rPr>
                  </w:pPr>
                  <w:r>
                    <w:rPr>
                      <w:rFonts w:ascii="Times New Roman"/>
                      <w:color w:val="auto"/>
                      <w:sz w:val="21"/>
                      <w:szCs w:val="21"/>
                      <w:highlight w:val="none"/>
                    </w:rPr>
                    <w:t>合计</w:t>
                  </w:r>
                </w:p>
              </w:tc>
              <w:tc>
                <w:tcPr>
                  <w:tcW w:w="2685" w:type="dxa"/>
                  <w:vAlign w:val="center"/>
                </w:tcPr>
                <w:p w14:paraId="3A16187A">
                  <w:pPr>
                    <w:pStyle w:val="31"/>
                    <w:adjustRightInd/>
                    <w:spacing w:after="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3.1378</w:t>
                  </w:r>
                </w:p>
              </w:tc>
            </w:tr>
          </w:tbl>
          <w:p w14:paraId="604C463C">
            <w:pPr>
              <w:spacing w:after="0" w:line="360" w:lineRule="auto"/>
              <w:ind w:firstLine="484" w:firstLineChars="202"/>
              <w:rPr>
                <w:rFonts w:ascii="Times New Roman" w:hAnsi="Times New Roman"/>
                <w:bCs/>
                <w:color w:val="auto"/>
                <w:sz w:val="24"/>
                <w:highlight w:val="none"/>
              </w:rPr>
            </w:pPr>
            <w:r>
              <w:rPr>
                <w:rFonts w:hint="eastAsia" w:ascii="Times New Roman" w:hAnsi="Times New Roman"/>
                <w:bCs/>
                <w:color w:val="auto"/>
                <w:sz w:val="24"/>
                <w:highlight w:val="none"/>
              </w:rPr>
              <w:t>（2）项目占地对植被和农业生产的影响</w:t>
            </w:r>
          </w:p>
          <w:p w14:paraId="4C253E6B">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项目占地类型主要为</w:t>
            </w:r>
            <w:r>
              <w:rPr>
                <w:rFonts w:hint="eastAsia" w:ascii="Times New Roman" w:hAnsi="Times New Roman"/>
                <w:bCs/>
                <w:color w:val="auto"/>
                <w:sz w:val="24"/>
                <w:highlight w:val="none"/>
              </w:rPr>
              <w:t>农用地</w:t>
            </w:r>
            <w:r>
              <w:rPr>
                <w:rFonts w:ascii="Times New Roman" w:hAnsi="Times New Roman"/>
                <w:bCs/>
                <w:color w:val="auto"/>
                <w:sz w:val="24"/>
                <w:highlight w:val="none"/>
              </w:rPr>
              <w:t>，</w:t>
            </w:r>
            <w:r>
              <w:rPr>
                <w:rFonts w:hint="eastAsia" w:ascii="Times New Roman" w:hAnsi="Times New Roman"/>
                <w:bCs/>
                <w:color w:val="auto"/>
                <w:sz w:val="24"/>
                <w:highlight w:val="none"/>
              </w:rPr>
              <w:t>种植</w:t>
            </w:r>
            <w:r>
              <w:rPr>
                <w:rFonts w:ascii="Times New Roman" w:hAnsi="Times New Roman"/>
                <w:bCs/>
                <w:color w:val="auto"/>
                <w:sz w:val="24"/>
                <w:highlight w:val="none"/>
              </w:rPr>
              <w:t>季节性农作物水稻、</w:t>
            </w:r>
            <w:r>
              <w:rPr>
                <w:rFonts w:hint="eastAsia" w:ascii="Times New Roman" w:hAnsi="Times New Roman"/>
                <w:bCs/>
                <w:color w:val="auto"/>
                <w:sz w:val="24"/>
                <w:highlight w:val="none"/>
              </w:rPr>
              <w:t>小麦</w:t>
            </w:r>
            <w:r>
              <w:rPr>
                <w:rFonts w:ascii="Times New Roman" w:hAnsi="Times New Roman"/>
                <w:bCs/>
                <w:color w:val="auto"/>
                <w:sz w:val="24"/>
                <w:highlight w:val="none"/>
              </w:rPr>
              <w:t>、蔬菜等。项目对</w:t>
            </w:r>
            <w:r>
              <w:rPr>
                <w:rFonts w:hint="eastAsia" w:ascii="Times New Roman" w:hAnsi="Times New Roman"/>
                <w:bCs/>
                <w:color w:val="auto"/>
                <w:sz w:val="24"/>
                <w:highlight w:val="none"/>
              </w:rPr>
              <w:t>农作物</w:t>
            </w:r>
            <w:r>
              <w:rPr>
                <w:rFonts w:ascii="Times New Roman" w:hAnsi="Times New Roman"/>
                <w:bCs/>
                <w:color w:val="auto"/>
                <w:sz w:val="24"/>
                <w:highlight w:val="none"/>
              </w:rPr>
              <w:t>的影响主要表现因临时占用农用地造成经济作物减产</w:t>
            </w:r>
            <w:r>
              <w:rPr>
                <w:rFonts w:hint="eastAsia" w:ascii="Times New Roman" w:hAnsi="Times New Roman"/>
                <w:bCs/>
                <w:color w:val="auto"/>
                <w:sz w:val="24"/>
                <w:highlight w:val="none"/>
              </w:rPr>
              <w:t>，</w:t>
            </w:r>
            <w:r>
              <w:rPr>
                <w:rFonts w:ascii="Times New Roman" w:hAnsi="Times New Roman"/>
                <w:bCs/>
                <w:color w:val="auto"/>
                <w:sz w:val="24"/>
                <w:highlight w:val="none"/>
              </w:rPr>
              <w:t>临时占地对农田的破坏，使被开挖地段的土壤耕作层发生破坏，导致耕地质量下降，主要可能耽误农作物生产，</w:t>
            </w:r>
            <w:r>
              <w:rPr>
                <w:rFonts w:hint="eastAsia" w:ascii="Times New Roman" w:hAnsi="Times New Roman"/>
                <w:bCs/>
                <w:color w:val="auto"/>
                <w:sz w:val="24"/>
                <w:highlight w:val="none"/>
              </w:rPr>
              <w:t>但</w:t>
            </w:r>
            <w:r>
              <w:rPr>
                <w:rFonts w:ascii="Times New Roman" w:hAnsi="Times New Roman"/>
                <w:bCs/>
                <w:color w:val="auto"/>
                <w:sz w:val="24"/>
                <w:highlight w:val="none"/>
              </w:rPr>
              <w:t>这种影响是临时的，</w:t>
            </w:r>
            <w:r>
              <w:rPr>
                <w:rFonts w:hint="eastAsia" w:ascii="Times New Roman" w:hAnsi="Times New Roman"/>
                <w:bCs/>
                <w:color w:val="auto"/>
                <w:sz w:val="24"/>
                <w:highlight w:val="none"/>
              </w:rPr>
              <w:t>在</w:t>
            </w:r>
            <w:r>
              <w:rPr>
                <w:rFonts w:ascii="Times New Roman" w:hAnsi="Times New Roman"/>
                <w:bCs/>
                <w:color w:val="auto"/>
                <w:sz w:val="24"/>
                <w:highlight w:val="none"/>
              </w:rPr>
              <w:t>施工结束后</w:t>
            </w:r>
            <w:r>
              <w:rPr>
                <w:rFonts w:hint="eastAsia" w:ascii="Times New Roman" w:hAnsi="Times New Roman"/>
                <w:bCs/>
                <w:color w:val="auto"/>
                <w:sz w:val="24"/>
                <w:highlight w:val="none"/>
              </w:rPr>
              <w:t>土地复垦完成后</w:t>
            </w:r>
            <w:r>
              <w:rPr>
                <w:rFonts w:ascii="Times New Roman" w:hAnsi="Times New Roman"/>
                <w:bCs/>
                <w:color w:val="auto"/>
                <w:sz w:val="24"/>
                <w:highlight w:val="none"/>
              </w:rPr>
              <w:t>即可恢复生产。</w:t>
            </w:r>
          </w:p>
          <w:p w14:paraId="5E159429">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本次环评要求施工单位对临时占地除在施工过程中采取措施减少对农田破坏外，在施工结束后，一定要负责农田质量的恢复，除补偿因临时占地对农田产量的直接损失外，还将考虑施工结束后因土壤结构破坏、养分流失而造成的影响，对农作物产量的间接损失以及土壤恢复进行补偿，以用于耕作层土恢复。在恢复期对土壤进行熟化和培肥，切实做好耕地质量调查及监测工作，及时掌握耕地质量变化状况，直至恢复到原来的生产力水平。</w:t>
            </w:r>
          </w:p>
          <w:p w14:paraId="5871CB73">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w:t>
            </w:r>
            <w:r>
              <w:rPr>
                <w:rFonts w:hint="eastAsia" w:ascii="Times New Roman" w:hAnsi="Times New Roman"/>
                <w:bCs/>
                <w:color w:val="auto"/>
                <w:sz w:val="24"/>
                <w:highlight w:val="none"/>
              </w:rPr>
              <w:t>3</w:t>
            </w:r>
            <w:r>
              <w:rPr>
                <w:rFonts w:ascii="Times New Roman" w:hAnsi="Times New Roman"/>
                <w:bCs/>
                <w:color w:val="auto"/>
                <w:sz w:val="24"/>
                <w:highlight w:val="none"/>
              </w:rPr>
              <w:t>）对基本农田影响分析</w:t>
            </w:r>
          </w:p>
          <w:p w14:paraId="56C033E5">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工程对农田生态系统的影响主要表现在以下方面：</w:t>
            </w:r>
          </w:p>
          <w:p w14:paraId="6A2F4B9E">
            <w:pPr>
              <w:spacing w:after="0" w:line="360" w:lineRule="auto"/>
              <w:ind w:firstLine="484" w:firstLineChars="202"/>
              <w:rPr>
                <w:rFonts w:ascii="Times New Roman" w:hAnsi="Times New Roman"/>
                <w:bCs/>
                <w:color w:val="auto"/>
                <w:sz w:val="24"/>
                <w:highlight w:val="none"/>
              </w:rPr>
            </w:pPr>
            <w:r>
              <w:rPr>
                <w:rFonts w:ascii="宋体" w:hAnsi="宋体"/>
                <w:bCs/>
                <w:color w:val="auto"/>
                <w:sz w:val="24"/>
                <w:highlight w:val="none"/>
              </w:rPr>
              <w:t>①</w:t>
            </w:r>
            <w:r>
              <w:rPr>
                <w:rFonts w:ascii="Times New Roman" w:hAnsi="宋体"/>
                <w:bCs/>
                <w:color w:val="auto"/>
                <w:sz w:val="24"/>
                <w:highlight w:val="none"/>
              </w:rPr>
              <w:t>对植被的影响</w:t>
            </w:r>
          </w:p>
          <w:p w14:paraId="25043788">
            <w:pPr>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工程施工占地不可避免的对地表产生扰动，进而对地表植物资源产生影响。本项目将扰动</w:t>
            </w:r>
            <w:r>
              <w:rPr>
                <w:rFonts w:hint="eastAsia" w:ascii="Times New Roman" w:hAnsi="Times New Roman"/>
                <w:color w:val="auto"/>
                <w:kern w:val="0"/>
                <w:sz w:val="24"/>
                <w:highlight w:val="none"/>
              </w:rPr>
              <w:t>农用地0.</w:t>
            </w:r>
            <w:r>
              <w:rPr>
                <w:rFonts w:hint="eastAsia" w:ascii="Times New Roman" w:hAnsi="Times New Roman"/>
                <w:color w:val="auto"/>
                <w:kern w:val="0"/>
                <w:sz w:val="24"/>
                <w:highlight w:val="none"/>
                <w:lang w:eastAsia="zh-CN"/>
              </w:rPr>
              <w:t>31345</w:t>
            </w:r>
            <w:r>
              <w:rPr>
                <w:rFonts w:hint="eastAsia" w:ascii="Times New Roman" w:hAnsi="Times New Roman"/>
                <w:color w:val="auto"/>
                <w:kern w:val="0"/>
                <w:sz w:val="24"/>
                <w:highlight w:val="none"/>
                <w:lang w:val="en-US" w:eastAsia="zh-CN"/>
              </w:rPr>
              <w:t>0</w:t>
            </w:r>
            <w:r>
              <w:rPr>
                <w:rFonts w:ascii="Times New Roman" w:hAnsi="Times New Roman"/>
                <w:color w:val="auto"/>
                <w:kern w:val="0"/>
                <w:szCs w:val="21"/>
                <w:highlight w:val="none"/>
              </w:rPr>
              <w:t>ha</w:t>
            </w:r>
            <w:r>
              <w:rPr>
                <w:rFonts w:ascii="Times New Roman" w:hAnsi="Times New Roman"/>
                <w:color w:val="auto"/>
                <w:kern w:val="0"/>
                <w:sz w:val="24"/>
                <w:highlight w:val="none"/>
              </w:rPr>
              <w:t>，本项目临时工程占地导致的植物生物量损失按下式计算。具体计算结果见下表。</w:t>
            </w:r>
          </w:p>
          <w:p w14:paraId="64482166">
            <w:pPr>
              <w:autoSpaceDE w:val="0"/>
              <w:autoSpaceDN w:val="0"/>
              <w:adjustRightInd w:val="0"/>
              <w:spacing w:after="0" w:line="360" w:lineRule="auto"/>
              <w:jc w:val="center"/>
              <w:rPr>
                <w:rFonts w:ascii="Times New Roman" w:hAnsi="Times New Roman"/>
                <w:color w:val="auto"/>
                <w:kern w:val="0"/>
                <w:sz w:val="24"/>
                <w:highlight w:val="none"/>
              </w:rPr>
            </w:pPr>
            <w:r>
              <w:rPr>
                <w:rFonts w:ascii="Times New Roman" w:hAnsi="Times New Roman"/>
                <w:color w:val="auto"/>
                <w:kern w:val="0"/>
                <w:sz w:val="24"/>
                <w:highlight w:val="none"/>
              </w:rPr>
              <w:drawing>
                <wp:inline distT="0" distB="0" distL="114300" distR="114300">
                  <wp:extent cx="1266825" cy="351155"/>
                  <wp:effectExtent l="0" t="0" r="9525" b="1079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a:stretch>
                            <a:fillRect/>
                          </a:stretch>
                        </pic:blipFill>
                        <pic:spPr>
                          <a:xfrm>
                            <a:off x="0" y="0"/>
                            <a:ext cx="1266825" cy="351155"/>
                          </a:xfrm>
                          <a:prstGeom prst="rect">
                            <a:avLst/>
                          </a:prstGeom>
                          <a:noFill/>
                          <a:ln>
                            <a:noFill/>
                          </a:ln>
                        </pic:spPr>
                      </pic:pic>
                    </a:graphicData>
                  </a:graphic>
                </wp:inline>
              </w:drawing>
            </w:r>
          </w:p>
          <w:p w14:paraId="0D9EC0B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 xml:space="preserve">9 </w:t>
            </w:r>
            <w:r>
              <w:rPr>
                <w:rFonts w:ascii="Times New Roman" w:hAnsi="Times New Roman"/>
                <w:b/>
                <w:color w:val="auto"/>
                <w:szCs w:val="21"/>
                <w:highlight w:val="none"/>
              </w:rPr>
              <w:t xml:space="preserve"> 工程占地生物量损失表</w:t>
            </w:r>
          </w:p>
          <w:tbl>
            <w:tblPr>
              <w:tblStyle w:val="22"/>
              <w:tblW w:w="7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359"/>
              <w:gridCol w:w="1605"/>
              <w:gridCol w:w="2124"/>
              <w:gridCol w:w="1635"/>
            </w:tblGrid>
            <w:tr w14:paraId="3F4B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7" w:type="dxa"/>
                  <w:vAlign w:val="center"/>
                </w:tcPr>
                <w:p w14:paraId="74C60E05">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地区</w:t>
                  </w:r>
                </w:p>
              </w:tc>
              <w:tc>
                <w:tcPr>
                  <w:tcW w:w="1359" w:type="dxa"/>
                  <w:vAlign w:val="center"/>
                </w:tcPr>
                <w:p w14:paraId="14C3BCDC">
                  <w:pPr>
                    <w:autoSpaceDE w:val="0"/>
                    <w:autoSpaceDN w:val="0"/>
                    <w:adjustRightInd w:val="0"/>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用地</w:t>
                  </w:r>
                  <w:r>
                    <w:rPr>
                      <w:rFonts w:ascii="Times New Roman" w:hAnsi="Times New Roman"/>
                      <w:color w:val="auto"/>
                      <w:kern w:val="0"/>
                      <w:szCs w:val="21"/>
                      <w:highlight w:val="none"/>
                    </w:rPr>
                    <w:t>类型</w:t>
                  </w:r>
                </w:p>
              </w:tc>
              <w:tc>
                <w:tcPr>
                  <w:tcW w:w="1605" w:type="dxa"/>
                  <w:vAlign w:val="center"/>
                </w:tcPr>
                <w:p w14:paraId="0C5DC5E0">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占地面积（ha）</w:t>
                  </w:r>
                </w:p>
              </w:tc>
              <w:tc>
                <w:tcPr>
                  <w:tcW w:w="2124" w:type="dxa"/>
                  <w:vAlign w:val="center"/>
                </w:tcPr>
                <w:p w14:paraId="69509BD7">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单位面积生物量（t/ha）</w:t>
                  </w:r>
                </w:p>
              </w:tc>
              <w:tc>
                <w:tcPr>
                  <w:tcW w:w="1635" w:type="dxa"/>
                  <w:vAlign w:val="center"/>
                </w:tcPr>
                <w:p w14:paraId="0006619F">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损失量（t）</w:t>
                  </w:r>
                </w:p>
              </w:tc>
            </w:tr>
            <w:tr w14:paraId="1133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7" w:type="dxa"/>
                  <w:vAlign w:val="center"/>
                </w:tcPr>
                <w:p w14:paraId="3795F08D">
                  <w:pPr>
                    <w:autoSpaceDE w:val="0"/>
                    <w:autoSpaceDN w:val="0"/>
                    <w:adjustRightInd w:val="0"/>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19</w:t>
                  </w:r>
                  <w:r>
                    <w:rPr>
                      <w:rFonts w:ascii="Times New Roman" w:hAnsi="Times New Roman"/>
                      <w:color w:val="auto"/>
                      <w:kern w:val="0"/>
                      <w:szCs w:val="21"/>
                      <w:highlight w:val="none"/>
                    </w:rPr>
                    <w:t>个井场</w:t>
                  </w:r>
                </w:p>
              </w:tc>
              <w:tc>
                <w:tcPr>
                  <w:tcW w:w="1359" w:type="dxa"/>
                  <w:vAlign w:val="center"/>
                </w:tcPr>
                <w:p w14:paraId="5D80766D">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农用地</w:t>
                  </w:r>
                </w:p>
              </w:tc>
              <w:tc>
                <w:tcPr>
                  <w:tcW w:w="1605" w:type="dxa"/>
                  <w:vAlign w:val="center"/>
                </w:tcPr>
                <w:p w14:paraId="3F020FC4">
                  <w:pPr>
                    <w:autoSpaceDE w:val="0"/>
                    <w:autoSpaceDN w:val="0"/>
                    <w:adjustRightInd w:val="0"/>
                    <w:spacing w:after="0"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0.</w:t>
                  </w:r>
                  <w:r>
                    <w:rPr>
                      <w:rFonts w:hint="eastAsia" w:ascii="Times New Roman" w:hAnsi="Times New Roman"/>
                      <w:color w:val="auto"/>
                      <w:kern w:val="0"/>
                      <w:szCs w:val="21"/>
                      <w:highlight w:val="none"/>
                      <w:lang w:eastAsia="zh-CN"/>
                    </w:rPr>
                    <w:t>31345</w:t>
                  </w:r>
                </w:p>
              </w:tc>
              <w:tc>
                <w:tcPr>
                  <w:tcW w:w="2124" w:type="dxa"/>
                  <w:vAlign w:val="center"/>
                </w:tcPr>
                <w:p w14:paraId="68F53FE1">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14.6</w:t>
                  </w:r>
                </w:p>
              </w:tc>
              <w:tc>
                <w:tcPr>
                  <w:tcW w:w="1635" w:type="dxa"/>
                  <w:vAlign w:val="center"/>
                </w:tcPr>
                <w:p w14:paraId="765CC480">
                  <w:pPr>
                    <w:autoSpaceDE w:val="0"/>
                    <w:autoSpaceDN w:val="0"/>
                    <w:adjustRightInd w:val="0"/>
                    <w:spacing w:after="0" w:line="240" w:lineRule="auto"/>
                    <w:jc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0.0218</w:t>
                  </w:r>
                </w:p>
              </w:tc>
            </w:tr>
            <w:tr w14:paraId="7292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56" w:type="dxa"/>
                  <w:gridSpan w:val="2"/>
                  <w:vAlign w:val="center"/>
                </w:tcPr>
                <w:p w14:paraId="327E463E">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合计</w:t>
                  </w:r>
                </w:p>
              </w:tc>
              <w:tc>
                <w:tcPr>
                  <w:tcW w:w="1605" w:type="dxa"/>
                  <w:vAlign w:val="center"/>
                </w:tcPr>
                <w:p w14:paraId="03BF4350">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2124" w:type="dxa"/>
                  <w:vAlign w:val="center"/>
                </w:tcPr>
                <w:p w14:paraId="4EFABE04">
                  <w:pPr>
                    <w:autoSpaceDE w:val="0"/>
                    <w:autoSpaceDN w:val="0"/>
                    <w:adjustRightInd w:val="0"/>
                    <w:spacing w:after="0"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1635" w:type="dxa"/>
                  <w:vAlign w:val="center"/>
                </w:tcPr>
                <w:p w14:paraId="6B7C67DD">
                  <w:pPr>
                    <w:autoSpaceDE w:val="0"/>
                    <w:autoSpaceDN w:val="0"/>
                    <w:adjustRightInd w:val="0"/>
                    <w:spacing w:after="0"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0.0218</w:t>
                  </w:r>
                </w:p>
              </w:tc>
            </w:tr>
          </w:tbl>
          <w:p w14:paraId="348C40E5">
            <w:pPr>
              <w:autoSpaceDE w:val="0"/>
              <w:autoSpaceDN w:val="0"/>
              <w:spacing w:after="0" w:line="360" w:lineRule="auto"/>
              <w:rPr>
                <w:rFonts w:ascii="Times New Roman" w:hAnsi="Times New Roman"/>
                <w:color w:val="auto"/>
                <w:kern w:val="0"/>
                <w:szCs w:val="21"/>
                <w:highlight w:val="none"/>
              </w:rPr>
            </w:pPr>
            <w:r>
              <w:rPr>
                <w:rFonts w:ascii="Times New Roman" w:hAnsi="Times New Roman"/>
                <w:color w:val="auto"/>
                <w:kern w:val="0"/>
                <w:szCs w:val="21"/>
                <w:highlight w:val="none"/>
              </w:rPr>
              <w:t>注：农用地生物量参照《冬小麦生物量和产量的AquaCrop模型预测》（2011年）。</w:t>
            </w:r>
          </w:p>
          <w:p w14:paraId="28185BB4">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由上表分析可知，施工期项目工程占地导致植物生物量损失约</w:t>
            </w:r>
            <w:r>
              <w:rPr>
                <w:rFonts w:hint="eastAsia" w:ascii="Times New Roman" w:hAnsi="Times New Roman"/>
                <w:color w:val="auto"/>
                <w:kern w:val="0"/>
                <w:sz w:val="24"/>
                <w:highlight w:val="none"/>
                <w:lang w:val="en-US" w:eastAsia="zh-CN"/>
              </w:rPr>
              <w:t>0.0218</w:t>
            </w:r>
            <w:r>
              <w:rPr>
                <w:rFonts w:ascii="Times New Roman" w:hAnsi="Times New Roman"/>
                <w:color w:val="auto"/>
                <w:kern w:val="0"/>
                <w:sz w:val="24"/>
                <w:highlight w:val="none"/>
              </w:rPr>
              <w:t>t。本项目占地对项目区植被生物量的影响主要表现为农用地生物量损失。</w:t>
            </w:r>
          </w:p>
          <w:p w14:paraId="471A522C">
            <w:pPr>
              <w:autoSpaceDE w:val="0"/>
              <w:autoSpaceDN w:val="0"/>
              <w:spacing w:after="0" w:line="360" w:lineRule="auto"/>
              <w:ind w:firstLine="480" w:firstLineChars="200"/>
              <w:rPr>
                <w:rFonts w:ascii="Times New Roman" w:hAnsi="Times New Roman"/>
                <w:color w:val="auto"/>
                <w:kern w:val="0"/>
                <w:sz w:val="24"/>
                <w:highlight w:val="none"/>
              </w:rPr>
            </w:pPr>
            <w:r>
              <w:rPr>
                <w:rFonts w:hint="eastAsia" w:ascii="Times New Roman" w:hAnsi="Times New Roman"/>
                <w:color w:val="auto"/>
                <w:kern w:val="0"/>
                <w:sz w:val="24"/>
                <w:highlight w:val="none"/>
              </w:rPr>
              <w:t>本工程已办理临时用地相关手续，</w:t>
            </w:r>
            <w:r>
              <w:rPr>
                <w:rFonts w:hint="eastAsia" w:ascii="Times New Roman" w:hAnsi="Times New Roman"/>
                <w:color w:val="auto"/>
                <w:kern w:val="0"/>
                <w:sz w:val="24"/>
                <w:highlight w:val="none"/>
                <w:lang w:eastAsia="zh-CN"/>
              </w:rPr>
              <w:t>2026年10月13日</w:t>
            </w:r>
            <w:r>
              <w:rPr>
                <w:rFonts w:hint="eastAsia" w:ascii="Times New Roman" w:hAnsi="Times New Roman"/>
                <w:color w:val="auto"/>
                <w:kern w:val="0"/>
                <w:sz w:val="24"/>
                <w:highlight w:val="none"/>
              </w:rPr>
              <w:t>淮南市自然资源和规划局潘集分局出具临时用地初审意见（附件4），复垦方案已通过专业审查（</w:t>
            </w:r>
            <w:r>
              <w:rPr>
                <w:rFonts w:hint="eastAsia" w:ascii="Times New Roman" w:hAnsi="Times New Roman"/>
                <w:color w:val="auto"/>
                <w:kern w:val="0"/>
                <w:sz w:val="24"/>
                <w:highlight w:val="none"/>
                <w:lang w:val="en-US" w:eastAsia="zh-CN"/>
              </w:rPr>
              <w:t>附件</w:t>
            </w:r>
            <w:r>
              <w:rPr>
                <w:rFonts w:hint="eastAsia" w:ascii="Times New Roman" w:hAnsi="Times New Roman"/>
                <w:color w:val="auto"/>
                <w:kern w:val="0"/>
                <w:sz w:val="24"/>
                <w:highlight w:val="none"/>
              </w:rPr>
              <w:t>5）。施工前将对所占农田0.25m厚耕作层土壤进行剥离，剥离表土总量</w:t>
            </w:r>
            <w:r>
              <w:rPr>
                <w:rFonts w:hint="eastAsia" w:ascii="Times New Roman" w:hAnsi="Times New Roman"/>
                <w:color w:val="auto"/>
                <w:kern w:val="0"/>
                <w:sz w:val="24"/>
                <w:highlight w:val="none"/>
                <w:lang w:eastAsia="zh-CN"/>
              </w:rPr>
              <w:t>5849</w:t>
            </w:r>
            <w:r>
              <w:rPr>
                <w:rFonts w:hint="eastAsia" w:ascii="Times New Roman" w:hAnsi="Times New Roman"/>
                <w:color w:val="auto"/>
                <w:kern w:val="0"/>
                <w:sz w:val="24"/>
                <w:highlight w:val="none"/>
              </w:rPr>
              <w:t>m</w:t>
            </w:r>
            <w:r>
              <w:rPr>
                <w:rFonts w:hint="eastAsia" w:ascii="Times New Roman" w:hAnsi="Times New Roman"/>
                <w:color w:val="auto"/>
                <w:kern w:val="0"/>
                <w:sz w:val="24"/>
                <w:highlight w:val="none"/>
                <w:vertAlign w:val="superscript"/>
                <w:lang w:val="en-US" w:eastAsia="zh-CN"/>
              </w:rPr>
              <w:t>3</w:t>
            </w:r>
            <w:r>
              <w:rPr>
                <w:rFonts w:hint="eastAsia" w:ascii="Times New Roman" w:hAnsi="Times New Roman"/>
                <w:color w:val="auto"/>
                <w:kern w:val="0"/>
                <w:sz w:val="24"/>
                <w:highlight w:val="none"/>
              </w:rPr>
              <w:t>，集中堆存于</w:t>
            </w:r>
            <w:r>
              <w:rPr>
                <w:rFonts w:hint="eastAsia" w:ascii="Times New Roman" w:hAnsi="Times New Roman"/>
                <w:color w:val="auto"/>
                <w:kern w:val="0"/>
                <w:sz w:val="24"/>
                <w:highlight w:val="none"/>
                <w:lang w:val="en-US" w:eastAsia="zh-CN"/>
              </w:rPr>
              <w:t>4873</w:t>
            </w:r>
            <w:r>
              <w:rPr>
                <w:rFonts w:hint="eastAsia" w:ascii="Times New Roman" w:hAnsi="Times New Roman"/>
                <w:color w:val="auto"/>
                <w:kern w:val="0"/>
                <w:sz w:val="24"/>
                <w:highlight w:val="none"/>
              </w:rPr>
              <w:t>m²的专用表土堆放区，堆放区设置1m高草袋拦挡、梯形断面排水沟，表层覆盖防水编织布，防止水土流失和肥力流失。施工期将严格控制作业范围，通过洒水降尘、低噪声施工等措施减少对周边植被的间接影响，且施工结束后12个月内将按复垦方案完成植被恢复，剥离表土全部回填，结合增施有机质含量≥30%的有机肥及复合肥，可快速恢复植被覆盖，降低生物量损失的长期影响。施工作业仅对临时占地内植被产生短期影响，随复垦完成影响将彻底消除，对评价区植物资源整体影响较小。</w:t>
            </w:r>
          </w:p>
          <w:p w14:paraId="5A0128A6">
            <w:pPr>
              <w:spacing w:after="0" w:line="360" w:lineRule="auto"/>
              <w:ind w:firstLine="484" w:firstLineChars="202"/>
              <w:rPr>
                <w:rFonts w:ascii="Times New Roman" w:hAnsi="Times New Roman"/>
                <w:bCs/>
                <w:color w:val="auto"/>
                <w:sz w:val="24"/>
                <w:highlight w:val="none"/>
              </w:rPr>
            </w:pPr>
            <w:r>
              <w:rPr>
                <w:rFonts w:ascii="宋体" w:hAnsi="宋体"/>
                <w:bCs/>
                <w:color w:val="auto"/>
                <w:sz w:val="24"/>
                <w:highlight w:val="none"/>
              </w:rPr>
              <w:t>②</w:t>
            </w:r>
            <w:r>
              <w:rPr>
                <w:rFonts w:ascii="Times New Roman" w:hAnsi="宋体"/>
                <w:bCs/>
                <w:color w:val="auto"/>
                <w:sz w:val="24"/>
                <w:highlight w:val="none"/>
              </w:rPr>
              <w:t>对土壤的影响</w:t>
            </w:r>
          </w:p>
          <w:p w14:paraId="495B2ED1">
            <w:pPr>
              <w:spacing w:after="0" w:line="360" w:lineRule="auto"/>
              <w:ind w:firstLine="484" w:firstLineChars="202"/>
              <w:rPr>
                <w:rFonts w:hint="eastAsia" w:ascii="Times New Roman" w:hAnsi="Times New Roman"/>
                <w:bCs/>
                <w:color w:val="auto"/>
                <w:sz w:val="24"/>
                <w:highlight w:val="none"/>
              </w:rPr>
            </w:pPr>
            <w:r>
              <w:rPr>
                <w:rFonts w:hint="eastAsia" w:ascii="Times New Roman" w:hAnsi="Times New Roman"/>
                <w:bCs/>
                <w:color w:val="auto"/>
                <w:sz w:val="24"/>
                <w:highlight w:val="none"/>
              </w:rPr>
              <w:t>工程对土壤的影响主要有两方面，一是工程排放的污染物对土壤质地性状的影响；二是工程建设期的开挖对土壤结构的破坏。</w:t>
            </w:r>
          </w:p>
          <w:p w14:paraId="3EB60696">
            <w:pPr>
              <w:spacing w:after="0" w:line="360" w:lineRule="auto"/>
              <w:ind w:firstLine="484" w:firstLineChars="202"/>
              <w:rPr>
                <w:rFonts w:hint="eastAsia" w:ascii="Times New Roman" w:hAnsi="Times New Roman"/>
                <w:bCs/>
                <w:color w:val="auto"/>
                <w:sz w:val="24"/>
                <w:highlight w:val="none"/>
              </w:rPr>
            </w:pPr>
            <w:r>
              <w:rPr>
                <w:rFonts w:hint="eastAsia" w:ascii="Times New Roman" w:hAnsi="Times New Roman"/>
                <w:bCs/>
                <w:color w:val="auto"/>
                <w:sz w:val="24"/>
                <w:highlight w:val="none"/>
              </w:rPr>
              <w:t>本项目已编制完成《临时用地复垦方案》，明确土壤保护与复垦核心措施：场地平整产生的剥离表层土独立集中临时堆放，设置截、排水沟等水保措施；井场内排水沟、泥浆池、</w:t>
            </w:r>
            <w:r>
              <w:rPr>
                <w:rFonts w:hint="eastAsia" w:ascii="Times New Roman" w:hAnsi="Times New Roman"/>
                <w:bCs/>
                <w:color w:val="auto"/>
                <w:sz w:val="24"/>
                <w:highlight w:val="none"/>
                <w:lang w:eastAsia="zh-CN"/>
              </w:rPr>
              <w:t>废浆池</w:t>
            </w:r>
            <w:r>
              <w:rPr>
                <w:rFonts w:hint="eastAsia" w:ascii="Times New Roman" w:hAnsi="Times New Roman"/>
                <w:bCs/>
                <w:color w:val="auto"/>
                <w:sz w:val="24"/>
                <w:highlight w:val="none"/>
              </w:rPr>
              <w:t>等池体均采取等效粘土防渗层厚度≥1.5m、渗透系数≤10</w:t>
            </w:r>
            <w:r>
              <w:rPr>
                <w:rFonts w:hint="eastAsia" w:ascii="Times New Roman" w:hAnsi="Times New Roman"/>
                <w:bCs/>
                <w:color w:val="auto"/>
                <w:sz w:val="24"/>
                <w:highlight w:val="none"/>
                <w:vertAlign w:val="superscript"/>
                <w:lang w:val="en-US" w:eastAsia="zh-CN"/>
              </w:rPr>
              <w:t>-7</w:t>
            </w:r>
            <w:r>
              <w:rPr>
                <w:rFonts w:hint="eastAsia" w:ascii="Times New Roman" w:hAnsi="Times New Roman"/>
                <w:bCs/>
                <w:color w:val="auto"/>
                <w:sz w:val="24"/>
                <w:highlight w:val="none"/>
              </w:rPr>
              <w:t>cm/s的防渗措施，钻井废水和钻井泥浆经处理后循环使用或固化处置，避免土壤污染。井场地面采用钢板敷设，有效保护原表层土壤结构。施工过程中使用的泥浆添加剂无有毒有害成分，固井用商品混凝土为普通/复合硅酸盐水泥，符合国家标准，无土壤污染风险。</w:t>
            </w:r>
          </w:p>
          <w:p w14:paraId="25118433">
            <w:pPr>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对于被占地农户进行补偿，根据耕地不同作物的市场价格，与损失方协商后进行经济补偿。对于临时占地，钻井工程施工结束后，拆除临时设施，由建设方给予被占地农民经济补偿，委托其恢复地表植被或作物。随着工程施工的结束，生态保护和临时占地的植被恢复措施的进行，有效的保护和恢复措施能保证工程对井场周围的土壤和农作物的影响得到尽快的恢复。通过上述措施，本项目建设对项目所在地土壤环境影响在当地环境可接受范围内。</w:t>
            </w:r>
          </w:p>
          <w:p w14:paraId="5B804F0D">
            <w:pPr>
              <w:spacing w:after="0" w:line="360" w:lineRule="auto"/>
              <w:ind w:firstLine="484" w:firstLineChars="202"/>
              <w:rPr>
                <w:rFonts w:hint="eastAsia" w:ascii="Times New Roman" w:hAnsi="Times New Roman" w:eastAsia="宋体"/>
                <w:bCs/>
                <w:color w:val="auto"/>
                <w:sz w:val="24"/>
                <w:highlight w:val="none"/>
                <w:lang w:val="en-US" w:eastAsia="zh-CN"/>
              </w:rPr>
            </w:pPr>
            <w:r>
              <w:rPr>
                <w:rFonts w:hint="eastAsia" w:ascii="Times New Roman" w:hAnsi="Times New Roman"/>
                <w:bCs/>
                <w:color w:val="auto"/>
                <w:sz w:val="24"/>
                <w:highlight w:val="none"/>
                <w:lang w:val="en-US" w:eastAsia="zh-CN"/>
              </w:rPr>
              <w:t>③复垦保障与合规性</w:t>
            </w:r>
          </w:p>
          <w:p w14:paraId="0262DBA6">
            <w:pPr>
              <w:spacing w:after="0" w:line="360" w:lineRule="auto"/>
              <w:ind w:firstLine="484" w:firstLineChars="202"/>
              <w:rPr>
                <w:rFonts w:hint="eastAsia" w:ascii="Times New Roman" w:hAnsi="Times New Roman"/>
                <w:bCs/>
                <w:color w:val="auto"/>
                <w:sz w:val="24"/>
                <w:highlight w:val="none"/>
              </w:rPr>
            </w:pPr>
            <w:r>
              <w:rPr>
                <w:rFonts w:hint="eastAsia" w:ascii="Times New Roman" w:hAnsi="Times New Roman"/>
                <w:bCs/>
                <w:color w:val="auto"/>
                <w:sz w:val="24"/>
                <w:highlight w:val="none"/>
                <w:lang w:val="en-US" w:eastAsia="zh-CN"/>
              </w:rPr>
              <w:t>总面积3.1841hm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lang w:val="en-US" w:eastAsia="zh-CN"/>
              </w:rPr>
              <w:t>，其中农用地3.1808hm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vertAlign w:val="baseline"/>
                <w:lang w:val="en-US" w:eastAsia="zh-CN"/>
              </w:rPr>
              <w:t>（</w:t>
            </w:r>
            <w:r>
              <w:rPr>
                <w:rFonts w:hint="eastAsia" w:ascii="Times New Roman" w:hAnsi="Times New Roman"/>
                <w:bCs/>
                <w:color w:val="auto"/>
                <w:sz w:val="24"/>
                <w:highlight w:val="none"/>
                <w:lang w:val="en-US" w:eastAsia="zh-CN"/>
              </w:rPr>
              <w:t>耕地3.0623hm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lang w:val="en-US" w:eastAsia="zh-CN"/>
              </w:rPr>
              <w:t>，占用永久基本农田3.0486hm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lang w:val="en-US" w:eastAsia="zh-CN"/>
              </w:rPr>
              <w:t>)，交通运输用地0.0033hm</w:t>
            </w:r>
            <w:r>
              <w:rPr>
                <w:rFonts w:hint="eastAsia" w:ascii="Times New Roman" w:hAnsi="Times New Roman"/>
                <w:bCs/>
                <w:color w:val="auto"/>
                <w:sz w:val="24"/>
                <w:highlight w:val="none"/>
                <w:vertAlign w:val="superscript"/>
                <w:lang w:val="en-US" w:eastAsia="zh-CN"/>
              </w:rPr>
              <w:t>2</w:t>
            </w:r>
            <w:r>
              <w:rPr>
                <w:rFonts w:hint="eastAsia" w:ascii="Times New Roman" w:hAnsi="Times New Roman"/>
                <w:bCs/>
                <w:color w:val="auto"/>
                <w:sz w:val="24"/>
                <w:highlight w:val="none"/>
              </w:rPr>
              <w:t>，属地质勘查必需且无法避让情形，已通过淮南市自然资源和规划局潘集分局组织的审查论证。复垦方向以恢复水田（</w:t>
            </w:r>
            <w:r>
              <w:rPr>
                <w:rFonts w:hint="eastAsia" w:ascii="Times New Roman" w:hAnsi="Times New Roman"/>
                <w:bCs/>
                <w:color w:val="auto"/>
                <w:sz w:val="24"/>
                <w:highlight w:val="none"/>
                <w:lang w:eastAsia="zh-CN"/>
              </w:rPr>
              <w:t>3.</w:t>
            </w:r>
            <w:r>
              <w:rPr>
                <w:rFonts w:hint="eastAsia" w:ascii="Times New Roman" w:hAnsi="Times New Roman"/>
                <w:bCs/>
                <w:color w:val="auto"/>
                <w:sz w:val="24"/>
                <w:highlight w:val="none"/>
                <w:lang w:val="en-US" w:eastAsia="zh-CN"/>
              </w:rPr>
              <w:t>0623</w:t>
            </w:r>
            <w:r>
              <w:rPr>
                <w:rFonts w:hint="eastAsia" w:ascii="Times New Roman" w:hAnsi="Times New Roman"/>
                <w:bCs/>
                <w:color w:val="auto"/>
                <w:sz w:val="24"/>
                <w:highlight w:val="none"/>
              </w:rPr>
              <w:t>hm²）和</w:t>
            </w:r>
            <w:r>
              <w:rPr>
                <w:rFonts w:hint="eastAsia" w:ascii="Times New Roman" w:hAnsi="Times New Roman"/>
                <w:bCs/>
                <w:color w:val="auto"/>
                <w:sz w:val="24"/>
                <w:highlight w:val="none"/>
                <w:lang w:val="en-US" w:eastAsia="zh-CN"/>
              </w:rPr>
              <w:t>交通运输用地</w:t>
            </w:r>
            <w:r>
              <w:rPr>
                <w:rFonts w:hint="eastAsia" w:ascii="Times New Roman" w:hAnsi="Times New Roman"/>
                <w:bCs/>
                <w:color w:val="auto"/>
                <w:sz w:val="24"/>
                <w:highlight w:val="none"/>
              </w:rPr>
              <w:t>（0.00</w:t>
            </w:r>
            <w:r>
              <w:rPr>
                <w:rFonts w:hint="eastAsia" w:ascii="Times New Roman" w:hAnsi="Times New Roman"/>
                <w:bCs/>
                <w:color w:val="auto"/>
                <w:sz w:val="24"/>
                <w:highlight w:val="none"/>
                <w:lang w:val="en-US" w:eastAsia="zh-CN"/>
              </w:rPr>
              <w:t>33</w:t>
            </w:r>
            <w:r>
              <w:rPr>
                <w:rFonts w:hint="eastAsia" w:ascii="Times New Roman" w:hAnsi="Times New Roman"/>
                <w:bCs/>
                <w:color w:val="auto"/>
                <w:sz w:val="24"/>
                <w:highlight w:val="none"/>
              </w:rPr>
              <w:t>hm²）为主，土地权属保持集体所有，不涉及权属调整。复垦后将开展为期5年的管护工作，定期进行土壤培肥、灌溉设施维护，确保耕地质量不降低、数量不减少。复垦验收将严格执行《土地复垦质量控制标准》（TD/T1036-2013），确保田块平整（旱地田面坡度≤3度，水田高差±3cm）、基础设施完备，最终达到周边地区同等土地利用类型水平。</w:t>
            </w:r>
          </w:p>
          <w:p w14:paraId="30068251">
            <w:pPr>
              <w:spacing w:after="0" w:line="360" w:lineRule="auto"/>
              <w:ind w:firstLine="484" w:firstLineChars="202"/>
              <w:rPr>
                <w:rFonts w:ascii="Times New Roman" w:hAnsi="Times New Roman"/>
                <w:bCs/>
                <w:color w:val="auto"/>
                <w:sz w:val="24"/>
                <w:highlight w:val="none"/>
              </w:rPr>
            </w:pPr>
            <w:r>
              <w:rPr>
                <w:rFonts w:hint="eastAsia" w:ascii="Times New Roman" w:hAnsi="Times New Roman"/>
                <w:bCs/>
                <w:color w:val="auto"/>
                <w:sz w:val="24"/>
                <w:highlight w:val="none"/>
              </w:rPr>
              <w:t>综上，本项目通过完善的复垦方案、合规的审批手续、科学的保护措施，可有效控制对基本农田的不利影响，实现</w:t>
            </w:r>
            <w:r>
              <w:rPr>
                <w:rFonts w:hint="eastAsia" w:ascii="Times New Roman" w:hAnsi="Times New Roman"/>
                <w:bCs/>
                <w:color w:val="auto"/>
                <w:sz w:val="24"/>
                <w:highlight w:val="none"/>
                <w:lang w:eastAsia="zh-CN"/>
              </w:rPr>
              <w:t>“</w:t>
            </w:r>
            <w:r>
              <w:rPr>
                <w:rFonts w:hint="eastAsia" w:ascii="Times New Roman" w:hAnsi="Times New Roman"/>
                <w:bCs/>
                <w:color w:val="auto"/>
                <w:sz w:val="24"/>
                <w:highlight w:val="none"/>
              </w:rPr>
              <w:t>占用-保护-复垦</w:t>
            </w:r>
            <w:r>
              <w:rPr>
                <w:rFonts w:hint="eastAsia" w:ascii="Times New Roman" w:hAnsi="Times New Roman"/>
                <w:bCs/>
                <w:color w:val="auto"/>
                <w:sz w:val="24"/>
                <w:highlight w:val="none"/>
                <w:lang w:eastAsia="zh-CN"/>
              </w:rPr>
              <w:t>”</w:t>
            </w:r>
            <w:r>
              <w:rPr>
                <w:rFonts w:hint="eastAsia" w:ascii="Times New Roman" w:hAnsi="Times New Roman"/>
                <w:bCs/>
                <w:color w:val="auto"/>
                <w:sz w:val="24"/>
                <w:highlight w:val="none"/>
              </w:rPr>
              <w:t>的闭环管理，符合《基本农田保护条例》《土地复垦条例》等相关规定。</w:t>
            </w:r>
          </w:p>
          <w:p w14:paraId="7CC451CB">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w:t>
            </w:r>
            <w:r>
              <w:rPr>
                <w:rFonts w:hint="eastAsia" w:ascii="Times New Roman" w:hAnsi="Times New Roman"/>
                <w:bCs/>
                <w:color w:val="auto"/>
                <w:sz w:val="24"/>
                <w:highlight w:val="none"/>
              </w:rPr>
              <w:t>4</w:t>
            </w:r>
            <w:r>
              <w:rPr>
                <w:rFonts w:ascii="Times New Roman" w:hAnsi="Times New Roman"/>
                <w:bCs/>
                <w:color w:val="auto"/>
                <w:sz w:val="24"/>
                <w:highlight w:val="none"/>
              </w:rPr>
              <w:t>）对野生动物影响分析</w:t>
            </w:r>
          </w:p>
          <w:p w14:paraId="4979C5CC">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拟建项目在施工过程中对野生动物的影响主要表现为工作人员的施工活动对动物栖息地生境的干扰和破坏；施工机械噪声对动物的干扰；会惊吓干扰植被中生活的某些野生动物。由于上述原因的影响，大部分两栖类和兽类迁移它处，远离项目区范围；一部分鸟类和爬行类动物会通过迁移和飞翔来避免项目采掘面下方结构层施工所造成的影响，导致项目区周围环境的动物数量有所减少，但是距离项目区较远的区域中被影响驱赶的动物会相对集中而重新分布，因此本项目对动物种类多样性和种群数量不会产生大的影响，更不会导致动物多样性降低。在工程完工后项目区施工噪声等影响减弱后又会回到原来比较适宜生存和活动的地域。总体上本项目对周围的野生动物有一定的干扰，但是对其生存及种群数量、种类影响很小。</w:t>
            </w:r>
          </w:p>
          <w:p w14:paraId="45967E41">
            <w:pPr>
              <w:spacing w:after="0" w:line="360" w:lineRule="auto"/>
              <w:ind w:firstLine="484" w:firstLineChars="202"/>
              <w:rPr>
                <w:rFonts w:ascii="Times New Roman" w:hAnsi="Times New Roman"/>
                <w:bCs/>
                <w:color w:val="auto"/>
                <w:sz w:val="24"/>
                <w:highlight w:val="none"/>
              </w:rPr>
            </w:pPr>
            <w:r>
              <w:rPr>
                <w:rFonts w:ascii="Times New Roman" w:hAnsi="Times New Roman"/>
                <w:bCs/>
                <w:color w:val="auto"/>
                <w:sz w:val="24"/>
                <w:highlight w:val="none"/>
              </w:rPr>
              <w:t>此外，施工过程施工区的各种生产活动直接或间接干扰和破坏生态环境，降低地表植被覆盖度，使该区域内野生动物失去部分觅食地、栖息地和活动区域，迫使野生动物向周围迁移，对野生动物的生境产生一定的影响。加之施工吸纳外来人口，使对野生动物的人为干扰增多，造成区域动物种群数量减少。</w:t>
            </w:r>
          </w:p>
          <w:p w14:paraId="3D897A9F">
            <w:pPr>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w:t>
            </w:r>
            <w:r>
              <w:rPr>
                <w:rFonts w:hint="eastAsia" w:ascii="Times New Roman" w:hAnsi="Times New Roman"/>
                <w:bCs/>
                <w:color w:val="auto"/>
                <w:sz w:val="24"/>
                <w:highlight w:val="none"/>
              </w:rPr>
              <w:t>5</w:t>
            </w:r>
            <w:r>
              <w:rPr>
                <w:rFonts w:ascii="Times New Roman" w:hAnsi="Times New Roman"/>
                <w:bCs/>
                <w:color w:val="auto"/>
                <w:sz w:val="24"/>
                <w:highlight w:val="none"/>
              </w:rPr>
              <w:t>）土地利用格局变化</w:t>
            </w:r>
          </w:p>
          <w:p w14:paraId="09202EED">
            <w:pPr>
              <w:spacing w:after="0" w:line="360" w:lineRule="auto"/>
              <w:ind w:firstLine="480" w:firstLineChars="200"/>
              <w:rPr>
                <w:rFonts w:ascii="Times New Roman" w:hAnsi="Times New Roman"/>
                <w:bCs/>
                <w:color w:val="auto"/>
                <w:sz w:val="24"/>
                <w:highlight w:val="none"/>
              </w:rPr>
            </w:pPr>
            <w:r>
              <w:rPr>
                <w:rFonts w:ascii="Times New Roman" w:hAnsi="Times New Roman"/>
                <w:bCs/>
                <w:color w:val="auto"/>
                <w:sz w:val="24"/>
                <w:highlight w:val="none"/>
              </w:rPr>
              <w:t>施工区土地利用类型主要为</w:t>
            </w:r>
            <w:r>
              <w:rPr>
                <w:rFonts w:hint="eastAsia" w:ascii="Times New Roman" w:hAnsi="Times New Roman"/>
                <w:bCs/>
                <w:color w:val="auto"/>
                <w:sz w:val="24"/>
                <w:highlight w:val="none"/>
              </w:rPr>
              <w:t>农用</w:t>
            </w:r>
            <w:r>
              <w:rPr>
                <w:rFonts w:ascii="Times New Roman" w:hAnsi="Times New Roman"/>
                <w:bCs/>
                <w:color w:val="auto"/>
                <w:sz w:val="24"/>
                <w:highlight w:val="none"/>
              </w:rPr>
              <w:t>地，均为临时土地，在施工期工作完毕后可在短时间内</w:t>
            </w:r>
            <w:r>
              <w:rPr>
                <w:rFonts w:hint="eastAsia" w:ascii="Times New Roman" w:hAnsi="Times New Roman"/>
                <w:bCs/>
                <w:color w:val="auto"/>
                <w:sz w:val="24"/>
                <w:highlight w:val="none"/>
              </w:rPr>
              <w:t>进行</w:t>
            </w:r>
            <w:r>
              <w:rPr>
                <w:rFonts w:ascii="Times New Roman" w:hAnsi="Times New Roman"/>
                <w:bCs/>
                <w:color w:val="auto"/>
                <w:sz w:val="24"/>
                <w:highlight w:val="none"/>
              </w:rPr>
              <w:t>复垦。因此，工程对土地利用格局产生的影响甚微。</w:t>
            </w:r>
          </w:p>
          <w:p w14:paraId="61328CE1">
            <w:pPr>
              <w:spacing w:after="0" w:line="360" w:lineRule="auto"/>
              <w:rPr>
                <w:rFonts w:ascii="Times New Roman" w:hAnsi="Times New Roman"/>
                <w:color w:val="auto"/>
                <w:sz w:val="24"/>
                <w:highlight w:val="none"/>
              </w:rPr>
            </w:pPr>
            <w:r>
              <w:rPr>
                <w:rFonts w:ascii="Times New Roman" w:hAnsi="Times New Roman"/>
                <w:b/>
                <w:bCs/>
                <w:color w:val="auto"/>
                <w:kern w:val="0"/>
                <w:sz w:val="24"/>
                <w:highlight w:val="none"/>
              </w:rPr>
              <w:t>9、</w:t>
            </w:r>
            <w:r>
              <w:rPr>
                <w:rFonts w:ascii="Times New Roman" w:hAnsi="Times New Roman"/>
                <w:b/>
                <w:color w:val="auto"/>
                <w:sz w:val="24"/>
                <w:highlight w:val="none"/>
              </w:rPr>
              <w:t>环境风险分析</w:t>
            </w:r>
          </w:p>
          <w:p w14:paraId="5FFB621B">
            <w:pPr>
              <w:spacing w:after="0" w:line="360" w:lineRule="auto"/>
              <w:ind w:firstLine="542" w:firstLineChars="226"/>
              <w:rPr>
                <w:rFonts w:ascii="Times New Roman" w:hAnsi="Times New Roman"/>
                <w:color w:val="auto"/>
                <w:sz w:val="24"/>
                <w:highlight w:val="none"/>
              </w:rPr>
            </w:pPr>
            <w:r>
              <w:rPr>
                <w:rFonts w:hint="eastAsia" w:ascii="Times New Roman" w:hAnsi="Times New Roman"/>
                <w:color w:val="auto"/>
                <w:sz w:val="24"/>
                <w:highlight w:val="none"/>
              </w:rPr>
              <w:t>环境风险评价是分析和预测项目存在的潜在危险、有害因素，项目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w:t>
            </w:r>
          </w:p>
          <w:p w14:paraId="4BA54545">
            <w:pPr>
              <w:spacing w:after="0" w:line="360" w:lineRule="auto"/>
              <w:ind w:firstLine="542" w:firstLineChars="226"/>
              <w:rPr>
                <w:rFonts w:ascii="Times New Roman" w:hAnsi="Times New Roman"/>
                <w:color w:val="auto"/>
                <w:sz w:val="24"/>
                <w:highlight w:val="none"/>
              </w:rPr>
            </w:pPr>
            <w:r>
              <w:rPr>
                <w:rFonts w:hint="eastAsia" w:ascii="Times New Roman" w:hAnsi="Times New Roman"/>
                <w:color w:val="auto"/>
                <w:sz w:val="24"/>
                <w:highlight w:val="none"/>
              </w:rPr>
              <w:t>拟建项目使用的原辅材料主要为粘土、水泥、纤维素、腐殖酸等，项目涉及的环境风险物质为设备维修产生的废润滑油，其储存情况见下表</w:t>
            </w:r>
          </w:p>
          <w:p w14:paraId="64D8E108">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 xml:space="preserve">10  </w:t>
            </w:r>
            <w:r>
              <w:rPr>
                <w:rFonts w:ascii="Times New Roman" w:hAnsi="Times New Roman"/>
                <w:b/>
                <w:color w:val="auto"/>
                <w:szCs w:val="21"/>
                <w:highlight w:val="none"/>
              </w:rPr>
              <w:t>本项目化学危险物质在线量及贮存量表</w:t>
            </w:r>
          </w:p>
          <w:tbl>
            <w:tblPr>
              <w:tblStyle w:val="22"/>
              <w:tblW w:w="8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079"/>
              <w:gridCol w:w="1507"/>
              <w:gridCol w:w="907"/>
              <w:gridCol w:w="1507"/>
              <w:gridCol w:w="893"/>
              <w:gridCol w:w="1509"/>
            </w:tblGrid>
            <w:tr w14:paraId="7B2F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9" w:type="dxa"/>
                  <w:noWrap/>
                  <w:vAlign w:val="center"/>
                </w:tcPr>
                <w:p w14:paraId="5556FF01">
                  <w:pPr>
                    <w:spacing w:after="0"/>
                    <w:jc w:val="center"/>
                    <w:rPr>
                      <w:rFonts w:ascii="Times New Roman" w:hAnsi="Times New Roman"/>
                      <w:color w:val="auto"/>
                      <w:szCs w:val="21"/>
                      <w:highlight w:val="none"/>
                    </w:rPr>
                  </w:pPr>
                  <w:r>
                    <w:rPr>
                      <w:rFonts w:ascii="Times New Roman" w:hAnsi="Times New Roman"/>
                      <w:color w:val="auto"/>
                      <w:szCs w:val="21"/>
                      <w:highlight w:val="none"/>
                    </w:rPr>
                    <w:t>序号</w:t>
                  </w:r>
                </w:p>
              </w:tc>
              <w:tc>
                <w:tcPr>
                  <w:tcW w:w="1079" w:type="dxa"/>
                  <w:noWrap/>
                  <w:vAlign w:val="center"/>
                </w:tcPr>
                <w:p w14:paraId="56C9FE99">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井场编号</w:t>
                  </w:r>
                </w:p>
              </w:tc>
              <w:tc>
                <w:tcPr>
                  <w:tcW w:w="1507" w:type="dxa"/>
                  <w:noWrap/>
                  <w:vAlign w:val="center"/>
                </w:tcPr>
                <w:p w14:paraId="3111FD67">
                  <w:pPr>
                    <w:spacing w:after="0"/>
                    <w:jc w:val="center"/>
                    <w:rPr>
                      <w:rFonts w:ascii="Times New Roman" w:hAnsi="Times New Roman"/>
                      <w:color w:val="auto"/>
                      <w:szCs w:val="21"/>
                      <w:highlight w:val="none"/>
                    </w:rPr>
                  </w:pPr>
                  <w:r>
                    <w:rPr>
                      <w:rFonts w:ascii="Times New Roman" w:hAnsi="Times New Roman"/>
                      <w:color w:val="auto"/>
                      <w:szCs w:val="21"/>
                      <w:highlight w:val="none"/>
                    </w:rPr>
                    <w:t>危险物质名称</w:t>
                  </w:r>
                </w:p>
              </w:tc>
              <w:tc>
                <w:tcPr>
                  <w:tcW w:w="907" w:type="dxa"/>
                  <w:noWrap/>
                  <w:vAlign w:val="center"/>
                </w:tcPr>
                <w:p w14:paraId="2C506FCE">
                  <w:pPr>
                    <w:spacing w:after="0"/>
                    <w:jc w:val="center"/>
                    <w:rPr>
                      <w:rFonts w:ascii="Times New Roman" w:hAnsi="Times New Roman"/>
                      <w:color w:val="auto"/>
                      <w:szCs w:val="21"/>
                      <w:highlight w:val="none"/>
                    </w:rPr>
                  </w:pPr>
                  <w:r>
                    <w:rPr>
                      <w:rFonts w:ascii="Times New Roman" w:hAnsi="Times New Roman"/>
                      <w:color w:val="auto"/>
                      <w:szCs w:val="21"/>
                      <w:highlight w:val="none"/>
                    </w:rPr>
                    <w:t>CAS号</w:t>
                  </w:r>
                </w:p>
              </w:tc>
              <w:tc>
                <w:tcPr>
                  <w:tcW w:w="1507" w:type="dxa"/>
                  <w:noWrap/>
                  <w:vAlign w:val="center"/>
                </w:tcPr>
                <w:p w14:paraId="7FD25FA3">
                  <w:pPr>
                    <w:spacing w:after="0"/>
                    <w:jc w:val="center"/>
                    <w:rPr>
                      <w:rFonts w:ascii="Times New Roman" w:hAnsi="Times New Roman"/>
                      <w:color w:val="auto"/>
                      <w:szCs w:val="21"/>
                      <w:highlight w:val="none"/>
                    </w:rPr>
                  </w:pPr>
                  <w:r>
                    <w:rPr>
                      <w:rFonts w:ascii="Times New Roman" w:hAnsi="Times New Roman"/>
                      <w:color w:val="auto"/>
                      <w:szCs w:val="21"/>
                      <w:highlight w:val="none"/>
                    </w:rPr>
                    <w:t>最大存在总量</w:t>
                  </w:r>
                </w:p>
                <w:p w14:paraId="01CBB89E">
                  <w:pPr>
                    <w:spacing w:after="0"/>
                    <w:jc w:val="center"/>
                    <w:rPr>
                      <w:rFonts w:ascii="Times New Roman" w:hAnsi="Times New Roman"/>
                      <w:color w:val="auto"/>
                      <w:szCs w:val="21"/>
                      <w:highlight w:val="none"/>
                    </w:rPr>
                  </w:pPr>
                  <w:r>
                    <w:rPr>
                      <w:rFonts w:ascii="Times New Roman" w:hAnsi="Times New Roman"/>
                      <w:color w:val="auto"/>
                      <w:szCs w:val="21"/>
                      <w:highlight w:val="none"/>
                    </w:rPr>
                    <w:t>qn/t</w:t>
                  </w:r>
                </w:p>
              </w:tc>
              <w:tc>
                <w:tcPr>
                  <w:tcW w:w="893" w:type="dxa"/>
                  <w:noWrap/>
                  <w:vAlign w:val="center"/>
                </w:tcPr>
                <w:p w14:paraId="5269AD6B">
                  <w:pPr>
                    <w:spacing w:after="0"/>
                    <w:jc w:val="center"/>
                    <w:rPr>
                      <w:rFonts w:ascii="Times New Roman" w:hAnsi="Times New Roman"/>
                      <w:color w:val="auto"/>
                      <w:szCs w:val="21"/>
                      <w:highlight w:val="none"/>
                    </w:rPr>
                  </w:pPr>
                  <w:r>
                    <w:rPr>
                      <w:rFonts w:ascii="Times New Roman" w:hAnsi="Times New Roman"/>
                      <w:color w:val="auto"/>
                      <w:szCs w:val="21"/>
                      <w:highlight w:val="none"/>
                    </w:rPr>
                    <w:t>临界量</w:t>
                  </w:r>
                </w:p>
                <w:p w14:paraId="57804734">
                  <w:pPr>
                    <w:spacing w:after="0"/>
                    <w:jc w:val="center"/>
                    <w:rPr>
                      <w:rFonts w:ascii="Times New Roman" w:hAnsi="Times New Roman"/>
                      <w:color w:val="auto"/>
                      <w:szCs w:val="21"/>
                      <w:highlight w:val="none"/>
                    </w:rPr>
                  </w:pPr>
                  <w:r>
                    <w:rPr>
                      <w:rFonts w:ascii="Times New Roman" w:hAnsi="Times New Roman"/>
                      <w:color w:val="auto"/>
                      <w:szCs w:val="21"/>
                      <w:highlight w:val="none"/>
                    </w:rPr>
                    <w:t>Qn/t</w:t>
                  </w:r>
                </w:p>
              </w:tc>
              <w:tc>
                <w:tcPr>
                  <w:tcW w:w="1509" w:type="dxa"/>
                  <w:noWrap/>
                  <w:vAlign w:val="center"/>
                </w:tcPr>
                <w:p w14:paraId="7A289DCA">
                  <w:pPr>
                    <w:spacing w:after="0"/>
                    <w:jc w:val="center"/>
                    <w:rPr>
                      <w:rFonts w:ascii="Times New Roman" w:hAnsi="Times New Roman"/>
                      <w:color w:val="auto"/>
                      <w:szCs w:val="21"/>
                      <w:highlight w:val="none"/>
                    </w:rPr>
                  </w:pPr>
                  <w:r>
                    <w:rPr>
                      <w:rFonts w:ascii="Times New Roman" w:hAnsi="Times New Roman"/>
                      <w:color w:val="auto"/>
                      <w:szCs w:val="21"/>
                      <w:highlight w:val="none"/>
                    </w:rPr>
                    <w:t>该种危险物质</w:t>
                  </w:r>
                </w:p>
                <w:p w14:paraId="06358FFC">
                  <w:pPr>
                    <w:spacing w:after="0"/>
                    <w:jc w:val="center"/>
                    <w:rPr>
                      <w:rFonts w:ascii="Times New Roman" w:hAnsi="Times New Roman"/>
                      <w:color w:val="auto"/>
                      <w:szCs w:val="21"/>
                      <w:highlight w:val="none"/>
                    </w:rPr>
                  </w:pPr>
                  <w:r>
                    <w:rPr>
                      <w:rFonts w:ascii="Times New Roman" w:hAnsi="Times New Roman"/>
                      <w:color w:val="auto"/>
                      <w:szCs w:val="21"/>
                      <w:highlight w:val="none"/>
                    </w:rPr>
                    <w:t>Q值</w:t>
                  </w:r>
                </w:p>
              </w:tc>
            </w:tr>
            <w:tr w14:paraId="7D58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noWrap/>
                  <w:vAlign w:val="center"/>
                </w:tcPr>
                <w:p w14:paraId="558744CC">
                  <w:pPr>
                    <w:spacing w:after="0"/>
                    <w:jc w:val="center"/>
                    <w:rPr>
                      <w:rFonts w:ascii="Times New Roman" w:hAnsi="Times New Roman"/>
                      <w:color w:val="auto"/>
                      <w:szCs w:val="21"/>
                      <w:highlight w:val="none"/>
                    </w:rPr>
                  </w:pPr>
                  <w:r>
                    <w:rPr>
                      <w:rFonts w:hint="eastAsia" w:ascii="Times New Roman" w:hAnsi="Times New Roman"/>
                      <w:color w:val="auto"/>
                      <w:szCs w:val="21"/>
                      <w:highlight w:val="none"/>
                    </w:rPr>
                    <w:t>1</w:t>
                  </w:r>
                </w:p>
              </w:tc>
              <w:tc>
                <w:tcPr>
                  <w:tcW w:w="1079" w:type="dxa"/>
                  <w:noWrap/>
                  <w:vAlign w:val="center"/>
                </w:tcPr>
                <w:p w14:paraId="7E31C28E">
                  <w:pPr>
                    <w:spacing w:after="0" w:line="240" w:lineRule="auto"/>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1#~19#</w:t>
                  </w:r>
                </w:p>
              </w:tc>
              <w:tc>
                <w:tcPr>
                  <w:tcW w:w="1507" w:type="dxa"/>
                  <w:noWrap/>
                  <w:vAlign w:val="center"/>
                </w:tcPr>
                <w:p w14:paraId="5B820C8D">
                  <w:pPr>
                    <w:spacing w:after="0"/>
                    <w:jc w:val="center"/>
                    <w:rPr>
                      <w:rFonts w:ascii="Times New Roman" w:hAnsi="Times New Roman"/>
                      <w:color w:val="auto"/>
                      <w:szCs w:val="21"/>
                      <w:highlight w:val="none"/>
                    </w:rPr>
                  </w:pPr>
                  <w:r>
                    <w:rPr>
                      <w:rFonts w:ascii="Times New Roman" w:hAnsi="Times New Roman"/>
                      <w:color w:val="auto"/>
                      <w:szCs w:val="21"/>
                      <w:highlight w:val="none"/>
                    </w:rPr>
                    <w:t>废润滑油</w:t>
                  </w:r>
                </w:p>
              </w:tc>
              <w:tc>
                <w:tcPr>
                  <w:tcW w:w="907" w:type="dxa"/>
                  <w:noWrap/>
                  <w:vAlign w:val="center"/>
                </w:tcPr>
                <w:p w14:paraId="4550E6C6">
                  <w:pPr>
                    <w:spacing w:after="0"/>
                    <w:jc w:val="center"/>
                    <w:rPr>
                      <w:rFonts w:ascii="Times New Roman" w:hAnsi="Times New Roman"/>
                      <w:color w:val="auto"/>
                      <w:szCs w:val="21"/>
                      <w:highlight w:val="none"/>
                    </w:rPr>
                  </w:pPr>
                  <w:r>
                    <w:rPr>
                      <w:rFonts w:ascii="Times New Roman" w:hAnsi="Times New Roman"/>
                      <w:color w:val="auto"/>
                      <w:szCs w:val="21"/>
                      <w:highlight w:val="none"/>
                    </w:rPr>
                    <w:t>—</w:t>
                  </w:r>
                </w:p>
              </w:tc>
              <w:tc>
                <w:tcPr>
                  <w:tcW w:w="1507" w:type="dxa"/>
                  <w:noWrap/>
                  <w:vAlign w:val="center"/>
                </w:tcPr>
                <w:p w14:paraId="6FFDB579">
                  <w:pPr>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bCs/>
                      <w:color w:val="auto"/>
                      <w:szCs w:val="21"/>
                      <w:highlight w:val="none"/>
                    </w:rPr>
                    <w:t>0.</w:t>
                  </w:r>
                  <w:r>
                    <w:rPr>
                      <w:rFonts w:hint="eastAsia" w:ascii="Times New Roman" w:hAnsi="Times New Roman"/>
                      <w:bCs/>
                      <w:color w:val="auto"/>
                      <w:szCs w:val="21"/>
                      <w:highlight w:val="none"/>
                      <w:lang w:val="en-US" w:eastAsia="zh-CN"/>
                    </w:rPr>
                    <w:t>19</w:t>
                  </w:r>
                </w:p>
              </w:tc>
              <w:tc>
                <w:tcPr>
                  <w:tcW w:w="893" w:type="dxa"/>
                  <w:noWrap/>
                  <w:vAlign w:val="center"/>
                </w:tcPr>
                <w:p w14:paraId="4B2981B7">
                  <w:pPr>
                    <w:spacing w:after="0"/>
                    <w:jc w:val="center"/>
                    <w:rPr>
                      <w:rFonts w:ascii="Times New Roman" w:hAnsi="Times New Roman"/>
                      <w:color w:val="auto"/>
                      <w:szCs w:val="21"/>
                      <w:highlight w:val="none"/>
                    </w:rPr>
                  </w:pPr>
                  <w:r>
                    <w:rPr>
                      <w:rFonts w:ascii="Times New Roman" w:hAnsi="Times New Roman"/>
                      <w:color w:val="auto"/>
                      <w:szCs w:val="21"/>
                      <w:highlight w:val="none"/>
                    </w:rPr>
                    <w:t>2500</w:t>
                  </w:r>
                </w:p>
              </w:tc>
              <w:tc>
                <w:tcPr>
                  <w:tcW w:w="1509" w:type="dxa"/>
                  <w:noWrap/>
                  <w:vAlign w:val="center"/>
                </w:tcPr>
                <w:p w14:paraId="731DFF33">
                  <w:pPr>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rPr>
                    <w:t>0.0000</w:t>
                  </w:r>
                  <w:r>
                    <w:rPr>
                      <w:rFonts w:hint="eastAsia" w:ascii="Times New Roman" w:hAnsi="Times New Roman"/>
                      <w:color w:val="auto"/>
                      <w:szCs w:val="21"/>
                      <w:highlight w:val="none"/>
                      <w:lang w:val="en-US" w:eastAsia="zh-CN"/>
                    </w:rPr>
                    <w:t>76</w:t>
                  </w:r>
                </w:p>
              </w:tc>
            </w:tr>
            <w:tr w14:paraId="5B26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2" w:type="dxa"/>
                  <w:gridSpan w:val="6"/>
                  <w:noWrap/>
                  <w:vAlign w:val="center"/>
                </w:tcPr>
                <w:p w14:paraId="3AA1FF7F">
                  <w:pPr>
                    <w:spacing w:after="0"/>
                    <w:jc w:val="center"/>
                    <w:rPr>
                      <w:rFonts w:ascii="Times New Roman" w:hAnsi="Times New Roman"/>
                      <w:color w:val="auto"/>
                      <w:szCs w:val="21"/>
                      <w:highlight w:val="none"/>
                    </w:rPr>
                  </w:pPr>
                  <w:r>
                    <w:rPr>
                      <w:rFonts w:ascii="Times New Roman" w:hAnsi="Times New Roman"/>
                      <w:color w:val="auto"/>
                      <w:szCs w:val="21"/>
                      <w:highlight w:val="none"/>
                    </w:rPr>
                    <w:t>项目Q值∑</w:t>
                  </w:r>
                </w:p>
              </w:tc>
              <w:tc>
                <w:tcPr>
                  <w:tcW w:w="1509" w:type="dxa"/>
                  <w:noWrap/>
                  <w:vAlign w:val="center"/>
                </w:tcPr>
                <w:p w14:paraId="682BE66E">
                  <w:pPr>
                    <w:spacing w:after="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rPr>
                    <w:t>0.0000</w:t>
                  </w:r>
                  <w:r>
                    <w:rPr>
                      <w:rFonts w:hint="eastAsia" w:ascii="Times New Roman" w:hAnsi="Times New Roman"/>
                      <w:color w:val="auto"/>
                      <w:szCs w:val="21"/>
                      <w:highlight w:val="none"/>
                      <w:lang w:val="en-US" w:eastAsia="zh-CN"/>
                    </w:rPr>
                    <w:t>76</w:t>
                  </w:r>
                </w:p>
              </w:tc>
            </w:tr>
          </w:tbl>
          <w:p w14:paraId="211EA88F">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评价工作等级划分见下表。</w:t>
            </w:r>
          </w:p>
          <w:p w14:paraId="79EE69FF">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 xml:space="preserve">11 </w:t>
            </w:r>
            <w:r>
              <w:rPr>
                <w:rFonts w:ascii="Times New Roman" w:hAnsi="Times New Roman"/>
                <w:b/>
                <w:color w:val="auto"/>
                <w:szCs w:val="21"/>
                <w:highlight w:val="none"/>
              </w:rPr>
              <w:t xml:space="preserve"> 评价工作等级划分</w:t>
            </w:r>
          </w:p>
          <w:tbl>
            <w:tblPr>
              <w:tblStyle w:val="22"/>
              <w:tblW w:w="79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95"/>
              <w:gridCol w:w="1669"/>
              <w:gridCol w:w="1585"/>
              <w:gridCol w:w="1585"/>
              <w:gridCol w:w="1586"/>
            </w:tblGrid>
            <w:tr w14:paraId="65836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95" w:type="dxa"/>
                  <w:tcBorders>
                    <w:top w:val="single" w:color="000000" w:sz="4" w:space="0"/>
                    <w:left w:val="single" w:color="000000" w:sz="4" w:space="0"/>
                    <w:bottom w:val="single" w:color="000000" w:sz="4" w:space="0"/>
                    <w:right w:val="single" w:color="000000" w:sz="4" w:space="0"/>
                  </w:tcBorders>
                  <w:noWrap/>
                  <w:vAlign w:val="center"/>
                </w:tcPr>
                <w:p w14:paraId="4E4F001F">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环境风险潜势</w:t>
                  </w:r>
                </w:p>
              </w:tc>
              <w:tc>
                <w:tcPr>
                  <w:tcW w:w="1669" w:type="dxa"/>
                  <w:tcBorders>
                    <w:top w:val="single" w:color="000000" w:sz="4" w:space="0"/>
                    <w:left w:val="single" w:color="000000" w:sz="4" w:space="0"/>
                    <w:bottom w:val="single" w:color="000000" w:sz="4" w:space="0"/>
                    <w:right w:val="single" w:color="000000" w:sz="4" w:space="0"/>
                  </w:tcBorders>
                  <w:noWrap/>
                  <w:vAlign w:val="center"/>
                </w:tcPr>
                <w:p w14:paraId="1526361F">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Ⅳ/Ⅳ</w:t>
                  </w:r>
                  <w:r>
                    <w:rPr>
                      <w:rFonts w:ascii="Times New Roman" w:hAnsi="Times New Roman"/>
                      <w:color w:val="auto"/>
                      <w:szCs w:val="21"/>
                      <w:highlight w:val="none"/>
                      <w:vertAlign w:val="superscript"/>
                    </w:rPr>
                    <w:t>+</w:t>
                  </w:r>
                </w:p>
              </w:tc>
              <w:tc>
                <w:tcPr>
                  <w:tcW w:w="1585" w:type="dxa"/>
                  <w:tcBorders>
                    <w:top w:val="single" w:color="000000" w:sz="4" w:space="0"/>
                    <w:left w:val="single" w:color="000000" w:sz="4" w:space="0"/>
                    <w:bottom w:val="single" w:color="000000" w:sz="4" w:space="0"/>
                    <w:right w:val="single" w:color="000000" w:sz="4" w:space="0"/>
                  </w:tcBorders>
                  <w:noWrap/>
                  <w:vAlign w:val="center"/>
                </w:tcPr>
                <w:p w14:paraId="095B095B">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Ⅲ</w:t>
                  </w:r>
                </w:p>
              </w:tc>
              <w:tc>
                <w:tcPr>
                  <w:tcW w:w="1585" w:type="dxa"/>
                  <w:tcBorders>
                    <w:top w:val="single" w:color="000000" w:sz="4" w:space="0"/>
                    <w:left w:val="single" w:color="000000" w:sz="4" w:space="0"/>
                    <w:bottom w:val="single" w:color="000000" w:sz="4" w:space="0"/>
                    <w:right w:val="single" w:color="000000" w:sz="4" w:space="0"/>
                  </w:tcBorders>
                  <w:noWrap/>
                  <w:vAlign w:val="center"/>
                </w:tcPr>
                <w:p w14:paraId="1920CD7B">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Ⅱ</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34470F75">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Ⅰ</w:t>
                  </w:r>
                </w:p>
              </w:tc>
            </w:tr>
            <w:tr w14:paraId="51B6B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95" w:type="dxa"/>
                  <w:tcBorders>
                    <w:top w:val="single" w:color="000000" w:sz="4" w:space="0"/>
                    <w:left w:val="single" w:color="000000" w:sz="4" w:space="0"/>
                    <w:bottom w:val="single" w:color="000000" w:sz="4" w:space="0"/>
                    <w:right w:val="single" w:color="000000" w:sz="4" w:space="0"/>
                  </w:tcBorders>
                  <w:noWrap/>
                  <w:vAlign w:val="center"/>
                </w:tcPr>
                <w:p w14:paraId="13020547">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评价工作等级</w:t>
                  </w:r>
                </w:p>
              </w:tc>
              <w:tc>
                <w:tcPr>
                  <w:tcW w:w="1669" w:type="dxa"/>
                  <w:tcBorders>
                    <w:top w:val="single" w:color="000000" w:sz="4" w:space="0"/>
                    <w:left w:val="single" w:color="000000" w:sz="4" w:space="0"/>
                    <w:bottom w:val="single" w:color="000000" w:sz="4" w:space="0"/>
                    <w:right w:val="single" w:color="000000" w:sz="4" w:space="0"/>
                  </w:tcBorders>
                  <w:noWrap/>
                  <w:vAlign w:val="center"/>
                </w:tcPr>
                <w:p w14:paraId="724AD17A">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一</w:t>
                  </w:r>
                </w:p>
              </w:tc>
              <w:tc>
                <w:tcPr>
                  <w:tcW w:w="1585" w:type="dxa"/>
                  <w:tcBorders>
                    <w:top w:val="single" w:color="000000" w:sz="4" w:space="0"/>
                    <w:left w:val="single" w:color="000000" w:sz="4" w:space="0"/>
                    <w:bottom w:val="single" w:color="000000" w:sz="4" w:space="0"/>
                    <w:right w:val="single" w:color="000000" w:sz="4" w:space="0"/>
                  </w:tcBorders>
                  <w:noWrap/>
                  <w:vAlign w:val="center"/>
                </w:tcPr>
                <w:p w14:paraId="7C437C8C">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二</w:t>
                  </w:r>
                </w:p>
              </w:tc>
              <w:tc>
                <w:tcPr>
                  <w:tcW w:w="1585" w:type="dxa"/>
                  <w:tcBorders>
                    <w:top w:val="single" w:color="000000" w:sz="4" w:space="0"/>
                    <w:left w:val="single" w:color="000000" w:sz="4" w:space="0"/>
                    <w:bottom w:val="single" w:color="000000" w:sz="4" w:space="0"/>
                    <w:right w:val="single" w:color="000000" w:sz="4" w:space="0"/>
                  </w:tcBorders>
                  <w:noWrap/>
                  <w:vAlign w:val="center"/>
                </w:tcPr>
                <w:p w14:paraId="47DB067A">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三</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489151BC">
                  <w:pPr>
                    <w:snapToGrid w:val="0"/>
                    <w:spacing w:after="0"/>
                    <w:jc w:val="center"/>
                    <w:rPr>
                      <w:rFonts w:ascii="Times New Roman" w:hAnsi="Times New Roman"/>
                      <w:color w:val="auto"/>
                      <w:szCs w:val="21"/>
                      <w:highlight w:val="none"/>
                    </w:rPr>
                  </w:pPr>
                  <w:r>
                    <w:rPr>
                      <w:rFonts w:ascii="Times New Roman" w:hAnsi="Times New Roman"/>
                      <w:color w:val="auto"/>
                      <w:szCs w:val="21"/>
                      <w:highlight w:val="none"/>
                    </w:rPr>
                    <w:t>简单分析</w:t>
                  </w:r>
                  <w:r>
                    <w:rPr>
                      <w:rFonts w:ascii="Times New Roman" w:hAnsi="Times New Roman"/>
                      <w:color w:val="auto"/>
                      <w:szCs w:val="21"/>
                      <w:highlight w:val="none"/>
                      <w:vertAlign w:val="superscript"/>
                    </w:rPr>
                    <w:t>a</w:t>
                  </w:r>
                </w:p>
              </w:tc>
            </w:tr>
            <w:tr w14:paraId="2825C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20" w:type="dxa"/>
                  <w:gridSpan w:val="5"/>
                  <w:tcBorders>
                    <w:top w:val="single" w:color="000000" w:sz="4" w:space="0"/>
                    <w:left w:val="single" w:color="000000" w:sz="4" w:space="0"/>
                    <w:bottom w:val="single" w:color="000000" w:sz="4" w:space="0"/>
                    <w:right w:val="single" w:color="000000" w:sz="4" w:space="0"/>
                  </w:tcBorders>
                  <w:noWrap/>
                  <w:vAlign w:val="center"/>
                </w:tcPr>
                <w:p w14:paraId="23D0B2E4">
                  <w:pPr>
                    <w:snapToGrid w:val="0"/>
                    <w:spacing w:after="0"/>
                    <w:jc w:val="left"/>
                    <w:rPr>
                      <w:rFonts w:ascii="Times New Roman" w:hAnsi="Times New Roman"/>
                      <w:color w:val="auto"/>
                      <w:sz w:val="18"/>
                      <w:szCs w:val="18"/>
                      <w:highlight w:val="none"/>
                    </w:rPr>
                  </w:pPr>
                  <w:r>
                    <w:rPr>
                      <w:rFonts w:ascii="Times New Roman" w:hAnsi="Times New Roman"/>
                      <w:color w:val="auto"/>
                      <w:sz w:val="18"/>
                      <w:szCs w:val="18"/>
                      <w:highlight w:val="none"/>
                    </w:rPr>
                    <w:t>a是相对于详细评价工作内容而言，在描述危险物质、环境影响途径、环境危害后果、风险防范措施等方面给出定性的说明。</w:t>
                  </w:r>
                </w:p>
              </w:tc>
            </w:tr>
          </w:tbl>
          <w:p w14:paraId="5285CD51">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根据《建设项目环境风险评价技术导则》（HJ169-2018）相关规定，本项目风险潜势为Ⅰ，</w:t>
            </w:r>
            <w:r>
              <w:rPr>
                <w:rFonts w:hint="eastAsia" w:ascii="Times New Roman" w:hAnsi="Times New Roman"/>
                <w:color w:val="auto"/>
                <w:sz w:val="24"/>
                <w:highlight w:val="none"/>
              </w:rPr>
              <w:t>各个井场</w:t>
            </w:r>
            <w:r>
              <w:rPr>
                <w:rFonts w:ascii="Times New Roman" w:hAnsi="Times New Roman"/>
                <w:color w:val="auto"/>
                <w:sz w:val="24"/>
                <w:highlight w:val="none"/>
              </w:rPr>
              <w:t>评价等级</w:t>
            </w:r>
            <w:r>
              <w:rPr>
                <w:rFonts w:hint="eastAsia" w:ascii="Times New Roman" w:hAnsi="Times New Roman"/>
                <w:color w:val="auto"/>
                <w:sz w:val="24"/>
                <w:highlight w:val="none"/>
              </w:rPr>
              <w:t>均</w:t>
            </w:r>
            <w:r>
              <w:rPr>
                <w:rFonts w:ascii="Times New Roman" w:hAnsi="Times New Roman"/>
                <w:color w:val="auto"/>
                <w:sz w:val="24"/>
                <w:highlight w:val="none"/>
              </w:rPr>
              <w:t>为简单分析。</w:t>
            </w:r>
          </w:p>
          <w:p w14:paraId="6DEFB9A7">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本项目施工期间可能存在的环境风险为危险废物（废润滑油）泄漏，项目危废暂存于各井场危废暂存间，危废暂存间建设应满足防雨、防渗要求，项目发生危废泄漏的可能性很小，即使发生少量泄漏也能进行有效收集，不会对周边环境产生影响。项目施工竖井钻孔过程中下入套管，并用水泥固结牢固，使用的水泥及钻井泥浆均不属于环境风险物质，且浆液输送采用密闭的管道进行输送，不会发生冒浆跑浆事件。</w:t>
            </w:r>
          </w:p>
          <w:p w14:paraId="2CE39331">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建设单位在施工时还应着重做好以下措施，防范环境风险：</w:t>
            </w:r>
          </w:p>
          <w:p w14:paraId="282FE643">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1）建立健全管理机制和机构，全面落实安全生产责任制，并严格执行。补充和完善现有的安全管理制度、岗位安全操作规程和作业安全规程。严格执行安全监督检查制度。认真做好用油设备的日查、周查、月查安全检查记录，对发现的异常情况安全隐患必须及时报告并在符合安全条件的情况下立即整改。</w:t>
            </w:r>
          </w:p>
          <w:p w14:paraId="0973705A">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（2）加强对职工的安全、环保、事故应急处理、消防、个人安全防护知识和职工操作技能的教育培训工作。实行全员培训，定期考核、持证上岗。</w:t>
            </w:r>
          </w:p>
          <w:p w14:paraId="2BE81613">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（3）严格危废管理，规范收集，及时处置，尽量减少危废在施工场地的暂存时间。</w:t>
            </w:r>
          </w:p>
          <w:p w14:paraId="54A71EFE">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（4）为防止钻井过程中可能发生的</w:t>
            </w:r>
            <w:r>
              <w:rPr>
                <w:rFonts w:hint="eastAsia" w:ascii="Times New Roman" w:hAnsi="Times New Roman"/>
                <w:color w:val="auto"/>
                <w:sz w:val="24"/>
                <w:highlight w:val="none"/>
                <w:lang w:val="en-US" w:eastAsia="zh-CN"/>
              </w:rPr>
              <w:t>瓦斯</w:t>
            </w:r>
            <w:r>
              <w:rPr>
                <w:rFonts w:hint="eastAsia" w:ascii="Times New Roman" w:hAnsi="Times New Roman"/>
                <w:color w:val="auto"/>
                <w:sz w:val="24"/>
                <w:highlight w:val="none"/>
              </w:rPr>
              <w:t>溢出，在钻井井口需设置甲烷气体监测设备，并在井场内设置灭火器材。严格管理火种，划定禁火区，严禁携带火种进入禁火区内。</w:t>
            </w:r>
          </w:p>
          <w:p w14:paraId="6C7E37D9">
            <w:pPr>
              <w:pStyle w:val="46"/>
              <w:spacing w:after="0"/>
              <w:ind w:firstLine="480"/>
              <w:jc w:val="both"/>
              <w:rPr>
                <w:rFonts w:ascii="Times New Roman" w:hAnsi="Times New Roman"/>
                <w:b/>
                <w:color w:val="auto"/>
                <w:sz w:val="21"/>
                <w:szCs w:val="21"/>
                <w:highlight w:val="none"/>
                <w:lang w:eastAsia="zh-CN"/>
              </w:rPr>
            </w:pPr>
            <w:r>
              <w:rPr>
                <w:rFonts w:ascii="Times New Roman" w:hAnsi="Times New Roman"/>
                <w:color w:val="auto"/>
                <w:sz w:val="24"/>
                <w:szCs w:val="24"/>
                <w:highlight w:val="none"/>
                <w:lang w:eastAsia="zh-CN"/>
              </w:rPr>
              <w:t>本工程环境风险简单分析表见下表。</w:t>
            </w:r>
          </w:p>
          <w:p w14:paraId="04C70587">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表4-</w:t>
            </w:r>
            <w:r>
              <w:rPr>
                <w:rFonts w:hint="eastAsia" w:ascii="Times New Roman" w:hAnsi="Times New Roman"/>
                <w:b/>
                <w:color w:val="auto"/>
                <w:szCs w:val="21"/>
                <w:highlight w:val="none"/>
              </w:rPr>
              <w:t>12</w:t>
            </w:r>
            <w:r>
              <w:rPr>
                <w:rFonts w:ascii="Times New Roman" w:hAnsi="Times New Roman"/>
                <w:b/>
                <w:color w:val="auto"/>
                <w:szCs w:val="21"/>
                <w:highlight w:val="none"/>
              </w:rPr>
              <w:t xml:space="preserve">  建设项目环境风险简单分析内容表</w:t>
            </w:r>
          </w:p>
          <w:tbl>
            <w:tblPr>
              <w:tblStyle w:val="22"/>
              <w:tblW w:w="79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00"/>
              <w:gridCol w:w="1411"/>
              <w:gridCol w:w="1407"/>
              <w:gridCol w:w="1278"/>
              <w:gridCol w:w="1272"/>
              <w:gridCol w:w="1152"/>
            </w:tblGrid>
            <w:tr w14:paraId="28A86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00" w:type="dxa"/>
                  <w:tcBorders>
                    <w:top w:val="single" w:color="000000" w:sz="4" w:space="0"/>
                    <w:left w:val="single" w:color="000000" w:sz="4" w:space="0"/>
                    <w:bottom w:val="single" w:color="000000" w:sz="4" w:space="0"/>
                    <w:right w:val="single" w:color="000000" w:sz="4" w:space="0"/>
                  </w:tcBorders>
                  <w:vAlign w:val="center"/>
                </w:tcPr>
                <w:p w14:paraId="21264586">
                  <w:pPr>
                    <w:spacing w:after="0"/>
                    <w:jc w:val="center"/>
                    <w:rPr>
                      <w:rFonts w:ascii="Times New Roman" w:hAnsi="Times New Roman"/>
                      <w:color w:val="auto"/>
                      <w:szCs w:val="21"/>
                      <w:highlight w:val="none"/>
                    </w:rPr>
                  </w:pPr>
                  <w:r>
                    <w:rPr>
                      <w:rFonts w:ascii="Times New Roman" w:hAnsi="Times New Roman"/>
                      <w:color w:val="auto"/>
                      <w:szCs w:val="21"/>
                      <w:highlight w:val="none"/>
                    </w:rPr>
                    <w:t>建设项目名称</w:t>
                  </w:r>
                </w:p>
              </w:tc>
              <w:tc>
                <w:tcPr>
                  <w:tcW w:w="6520" w:type="dxa"/>
                  <w:gridSpan w:val="5"/>
                  <w:tcBorders>
                    <w:top w:val="single" w:color="000000" w:sz="4" w:space="0"/>
                    <w:left w:val="single" w:color="000000" w:sz="4" w:space="0"/>
                    <w:bottom w:val="single" w:color="000000" w:sz="4" w:space="0"/>
                    <w:right w:val="single" w:color="000000" w:sz="4" w:space="0"/>
                  </w:tcBorders>
                  <w:vAlign w:val="center"/>
                </w:tcPr>
                <w:p w14:paraId="65F00875">
                  <w:pPr>
                    <w:spacing w:after="0"/>
                    <w:jc w:val="center"/>
                    <w:rPr>
                      <w:rFonts w:hint="eastAsia" w:ascii="Times New Roman" w:hAnsi="Times New Roman" w:eastAsia="宋体"/>
                      <w:color w:val="auto"/>
                      <w:szCs w:val="21"/>
                      <w:highlight w:val="none"/>
                      <w:lang w:eastAsia="zh-CN"/>
                    </w:rPr>
                  </w:pPr>
                  <w:r>
                    <w:rPr>
                      <w:rFonts w:hint="eastAsia" w:ascii="Times New Roman" w:hAnsi="Times New Roman"/>
                      <w:color w:val="auto"/>
                      <w:szCs w:val="21"/>
                      <w:highlight w:val="none"/>
                      <w:lang w:eastAsia="zh-CN"/>
                    </w:rPr>
                    <w:t>朱集西煤矿盾构机施工巷道地面钻孔探查项目</w:t>
                  </w:r>
                </w:p>
              </w:tc>
            </w:tr>
            <w:tr w14:paraId="36F34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00" w:type="dxa"/>
                  <w:tcBorders>
                    <w:top w:val="single" w:color="000000" w:sz="4" w:space="0"/>
                    <w:left w:val="single" w:color="000000" w:sz="4" w:space="0"/>
                    <w:bottom w:val="single" w:color="000000" w:sz="4" w:space="0"/>
                    <w:right w:val="single" w:color="000000" w:sz="4" w:space="0"/>
                  </w:tcBorders>
                  <w:vAlign w:val="center"/>
                </w:tcPr>
                <w:p w14:paraId="415914BD">
                  <w:pPr>
                    <w:spacing w:after="0"/>
                    <w:jc w:val="center"/>
                    <w:rPr>
                      <w:rFonts w:ascii="Times New Roman" w:hAnsi="Times New Roman"/>
                      <w:color w:val="auto"/>
                      <w:szCs w:val="21"/>
                      <w:highlight w:val="none"/>
                    </w:rPr>
                  </w:pPr>
                  <w:r>
                    <w:rPr>
                      <w:rFonts w:ascii="Times New Roman" w:hAnsi="Times New Roman"/>
                      <w:color w:val="auto"/>
                      <w:szCs w:val="21"/>
                      <w:highlight w:val="none"/>
                    </w:rPr>
                    <w:t>建设地点</w:t>
                  </w:r>
                </w:p>
              </w:tc>
              <w:tc>
                <w:tcPr>
                  <w:tcW w:w="1411" w:type="dxa"/>
                  <w:tcBorders>
                    <w:top w:val="single" w:color="000000" w:sz="4" w:space="0"/>
                    <w:left w:val="single" w:color="000000" w:sz="4" w:space="0"/>
                    <w:bottom w:val="single" w:color="000000" w:sz="4" w:space="0"/>
                    <w:right w:val="single" w:color="000000" w:sz="4" w:space="0"/>
                  </w:tcBorders>
                  <w:vAlign w:val="center"/>
                </w:tcPr>
                <w:p w14:paraId="68C24964">
                  <w:pPr>
                    <w:spacing w:after="0"/>
                    <w:jc w:val="center"/>
                    <w:rPr>
                      <w:rFonts w:ascii="Times New Roman" w:hAnsi="Times New Roman"/>
                      <w:color w:val="auto"/>
                      <w:szCs w:val="21"/>
                      <w:highlight w:val="none"/>
                    </w:rPr>
                  </w:pPr>
                  <w:r>
                    <w:rPr>
                      <w:rFonts w:ascii="Times New Roman" w:hAnsi="Times New Roman"/>
                      <w:color w:val="auto"/>
                      <w:szCs w:val="21"/>
                      <w:highlight w:val="none"/>
                    </w:rPr>
                    <w:t>（安徽）省</w:t>
                  </w:r>
                </w:p>
              </w:tc>
              <w:tc>
                <w:tcPr>
                  <w:tcW w:w="1407" w:type="dxa"/>
                  <w:tcBorders>
                    <w:top w:val="single" w:color="000000" w:sz="4" w:space="0"/>
                    <w:left w:val="single" w:color="000000" w:sz="4" w:space="0"/>
                    <w:bottom w:val="single" w:color="000000" w:sz="4" w:space="0"/>
                    <w:right w:val="single" w:color="000000" w:sz="4" w:space="0"/>
                  </w:tcBorders>
                  <w:vAlign w:val="center"/>
                </w:tcPr>
                <w:p w14:paraId="240FC42E">
                  <w:pPr>
                    <w:spacing w:after="0"/>
                    <w:jc w:val="center"/>
                    <w:rPr>
                      <w:rFonts w:ascii="Times New Roman" w:hAnsi="Times New Roman"/>
                      <w:color w:val="auto"/>
                      <w:szCs w:val="21"/>
                      <w:highlight w:val="none"/>
                    </w:rPr>
                  </w:pPr>
                  <w:r>
                    <w:rPr>
                      <w:rFonts w:ascii="Times New Roman" w:hAnsi="Times New Roman"/>
                      <w:color w:val="auto"/>
                      <w:szCs w:val="21"/>
                      <w:highlight w:val="none"/>
                    </w:rPr>
                    <w:t>（淮南）市</w:t>
                  </w:r>
                </w:p>
              </w:tc>
              <w:tc>
                <w:tcPr>
                  <w:tcW w:w="1278" w:type="dxa"/>
                  <w:tcBorders>
                    <w:top w:val="single" w:color="000000" w:sz="4" w:space="0"/>
                    <w:left w:val="single" w:color="000000" w:sz="4" w:space="0"/>
                    <w:bottom w:val="single" w:color="000000" w:sz="4" w:space="0"/>
                    <w:right w:val="single" w:color="000000" w:sz="4" w:space="0"/>
                  </w:tcBorders>
                  <w:vAlign w:val="center"/>
                </w:tcPr>
                <w:p w14:paraId="6E39E72D">
                  <w:pPr>
                    <w:spacing w:after="0"/>
                    <w:jc w:val="center"/>
                    <w:rPr>
                      <w:rFonts w:ascii="Times New Roman" w:hAnsi="Times New Roman"/>
                      <w:color w:val="auto"/>
                      <w:szCs w:val="21"/>
                      <w:highlight w:val="none"/>
                    </w:rPr>
                  </w:pPr>
                  <w:r>
                    <w:rPr>
                      <w:rFonts w:ascii="Times New Roman" w:hAnsi="Times New Roman"/>
                      <w:color w:val="auto"/>
                      <w:szCs w:val="21"/>
                      <w:highlight w:val="none"/>
                    </w:rPr>
                    <w:t>（潘集）区</w:t>
                  </w:r>
                </w:p>
              </w:tc>
              <w:tc>
                <w:tcPr>
                  <w:tcW w:w="1272" w:type="dxa"/>
                  <w:tcBorders>
                    <w:top w:val="single" w:color="000000" w:sz="4" w:space="0"/>
                    <w:left w:val="single" w:color="000000" w:sz="4" w:space="0"/>
                    <w:bottom w:val="single" w:color="000000" w:sz="4" w:space="0"/>
                    <w:right w:val="single" w:color="000000" w:sz="4" w:space="0"/>
                  </w:tcBorders>
                  <w:vAlign w:val="center"/>
                </w:tcPr>
                <w:p w14:paraId="3F2B8C3B">
                  <w:pPr>
                    <w:spacing w:after="0"/>
                    <w:jc w:val="center"/>
                    <w:rPr>
                      <w:rFonts w:ascii="Times New Roman" w:hAnsi="Times New Roman"/>
                      <w:color w:val="auto"/>
                      <w:szCs w:val="21"/>
                      <w:highlight w:val="none"/>
                    </w:rPr>
                  </w:pPr>
                  <w:r>
                    <w:rPr>
                      <w:rFonts w:ascii="Times New Roman" w:hAnsi="Times New Roman"/>
                      <w:color w:val="auto"/>
                      <w:szCs w:val="21"/>
                      <w:highlight w:val="none"/>
                    </w:rPr>
                    <w:t>（）县</w:t>
                  </w:r>
                </w:p>
              </w:tc>
              <w:tc>
                <w:tcPr>
                  <w:tcW w:w="1152" w:type="dxa"/>
                  <w:tcBorders>
                    <w:top w:val="single" w:color="000000" w:sz="4" w:space="0"/>
                    <w:left w:val="single" w:color="000000" w:sz="4" w:space="0"/>
                    <w:bottom w:val="single" w:color="000000" w:sz="4" w:space="0"/>
                    <w:right w:val="single" w:color="000000" w:sz="4" w:space="0"/>
                  </w:tcBorders>
                  <w:vAlign w:val="center"/>
                </w:tcPr>
                <w:p w14:paraId="6835771F">
                  <w:pPr>
                    <w:spacing w:after="0"/>
                    <w:jc w:val="center"/>
                    <w:rPr>
                      <w:rFonts w:ascii="Times New Roman" w:hAnsi="Times New Roman"/>
                      <w:color w:val="auto"/>
                      <w:szCs w:val="21"/>
                      <w:highlight w:val="none"/>
                    </w:rPr>
                  </w:pPr>
                  <w:r>
                    <w:rPr>
                      <w:rFonts w:ascii="Times New Roman" w:hAnsi="Times New Roman"/>
                      <w:color w:val="auto"/>
                      <w:szCs w:val="21"/>
                      <w:highlight w:val="none"/>
                    </w:rPr>
                    <w:t>（）园区</w:t>
                  </w:r>
                </w:p>
              </w:tc>
            </w:tr>
            <w:tr w14:paraId="4028F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00" w:type="dxa"/>
                  <w:tcBorders>
                    <w:top w:val="single" w:color="000000" w:sz="4" w:space="0"/>
                    <w:left w:val="single" w:color="000000" w:sz="4" w:space="0"/>
                    <w:bottom w:val="single" w:color="000000" w:sz="4" w:space="0"/>
                    <w:right w:val="single" w:color="000000" w:sz="4" w:space="0"/>
                  </w:tcBorders>
                  <w:vAlign w:val="center"/>
                </w:tcPr>
                <w:p w14:paraId="1F7163BC">
                  <w:pPr>
                    <w:spacing w:after="0"/>
                    <w:jc w:val="center"/>
                    <w:rPr>
                      <w:rFonts w:ascii="Times New Roman" w:hAnsi="Times New Roman"/>
                      <w:color w:val="auto"/>
                      <w:szCs w:val="21"/>
                      <w:highlight w:val="none"/>
                    </w:rPr>
                  </w:pPr>
                  <w:r>
                    <w:rPr>
                      <w:rFonts w:ascii="Times New Roman" w:hAnsi="Times New Roman"/>
                      <w:color w:val="auto"/>
                      <w:szCs w:val="21"/>
                      <w:highlight w:val="none"/>
                    </w:rPr>
                    <w:t>主要危险物质及分布</w:t>
                  </w:r>
                </w:p>
              </w:tc>
              <w:tc>
                <w:tcPr>
                  <w:tcW w:w="6520" w:type="dxa"/>
                  <w:gridSpan w:val="5"/>
                  <w:tcBorders>
                    <w:top w:val="single" w:color="000000" w:sz="4" w:space="0"/>
                    <w:left w:val="single" w:color="000000" w:sz="4" w:space="0"/>
                    <w:bottom w:val="single" w:color="000000" w:sz="4" w:space="0"/>
                    <w:right w:val="single" w:color="000000" w:sz="4" w:space="0"/>
                  </w:tcBorders>
                  <w:vAlign w:val="center"/>
                </w:tcPr>
                <w:p w14:paraId="1BF877D6">
                  <w:pPr>
                    <w:spacing w:after="0"/>
                    <w:jc w:val="left"/>
                    <w:rPr>
                      <w:rFonts w:ascii="Times New Roman" w:hAnsi="Times New Roman"/>
                      <w:color w:val="auto"/>
                      <w:szCs w:val="21"/>
                      <w:highlight w:val="none"/>
                    </w:rPr>
                  </w:pPr>
                  <w:r>
                    <w:rPr>
                      <w:rFonts w:ascii="Times New Roman" w:hAnsi="Times New Roman"/>
                      <w:color w:val="auto"/>
                      <w:szCs w:val="21"/>
                      <w:highlight w:val="none"/>
                    </w:rPr>
                    <w:t>本工程施工期涉及的危险物质主要为废润滑油</w:t>
                  </w:r>
                  <w:r>
                    <w:rPr>
                      <w:rFonts w:hint="eastAsia" w:ascii="Times New Roman" w:hAnsi="Times New Roman"/>
                      <w:color w:val="auto"/>
                      <w:szCs w:val="21"/>
                      <w:highlight w:val="none"/>
                    </w:rPr>
                    <w:t>及</w:t>
                  </w:r>
                  <w:r>
                    <w:rPr>
                      <w:rFonts w:ascii="Times New Roman" w:hAnsi="Times New Roman"/>
                      <w:color w:val="auto"/>
                      <w:szCs w:val="21"/>
                      <w:highlight w:val="none"/>
                    </w:rPr>
                    <w:t>钻井过程中可能发生的甲烷气体溢出</w:t>
                  </w:r>
                </w:p>
              </w:tc>
            </w:tr>
            <w:tr w14:paraId="69D82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6" w:hRule="atLeast"/>
              </w:trPr>
              <w:tc>
                <w:tcPr>
                  <w:tcW w:w="1400" w:type="dxa"/>
                  <w:tcBorders>
                    <w:top w:val="single" w:color="000000" w:sz="4" w:space="0"/>
                    <w:left w:val="single" w:color="000000" w:sz="4" w:space="0"/>
                    <w:bottom w:val="single" w:color="000000" w:sz="4" w:space="0"/>
                    <w:right w:val="single" w:color="000000" w:sz="4" w:space="0"/>
                  </w:tcBorders>
                  <w:vAlign w:val="center"/>
                </w:tcPr>
                <w:p w14:paraId="6AE20978">
                  <w:pPr>
                    <w:spacing w:after="0"/>
                    <w:jc w:val="center"/>
                    <w:rPr>
                      <w:rFonts w:ascii="Times New Roman" w:hAnsi="Times New Roman"/>
                      <w:color w:val="auto"/>
                      <w:szCs w:val="21"/>
                      <w:highlight w:val="none"/>
                    </w:rPr>
                  </w:pPr>
                  <w:r>
                    <w:rPr>
                      <w:rFonts w:ascii="Times New Roman" w:hAnsi="Times New Roman"/>
                      <w:color w:val="auto"/>
                      <w:szCs w:val="21"/>
                      <w:highlight w:val="none"/>
                    </w:rPr>
                    <w:t>环境影响途径及危害后果（大气、地表水、地下水等）</w:t>
                  </w:r>
                </w:p>
              </w:tc>
              <w:tc>
                <w:tcPr>
                  <w:tcW w:w="6520" w:type="dxa"/>
                  <w:gridSpan w:val="5"/>
                  <w:tcBorders>
                    <w:top w:val="single" w:color="000000" w:sz="4" w:space="0"/>
                    <w:left w:val="single" w:color="000000" w:sz="4" w:space="0"/>
                    <w:bottom w:val="single" w:color="000000" w:sz="4" w:space="0"/>
                    <w:right w:val="single" w:color="000000" w:sz="4" w:space="0"/>
                  </w:tcBorders>
                  <w:vAlign w:val="center"/>
                </w:tcPr>
                <w:p w14:paraId="61D16ADD">
                  <w:pPr>
                    <w:spacing w:after="0"/>
                    <w:jc w:val="left"/>
                    <w:rPr>
                      <w:rFonts w:ascii="Times New Roman" w:hAnsi="Times New Roman"/>
                      <w:color w:val="auto"/>
                      <w:szCs w:val="21"/>
                      <w:highlight w:val="none"/>
                    </w:rPr>
                  </w:pPr>
                  <w:r>
                    <w:rPr>
                      <w:rFonts w:ascii="Times New Roman" w:hAnsi="Times New Roman"/>
                      <w:color w:val="auto"/>
                      <w:szCs w:val="21"/>
                      <w:highlight w:val="none"/>
                    </w:rPr>
                    <w:t>本工程风险源主要为危险物质泄漏。</w:t>
                  </w:r>
                  <w:r>
                    <w:rPr>
                      <w:rFonts w:hint="eastAsia" w:ascii="Times New Roman" w:hAnsi="Times New Roman"/>
                      <w:color w:val="auto"/>
                      <w:szCs w:val="21"/>
                      <w:highlight w:val="none"/>
                    </w:rPr>
                    <w:t>废润滑油如不采取防滴漏、泄露等措施，可能会导致废润滑油泄露，对周边环境造成污染</w:t>
                  </w:r>
                  <w:r>
                    <w:rPr>
                      <w:rFonts w:ascii="Times New Roman" w:hAnsi="Times New Roman"/>
                      <w:color w:val="auto"/>
                      <w:szCs w:val="21"/>
                      <w:highlight w:val="none"/>
                    </w:rPr>
                    <w:t>。钻井过程中可能发生的甲烷气体溢出可能引起火灾爆炸</w:t>
                  </w:r>
                  <w:r>
                    <w:rPr>
                      <w:rFonts w:hint="eastAsia" w:ascii="Times New Roman" w:hAnsi="Times New Roman"/>
                      <w:color w:val="auto"/>
                      <w:szCs w:val="21"/>
                      <w:highlight w:val="none"/>
                    </w:rPr>
                    <w:t>。</w:t>
                  </w:r>
                </w:p>
              </w:tc>
            </w:tr>
            <w:tr w14:paraId="0F189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00" w:type="dxa"/>
                  <w:tcBorders>
                    <w:top w:val="single" w:color="000000" w:sz="4" w:space="0"/>
                    <w:left w:val="single" w:color="000000" w:sz="4" w:space="0"/>
                    <w:bottom w:val="single" w:color="auto" w:sz="4" w:space="0"/>
                    <w:right w:val="single" w:color="000000" w:sz="4" w:space="0"/>
                  </w:tcBorders>
                  <w:vAlign w:val="center"/>
                </w:tcPr>
                <w:p w14:paraId="71AF7CA2">
                  <w:pPr>
                    <w:spacing w:after="0"/>
                    <w:jc w:val="center"/>
                    <w:rPr>
                      <w:rFonts w:ascii="Times New Roman" w:hAnsi="Times New Roman"/>
                      <w:color w:val="auto"/>
                      <w:szCs w:val="21"/>
                      <w:highlight w:val="none"/>
                    </w:rPr>
                  </w:pPr>
                  <w:r>
                    <w:rPr>
                      <w:rFonts w:ascii="Times New Roman" w:hAnsi="Times New Roman"/>
                      <w:color w:val="auto"/>
                      <w:szCs w:val="21"/>
                      <w:highlight w:val="none"/>
                    </w:rPr>
                    <w:t>风险防范措施要求</w:t>
                  </w:r>
                </w:p>
              </w:tc>
              <w:tc>
                <w:tcPr>
                  <w:tcW w:w="6520" w:type="dxa"/>
                  <w:gridSpan w:val="5"/>
                  <w:tcBorders>
                    <w:top w:val="single" w:color="000000" w:sz="4" w:space="0"/>
                    <w:left w:val="single" w:color="000000" w:sz="4" w:space="0"/>
                    <w:bottom w:val="single" w:color="auto" w:sz="4" w:space="0"/>
                    <w:right w:val="single" w:color="000000" w:sz="4" w:space="0"/>
                  </w:tcBorders>
                  <w:vAlign w:val="center"/>
                </w:tcPr>
                <w:p w14:paraId="2430BA5C">
                  <w:pPr>
                    <w:spacing w:after="0"/>
                    <w:rPr>
                      <w:rFonts w:ascii="Times New Roman" w:hAnsi="Times New Roman"/>
                      <w:color w:val="auto"/>
                      <w:szCs w:val="21"/>
                      <w:highlight w:val="none"/>
                    </w:rPr>
                  </w:pPr>
                  <w:r>
                    <w:rPr>
                      <w:rFonts w:ascii="Times New Roman" w:hAnsi="Times New Roman"/>
                      <w:color w:val="auto"/>
                      <w:szCs w:val="21"/>
                      <w:highlight w:val="none"/>
                    </w:rPr>
                    <w:t>1.发生事故时，应及时组织人群转移。</w:t>
                  </w:r>
                </w:p>
                <w:p w14:paraId="618CEB82">
                  <w:pPr>
                    <w:spacing w:after="0"/>
                    <w:rPr>
                      <w:rFonts w:ascii="Times New Roman" w:hAnsi="Times New Roman"/>
                      <w:color w:val="auto"/>
                      <w:szCs w:val="21"/>
                      <w:highlight w:val="none"/>
                    </w:rPr>
                  </w:pPr>
                  <w:r>
                    <w:rPr>
                      <w:rFonts w:ascii="Times New Roman" w:hAnsi="Times New Roman"/>
                      <w:color w:val="auto"/>
                      <w:szCs w:val="21"/>
                      <w:highlight w:val="none"/>
                    </w:rPr>
                    <w:t xml:space="preserve">2.各井场场地按相关要求规定进行防渗措施。 </w:t>
                  </w:r>
                </w:p>
                <w:p w14:paraId="3A92462A">
                  <w:pPr>
                    <w:pStyle w:val="31"/>
                    <w:spacing w:after="0"/>
                    <w:rPr>
                      <w:color w:val="auto"/>
                      <w:sz w:val="21"/>
                      <w:szCs w:val="21"/>
                      <w:highlight w:val="none"/>
                    </w:rPr>
                  </w:pPr>
                  <w:r>
                    <w:rPr>
                      <w:rFonts w:hint="eastAsia" w:ascii="Times New Roman" w:hAnsi="Times New Roman"/>
                      <w:color w:val="auto"/>
                      <w:kern w:val="2"/>
                      <w:sz w:val="21"/>
                      <w:szCs w:val="21"/>
                      <w:highlight w:val="none"/>
                    </w:rPr>
                    <w:t>3.</w:t>
                  </w:r>
                  <w:r>
                    <w:rPr>
                      <w:rFonts w:ascii="Times New Roman" w:hAnsi="Times New Roman"/>
                      <w:color w:val="auto"/>
                      <w:kern w:val="2"/>
                      <w:sz w:val="21"/>
                      <w:szCs w:val="21"/>
                      <w:highlight w:val="none"/>
                    </w:rPr>
                    <w:t>为防止钻井过程中可能发生的甲烷气体溢出</w:t>
                  </w:r>
                  <w:r>
                    <w:rPr>
                      <w:rFonts w:hint="eastAsia" w:ascii="Times New Roman" w:hAnsi="Times New Roman"/>
                      <w:color w:val="auto"/>
                      <w:kern w:val="2"/>
                      <w:sz w:val="21"/>
                      <w:szCs w:val="21"/>
                      <w:highlight w:val="none"/>
                    </w:rPr>
                    <w:t>，在</w:t>
                  </w:r>
                  <w:r>
                    <w:rPr>
                      <w:rFonts w:ascii="Times New Roman" w:hAnsi="Times New Roman"/>
                      <w:color w:val="auto"/>
                      <w:kern w:val="2"/>
                      <w:sz w:val="21"/>
                      <w:szCs w:val="21"/>
                      <w:highlight w:val="none"/>
                    </w:rPr>
                    <w:t>钻井井口需设置甲烷气体监测设备</w:t>
                  </w:r>
                  <w:r>
                    <w:rPr>
                      <w:rFonts w:hint="eastAsia" w:ascii="Times New Roman" w:hAnsi="Times New Roman"/>
                      <w:color w:val="auto"/>
                      <w:kern w:val="2"/>
                      <w:sz w:val="21"/>
                      <w:szCs w:val="21"/>
                      <w:highlight w:val="none"/>
                    </w:rPr>
                    <w:t>，</w:t>
                  </w:r>
                  <w:r>
                    <w:rPr>
                      <w:rFonts w:ascii="Times New Roman" w:hAnsi="Times New Roman"/>
                      <w:color w:val="auto"/>
                      <w:kern w:val="2"/>
                      <w:sz w:val="21"/>
                      <w:szCs w:val="21"/>
                      <w:highlight w:val="none"/>
                    </w:rPr>
                    <w:t>并在钻井平台设置灭火器材。严格管理火种，划定禁火区，严禁携带火种进入禁火区内</w:t>
                  </w:r>
                  <w:r>
                    <w:rPr>
                      <w:rFonts w:hint="eastAsia" w:ascii="Times New Roman" w:hAnsi="Times New Roman"/>
                      <w:color w:val="auto"/>
                      <w:kern w:val="2"/>
                      <w:sz w:val="21"/>
                      <w:szCs w:val="21"/>
                      <w:highlight w:val="none"/>
                    </w:rPr>
                    <w:t>。</w:t>
                  </w:r>
                </w:p>
              </w:tc>
            </w:tr>
          </w:tbl>
          <w:p w14:paraId="25A3984A">
            <w:pPr>
              <w:pStyle w:val="5"/>
              <w:spacing w:after="0" w:line="360" w:lineRule="auto"/>
              <w:ind w:firstLine="482"/>
              <w:rPr>
                <w:rFonts w:ascii="Times New Roman" w:hAnsi="Times New Roman"/>
                <w:b/>
                <w:bCs/>
                <w:color w:val="auto"/>
                <w:sz w:val="24"/>
                <w:highlight w:val="none"/>
              </w:rPr>
            </w:pPr>
            <w:r>
              <w:rPr>
                <w:rFonts w:ascii="Times New Roman" w:hAnsi="Times New Roman"/>
                <w:b/>
                <w:bCs/>
                <w:color w:val="auto"/>
                <w:kern w:val="0"/>
                <w:sz w:val="24"/>
                <w:highlight w:val="none"/>
              </w:rPr>
              <w:t>10、</w:t>
            </w:r>
            <w:r>
              <w:rPr>
                <w:rFonts w:ascii="Times New Roman" w:hAnsi="Times New Roman"/>
                <w:b/>
                <w:bCs/>
                <w:color w:val="auto"/>
                <w:sz w:val="24"/>
                <w:highlight w:val="none"/>
              </w:rPr>
              <w:t>临时道路恢复措施</w:t>
            </w:r>
          </w:p>
          <w:p w14:paraId="0FA16003">
            <w:pPr>
              <w:spacing w:after="0" w:line="360" w:lineRule="auto"/>
              <w:ind w:firstLine="480" w:firstLineChars="200"/>
              <w:rPr>
                <w:rStyle w:val="44"/>
                <w:rFonts w:hint="default" w:ascii="Times New Roman" w:hAnsi="宋体"/>
                <w:color w:val="auto"/>
                <w:kern w:val="0"/>
                <w:highlight w:val="none"/>
              </w:rPr>
            </w:pPr>
            <w:r>
              <w:rPr>
                <w:rFonts w:ascii="Times New Roman" w:hAnsi="Times New Roman"/>
                <w:color w:val="auto"/>
                <w:sz w:val="24"/>
                <w:highlight w:val="none"/>
              </w:rPr>
              <w:t>施工结束后，新增施工区道路恢复原有地貌</w:t>
            </w:r>
            <w:r>
              <w:rPr>
                <w:rFonts w:hint="eastAsia" w:ascii="Times New Roman" w:hAnsi="Times New Roman"/>
                <w:color w:val="auto"/>
                <w:sz w:val="24"/>
                <w:highlight w:val="none"/>
              </w:rPr>
              <w:t>。</w:t>
            </w:r>
          </w:p>
        </w:tc>
      </w:tr>
      <w:tr w14:paraId="1017D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31" w:type="dxa"/>
          <w:trHeight w:val="4098" w:hRule="atLeast"/>
          <w:jc w:val="center"/>
        </w:trPr>
        <w:tc>
          <w:tcPr>
            <w:tcW w:w="456" w:type="dxa"/>
            <w:tcMar>
              <w:left w:w="28" w:type="dxa"/>
              <w:right w:w="28" w:type="dxa"/>
            </w:tcMar>
            <w:vAlign w:val="center"/>
          </w:tcPr>
          <w:p w14:paraId="50B957DA">
            <w:pPr>
              <w:pStyle w:val="20"/>
              <w:adjustRightInd w:val="0"/>
              <w:snapToGrid w:val="0"/>
              <w:spacing w:before="0" w:beforeAutospacing="0" w:after="0" w:afterAutospacing="0"/>
              <w:jc w:val="center"/>
              <w:rPr>
                <w:rFonts w:ascii="Times New Roman" w:hAnsi="Times New Roman"/>
                <w:bCs/>
                <w:color w:val="auto"/>
                <w:kern w:val="2"/>
                <w:szCs w:val="24"/>
                <w:highlight w:val="none"/>
              </w:rPr>
            </w:pPr>
            <w:r>
              <w:rPr>
                <w:rFonts w:ascii="Times New Roman" w:hAnsi="Times New Roman"/>
                <w:bCs/>
                <w:color w:val="auto"/>
                <w:spacing w:val="10"/>
                <w:kern w:val="2"/>
                <w:szCs w:val="24"/>
                <w:highlight w:val="none"/>
              </w:rPr>
              <w:t>运营期生态环境影响分析</w:t>
            </w:r>
          </w:p>
        </w:tc>
        <w:tc>
          <w:tcPr>
            <w:tcW w:w="8146" w:type="dxa"/>
          </w:tcPr>
          <w:p w14:paraId="68E629B9">
            <w:pPr>
              <w:spacing w:after="0" w:line="360" w:lineRule="auto"/>
              <w:ind w:firstLine="480" w:firstLineChars="200"/>
              <w:rPr>
                <w:rFonts w:ascii="Times New Roman" w:hAnsi="Times New Roman"/>
                <w:bCs/>
                <w:color w:val="auto"/>
                <w:sz w:val="24"/>
                <w:highlight w:val="none"/>
              </w:rPr>
            </w:pPr>
            <w:r>
              <w:rPr>
                <w:rFonts w:hint="eastAsia" w:ascii="Times New Roman" w:hAnsi="Times New Roman"/>
                <w:bCs/>
                <w:color w:val="auto"/>
                <w:sz w:val="24"/>
                <w:highlight w:val="none"/>
              </w:rPr>
              <w:t>本项目施工期结束后，将拆除施工现场其它建筑物后并恢复施工占地土地利用类型。因此，本项目的生态环境的影响主要表现在施工期，不涉及运营期生态环境影响。</w:t>
            </w:r>
          </w:p>
        </w:tc>
      </w:tr>
      <w:tr w14:paraId="773E9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31" w:type="dxa"/>
          <w:trHeight w:val="3931" w:hRule="atLeast"/>
          <w:jc w:val="center"/>
        </w:trPr>
        <w:tc>
          <w:tcPr>
            <w:tcW w:w="456" w:type="dxa"/>
            <w:vAlign w:val="center"/>
          </w:tcPr>
          <w:p w14:paraId="79FFE878">
            <w:pPr>
              <w:pStyle w:val="20"/>
              <w:adjustRightInd w:val="0"/>
              <w:snapToGrid w:val="0"/>
              <w:spacing w:before="0" w:beforeAutospacing="0" w:after="0" w:afterAutospacing="0"/>
              <w:jc w:val="center"/>
              <w:rPr>
                <w:rFonts w:ascii="Times New Roman" w:hAnsi="Times New Roman"/>
                <w:bCs/>
                <w:color w:val="auto"/>
                <w:kern w:val="2"/>
                <w:szCs w:val="24"/>
                <w:highlight w:val="none"/>
              </w:rPr>
            </w:pPr>
            <w:r>
              <w:rPr>
                <w:rFonts w:ascii="Times New Roman" w:hAnsi="Times New Roman"/>
                <w:bCs/>
                <w:color w:val="auto"/>
                <w:kern w:val="2"/>
                <w:szCs w:val="24"/>
                <w:highlight w:val="none"/>
              </w:rPr>
              <w:t>选址选线环境合理性分析</w:t>
            </w:r>
          </w:p>
        </w:tc>
        <w:tc>
          <w:tcPr>
            <w:tcW w:w="8146" w:type="dxa"/>
          </w:tcPr>
          <w:p w14:paraId="5A8353F5">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项目临时用地面积为</w:t>
            </w:r>
            <w:r>
              <w:rPr>
                <w:rFonts w:hint="eastAsia" w:ascii="Times New Roman" w:hAnsi="Times New Roman"/>
                <w:color w:val="auto"/>
                <w:sz w:val="24"/>
                <w:highlight w:val="none"/>
                <w:lang w:eastAsia="zh-CN"/>
              </w:rPr>
              <w:t>31345</w:t>
            </w:r>
            <w:r>
              <w:rPr>
                <w:rFonts w:ascii="Times New Roman" w:hAnsi="Times New Roman"/>
                <w:color w:val="auto"/>
                <w:sz w:val="24"/>
                <w:highlight w:val="none"/>
              </w:rPr>
              <w:t>m</w:t>
            </w:r>
            <w:r>
              <w:rPr>
                <w:rFonts w:ascii="Times New Roman" w:hAnsi="Times New Roman"/>
                <w:color w:val="auto"/>
                <w:sz w:val="24"/>
                <w:highlight w:val="none"/>
                <w:vertAlign w:val="superscript"/>
              </w:rPr>
              <w:t>2</w:t>
            </w:r>
            <w:r>
              <w:rPr>
                <w:rFonts w:ascii="Times New Roman" w:hAnsi="Times New Roman"/>
                <w:color w:val="auto"/>
                <w:sz w:val="24"/>
                <w:highlight w:val="none"/>
              </w:rPr>
              <w:t>。根据《土地复垦条例》和《土地复垦条例实施办法》中有关要求，是指对生产建设活动和自然灾害损毁的土地，采取整治措施，使其达到可供利用状态的活动。按照</w:t>
            </w:r>
            <w:r>
              <w:rPr>
                <w:rFonts w:hint="eastAsia" w:ascii="Times New Roman" w:hAnsi="Times New Roman"/>
                <w:color w:val="auto"/>
                <w:sz w:val="24"/>
                <w:highlight w:val="none"/>
                <w:lang w:eastAsia="zh-CN"/>
              </w:rPr>
              <w:t>“</w:t>
            </w:r>
            <w:r>
              <w:rPr>
                <w:rFonts w:ascii="Times New Roman" w:hAnsi="Times New Roman"/>
                <w:color w:val="auto"/>
                <w:sz w:val="24"/>
                <w:highlight w:val="none"/>
              </w:rPr>
              <w:t>谁损毁，谁复垦</w:t>
            </w:r>
            <w:r>
              <w:rPr>
                <w:rFonts w:hint="eastAsia" w:ascii="Times New Roman" w:hAnsi="Times New Roman"/>
                <w:color w:val="auto"/>
                <w:sz w:val="24"/>
                <w:highlight w:val="none"/>
                <w:lang w:eastAsia="zh-CN"/>
              </w:rPr>
              <w:t>”</w:t>
            </w:r>
            <w:r>
              <w:rPr>
                <w:rFonts w:ascii="Times New Roman" w:hAnsi="Times New Roman"/>
                <w:color w:val="auto"/>
                <w:sz w:val="24"/>
                <w:highlight w:val="none"/>
              </w:rPr>
              <w:t>的原则，由生产建设单位或者个人负责复垦，以恢复其原有使用功能予以合理利用。为保护和合理利用耕作层土壤，施工前将耕作层土壤取出集中堆置贮存，用作本项目土地复垦后的表层土壤，改良复垦土地的土壤，使其尽快熟化以利于农业耕作，恢复原有使用功能。</w:t>
            </w:r>
          </w:p>
          <w:p w14:paraId="6F7021ED">
            <w:pPr>
              <w:spacing w:after="0"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根据工程设计规划，对采矿权平面范围内深部煤炭资源进行补充勘探需在设计的范围之内，探查工程设计钻孔目的与任务明确，针对性强，设计钻孔位置不可移动，</w:t>
            </w:r>
            <w:r>
              <w:rPr>
                <w:rFonts w:ascii="Times New Roman" w:hAnsi="Times New Roman"/>
                <w:color w:val="auto"/>
                <w:sz w:val="24"/>
                <w:highlight w:val="none"/>
                <w:lang w:val="en-US" w:eastAsia="zh-CN"/>
              </w:rPr>
              <w:t>且项目评价周边区域土地绝大部分均为永久基本农田，无可供布设井场的非基本农田地块，缺少替代选址空间，</w:t>
            </w:r>
            <w:r>
              <w:rPr>
                <w:rFonts w:hint="eastAsia" w:ascii="Times New Roman" w:hAnsi="Times New Roman"/>
                <w:color w:val="auto"/>
                <w:kern w:val="0"/>
                <w:sz w:val="24"/>
                <w:highlight w:val="none"/>
              </w:rPr>
              <w:t>因此，钻孔在选址时不可避让基本农田。</w:t>
            </w:r>
          </w:p>
          <w:p w14:paraId="18500EC0">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项目施工期采取有效的污染防治措施后，污染物均达标排放，对周围环境影响较小；</w:t>
            </w:r>
            <w:r>
              <w:rPr>
                <w:rFonts w:ascii="Times New Roman" w:hAnsi="Times New Roman"/>
                <w:color w:val="auto"/>
                <w:kern w:val="0"/>
                <w:sz w:val="24"/>
                <w:highlight w:val="none"/>
              </w:rPr>
              <w:t>项目周围1km范围内没有历史文物古迹、风景名胜区及重要生态功能区；项目区域具有水、电及交通便利等有利条件。综上所述，</w:t>
            </w:r>
            <w:r>
              <w:rPr>
                <w:rFonts w:ascii="Times New Roman" w:hAnsi="Times New Roman"/>
                <w:color w:val="auto"/>
                <w:sz w:val="24"/>
                <w:highlight w:val="none"/>
              </w:rPr>
              <w:t>本项目选</w:t>
            </w:r>
            <w:r>
              <w:rPr>
                <w:rFonts w:ascii="Times New Roman" w:hAnsi="Times New Roman"/>
                <w:color w:val="auto"/>
                <w:kern w:val="0"/>
                <w:sz w:val="24"/>
                <w:highlight w:val="none"/>
              </w:rPr>
              <w:t>址基本合理可行</w:t>
            </w:r>
            <w:r>
              <w:rPr>
                <w:rFonts w:ascii="Times New Roman" w:hAnsi="Times New Roman"/>
                <w:color w:val="auto"/>
                <w:sz w:val="24"/>
                <w:highlight w:val="none"/>
              </w:rPr>
              <w:t>。</w:t>
            </w:r>
          </w:p>
          <w:p w14:paraId="241167FC">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1、生态敏感性分析</w:t>
            </w:r>
          </w:p>
          <w:p w14:paraId="29F9F9DD">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位于农村地区，占地类型主要为农田，种植适时农作物，评价范围内不涉及自然保护区、森林公园、地质公园、风景名胜区、文物古迹保护区、集中式饮用水源保护区等环境敏感区；不在《安徽省生态功能区划》禁止开发区、重点保护区范围内，生态环境总体不敏感。</w:t>
            </w:r>
          </w:p>
          <w:p w14:paraId="4CCEF913">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2、项目用地可行性分析</w:t>
            </w:r>
          </w:p>
          <w:p w14:paraId="4FA1D07D">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本项目属于</w:t>
            </w:r>
            <w:r>
              <w:rPr>
                <w:rFonts w:hint="eastAsia" w:ascii="Times New Roman" w:hAnsi="Times New Roman"/>
                <w:color w:val="auto"/>
                <w:sz w:val="24"/>
                <w:highlight w:val="none"/>
              </w:rPr>
              <w:t>四十六、专业技术服务业99中的陆地矿产资源地质勘查（含油气资源勘探）；二氧化碳地质封存中其他</w:t>
            </w:r>
            <w:r>
              <w:rPr>
                <w:rFonts w:ascii="Times New Roman" w:hAnsi="Times New Roman"/>
                <w:color w:val="auto"/>
                <w:sz w:val="24"/>
                <w:highlight w:val="none"/>
              </w:rPr>
              <w:t>，临时用地面积为</w:t>
            </w:r>
            <w:r>
              <w:rPr>
                <w:rFonts w:hint="eastAsia" w:ascii="Times New Roman" w:hAnsi="Times New Roman"/>
                <w:color w:val="auto"/>
                <w:sz w:val="24"/>
                <w:highlight w:val="none"/>
                <w:lang w:eastAsia="zh-CN"/>
              </w:rPr>
              <w:t>31345</w:t>
            </w:r>
            <w:r>
              <w:rPr>
                <w:rFonts w:ascii="Times New Roman" w:hAnsi="Times New Roman"/>
                <w:color w:val="auto"/>
                <w:sz w:val="24"/>
                <w:highlight w:val="none"/>
              </w:rPr>
              <w:t>m</w:t>
            </w:r>
            <w:r>
              <w:rPr>
                <w:rFonts w:ascii="Times New Roman" w:hAnsi="Times New Roman"/>
                <w:color w:val="auto"/>
                <w:sz w:val="24"/>
                <w:highlight w:val="none"/>
                <w:vertAlign w:val="superscript"/>
              </w:rPr>
              <w:t>2</w:t>
            </w:r>
            <w:r>
              <w:rPr>
                <w:rFonts w:ascii="Times New Roman" w:hAnsi="Times New Roman"/>
                <w:color w:val="auto"/>
                <w:sz w:val="24"/>
                <w:highlight w:val="none"/>
              </w:rPr>
              <w:t>，用地时间预计为</w:t>
            </w:r>
            <w:r>
              <w:rPr>
                <w:rFonts w:hint="eastAsia" w:ascii="Times New Roman" w:hAnsi="Times New Roman"/>
                <w:color w:val="auto"/>
                <w:sz w:val="24"/>
                <w:highlight w:val="none"/>
                <w:lang w:val="en-US" w:eastAsia="zh-CN"/>
              </w:rPr>
              <w:t>3</w:t>
            </w:r>
            <w:r>
              <w:rPr>
                <w:rFonts w:hint="eastAsia" w:ascii="Times New Roman" w:hAnsi="Times New Roman"/>
                <w:color w:val="auto"/>
                <w:sz w:val="24"/>
                <w:highlight w:val="none"/>
              </w:rPr>
              <w:t>个月</w:t>
            </w:r>
            <w:r>
              <w:rPr>
                <w:rFonts w:ascii="Times New Roman" w:hAnsi="Times New Roman"/>
                <w:color w:val="auto"/>
                <w:sz w:val="24"/>
                <w:highlight w:val="none"/>
              </w:rPr>
              <w:t>。中安联合煤化有限责任公司办理了项目临时用地相关手续。项目租用安徽省淮南市</w:t>
            </w:r>
            <w:r>
              <w:rPr>
                <w:rFonts w:hint="eastAsia" w:ascii="Times New Roman" w:hAnsi="Times New Roman"/>
                <w:color w:val="auto"/>
                <w:sz w:val="24"/>
                <w:highlight w:val="none"/>
              </w:rPr>
              <w:t>贺疃镇陈倪村、均刘村、史圩村境内</w:t>
            </w:r>
            <w:r>
              <w:rPr>
                <w:rFonts w:ascii="Times New Roman" w:hAnsi="Times New Roman"/>
                <w:color w:val="auto"/>
                <w:sz w:val="24"/>
                <w:highlight w:val="none"/>
              </w:rPr>
              <w:t>的土地作为本项目的临时建设用地。</w:t>
            </w:r>
          </w:p>
          <w:p w14:paraId="2A6A18A3">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3、环境制约性分析</w:t>
            </w:r>
          </w:p>
          <w:p w14:paraId="25AA7C91">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项目所在地主要为农田，项目占地范围内无大型管网。</w:t>
            </w:r>
          </w:p>
          <w:p w14:paraId="4A6269A3">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项目产生的危险废物主要为废润滑油</w:t>
            </w:r>
            <w:r>
              <w:rPr>
                <w:rFonts w:hint="eastAsia" w:ascii="Times New Roman" w:hAnsi="Times New Roman"/>
                <w:color w:val="auto"/>
                <w:sz w:val="24"/>
                <w:highlight w:val="none"/>
                <w:lang w:eastAsia="zh-CN"/>
              </w:rPr>
              <w:t>、</w:t>
            </w:r>
            <w:r>
              <w:rPr>
                <w:rFonts w:ascii="Times New Roman" w:hAnsi="Times New Roman"/>
                <w:color w:val="auto"/>
                <w:sz w:val="24"/>
                <w:highlight w:val="none"/>
              </w:rPr>
              <w:t>废润滑油桶</w:t>
            </w:r>
            <w:r>
              <w:rPr>
                <w:rFonts w:hint="eastAsia" w:ascii="Times New Roman" w:hAnsi="Times New Roman"/>
                <w:color w:val="auto"/>
                <w:sz w:val="24"/>
                <w:highlight w:val="none"/>
              </w:rPr>
              <w:t>、</w:t>
            </w:r>
            <w:r>
              <w:rPr>
                <w:rFonts w:ascii="Times New Roman" w:hAnsi="Times New Roman"/>
                <w:color w:val="auto"/>
                <w:sz w:val="24"/>
                <w:highlight w:val="none"/>
              </w:rPr>
              <w:t>废含油抹布和废含油手套，收集后交由有资质单位处置，不排放，对环境影响小。通过采取评价提出的必要的可行的环境保护措施和风险防范措施，项目不改变区域环境功能，对周边居民的影响小，环境影响可接受。</w:t>
            </w:r>
          </w:p>
          <w:p w14:paraId="16FC1B66">
            <w:pPr>
              <w:spacing w:after="0" w:line="360" w:lineRule="auto"/>
              <w:ind w:firstLine="480" w:firstLineChars="200"/>
              <w:rPr>
                <w:rFonts w:ascii="Times New Roman" w:hAnsi="Times New Roman"/>
                <w:bCs/>
                <w:color w:val="auto"/>
                <w:highlight w:val="none"/>
              </w:rPr>
            </w:pPr>
            <w:r>
              <w:rPr>
                <w:rFonts w:ascii="Times New Roman" w:hAnsi="Times New Roman"/>
                <w:color w:val="auto"/>
                <w:sz w:val="24"/>
                <w:highlight w:val="none"/>
              </w:rPr>
              <w:t>综上所述，工程选址符合相关技术规范要求，且不属于环境敏感区、不涉及淮南市生态保护红线，在采取必要的环境保护措施和风险防范措施，对环境的影响可得到有效控制，从环境保护角度分析本项目选址合理。</w:t>
            </w:r>
          </w:p>
        </w:tc>
      </w:tr>
    </w:tbl>
    <w:p w14:paraId="114E6EB0">
      <w:pPr>
        <w:pStyle w:val="20"/>
        <w:spacing w:before="0" w:beforeAutospacing="0" w:afterAutospacing="0"/>
        <w:jc w:val="center"/>
        <w:rPr>
          <w:rFonts w:ascii="Times New Roman" w:hAnsi="Times New Roman" w:eastAsia="黑体"/>
          <w:snapToGrid w:val="0"/>
          <w:color w:val="auto"/>
          <w:sz w:val="36"/>
          <w:szCs w:val="36"/>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35443A6F">
      <w:pPr>
        <w:rPr>
          <w:color w:val="auto"/>
          <w:highlight w:val="none"/>
        </w:rPr>
      </w:pPr>
    </w:p>
    <w:p w14:paraId="4BB0CE4F">
      <w:pPr>
        <w:pStyle w:val="20"/>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bookmarkStart w:id="15" w:name="_Toc31829"/>
      <w:r>
        <w:rPr>
          <w:rFonts w:ascii="Times New Roman" w:hAnsi="Times New Roman" w:eastAsia="黑体"/>
          <w:snapToGrid w:val="0"/>
          <w:color w:val="auto"/>
          <w:sz w:val="30"/>
          <w:szCs w:val="30"/>
          <w:highlight w:val="none"/>
        </w:rPr>
        <w:t>五、主要生态环境保护措施</w:t>
      </w:r>
      <w:bookmarkEnd w:id="15"/>
    </w:p>
    <w:tbl>
      <w:tblPr>
        <w:tblStyle w:val="22"/>
        <w:tblW w:w="87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980"/>
      </w:tblGrid>
      <w:tr w14:paraId="5F6E76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1" w:hRule="atLeast"/>
          <w:jc w:val="center"/>
        </w:trPr>
        <w:tc>
          <w:tcPr>
            <w:tcW w:w="753" w:type="dxa"/>
            <w:tcMar>
              <w:left w:w="28" w:type="dxa"/>
              <w:right w:w="28" w:type="dxa"/>
            </w:tcMar>
            <w:vAlign w:val="center"/>
          </w:tcPr>
          <w:p w14:paraId="5BF191EB">
            <w:pPr>
              <w:adjustRightInd w:val="0"/>
              <w:snapToGrid w:val="0"/>
              <w:jc w:val="center"/>
              <w:rPr>
                <w:rFonts w:ascii="Times New Roman" w:hAnsi="Times New Roman"/>
                <w:bCs/>
                <w:color w:val="auto"/>
                <w:sz w:val="24"/>
                <w:highlight w:val="none"/>
              </w:rPr>
            </w:pPr>
            <w:r>
              <w:rPr>
                <w:rFonts w:ascii="Times New Roman" w:hAnsi="Times New Roman"/>
                <w:bCs/>
                <w:color w:val="auto"/>
                <w:spacing w:val="10"/>
                <w:sz w:val="24"/>
                <w:highlight w:val="none"/>
              </w:rPr>
              <w:t>施工期生态环境保护措施</w:t>
            </w:r>
          </w:p>
        </w:tc>
        <w:tc>
          <w:tcPr>
            <w:tcW w:w="7980" w:type="dxa"/>
          </w:tcPr>
          <w:p w14:paraId="25F9D5BA">
            <w:pPr>
              <w:spacing w:after="0" w:line="360" w:lineRule="auto"/>
              <w:ind w:firstLine="482" w:firstLineChars="200"/>
              <w:rPr>
                <w:rStyle w:val="44"/>
                <w:rFonts w:hint="default" w:ascii="Times New Roman" w:hAnsi="宋体"/>
                <w:b/>
                <w:bCs/>
                <w:color w:val="auto"/>
                <w:kern w:val="0"/>
                <w:highlight w:val="none"/>
              </w:rPr>
            </w:pPr>
            <w:r>
              <w:rPr>
                <w:rStyle w:val="44"/>
                <w:rFonts w:hint="default" w:ascii="Times New Roman" w:hAnsi="宋体"/>
                <w:b/>
                <w:bCs/>
                <w:color w:val="auto"/>
                <w:kern w:val="0"/>
                <w:highlight w:val="none"/>
              </w:rPr>
              <w:t>1、大气污染物防治措施</w:t>
            </w:r>
          </w:p>
          <w:p w14:paraId="37B099DB">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项目施工过程中的大气污染主要来自于施工场地的扬尘、施工机械的尾气。这些废气的影响是局部的、暂时的，影响的程度及范围有限，随着施工期的结束而逐渐消失。</w:t>
            </w:r>
          </w:p>
          <w:p w14:paraId="1635C855">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为减轻扬尘对区域环境空气的不利影响，应按照《安徽省大气污染防治条例》《安徽省大气污染防治行动计划实施方案》（皖政（2013）89号）、《安徽省人民政府办公厅关于印发安徽省重污染天气应急预案的通知》（皖政办秘〔2017〕97号）、《安徽省人民政府关于2018年重点工作及责任分解的通知》（皖政〔2018〕23号）及省大气办关于印发《2018年安徽省大气污染防治重点工作任务》的通知（皖大气办〔2018〕7号）、《防治城市扬尘污染技术规范》（HJ/T393-2007）、《建筑工程施工和预拌混凝土生产扬尘污染防治标准（试行）》《淮南市扬尘污染防治条例》等要求，施工企业要在开工前制定相应的施工现场扬尘控制措施。</w:t>
            </w:r>
          </w:p>
          <w:p w14:paraId="56C974F6">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施工期间应特别注意施工扬尘的防治问题，须制定必要的防治措施，以减少施工扬尘对周围环境的影响。对于井场范围内的扬尘治理，还要做到</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六个百分百</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措施：</w:t>
            </w:r>
          </w:p>
          <w:p w14:paraId="492BF9C5">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①现场封闭管理百分之百施工现场硬质围挡应连续设置，围挡不低于2.5m，做到坚固、平稳、整洁、美观。在建工程外立面应用安全网实现全封闭围护。</w:t>
            </w:r>
          </w:p>
          <w:p w14:paraId="0A8E0913">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②场区道路硬化百分之百</w:t>
            </w:r>
          </w:p>
          <w:p w14:paraId="6D5628A4">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主要通道、进出道路、材料加工区及办公生活区地面进行硬化处理。</w:t>
            </w:r>
          </w:p>
          <w:p w14:paraId="6AD9EAAE">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③渣土物料蓬盖百分之百</w:t>
            </w:r>
          </w:p>
          <w:p w14:paraId="05F5738A">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施工现场内裸露的场地和集中堆放的土方应采取覆盖、固化或绿化等防尘措施。易产生扬尘的物料要篷盖。</w:t>
            </w:r>
          </w:p>
          <w:p w14:paraId="16500DB7">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④洒水清扫保洁百分之百</w:t>
            </w:r>
          </w:p>
          <w:p w14:paraId="4324246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施工现场设专人负责卫生保洁，每天上午、下午各进行二次洒水降尘，遇到干旱和大风天气时，应增加洒水降尘次数，确保无浮土扬尘。开挖、回填等土方作业时，要辅以洒水压尘等措施。工程竣工后，施工现场的临设、围挡、垃圾等必须及时清理完毕，清理时必须采取有效的降尘措施。</w:t>
            </w:r>
          </w:p>
          <w:p w14:paraId="7169DB76">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⑤物料密闭运输百分之百易产生扬尘的建筑材料、渣土应采取密闭搬运、存储或采用防尘布苫盖等防尘措施。严禁熔融沥青、焚烧垃圾等有毒有害物质，禁止无牌无证车辆进入施工现场。</w:t>
            </w:r>
          </w:p>
          <w:p w14:paraId="6406D49B">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⑥出入车辆清洗百分之百</w:t>
            </w:r>
          </w:p>
          <w:p w14:paraId="35010D18">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施工现场出入口处设置自动车辆冲洗装置和沉淀池，运输车辆底盘和车轮冲洗干净后方可驶离施工现场。</w:t>
            </w:r>
          </w:p>
          <w:p w14:paraId="34145052">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要加强现场管理，做好文明标化施工，采取配置工地滞尘防护网、设置围档和硬化道路，及车辆出场冲洗等措施，最大程度减少扬尘对周围大气环境的危害，必要时采用水雾以降低和防止二次扬尘。其次，在土方挖掘、平整阶段，运土车辆必须做到净车出场，最大限度减少泥土</w:t>
            </w:r>
            <w:r>
              <w:rPr>
                <w:rStyle w:val="44"/>
                <w:rFonts w:hint="eastAsia" w:ascii="Times New Roman" w:hAnsi="宋体"/>
                <w:color w:val="auto"/>
                <w:kern w:val="0"/>
                <w:highlight w:val="none"/>
                <w:lang w:eastAsia="zh-CN"/>
              </w:rPr>
              <w:t>洒落</w:t>
            </w:r>
            <w:r>
              <w:rPr>
                <w:rStyle w:val="44"/>
                <w:rFonts w:hint="default" w:ascii="Times New Roman" w:hAnsi="宋体"/>
                <w:color w:val="auto"/>
                <w:kern w:val="0"/>
                <w:highlight w:val="none"/>
              </w:rPr>
              <w:t>构成扬尘污染，在运输、装卸建筑材料时，应采用封闭车辆运输，尤其是泥砂等。</w:t>
            </w:r>
          </w:p>
          <w:p w14:paraId="69573B93">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同时环评建议通过如下措施降低施工期对大气环境的影响：</w:t>
            </w:r>
          </w:p>
          <w:p w14:paraId="682BBEE6">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（1）施工单位应根据《建设工程施工现场管理规定》的要求设置现场平面布置图、工程概况牌、安全生产牌、消防保卫牌、文明施工牌、环境保护牌、管理人员名单及监督电话牌等；</w:t>
            </w:r>
          </w:p>
          <w:p w14:paraId="358BA9D7">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（2）施工现场围挡高度符合《建筑施工安全检查标准》（JGJ59-2011）要求，围挡应连续、密闭、坚固、稳定、整洁、美观，同时围挡上部宜设置朝向场内区域的喷雾装置，每组间隔不宜大于4m。</w:t>
            </w:r>
          </w:p>
          <w:p w14:paraId="037E5F98">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（3）施工现场非作业地面裸露的场地必须绿化或严密覆盖；</w:t>
            </w:r>
          </w:p>
          <w:p w14:paraId="7DF7AD8E">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（4）施工现场采取围挡、严密遮盖等防尘措施；</w:t>
            </w:r>
          </w:p>
          <w:p w14:paraId="70D7F5D8">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（5）施工作业环境要整洁干净，应设置洒水降尘设施；</w:t>
            </w:r>
          </w:p>
          <w:p w14:paraId="34F1FB0C">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（6）启动Ⅲ级（黄色）或以上重污染天气预警或气象预报风速达到四级以上时，不得进行土方挖填、转运等易产生扬尘的作业；</w:t>
            </w:r>
          </w:p>
          <w:p w14:paraId="4FBDB807">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（7）确保渣土运输车辆安装GPS定位系统，严格实施密闭运输，落实出入井场车辆冲洗措施；</w:t>
            </w:r>
          </w:p>
          <w:p w14:paraId="6BF6F571">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（8）建立施工工地管理清单，将施工工地扬尘污染防治纳入文明施工管理范畴，建立扬尘控制责任制度，扬尘治理费用列入工程造价；</w:t>
            </w:r>
          </w:p>
          <w:p w14:paraId="17C94160">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（9）建筑施工工地要做到工地周边围挡、物料堆放覆盖、土方开挖湿法作业、路面硬化、出入车辆清洗、渣土车辆密闭运输</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六个百分之百</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w:t>
            </w:r>
          </w:p>
          <w:p w14:paraId="48A8A0C5">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（10）加强施工机械设备及车辆的养护，定期对施工机械和施工运输车辆排放的尾气进行检查监测，加强机械维修保养；</w:t>
            </w:r>
          </w:p>
          <w:p w14:paraId="0218CA79">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（11）运送散装物料车辆应保持良好的密封状态，车辆不应装载过满，以免在运输途中颠簸洒落；在晴朗多风天气，装载土料时，应适当加湿或用帆布覆盖；</w:t>
            </w:r>
          </w:p>
          <w:p w14:paraId="3904A85F">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（12）保持车辆进出施工场地路面清洁，设置洗车平台，完善排水设施，运输车辆应当在除泥、冲洗干净后，方可驶出施工工地；</w:t>
            </w:r>
          </w:p>
          <w:p w14:paraId="0308181B">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（13）工地应有专人负责逸散性材料、垃圾、渣土、裸地等密闭、覆盖、洒水作业以及车辆清洗作业等，并记录扬尘控制措施的实施情况。</w:t>
            </w:r>
          </w:p>
          <w:p w14:paraId="24101D23">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（14）施工结束时，应及时对施工占用场地恢复地面道路及植被。</w:t>
            </w:r>
          </w:p>
          <w:p w14:paraId="75D4F6D2">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通过以上措施，可在一定程度上减少扬尘的产生，从而减少对大气环境的影响。</w:t>
            </w:r>
          </w:p>
          <w:p w14:paraId="58A62C59">
            <w:pPr>
              <w:widowControl/>
              <w:adjustRightInd w:val="0"/>
              <w:snapToGrid w:val="0"/>
              <w:spacing w:after="0" w:line="360" w:lineRule="auto"/>
              <w:ind w:firstLine="482" w:firstLineChars="200"/>
              <w:rPr>
                <w:rStyle w:val="44"/>
                <w:rFonts w:hint="default" w:ascii="Times New Roman" w:hAnsi="宋体"/>
                <w:b/>
                <w:bCs/>
                <w:color w:val="auto"/>
                <w:kern w:val="0"/>
                <w:highlight w:val="none"/>
              </w:rPr>
            </w:pPr>
            <w:r>
              <w:rPr>
                <w:rStyle w:val="44"/>
                <w:rFonts w:hint="default" w:ascii="Times New Roman" w:hAnsi="宋体"/>
                <w:b/>
                <w:bCs/>
                <w:color w:val="auto"/>
                <w:kern w:val="0"/>
                <w:highlight w:val="none"/>
              </w:rPr>
              <w:t>2、水污染物防治措施</w:t>
            </w:r>
          </w:p>
          <w:p w14:paraId="75E820E6">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（1）废水回用可行性分析</w:t>
            </w:r>
          </w:p>
          <w:p w14:paraId="7A048C59">
            <w:pPr>
              <w:widowControl/>
              <w:spacing w:after="0" w:line="360" w:lineRule="auto"/>
              <w:ind w:firstLine="480" w:firstLineChars="200"/>
              <w:rPr>
                <w:rStyle w:val="44"/>
                <w:rFonts w:hint="default" w:ascii="Times New Roman" w:hAnsi="Times New Roman"/>
                <w:color w:val="auto"/>
                <w:kern w:val="0"/>
                <w:highlight w:val="none"/>
              </w:rPr>
            </w:pPr>
            <w:r>
              <w:rPr>
                <w:rStyle w:val="44"/>
                <w:rFonts w:hint="default" w:ascii="Times New Roman" w:hAnsi="Times New Roman"/>
                <w:color w:val="auto"/>
                <w:kern w:val="0"/>
                <w:sz w:val="24"/>
                <w:highlight w:val="none"/>
              </w:rPr>
              <w:t>①水量回用可行性分析：本项目废水主要包括钻井工艺废水、车辆冲洗废水</w:t>
            </w:r>
            <w:r>
              <w:rPr>
                <w:rStyle w:val="44"/>
                <w:rFonts w:hint="eastAsia" w:ascii="Times New Roman" w:hAnsi="Times New Roman"/>
                <w:color w:val="auto"/>
                <w:kern w:val="0"/>
                <w:sz w:val="24"/>
                <w:highlight w:val="none"/>
                <w:lang w:eastAsia="zh-CN"/>
              </w:rPr>
              <w:t>、</w:t>
            </w:r>
            <w:r>
              <w:rPr>
                <w:rStyle w:val="44"/>
                <w:rFonts w:hint="eastAsia" w:ascii="Times New Roman" w:hAnsi="Times New Roman"/>
                <w:color w:val="auto"/>
                <w:kern w:val="0"/>
                <w:sz w:val="24"/>
                <w:highlight w:val="none"/>
                <w:lang w:val="en-US" w:eastAsia="zh-CN"/>
              </w:rPr>
              <w:t>道路及场地喷雾降尘用水</w:t>
            </w:r>
            <w:r>
              <w:rPr>
                <w:rStyle w:val="44"/>
                <w:rFonts w:hint="default" w:ascii="Times New Roman" w:hAnsi="Times New Roman"/>
                <w:color w:val="auto"/>
                <w:kern w:val="0"/>
                <w:sz w:val="24"/>
                <w:highlight w:val="none"/>
              </w:rPr>
              <w:t>以及生活污水。</w:t>
            </w:r>
            <w:r>
              <w:rPr>
                <w:rFonts w:ascii="Times New Roman" w:hAnsi="Times New Roman"/>
                <w:color w:val="auto"/>
                <w:sz w:val="24"/>
                <w:highlight w:val="none"/>
              </w:rPr>
              <w:t>本次项目每个钻孔总用新鲜水约为60m³，共</w:t>
            </w:r>
            <w:r>
              <w:rPr>
                <w:rFonts w:hint="eastAsia" w:ascii="Times New Roman" w:hAnsi="Times New Roman"/>
                <w:color w:val="auto"/>
                <w:sz w:val="24"/>
                <w:highlight w:val="none"/>
                <w:lang w:val="en-US" w:eastAsia="zh-CN"/>
              </w:rPr>
              <w:t>19</w:t>
            </w:r>
            <w:r>
              <w:rPr>
                <w:rFonts w:ascii="Times New Roman" w:hAnsi="Times New Roman"/>
                <w:color w:val="auto"/>
                <w:sz w:val="24"/>
                <w:highlight w:val="none"/>
              </w:rPr>
              <w:t>个钻孔，钻井总用水量</w:t>
            </w:r>
            <w:r>
              <w:rPr>
                <w:rFonts w:hint="eastAsia" w:ascii="Times New Roman" w:hAnsi="Times New Roman"/>
                <w:color w:val="auto"/>
                <w:sz w:val="24"/>
                <w:highlight w:val="none"/>
                <w:lang w:val="en-US" w:eastAsia="zh-CN"/>
              </w:rPr>
              <w:t>1140</w:t>
            </w:r>
            <w:r>
              <w:rPr>
                <w:rFonts w:ascii="Times New Roman" w:hAnsi="Times New Roman"/>
                <w:color w:val="auto"/>
                <w:sz w:val="24"/>
                <w:highlight w:val="none"/>
              </w:rPr>
              <w:t>m³</w:t>
            </w:r>
            <w:r>
              <w:rPr>
                <w:rFonts w:hint="eastAsia" w:ascii="Times New Roman" w:hAnsi="Times New Roman"/>
                <w:color w:val="auto"/>
                <w:sz w:val="24"/>
                <w:highlight w:val="none"/>
              </w:rPr>
              <w:t>，本项目各井场钻井工程预计约3个月，循环水量约</w:t>
            </w:r>
            <w:r>
              <w:rPr>
                <w:rFonts w:hint="eastAsia" w:ascii="Times New Roman" w:hAnsi="Times New Roman"/>
                <w:color w:val="auto"/>
                <w:sz w:val="24"/>
                <w:highlight w:val="none"/>
                <w:lang w:val="en-US" w:eastAsia="zh-CN"/>
              </w:rPr>
              <w:t>456</w:t>
            </w:r>
            <w:r>
              <w:rPr>
                <w:rFonts w:ascii="Times New Roman" w:hAnsi="Times New Roman"/>
                <w:color w:val="auto"/>
                <w:sz w:val="24"/>
                <w:highlight w:val="none"/>
              </w:rPr>
              <w:t>m³/d</w:t>
            </w:r>
            <w:r>
              <w:rPr>
                <w:rFonts w:hint="eastAsia" w:ascii="Times New Roman" w:hAnsi="Times New Roman"/>
                <w:color w:val="auto"/>
                <w:sz w:val="24"/>
                <w:highlight w:val="none"/>
              </w:rPr>
              <w:t>。</w:t>
            </w:r>
            <w:r>
              <w:rPr>
                <w:rStyle w:val="44"/>
                <w:rFonts w:hint="default" w:ascii="Times New Roman" w:hAnsi="Times New Roman"/>
                <w:color w:val="auto"/>
                <w:kern w:val="0"/>
                <w:sz w:val="24"/>
                <w:highlight w:val="none"/>
              </w:rPr>
              <w:t>每个井场设</w:t>
            </w:r>
            <w:r>
              <w:rPr>
                <w:rStyle w:val="44"/>
                <w:rFonts w:hint="eastAsia" w:ascii="Times New Roman" w:hAnsi="Times New Roman"/>
                <w:color w:val="auto"/>
                <w:kern w:val="0"/>
                <w:sz w:val="24"/>
                <w:highlight w:val="none"/>
                <w:lang w:val="en-US" w:eastAsia="zh-CN"/>
              </w:rPr>
              <w:t>2</w:t>
            </w:r>
            <w:r>
              <w:rPr>
                <w:rStyle w:val="44"/>
                <w:rFonts w:hint="default" w:ascii="Times New Roman" w:hAnsi="Times New Roman"/>
                <w:color w:val="auto"/>
                <w:kern w:val="0"/>
                <w:sz w:val="24"/>
                <w:highlight w:val="none"/>
              </w:rPr>
              <w:t>个泥浆池，容积</w:t>
            </w:r>
            <w:r>
              <w:rPr>
                <w:rStyle w:val="44"/>
                <w:rFonts w:hint="eastAsia" w:ascii="Times New Roman" w:hAnsi="Times New Roman"/>
                <w:color w:val="auto"/>
                <w:kern w:val="0"/>
                <w:sz w:val="24"/>
                <w:highlight w:val="none"/>
                <w:lang w:val="en-US" w:eastAsia="zh-CN"/>
              </w:rPr>
              <w:t>48</w:t>
            </w:r>
            <w:r>
              <w:rPr>
                <w:rStyle w:val="44"/>
                <w:rFonts w:hint="default" w:ascii="Times New Roman" w:hAnsi="Times New Roman"/>
                <w:color w:val="auto"/>
                <w:kern w:val="0"/>
                <w:sz w:val="24"/>
                <w:highlight w:val="none"/>
              </w:rPr>
              <w:t>m</w:t>
            </w:r>
            <w:r>
              <w:rPr>
                <w:rStyle w:val="44"/>
                <w:rFonts w:hint="default" w:ascii="Times New Roman" w:hAnsi="Times New Roman"/>
                <w:color w:val="auto"/>
                <w:kern w:val="0"/>
                <w:sz w:val="24"/>
                <w:highlight w:val="none"/>
                <w:vertAlign w:val="superscript"/>
              </w:rPr>
              <w:t>3</w:t>
            </w:r>
            <w:r>
              <w:rPr>
                <w:rStyle w:val="44"/>
                <w:rFonts w:hint="default" w:ascii="Times New Roman" w:hAnsi="Times New Roman"/>
                <w:color w:val="auto"/>
                <w:kern w:val="0"/>
                <w:sz w:val="24"/>
                <w:highlight w:val="none"/>
              </w:rPr>
              <w:t>，钻井泥浆通过泥浆泵以泥浆池沉淀后循环使用，不外排；</w:t>
            </w:r>
            <w:r>
              <w:rPr>
                <w:rFonts w:ascii="Times New Roman" w:hAnsi="Times New Roman"/>
                <w:color w:val="auto"/>
                <w:sz w:val="24"/>
                <w:highlight w:val="none"/>
              </w:rPr>
              <w:t>项目施工期</w:t>
            </w:r>
            <w:r>
              <w:rPr>
                <w:rFonts w:hint="eastAsia" w:ascii="Times New Roman" w:hAnsi="Times New Roman"/>
                <w:color w:val="auto"/>
                <w:sz w:val="24"/>
                <w:highlight w:val="none"/>
              </w:rPr>
              <w:t>每个井场</w:t>
            </w:r>
            <w:r>
              <w:rPr>
                <w:rFonts w:ascii="Times New Roman" w:hAnsi="Times New Roman"/>
                <w:color w:val="auto"/>
                <w:sz w:val="24"/>
                <w:highlight w:val="none"/>
              </w:rPr>
              <w:t>每天进出车辆共约</w:t>
            </w:r>
            <w:r>
              <w:rPr>
                <w:rFonts w:hint="eastAsia" w:ascii="Times New Roman" w:hAnsi="Times New Roman"/>
                <w:color w:val="auto"/>
                <w:sz w:val="24"/>
                <w:highlight w:val="none"/>
              </w:rPr>
              <w:t>4</w:t>
            </w:r>
            <w:r>
              <w:rPr>
                <w:rFonts w:ascii="Times New Roman" w:hAnsi="Times New Roman"/>
                <w:color w:val="auto"/>
                <w:sz w:val="24"/>
                <w:highlight w:val="none"/>
              </w:rPr>
              <w:t>辆次，则冲洗用水量约为</w:t>
            </w:r>
            <w:r>
              <w:rPr>
                <w:rFonts w:hint="eastAsia" w:ascii="Times New Roman" w:hAnsi="Times New Roman"/>
                <w:color w:val="auto"/>
                <w:sz w:val="24"/>
                <w:highlight w:val="none"/>
                <w:lang w:val="en-US" w:eastAsia="zh-CN"/>
              </w:rPr>
              <w:t>547.2</w:t>
            </w:r>
            <w:r>
              <w:rPr>
                <w:rFonts w:hint="eastAsia" w:ascii="Times New Roman" w:hAnsi="Times New Roman"/>
                <w:color w:val="auto"/>
                <w:sz w:val="24"/>
                <w:highlight w:val="none"/>
              </w:rPr>
              <w:t>m</w:t>
            </w:r>
            <w:r>
              <w:rPr>
                <w:rFonts w:hint="eastAsia" w:ascii="Times New Roman" w:hAnsi="Times New Roman"/>
                <w:color w:val="auto"/>
                <w:sz w:val="24"/>
                <w:highlight w:val="none"/>
                <w:vertAlign w:val="superscript"/>
              </w:rPr>
              <w:t>3</w:t>
            </w:r>
            <w:r>
              <w:rPr>
                <w:rFonts w:hint="eastAsia" w:ascii="Times New Roman" w:hAnsi="Times New Roman"/>
                <w:color w:val="auto"/>
                <w:sz w:val="24"/>
                <w:highlight w:val="none"/>
                <w:vertAlign w:val="baseline"/>
                <w:lang w:val="en-US" w:eastAsia="zh-CN"/>
              </w:rPr>
              <w:t>/施工期</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6.08</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w:t>
            </w:r>
            <w:r>
              <w:rPr>
                <w:rFonts w:ascii="Times New Roman" w:hAnsi="Times New Roman"/>
                <w:color w:val="auto"/>
                <w:sz w:val="24"/>
                <w:highlight w:val="none"/>
              </w:rPr>
              <w:t>。冲洗水约有</w:t>
            </w:r>
            <w:r>
              <w:rPr>
                <w:rFonts w:hint="eastAsia" w:ascii="Times New Roman" w:hAnsi="Times New Roman"/>
                <w:color w:val="auto"/>
                <w:sz w:val="24"/>
                <w:highlight w:val="none"/>
              </w:rPr>
              <w:t>2</w:t>
            </w:r>
            <w:r>
              <w:rPr>
                <w:rFonts w:ascii="Times New Roman" w:hAnsi="Times New Roman"/>
                <w:color w:val="auto"/>
                <w:sz w:val="24"/>
                <w:highlight w:val="none"/>
              </w:rPr>
              <w:t>0%蒸发，其余</w:t>
            </w:r>
            <w:r>
              <w:rPr>
                <w:rFonts w:hint="eastAsia" w:ascii="Times New Roman" w:hAnsi="Times New Roman"/>
                <w:color w:val="auto"/>
                <w:sz w:val="24"/>
                <w:highlight w:val="none"/>
              </w:rPr>
              <w:t>约</w:t>
            </w:r>
            <w:r>
              <w:rPr>
                <w:rFonts w:hint="eastAsia" w:ascii="Times New Roman" w:hAnsi="Times New Roman"/>
                <w:color w:val="auto"/>
                <w:sz w:val="24"/>
                <w:highlight w:val="none"/>
                <w:lang w:val="en-US" w:eastAsia="zh-CN"/>
              </w:rPr>
              <w:t>437.8</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hint="eastAsia" w:ascii="Times New Roman" w:hAnsi="Times New Roman"/>
                <w:color w:val="auto"/>
                <w:sz w:val="24"/>
                <w:highlight w:val="none"/>
                <w:vertAlign w:val="baseline"/>
                <w:lang w:val="en-US" w:eastAsia="zh-CN"/>
              </w:rPr>
              <w:t>/施工期</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4.86</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ascii="Times New Roman" w:hAnsi="Times New Roman"/>
                <w:color w:val="auto"/>
                <w:sz w:val="24"/>
                <w:highlight w:val="none"/>
              </w:rPr>
              <w:t>）</w:t>
            </w:r>
            <w:r>
              <w:rPr>
                <w:rFonts w:ascii="Times New Roman" w:hAnsi="Times New Roman"/>
                <w:color w:val="auto"/>
                <w:sz w:val="24"/>
                <w:highlight w:val="none"/>
              </w:rPr>
              <w:t>水进入沉淀池沉淀后循环使用</w:t>
            </w:r>
            <w:r>
              <w:rPr>
                <w:rStyle w:val="44"/>
                <w:rFonts w:hint="default" w:ascii="Times New Roman" w:hAnsi="Times New Roman"/>
                <w:color w:val="auto"/>
                <w:kern w:val="0"/>
                <w:sz w:val="24"/>
                <w:highlight w:val="none"/>
              </w:rPr>
              <w:t>，每个井场设1个沉淀池8m</w:t>
            </w:r>
            <w:r>
              <w:rPr>
                <w:rStyle w:val="44"/>
                <w:rFonts w:hint="default" w:ascii="Times New Roman" w:hAnsi="Times New Roman"/>
                <w:color w:val="auto"/>
                <w:kern w:val="0"/>
                <w:sz w:val="24"/>
                <w:highlight w:val="none"/>
                <w:vertAlign w:val="superscript"/>
              </w:rPr>
              <w:t>3</w:t>
            </w:r>
            <w:r>
              <w:rPr>
                <w:rStyle w:val="44"/>
                <w:rFonts w:hint="default" w:ascii="Times New Roman" w:hAnsi="Times New Roman"/>
                <w:color w:val="auto"/>
                <w:kern w:val="0"/>
                <w:sz w:val="24"/>
                <w:highlight w:val="none"/>
              </w:rPr>
              <w:t>，足够容纳生产过程中产生的废水；道路及场地喷雾降尘日均用水量约</w:t>
            </w:r>
            <w:r>
              <w:rPr>
                <w:rStyle w:val="44"/>
                <w:rFonts w:hint="eastAsia" w:ascii="Times New Roman" w:hAnsi="Times New Roman"/>
                <w:color w:val="auto"/>
                <w:kern w:val="0"/>
                <w:sz w:val="24"/>
                <w:highlight w:val="none"/>
                <w:lang w:val="en-US" w:eastAsia="zh-CN"/>
              </w:rPr>
              <w:t>42.4</w:t>
            </w:r>
            <w:r>
              <w:rPr>
                <w:rStyle w:val="44"/>
                <w:rFonts w:hint="default" w:ascii="Times New Roman" w:hAnsi="Times New Roman"/>
                <w:color w:val="auto"/>
                <w:kern w:val="0"/>
                <w:sz w:val="24"/>
                <w:highlight w:val="none"/>
              </w:rPr>
              <w:t>m</w:t>
            </w:r>
            <w:r>
              <w:rPr>
                <w:rStyle w:val="44"/>
                <w:rFonts w:hint="eastAsia" w:ascii="Times New Roman" w:hAnsi="Times New Roman"/>
                <w:color w:val="auto"/>
                <w:kern w:val="0"/>
                <w:sz w:val="24"/>
                <w:highlight w:val="none"/>
                <w:vertAlign w:val="superscript"/>
                <w:lang w:val="en-US" w:eastAsia="zh-CN"/>
              </w:rPr>
              <w:t>3</w:t>
            </w:r>
            <w:r>
              <w:rPr>
                <w:rStyle w:val="44"/>
                <w:rFonts w:hint="default" w:ascii="Times New Roman" w:hAnsi="Times New Roman"/>
                <w:color w:val="auto"/>
                <w:kern w:val="0"/>
                <w:sz w:val="24"/>
                <w:highlight w:val="none"/>
              </w:rPr>
              <w:t>，全部自然蒸发损耗</w:t>
            </w:r>
            <w:r>
              <w:rPr>
                <w:rStyle w:val="44"/>
                <w:rFonts w:hint="eastAsia" w:ascii="Times New Roman" w:hAnsi="Times New Roman"/>
                <w:color w:val="auto"/>
                <w:kern w:val="0"/>
                <w:sz w:val="24"/>
                <w:highlight w:val="none"/>
                <w:lang w:eastAsia="zh-CN"/>
              </w:rPr>
              <w:t>；</w:t>
            </w:r>
            <w:r>
              <w:rPr>
                <w:rStyle w:val="44"/>
                <w:rFonts w:hint="default" w:ascii="Times New Roman" w:hAnsi="Times New Roman"/>
                <w:color w:val="auto"/>
                <w:kern w:val="0"/>
                <w:sz w:val="24"/>
                <w:highlight w:val="none"/>
              </w:rPr>
              <w:t>生活污水经化粪池处理后定期清掏用于当地农作物施肥。</w:t>
            </w:r>
          </w:p>
          <w:p w14:paraId="0D03F3A1">
            <w:pPr>
              <w:widowControl/>
              <w:spacing w:after="0" w:line="360" w:lineRule="auto"/>
              <w:ind w:firstLine="480" w:firstLineChars="200"/>
              <w:rPr>
                <w:rStyle w:val="44"/>
                <w:rFonts w:hint="default" w:ascii="Times New Roman" w:hAnsi="宋体"/>
                <w:color w:val="auto"/>
                <w:kern w:val="0"/>
                <w:highlight w:val="none"/>
              </w:rPr>
            </w:pPr>
            <w:r>
              <w:rPr>
                <w:rStyle w:val="44"/>
                <w:rFonts w:hint="default" w:cs="Calibri"/>
                <w:color w:val="auto"/>
                <w:kern w:val="0"/>
                <w:highlight w:val="none"/>
              </w:rPr>
              <w:t>②</w:t>
            </w:r>
            <w:r>
              <w:rPr>
                <w:rStyle w:val="44"/>
                <w:rFonts w:hint="default" w:ascii="宋体" w:hAnsi="宋体" w:cs="宋体"/>
                <w:color w:val="auto"/>
                <w:kern w:val="0"/>
                <w:highlight w:val="none"/>
              </w:rPr>
              <w:t>水质回用可行性分析：施工废水中的主要污染物为悬浮物，钻井过程中的用水及洗车用水对水质无要求，</w:t>
            </w:r>
            <w:r>
              <w:rPr>
                <w:rStyle w:val="44"/>
                <w:rFonts w:hint="default" w:ascii="Times New Roman" w:hAnsi="宋体"/>
                <w:color w:val="auto"/>
                <w:kern w:val="0"/>
                <w:highlight w:val="none"/>
              </w:rPr>
              <w:t>钻井泥浆通过泥浆泵以泥浆池沉淀后循环使用，冲洗废水沉淀后循环使用，从水量及水质方面项目废水回用均可行。</w:t>
            </w:r>
          </w:p>
          <w:p w14:paraId="1BF7907A">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（2）钻井泥浆</w:t>
            </w:r>
          </w:p>
          <w:p w14:paraId="18F7E819">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钻井泥浆通过泥浆泵以泥浆池为介质循环使用，不外排，待钻井结束后投加泥浆固化剂固化后</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交由建材公司回收综合利用，不随便丢弃，对当地地表水环境影响较小，在当地环境可接受范围内。</w:t>
            </w:r>
          </w:p>
          <w:p w14:paraId="7E782031">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为了加强项目钻井泥浆储存的管理，环评要求建设单位做好以下几点：</w:t>
            </w:r>
          </w:p>
          <w:p w14:paraId="1BFD30BC">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①井场应实施清污分流，清污分流管道应完善畅通，并确保钻井泥浆全部进入沉淀池处理后进入泥浆池储存，保证闭路循环使用。</w:t>
            </w:r>
          </w:p>
          <w:p w14:paraId="2F80D852">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②不得乱排乱放废水。</w:t>
            </w:r>
          </w:p>
          <w:p w14:paraId="234A4505">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③现场人员应定期对泥浆池渗漏情况进行巡检，发现异常情况立即汇报和整改，并</w:t>
            </w:r>
            <w:r>
              <w:rPr>
                <w:rStyle w:val="44"/>
                <w:rFonts w:hint="eastAsia" w:ascii="Times New Roman" w:hAnsi="宋体"/>
                <w:color w:val="auto"/>
                <w:kern w:val="0"/>
                <w:highlight w:val="none"/>
                <w:lang w:eastAsia="zh-CN"/>
              </w:rPr>
              <w:t>做好</w:t>
            </w:r>
            <w:r>
              <w:rPr>
                <w:rStyle w:val="44"/>
                <w:rFonts w:hint="default" w:ascii="Times New Roman" w:hAnsi="宋体"/>
                <w:color w:val="auto"/>
                <w:kern w:val="0"/>
                <w:highlight w:val="none"/>
              </w:rPr>
              <w:t>记录。</w:t>
            </w:r>
          </w:p>
          <w:p w14:paraId="5FA44518">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（3）车辆冲洗废水</w:t>
            </w:r>
          </w:p>
          <w:p w14:paraId="202306BA">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每个井场进出口对车辆进行冲洗，配套建设容积8m</w:t>
            </w:r>
            <w:r>
              <w:rPr>
                <w:rStyle w:val="44"/>
                <w:rFonts w:hint="default" w:ascii="Times New Roman" w:hAnsi="宋体"/>
                <w:color w:val="auto"/>
                <w:kern w:val="0"/>
                <w:highlight w:val="none"/>
                <w:vertAlign w:val="superscript"/>
              </w:rPr>
              <w:t>3</w:t>
            </w:r>
            <w:r>
              <w:rPr>
                <w:rStyle w:val="44"/>
                <w:rFonts w:hint="default" w:ascii="Times New Roman" w:hAnsi="宋体"/>
                <w:color w:val="auto"/>
                <w:kern w:val="0"/>
                <w:highlight w:val="none"/>
              </w:rPr>
              <w:t>循环沉淀池，车辆清洗废水经沉淀池沉淀后循环使用，不外排。</w:t>
            </w:r>
          </w:p>
          <w:p w14:paraId="12FEBE9A">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（4）道路、场地喷雾降尘用水为控制施工扬尘，需对井场临时道路及作业场地进行喷雾降尘。喷雾降尘用水全部自然蒸发损耗，无废水产生，不会对周边水环境造成影响。</w:t>
            </w:r>
          </w:p>
          <w:p w14:paraId="3514F1C9">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w:t>
            </w:r>
            <w:r>
              <w:rPr>
                <w:rStyle w:val="44"/>
                <w:rFonts w:hint="eastAsia" w:ascii="Times New Roman" w:hAnsi="宋体"/>
                <w:color w:val="auto"/>
                <w:kern w:val="0"/>
                <w:highlight w:val="none"/>
                <w:lang w:val="en-US" w:eastAsia="zh-CN"/>
              </w:rPr>
              <w:t>5</w:t>
            </w:r>
            <w:r>
              <w:rPr>
                <w:rStyle w:val="44"/>
                <w:rFonts w:hint="default" w:ascii="Times New Roman" w:hAnsi="宋体"/>
                <w:color w:val="auto"/>
                <w:kern w:val="0"/>
                <w:highlight w:val="none"/>
              </w:rPr>
              <w:t>）生活污水</w:t>
            </w:r>
          </w:p>
          <w:p w14:paraId="0C4E0270">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生活污水纳入场地临时化粪池等收集处理设施最终用于周边农田施肥，不外排。</w:t>
            </w:r>
          </w:p>
          <w:p w14:paraId="559E8A79">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生活污水农肥可行性分析：项目地处农村环境，根据对井场周边500m范围内的土地利用现状进行调查可知，周边区域有大量耕地，对肥料的需求量很大。对当地地表水环境无影响，在当地环境可接受范围内，生活污水用于旱地农肥措施可行。因此，项目施工对局部水域水质的影响是不大的，且影响是短期的。</w:t>
            </w:r>
          </w:p>
          <w:p w14:paraId="26733EEF">
            <w:pPr>
              <w:widowControl/>
              <w:adjustRightInd w:val="0"/>
              <w:snapToGrid w:val="0"/>
              <w:spacing w:after="0" w:line="360" w:lineRule="auto"/>
              <w:ind w:firstLine="482" w:firstLineChars="200"/>
              <w:rPr>
                <w:rStyle w:val="44"/>
                <w:rFonts w:hint="default" w:ascii="Times New Roman" w:hAnsi="宋体"/>
                <w:b/>
                <w:bCs/>
                <w:color w:val="auto"/>
                <w:kern w:val="0"/>
                <w:highlight w:val="none"/>
              </w:rPr>
            </w:pPr>
            <w:r>
              <w:rPr>
                <w:rStyle w:val="44"/>
                <w:rFonts w:hint="default" w:ascii="Times New Roman" w:hAnsi="宋体"/>
                <w:b/>
                <w:bCs/>
                <w:color w:val="auto"/>
                <w:kern w:val="0"/>
                <w:highlight w:val="none"/>
              </w:rPr>
              <w:t>3、噪声防治措施</w:t>
            </w:r>
          </w:p>
          <w:p w14:paraId="326BB282">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为减轻项目施工对周边敏感点的影响，评价提出如下措施加以控制：</w:t>
            </w:r>
          </w:p>
          <w:p w14:paraId="433E4E61">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①本项目要求施工单位严禁夜间22:00至次日6:00开展任何施工作业，高噪声钻井作业尽量避开中午12:00</w:t>
            </w:r>
            <w:r>
              <w:rPr>
                <w:rFonts w:hint="eastAsia" w:ascii="Times New Roman" w:hAnsi="Times New Roman"/>
                <w:color w:val="auto"/>
                <w:sz w:val="24"/>
                <w:highlight w:val="none"/>
                <w:lang w:val="en-US" w:eastAsia="zh-CN"/>
              </w:rPr>
              <w:t>-</w:t>
            </w:r>
            <w:r>
              <w:rPr>
                <w:rFonts w:hint="eastAsia" w:ascii="Times New Roman" w:hAnsi="Times New Roman"/>
                <w:color w:val="auto"/>
                <w:sz w:val="24"/>
                <w:highlight w:val="none"/>
              </w:rPr>
              <w:t>14:00居民午休时段；对距离</w:t>
            </w:r>
            <w:r>
              <w:rPr>
                <w:rFonts w:hint="eastAsia" w:ascii="Times New Roman" w:hAnsi="Times New Roman"/>
                <w:color w:val="auto"/>
                <w:sz w:val="24"/>
                <w:highlight w:val="none"/>
                <w:lang w:val="en-US" w:eastAsia="zh-CN"/>
              </w:rPr>
              <w:t>后王庄、史圩孜</w:t>
            </w:r>
            <w:r>
              <w:rPr>
                <w:rFonts w:hint="eastAsia" w:ascii="Times New Roman" w:hAnsi="Times New Roman"/>
                <w:color w:val="auto"/>
                <w:sz w:val="24"/>
                <w:highlight w:val="none"/>
              </w:rPr>
              <w:t>较近的17#、18#井场，在朝向居民一侧设置高度不低于2.5m移动式隔声屏障，泥浆泵等高噪声设备加装隔声消声罩；选用低噪声施工机具，设备底座设置橡胶减震垫，优化井场设备平面布局，将钻机、泥浆泵等高噪声设备布置在远离居民点一侧；场内车辆限速≤5km/h、禁止鸣笛，钻具管材装卸轻拿轻放；定期开展场界噪声监测，建立扰民应急处置机制，一旦出现噪声超标或群众投诉，立即停工落实整改，同步做好周边居民沟通解释工作，禁止在夜间施工。</w:t>
            </w:r>
          </w:p>
          <w:p w14:paraId="27D89747">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②施工过程中使用的主要机械设备应为低噪声机械设备，同时在施工过程中施工单位应设专人对设备进行定期保养和维护，避免由于设备故障而导致噪声增强现象的发生。并负责对现场工作人员进行培训，严格按操作规范使用各类机械。</w:t>
            </w:r>
          </w:p>
          <w:p w14:paraId="59F1C7ED">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③在不影响施工情况下将噪声设备不集中安排，并将其移至距离居民住宅等敏感点较远处。</w:t>
            </w:r>
          </w:p>
          <w:p w14:paraId="77A82544">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④施工场地的施工车辆出入地点应远离敏感点，车辆出入现场时应低速、禁鸣。</w:t>
            </w:r>
          </w:p>
          <w:p w14:paraId="011887E5">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⑤建设管理部门应加强对施工场地的噪声管理，施工企业也应对施工噪声进行自律，文明施工，避免因施工噪声产生纠纷。</w:t>
            </w:r>
          </w:p>
          <w:p w14:paraId="49F295F2">
            <w:pPr>
              <w:pStyle w:val="5"/>
              <w:spacing w:after="0" w:line="360" w:lineRule="auto"/>
              <w:ind w:firstLine="480"/>
              <w:rPr>
                <w:rFonts w:ascii="Times New Roman" w:hAnsi="Times New Roman"/>
                <w:color w:val="auto"/>
                <w:sz w:val="24"/>
                <w:highlight w:val="none"/>
              </w:rPr>
            </w:pPr>
            <w:r>
              <w:rPr>
                <w:rFonts w:hint="eastAsia" w:ascii="Times New Roman" w:hAnsi="Times New Roman"/>
                <w:color w:val="auto"/>
                <w:sz w:val="24"/>
                <w:highlight w:val="none"/>
              </w:rPr>
              <w:t>⑥加强施工期噪声监测，发现施工噪声超标并对附近居民点产生影响时必须首先停止施工，并应及时采取有效的噪声污染防治措施，在验证可做到噪声达标排放的前提下方可继续施工。</w:t>
            </w:r>
          </w:p>
          <w:p w14:paraId="35E30833">
            <w:pPr>
              <w:widowControl/>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经采取上述污染防治措施后，施工噪声不会对周围环境造成的大的不利影响。</w:t>
            </w:r>
          </w:p>
          <w:p w14:paraId="474E979E">
            <w:pPr>
              <w:widowControl/>
              <w:spacing w:after="0" w:line="360" w:lineRule="auto"/>
              <w:ind w:firstLine="482" w:firstLineChars="200"/>
              <w:rPr>
                <w:rStyle w:val="44"/>
                <w:rFonts w:hint="default" w:ascii="Times New Roman" w:hAnsi="宋体"/>
                <w:b/>
                <w:bCs/>
                <w:color w:val="auto"/>
                <w:kern w:val="0"/>
                <w:highlight w:val="none"/>
              </w:rPr>
            </w:pPr>
            <w:r>
              <w:rPr>
                <w:rStyle w:val="44"/>
                <w:rFonts w:hint="default" w:ascii="Times New Roman" w:hAnsi="宋体"/>
                <w:b/>
                <w:bCs/>
                <w:color w:val="auto"/>
                <w:kern w:val="0"/>
                <w:highlight w:val="none"/>
              </w:rPr>
              <w:t>4、固体污染物防治措施</w:t>
            </w:r>
          </w:p>
          <w:p w14:paraId="05F9EC84">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本项目产生的固体废物主要为一般固废、生活垃圾和危险废物。</w:t>
            </w:r>
          </w:p>
          <w:p w14:paraId="6339BD3C">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一般固废主要为钻井泥浆、岩芯碎屑和废包装材料。生活垃圾主要来自员工办公。危险废物主要为废润滑油和废润滑油桶、废含油抹布和废含油手套。</w:t>
            </w:r>
          </w:p>
          <w:p w14:paraId="22A4566D">
            <w:pPr>
              <w:pStyle w:val="5"/>
              <w:spacing w:after="0" w:line="360" w:lineRule="auto"/>
              <w:ind w:firstLine="480"/>
              <w:rPr>
                <w:rStyle w:val="44"/>
                <w:rFonts w:hint="default" w:ascii="Times New Roman" w:hAnsi="宋体"/>
                <w:color w:val="auto"/>
                <w:kern w:val="0"/>
                <w:highlight w:val="none"/>
              </w:rPr>
            </w:pPr>
            <w:r>
              <w:rPr>
                <w:rStyle w:val="44"/>
                <w:rFonts w:hint="default" w:ascii="Times New Roman" w:hAnsi="宋体"/>
                <w:color w:val="auto"/>
                <w:kern w:val="0"/>
                <w:highlight w:val="none"/>
              </w:rPr>
              <w:t>钻井泥浆暂存于泥浆池中，待钻井结束后投加泥浆固化剂后</w:t>
            </w:r>
            <w:r>
              <w:rPr>
                <w:rStyle w:val="44"/>
                <w:rFonts w:hint="eastAsia" w:ascii="Times New Roman" w:hAnsi="宋体"/>
                <w:color w:val="auto"/>
                <w:kern w:val="0"/>
                <w:highlight w:val="none"/>
                <w:lang w:val="en-US" w:eastAsia="zh-CN"/>
              </w:rPr>
              <w:t>交由建材公司回收综合利用</w:t>
            </w:r>
            <w:r>
              <w:rPr>
                <w:rStyle w:val="44"/>
                <w:rFonts w:hint="default" w:ascii="Times New Roman" w:hAnsi="宋体"/>
                <w:color w:val="auto"/>
                <w:kern w:val="0"/>
                <w:highlight w:val="none"/>
              </w:rPr>
              <w:t>；岩芯碎屑集中收集暂存</w:t>
            </w:r>
            <w:r>
              <w:rPr>
                <w:rStyle w:val="44"/>
                <w:rFonts w:hint="eastAsia" w:ascii="Times New Roman" w:hAnsi="宋体"/>
                <w:color w:val="auto"/>
                <w:kern w:val="0"/>
                <w:highlight w:val="none"/>
                <w:lang w:eastAsia="zh-CN"/>
              </w:rPr>
              <w:t>于岩芯堆放区</w:t>
            </w:r>
            <w:r>
              <w:rPr>
                <w:rStyle w:val="44"/>
                <w:rFonts w:hint="default" w:ascii="Times New Roman" w:hAnsi="宋体"/>
                <w:color w:val="auto"/>
                <w:kern w:val="0"/>
                <w:highlight w:val="none"/>
              </w:rPr>
              <w:t>，</w:t>
            </w:r>
            <w:r>
              <w:rPr>
                <w:rFonts w:hint="eastAsia" w:ascii="Times New Roman" w:hAnsi="宋体"/>
                <w:color w:val="auto"/>
                <w:sz w:val="24"/>
                <w:highlight w:val="none"/>
              </w:rPr>
              <w:t>委托建材单位回收处置</w:t>
            </w:r>
            <w:r>
              <w:rPr>
                <w:rStyle w:val="44"/>
                <w:rFonts w:hint="default" w:ascii="Times New Roman" w:hAnsi="宋体"/>
                <w:color w:val="auto"/>
                <w:kern w:val="0"/>
                <w:highlight w:val="none"/>
              </w:rPr>
              <w:t>；废包装材料集中收集后外售处理。生活垃圾利用周边农村农户现有的设施进行收集，由环卫部门统一清运处理。废润滑油、废润滑油桶、废含油抹布和废含油手套需集中收集，暂存于各个井场的危废暂存间内，定期交由有资质单位处置。</w:t>
            </w:r>
          </w:p>
          <w:p w14:paraId="32CEBDB5">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综上所述，项目固废均得到合理处置，不会产生二次污染，对周边环境的影响较小。</w:t>
            </w:r>
          </w:p>
          <w:p w14:paraId="5E1F50D1">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（1）一般固废管理要求：</w:t>
            </w:r>
          </w:p>
          <w:p w14:paraId="19722D99">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一般固废暂存间应该满足相关法律法规要求：</w:t>
            </w:r>
          </w:p>
          <w:p w14:paraId="0A8B18E2">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①按照《一般工业固体废物贮存和填埋污染控制标准》（GB18599-2020）中规定其贮存过程应满足相应防渗漏、防雨淋、防扬尘等环境保护要求。</w:t>
            </w:r>
          </w:p>
          <w:p w14:paraId="0C190BC8">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②收集、贮存、运输、利用、处置固体废物的单位和其他生产经营者，应当加强对相关设施、设备和场所的管理和维护，保证其正常运行和使用。</w:t>
            </w:r>
          </w:p>
          <w:p w14:paraId="3BB8EEF1">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③产生、收集、贮存、运输、利用、处置固体废物的单位和其他生产经营者，应当采取防扬散、防流失、防渗漏或者其他防止污染环境的措施，不得擅自倾倒、堆放、丢弃、遗撒固体废物。禁止任何单位或者个人向江河、湖泊、运河、渠道、水库及其最高水位线以下的滩地和岸坡以及法律法规规定的其他地点倾倒、堆放、贮存固体废物。</w:t>
            </w:r>
          </w:p>
          <w:p w14:paraId="3DF32176">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④禁止向生活垃圾收集设施中投放工业固体废物。</w:t>
            </w:r>
          </w:p>
          <w:p w14:paraId="0FAA189B">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⑤产生工业固体废物的单位委托他人运输、利用、处置工业固体废物的，应当对受托方的主体资格和技术能力进行核实，依法签订书面合同，在合同中约定污染防治要求。受托方运输、利用、处置工业固体废物，应当依照有关法律法规的规定和合同约定履行污染防治要求，并将运输、利用、处置情况告知产生工业固体废物的单位。产生工业固体废物的单位违反本条第一款规定的，除依照有关法律法规的规定予以处罚外，还应当与造成环境污染和生态破坏的受托方承担连带责任。</w:t>
            </w:r>
          </w:p>
          <w:p w14:paraId="3EC3E4CB">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⑥建设工业固体废物贮存、处置的设施、场所，应当符合《一般工业固体废物贮存和填埋污染控制标准》（GB18599-2020）。</w:t>
            </w:r>
          </w:p>
          <w:p w14:paraId="2953E1B2">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（2）生活垃圾管理要求：</w:t>
            </w:r>
          </w:p>
          <w:p w14:paraId="1B8C3167">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按照《</w:t>
            </w:r>
            <w:r>
              <w:rPr>
                <w:rFonts w:ascii="宋体" w:hAnsi="宋体" w:eastAsia="宋体" w:cs="宋体"/>
                <w:color w:val="auto"/>
                <w:sz w:val="24"/>
                <w:szCs w:val="24"/>
              </w:rPr>
              <w:t>中华人民共和国生态环境法典</w:t>
            </w:r>
            <w:r>
              <w:rPr>
                <w:rStyle w:val="44"/>
                <w:rFonts w:hint="default" w:ascii="Times New Roman" w:hAnsi="宋体"/>
                <w:color w:val="auto"/>
                <w:kern w:val="0"/>
                <w:highlight w:val="none"/>
              </w:rPr>
              <w:t>》有关规定设置暂存场所，应当依法在指定的地点分类投放生活垃圾。已经分类投放的生活垃圾，应当按照规定分类收集、分类运输、分类处理清扫、收集、运输、处理城乡生活垃圾，应当遵守国家有关环境保护和环境卫生管理的规定，防止污染环境。</w:t>
            </w:r>
          </w:p>
          <w:p w14:paraId="6CFB91CB">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（3）项目危险废物管理要求：</w:t>
            </w:r>
          </w:p>
          <w:p w14:paraId="67542253">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项目对危险废物进行临时贮存，转移和最终处置严格按照《危险废物收集、贮存、运输技术规范》（HJ2025-2012）中相关规定，危险废物临时贮存期间应满足《危险废物贮存污染控制标准》（GB18597-2023）和《</w:t>
            </w:r>
            <w:r>
              <w:rPr>
                <w:rFonts w:ascii="宋体" w:hAnsi="宋体" w:eastAsia="宋体" w:cs="宋体"/>
                <w:color w:val="auto"/>
                <w:sz w:val="24"/>
                <w:szCs w:val="24"/>
              </w:rPr>
              <w:t>中华人民共和国生态环境法典</w:t>
            </w:r>
            <w:r>
              <w:rPr>
                <w:rStyle w:val="44"/>
                <w:rFonts w:hint="default" w:ascii="Times New Roman" w:hAnsi="宋体"/>
                <w:color w:val="auto"/>
                <w:kern w:val="0"/>
                <w:highlight w:val="none"/>
              </w:rPr>
              <w:t>》中的有关规定，严禁将危险废物混入非危险废物中，并对产生的危险废物向当地生态环境局备案。</w:t>
            </w:r>
          </w:p>
          <w:p w14:paraId="19AE02C0">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按照危险固废处置的有关规定，对属于国家规定危险废物之列的固体废物，必须委托有资质单位进行妥善处理。外运时需要严格按照《</w:t>
            </w:r>
            <w:bookmarkStart w:id="16" w:name="OLE_LINK3"/>
            <w:r>
              <w:rPr>
                <w:rStyle w:val="44"/>
                <w:rFonts w:hint="default" w:ascii="Times New Roman" w:hAnsi="宋体"/>
                <w:color w:val="auto"/>
                <w:kern w:val="0"/>
                <w:highlight w:val="none"/>
              </w:rPr>
              <w:t>危险废物转移管理办法</w:t>
            </w:r>
            <w:bookmarkEnd w:id="16"/>
            <w:r>
              <w:rPr>
                <w:rStyle w:val="44"/>
                <w:rFonts w:hint="default" w:ascii="Times New Roman" w:hAnsi="宋体"/>
                <w:color w:val="auto"/>
                <w:kern w:val="0"/>
                <w:highlight w:val="none"/>
              </w:rPr>
              <w:t>》（部令第23号）的相关规定报批危险废物转移计划，应做到不沿途抛洒；因此，必须加强对固体废弃物的管理，确保各类固体废弃物的妥善处置，固体废弃物贮存场所所应有明显的标志，并有防风、防雨、防晒等设施。</w:t>
            </w:r>
          </w:p>
          <w:p w14:paraId="159B3C90">
            <w:pPr>
              <w:widowControl/>
              <w:spacing w:after="0" w:line="360" w:lineRule="auto"/>
              <w:ind w:firstLine="482" w:firstLineChars="200"/>
              <w:rPr>
                <w:rStyle w:val="44"/>
                <w:rFonts w:hint="default" w:ascii="Times New Roman" w:hAnsi="宋体"/>
                <w:b/>
                <w:bCs/>
                <w:color w:val="auto"/>
                <w:kern w:val="0"/>
                <w:highlight w:val="none"/>
              </w:rPr>
            </w:pPr>
            <w:r>
              <w:rPr>
                <w:rStyle w:val="44"/>
                <w:rFonts w:hint="default" w:ascii="Times New Roman" w:hAnsi="宋体"/>
                <w:b/>
                <w:bCs/>
                <w:color w:val="auto"/>
                <w:kern w:val="0"/>
                <w:highlight w:val="none"/>
              </w:rPr>
              <w:t>5、环境风险防治措施</w:t>
            </w:r>
          </w:p>
          <w:p w14:paraId="74A34E9E">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（1）火灾事故的风险防范措施</w:t>
            </w:r>
          </w:p>
          <w:p w14:paraId="2739CD9C">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①井场内配有足量的消防器材，以便处理初期火灾；</w:t>
            </w:r>
          </w:p>
          <w:p w14:paraId="5002628C">
            <w:pPr>
              <w:pStyle w:val="31"/>
              <w:adjustRightInd/>
              <w:spacing w:after="0" w:line="360" w:lineRule="auto"/>
              <w:ind w:firstLine="480" w:firstLineChars="200"/>
              <w:jc w:val="both"/>
              <w:rPr>
                <w:rStyle w:val="44"/>
                <w:rFonts w:hint="eastAsia" w:ascii="Times New Roman" w:hAnsi="宋体" w:eastAsia="宋体"/>
                <w:color w:val="auto"/>
                <w:highlight w:val="none"/>
                <w:lang w:eastAsia="zh-CN"/>
              </w:rPr>
            </w:pPr>
            <w:r>
              <w:rPr>
                <w:rStyle w:val="44"/>
                <w:rFonts w:hint="default" w:ascii="Times New Roman" w:hAnsi="宋体"/>
                <w:color w:val="auto"/>
                <w:highlight w:val="none"/>
              </w:rPr>
              <w:t>②定期或不定期对消防设备进行检查，及时发现及时采取更换或维修</w:t>
            </w:r>
            <w:r>
              <w:rPr>
                <w:rStyle w:val="44"/>
                <w:rFonts w:hint="eastAsia" w:ascii="Times New Roman" w:hAnsi="宋体"/>
                <w:color w:val="auto"/>
                <w:highlight w:val="none"/>
                <w:lang w:eastAsia="zh-CN"/>
              </w:rPr>
              <w:t>；</w:t>
            </w:r>
          </w:p>
          <w:p w14:paraId="4E33E99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③为防止钻井过程中可能发生的甲烷气体溢出，在钻井井口需设置甲烷气体监测设备，并在钻井平台设置灭火器材。严格管理火种，划定禁火区，严禁携带火种进入禁火区内。</w:t>
            </w:r>
          </w:p>
          <w:p w14:paraId="0CFAA91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（2）泥浆水泄露或外溢风险防范措施</w:t>
            </w:r>
          </w:p>
          <w:p w14:paraId="65A07382">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①泥浆水泄漏防范措施</w:t>
            </w:r>
          </w:p>
          <w:p w14:paraId="716DD41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a、池体选址与防渗：泥浆池、</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选址避开软土、流沙等不良地质区域，优先选择地势平坦、地质坚实的地块，池体底部及侧壁采用</w:t>
            </w:r>
            <w:r>
              <w:rPr>
                <w:rStyle w:val="44"/>
                <w:rFonts w:hint="eastAsia" w:ascii="Times New Roman" w:hAnsi="宋体"/>
                <w:color w:val="auto"/>
                <w:highlight w:val="none"/>
                <w:lang w:eastAsia="zh-CN"/>
              </w:rPr>
              <w:t>“</w:t>
            </w:r>
            <w:r>
              <w:rPr>
                <w:rStyle w:val="44"/>
                <w:rFonts w:hint="default" w:ascii="Times New Roman" w:hAnsi="宋体"/>
                <w:color w:val="auto"/>
                <w:highlight w:val="none"/>
              </w:rPr>
              <w:t>防渗膜（厚度≥1.0mm）+8cm中粗砂垫层+5cm中粗砂保护层</w:t>
            </w:r>
            <w:r>
              <w:rPr>
                <w:rStyle w:val="44"/>
                <w:rFonts w:hint="eastAsia" w:ascii="Times New Roman" w:hAnsi="宋体"/>
                <w:color w:val="auto"/>
                <w:highlight w:val="none"/>
                <w:lang w:eastAsia="zh-CN"/>
              </w:rPr>
              <w:t>”</w:t>
            </w:r>
            <w:r>
              <w:rPr>
                <w:rStyle w:val="44"/>
                <w:rFonts w:hint="default" w:ascii="Times New Roman" w:hAnsi="宋体"/>
                <w:color w:val="auto"/>
                <w:highlight w:val="none"/>
              </w:rPr>
              <w:t>结构，渗透系数≤10</w:t>
            </w:r>
            <w:r>
              <w:rPr>
                <w:rStyle w:val="44"/>
                <w:rFonts w:hint="default" w:ascii="Times New Roman" w:hAnsi="宋体"/>
                <w:color w:val="auto"/>
                <w:highlight w:val="none"/>
                <w:vertAlign w:val="superscript"/>
              </w:rPr>
              <w:t>-7</w:t>
            </w:r>
            <w:r>
              <w:rPr>
                <w:rStyle w:val="44"/>
                <w:rFonts w:hint="default" w:ascii="Times New Roman" w:hAnsi="宋体"/>
                <w:color w:val="auto"/>
                <w:highlight w:val="none"/>
              </w:rPr>
              <w:t>cm/s，池体周边设置防护栏杆。</w:t>
            </w:r>
          </w:p>
          <w:p w14:paraId="3B1EE723">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eastAsia" w:ascii="Times New Roman" w:hAnsi="宋体"/>
                <w:color w:val="auto"/>
                <w:highlight w:val="none"/>
                <w:lang w:val="en-US" w:eastAsia="zh-CN"/>
              </w:rPr>
              <w:t>b</w:t>
            </w:r>
            <w:r>
              <w:rPr>
                <w:rStyle w:val="44"/>
                <w:rFonts w:hint="default" w:ascii="Times New Roman" w:hAnsi="宋体"/>
                <w:color w:val="auto"/>
                <w:highlight w:val="none"/>
              </w:rPr>
              <w:t>、加强员工操作，规范管理。</w:t>
            </w:r>
          </w:p>
          <w:p w14:paraId="1BDF257C">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②泥浆水外溢防范措施</w:t>
            </w:r>
          </w:p>
          <w:p w14:paraId="2506E46E">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a、对井场</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定期检查、巡视，避免池体储存量过大，保持池体留有一定的富余容量，减少池体储存量，降低废水外溢风险，特别在降雨来临之前要做好遮雨措施，防止废水渗漏或外溢污染地表水及浅层地下水。</w:t>
            </w:r>
          </w:p>
          <w:p w14:paraId="2AAB2157">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b、井场采用清污分流系统，并定期进行维护，在暴雨季节，加强巡查，降低废水外溢的环境风险。</w:t>
            </w:r>
          </w:p>
          <w:p w14:paraId="30796650">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③泥浆水外溢应急措施</w:t>
            </w:r>
          </w:p>
          <w:p w14:paraId="101D3C9A">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通过修建拦水沟和及时转运等措施，将</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、泥浆池等池体所在平台沿地表加高20～50cm，并保持</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、泥浆池等池体高为20～50cm，防止废水外溢；在井场周围、</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、泥浆池等池体周围设截水沟，将从井场、</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、泥浆池等池体溢出的污水截留下来，截留的废水收集至废水池中；在发生废水外溢事故时，在</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、泥浆池等池体周围的低洼区域和</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、泥浆池等池体外溢口处采用沙包、装土编织袋等拦截措施阻拦外溢废水，避免废水流入外环境之中。</w:t>
            </w:r>
          </w:p>
          <w:p w14:paraId="2A5E5285">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（3）危险废物的储存要求和防范措施</w:t>
            </w:r>
          </w:p>
          <w:p w14:paraId="6F475D46">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本项目在施工过程中产生的废润滑油属于危险废物，因此必须对其加以严格控制以防止事故的发生，从而造成不必要的损失，为此本评价对上述危险物品提出如下规范或要求：</w:t>
            </w:r>
          </w:p>
          <w:p w14:paraId="6DC3957B">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上述危险废物的贮存必须符合《中华人民共和国消防法》、《常用化学危险品贮存通则》（GB15603-1995）以及《仓库防火安全管理规则》等相关规定，如：贮存场所配备足够的、适应的消防器材，完善各项规章制度，在仓库等储存区设置明显的防火标志、危险标志等。</w:t>
            </w:r>
          </w:p>
          <w:p w14:paraId="62F2BD40">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②存放危险废物时，要求做到稳固整齐，便于搬运，不致于稍受外力即跌落或因搬运不便而造成事故。</w:t>
            </w:r>
          </w:p>
          <w:p w14:paraId="3C06BB7B">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（4）溢流、井喷风险防范措施</w:t>
            </w:r>
          </w:p>
          <w:p w14:paraId="1AB02ECE">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①严格执行井控工作管理制度，落实溢流监测岗位、关井操作岗位和钻井队干部24h值班制度。</w:t>
            </w:r>
          </w:p>
          <w:p w14:paraId="13822AB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②对现场所有作业人员进行井控培训并定期举行不同工况下的井控演练。</w:t>
            </w:r>
          </w:p>
          <w:p w14:paraId="5D5146F4">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③严格落实坐岗制度，无论钻进还是起下钻，或其它辅助作业，钻井班落实专人坐岗观察钻井泥浆面变化和钻井泥浆出口情况。</w:t>
            </w:r>
          </w:p>
          <w:p w14:paraId="26E4F250">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④认真做好随钻地层压力的监测工作，发现地层压力异常、溢流、井涌等情况，应及时关井并调整钻井泥浆密度，同时上报有关部门。</w:t>
            </w:r>
          </w:p>
          <w:p w14:paraId="07A66185">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⑤严格控制起下钻速度，起钻必须按照规定灌满钻井泥浆。</w:t>
            </w:r>
          </w:p>
          <w:p w14:paraId="409B164D">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⑥发生溢流后，根据关井压力，尽快在井口、地层和套管安全条件下压井，待井内平稳后才恢复钻进。</w:t>
            </w:r>
          </w:p>
          <w:p w14:paraId="015508B7">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（5）火灾、泄漏事故次生污染防治措施</w:t>
            </w:r>
          </w:p>
          <w:p w14:paraId="618A53A2">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企业发生危险废物泄露或发生火灾事故进行消防时，污染废水或消防废水会到处溢流，可能进入厂区及外环境雨水系统，造成环境污染。</w:t>
            </w:r>
          </w:p>
          <w:p w14:paraId="00F7301D">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（6）废润滑油储运过程中的风险防治措施</w:t>
            </w:r>
          </w:p>
          <w:p w14:paraId="1A3855AE">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①加强对废润滑油的运输管理，产生后由专人运输至朱集西煤矿危废暂存间，禁止在井场内进行存放。</w:t>
            </w:r>
          </w:p>
          <w:p w14:paraId="1E2A7DFA">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（7）其他要求</w:t>
            </w:r>
          </w:p>
          <w:p w14:paraId="757E5D66">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①池体容积保障：严格按设计要求建设</w:t>
            </w:r>
            <w:r>
              <w:rPr>
                <w:rStyle w:val="44"/>
                <w:rFonts w:hint="eastAsia" w:ascii="Times New Roman" w:hAnsi="宋体"/>
                <w:color w:val="auto"/>
                <w:highlight w:val="none"/>
                <w:lang w:val="en-US" w:eastAsia="zh-CN"/>
              </w:rPr>
              <w:t>2个</w:t>
            </w:r>
            <w:r>
              <w:rPr>
                <w:rStyle w:val="44"/>
                <w:rFonts w:hint="default" w:ascii="Times New Roman" w:hAnsi="宋体"/>
                <w:color w:val="auto"/>
                <w:highlight w:val="none"/>
              </w:rPr>
              <w:t>泥浆池（</w:t>
            </w:r>
            <w:r>
              <w:rPr>
                <w:rStyle w:val="44"/>
                <w:rFonts w:hint="eastAsia" w:ascii="Times New Roman" w:hAnsi="宋体"/>
                <w:color w:val="auto"/>
                <w:highlight w:val="none"/>
                <w:lang w:val="en-US" w:eastAsia="zh-CN"/>
              </w:rPr>
              <w:t>单个</w:t>
            </w:r>
            <w:r>
              <w:rPr>
                <w:rStyle w:val="44"/>
                <w:rFonts w:hint="default" w:ascii="Times New Roman" w:hAnsi="宋体"/>
                <w:color w:val="auto"/>
                <w:highlight w:val="none"/>
              </w:rPr>
              <w:t>容积</w:t>
            </w:r>
            <w:r>
              <w:rPr>
                <w:rStyle w:val="44"/>
                <w:rFonts w:hint="eastAsia" w:ascii="Times New Roman" w:hAnsi="宋体"/>
                <w:color w:val="auto"/>
                <w:highlight w:val="none"/>
                <w:lang w:val="en-US" w:eastAsia="zh-CN"/>
              </w:rPr>
              <w:t>24</w:t>
            </w:r>
            <w:r>
              <w:rPr>
                <w:rStyle w:val="44"/>
                <w:rFonts w:hint="default" w:ascii="Times New Roman" w:hAnsi="宋体"/>
                <w:color w:val="auto"/>
                <w:highlight w:val="none"/>
              </w:rPr>
              <w:t>m</w:t>
            </w:r>
            <w:r>
              <w:rPr>
                <w:rStyle w:val="44"/>
                <w:rFonts w:hint="default" w:ascii="Times New Roman" w:hAnsi="宋体"/>
                <w:color w:val="auto"/>
                <w:highlight w:val="none"/>
                <w:vertAlign w:val="superscript"/>
              </w:rPr>
              <w:t>3</w:t>
            </w:r>
            <w:r>
              <w:rPr>
                <w:rStyle w:val="44"/>
                <w:rFonts w:hint="default" w:ascii="Times New Roman" w:hAnsi="宋体"/>
                <w:color w:val="auto"/>
                <w:highlight w:val="none"/>
              </w:rPr>
              <w:t>/个）、</w:t>
            </w:r>
            <w:r>
              <w:rPr>
                <w:rStyle w:val="44"/>
                <w:rFonts w:hint="eastAsia" w:ascii="Times New Roman" w:hAnsi="宋体"/>
                <w:color w:val="auto"/>
                <w:highlight w:val="none"/>
                <w:lang w:eastAsia="zh-CN"/>
              </w:rPr>
              <w:t>废浆池</w:t>
            </w:r>
            <w:r>
              <w:rPr>
                <w:rStyle w:val="44"/>
                <w:rFonts w:hint="default" w:ascii="Times New Roman" w:hAnsi="宋体"/>
                <w:color w:val="auto"/>
                <w:highlight w:val="none"/>
              </w:rPr>
              <w:t>（容积</w:t>
            </w:r>
            <w:r>
              <w:rPr>
                <w:rStyle w:val="44"/>
                <w:rFonts w:hint="eastAsia" w:ascii="Times New Roman" w:hAnsi="宋体"/>
                <w:color w:val="auto"/>
                <w:highlight w:val="none"/>
                <w:lang w:val="en-US" w:eastAsia="zh-CN"/>
              </w:rPr>
              <w:t>5</w:t>
            </w:r>
            <w:r>
              <w:rPr>
                <w:rStyle w:val="44"/>
                <w:rFonts w:hint="default" w:ascii="Times New Roman" w:hAnsi="宋体"/>
                <w:color w:val="auto"/>
                <w:highlight w:val="none"/>
              </w:rPr>
              <w:t>6m</w:t>
            </w:r>
            <w:r>
              <w:rPr>
                <w:rStyle w:val="44"/>
                <w:rFonts w:hint="default" w:ascii="Times New Roman" w:hAnsi="宋体"/>
                <w:color w:val="auto"/>
                <w:highlight w:val="none"/>
                <w:vertAlign w:val="superscript"/>
              </w:rPr>
              <w:t>3</w:t>
            </w:r>
            <w:r>
              <w:rPr>
                <w:rStyle w:val="44"/>
                <w:rFonts w:hint="default" w:ascii="Times New Roman" w:hAnsi="宋体"/>
                <w:color w:val="auto"/>
                <w:highlight w:val="none"/>
              </w:rPr>
              <w:t>/个）、循环沉淀池（容积8m</w:t>
            </w:r>
            <w:r>
              <w:rPr>
                <w:rStyle w:val="44"/>
                <w:rFonts w:hint="default" w:ascii="Times New Roman" w:hAnsi="宋体"/>
                <w:color w:val="auto"/>
                <w:highlight w:val="none"/>
                <w:vertAlign w:val="superscript"/>
              </w:rPr>
              <w:t>3</w:t>
            </w:r>
            <w:r>
              <w:rPr>
                <w:rStyle w:val="44"/>
                <w:rFonts w:hint="default" w:ascii="Times New Roman" w:hAnsi="宋体"/>
                <w:color w:val="auto"/>
                <w:highlight w:val="none"/>
              </w:rPr>
              <w:t>/个），确保池体容积满足钻井过程中泥浆、废水的储存需求，建设完成后进行容积核验，不符合设计要求的立即整改。</w:t>
            </w:r>
          </w:p>
          <w:p w14:paraId="2F19156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②安装符合行业规范要求的防喷器组，并进行压力测试，最低试压到18Mpa方可投入使用。</w:t>
            </w:r>
          </w:p>
          <w:p w14:paraId="48D330BD">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地质风险预判：施工前详细研读区域地质资料，结合邻近钻孔数据，预判可能存在的地质风险（如隐伏断层、强含水层），制定针对性防范措施；钻井过程中若遇到异常地质情况，立即停止钻进，组织地质专家进行研判，调整施工方案后再继续作业。</w:t>
            </w:r>
          </w:p>
          <w:p w14:paraId="56E95C78">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通过风险防范措施制定，可以较为有效</w:t>
            </w:r>
            <w:r>
              <w:rPr>
                <w:rStyle w:val="44"/>
                <w:rFonts w:hint="eastAsia" w:ascii="Times New Roman" w:hAnsi="宋体"/>
                <w:color w:val="auto"/>
                <w:highlight w:val="none"/>
                <w:lang w:eastAsia="zh-CN"/>
              </w:rPr>
              <w:t>地</w:t>
            </w:r>
            <w:r>
              <w:rPr>
                <w:rStyle w:val="44"/>
                <w:rFonts w:hint="default" w:ascii="Times New Roman" w:hAnsi="宋体"/>
                <w:color w:val="auto"/>
                <w:highlight w:val="none"/>
              </w:rPr>
              <w:t>最大限度防止风险事故的发生和风险事故的有效处置，结合企业在施工期间不断完善风险防范措施，项目发生的环境风险可以控制在较低的水平，风险发生概率及危害将低于国内同类企业水平，项目的事故风险值处于可接受水平。</w:t>
            </w:r>
          </w:p>
          <w:p w14:paraId="54973C93">
            <w:pPr>
              <w:pStyle w:val="31"/>
              <w:adjustRightInd/>
              <w:spacing w:after="0" w:line="360" w:lineRule="auto"/>
              <w:ind w:firstLine="482" w:firstLineChars="200"/>
              <w:jc w:val="both"/>
              <w:rPr>
                <w:rStyle w:val="44"/>
                <w:rFonts w:hint="default" w:ascii="Times New Roman" w:hAnsi="宋体"/>
                <w:b/>
                <w:bCs/>
                <w:color w:val="auto"/>
                <w:highlight w:val="none"/>
              </w:rPr>
            </w:pPr>
            <w:r>
              <w:rPr>
                <w:rStyle w:val="44"/>
                <w:rFonts w:hint="default" w:ascii="Times New Roman" w:hAnsi="宋体"/>
                <w:b/>
                <w:bCs/>
                <w:color w:val="auto"/>
                <w:highlight w:val="none"/>
              </w:rPr>
              <w:t>6、生态保护防治措施</w:t>
            </w:r>
          </w:p>
          <w:p w14:paraId="3FF0BB52">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（1）土地利用现有格局的保护和恢复措施</w:t>
            </w:r>
          </w:p>
          <w:p w14:paraId="09C70EC4">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①施工占地合理规划，尽量控制工程施工活动范围，减少对周边占地的影响。</w:t>
            </w:r>
          </w:p>
          <w:p w14:paraId="71ABF109">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②按设计标准规定，严格控制施工作业面积，不得超过作业标准规定，以减少土壤扰动和地表植被破坏，减少裸地和土方暴露面积。</w:t>
            </w:r>
          </w:p>
          <w:p w14:paraId="35FD494A">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③井场施工作业机械应严格管理，划定活动范围，不得在道路场地以外的地方行驶和作业，保持路外植被不被破坏。</w:t>
            </w:r>
          </w:p>
          <w:p w14:paraId="0B5DCFAF">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④项目施工过程中对产生的挖方及时进行平整处理。此外，施工时应避免在雨天、大风等天气条件不利情况下施工，做到水土流失最小化，如遇特殊天气施工，应用施工布料对现挖松散临时土方进行临时遮掩，保证有效控制水土流失。</w:t>
            </w:r>
          </w:p>
          <w:p w14:paraId="7766E19E">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⑤施工结束后，应恢复地貌原状。施工时对占地范围的土壤开挖应做分区堆放，分层回填压实，以保护植被生长层，降低对土壤养分的影响尽快使土壤恢复生产力，同时减少水土流失。</w:t>
            </w:r>
          </w:p>
          <w:p w14:paraId="1EBB13B2">
            <w:pPr>
              <w:autoSpaceDE w:val="0"/>
              <w:autoSpaceDN w:val="0"/>
              <w:spacing w:after="0" w:line="360" w:lineRule="auto"/>
              <w:ind w:firstLine="480" w:firstLineChars="200"/>
              <w:rPr>
                <w:rFonts w:ascii="Times New Roman" w:hAnsi="Times New Roman"/>
                <w:color w:val="auto"/>
                <w:kern w:val="0"/>
                <w:sz w:val="24"/>
                <w:highlight w:val="none"/>
              </w:rPr>
            </w:pPr>
            <w:r>
              <w:rPr>
                <w:rFonts w:ascii="Times New Roman" w:hAnsi="Times New Roman"/>
                <w:color w:val="auto"/>
                <w:kern w:val="0"/>
                <w:sz w:val="24"/>
                <w:highlight w:val="none"/>
              </w:rPr>
              <w:t>（2）生物多样性的保护措施</w:t>
            </w:r>
          </w:p>
          <w:p w14:paraId="483A4FCB">
            <w:pPr>
              <w:autoSpaceDE w:val="0"/>
              <w:autoSpaceDN w:val="0"/>
              <w:spacing w:after="0" w:line="360" w:lineRule="auto"/>
              <w:ind w:firstLine="480" w:firstLineChars="200"/>
              <w:rPr>
                <w:rFonts w:ascii="Times New Roman" w:hAnsi="Times New Roman"/>
                <w:color w:val="auto"/>
                <w:kern w:val="0"/>
                <w:sz w:val="24"/>
                <w:highlight w:val="none"/>
              </w:rPr>
            </w:pPr>
            <w:r>
              <w:rPr>
                <w:rFonts w:hint="eastAsia" w:ascii="宋体" w:hAnsi="宋体" w:cs="宋体"/>
                <w:color w:val="auto"/>
                <w:kern w:val="0"/>
                <w:sz w:val="24"/>
                <w:highlight w:val="none"/>
              </w:rPr>
              <w:t>①</w:t>
            </w:r>
            <w:r>
              <w:rPr>
                <w:rFonts w:ascii="Times New Roman" w:hAnsi="Times New Roman"/>
                <w:color w:val="auto"/>
                <w:kern w:val="0"/>
                <w:sz w:val="24"/>
                <w:highlight w:val="none"/>
              </w:rPr>
              <w:t>在施工过程中，应加强施工人员的管理，禁止施工人员对野外植被</w:t>
            </w:r>
            <w:r>
              <w:rPr>
                <w:rFonts w:hint="eastAsia" w:ascii="Times New Roman" w:hAnsi="Times New Roman"/>
                <w:color w:val="auto"/>
                <w:kern w:val="0"/>
                <w:sz w:val="24"/>
                <w:highlight w:val="none"/>
                <w:lang w:eastAsia="zh-CN"/>
              </w:rPr>
              <w:t>乱砍滥伐</w:t>
            </w:r>
            <w:r>
              <w:rPr>
                <w:rFonts w:ascii="Times New Roman" w:hAnsi="Times New Roman"/>
                <w:color w:val="auto"/>
                <w:kern w:val="0"/>
                <w:sz w:val="24"/>
                <w:highlight w:val="none"/>
              </w:rPr>
              <w:t>破坏沿线地区的生态环境。</w:t>
            </w:r>
          </w:p>
          <w:p w14:paraId="5B8371A2">
            <w:pPr>
              <w:autoSpaceDE w:val="0"/>
              <w:autoSpaceDN w:val="0"/>
              <w:spacing w:after="0" w:line="360" w:lineRule="auto"/>
              <w:ind w:firstLine="480" w:firstLineChars="200"/>
              <w:rPr>
                <w:rFonts w:ascii="Times New Roman" w:hAnsi="Times New Roman"/>
                <w:color w:val="auto"/>
                <w:kern w:val="0"/>
                <w:sz w:val="24"/>
                <w:highlight w:val="none"/>
              </w:rPr>
            </w:pPr>
            <w:r>
              <w:rPr>
                <w:rFonts w:hint="eastAsia" w:ascii="宋体" w:hAnsi="宋体"/>
                <w:color w:val="auto"/>
                <w:kern w:val="0"/>
                <w:sz w:val="24"/>
                <w:highlight w:val="none"/>
              </w:rPr>
              <w:t>②</w:t>
            </w:r>
            <w:r>
              <w:rPr>
                <w:rFonts w:ascii="Times New Roman" w:hAnsi="Times New Roman"/>
                <w:color w:val="auto"/>
                <w:kern w:val="0"/>
                <w:sz w:val="24"/>
                <w:highlight w:val="none"/>
              </w:rPr>
              <w:t>禁止施工人员对野生动物，尤其是珍稀动物的滥捕滥杀，做好野生动物的保护工作。</w:t>
            </w:r>
          </w:p>
          <w:p w14:paraId="2C622231">
            <w:pPr>
              <w:autoSpaceDE w:val="0"/>
              <w:autoSpaceDN w:val="0"/>
              <w:spacing w:after="0" w:line="360" w:lineRule="auto"/>
              <w:ind w:firstLine="480" w:firstLineChars="200"/>
              <w:rPr>
                <w:rFonts w:ascii="Times New Roman" w:hAnsi="Times New Roman"/>
                <w:color w:val="auto"/>
                <w:kern w:val="0"/>
                <w:sz w:val="24"/>
                <w:highlight w:val="none"/>
              </w:rPr>
            </w:pPr>
            <w:r>
              <w:rPr>
                <w:rFonts w:ascii="宋体" w:hAnsi="宋体"/>
                <w:color w:val="auto"/>
                <w:kern w:val="0"/>
                <w:sz w:val="24"/>
                <w:highlight w:val="none"/>
              </w:rPr>
              <w:t>③</w:t>
            </w:r>
            <w:r>
              <w:rPr>
                <w:rFonts w:ascii="Times New Roman" w:hAnsi="Times New Roman"/>
                <w:color w:val="auto"/>
                <w:kern w:val="0"/>
                <w:sz w:val="24"/>
                <w:highlight w:val="none"/>
              </w:rPr>
              <w:t>施工期要加大对保护野生动物的宣传力度，大力宣传两栖、爬行动物、鸟类对农林卫生业的作用。</w:t>
            </w:r>
          </w:p>
          <w:p w14:paraId="2089A4E0">
            <w:pPr>
              <w:pStyle w:val="31"/>
              <w:adjustRightInd/>
              <w:spacing w:after="0" w:line="360" w:lineRule="auto"/>
              <w:ind w:firstLine="480" w:firstLineChars="200"/>
              <w:jc w:val="both"/>
              <w:rPr>
                <w:rStyle w:val="44"/>
                <w:rFonts w:hint="default" w:ascii="Times New Roman" w:hAnsi="宋体"/>
                <w:color w:val="auto"/>
                <w:highlight w:val="none"/>
              </w:rPr>
            </w:pPr>
            <w:r>
              <w:rPr>
                <w:rFonts w:ascii="宋体" w:hAnsi="宋体"/>
                <w:color w:val="auto"/>
                <w:highlight w:val="none"/>
              </w:rPr>
              <w:t>④</w:t>
            </w:r>
            <w:r>
              <w:rPr>
                <w:rFonts w:ascii="Times New Roman" w:hAnsi="Times New Roman"/>
                <w:color w:val="auto"/>
                <w:highlight w:val="none"/>
              </w:rPr>
              <w:t>对水生生物的一般保护措施为：切实加强对水环境的保护，避免井场周边地表水造成影响，施工</w:t>
            </w:r>
            <w:r>
              <w:rPr>
                <w:rFonts w:hint="eastAsia" w:ascii="Times New Roman" w:hAnsi="Times New Roman"/>
                <w:color w:val="auto"/>
                <w:highlight w:val="none"/>
              </w:rPr>
              <w:t>物料</w:t>
            </w:r>
            <w:r>
              <w:rPr>
                <w:rFonts w:ascii="Times New Roman" w:hAnsi="Times New Roman"/>
                <w:color w:val="auto"/>
                <w:highlight w:val="none"/>
              </w:rPr>
              <w:t>的堆放应放置于远离地表水一侧，防止物料被暴雨径流带入水体影响水质，各类</w:t>
            </w:r>
            <w:r>
              <w:rPr>
                <w:rFonts w:hint="eastAsia" w:ascii="Times New Roman" w:hAnsi="Times New Roman"/>
                <w:color w:val="auto"/>
                <w:highlight w:val="none"/>
              </w:rPr>
              <w:t>物料</w:t>
            </w:r>
            <w:r>
              <w:rPr>
                <w:rFonts w:ascii="Times New Roman" w:hAnsi="Times New Roman"/>
                <w:color w:val="auto"/>
                <w:highlight w:val="none"/>
              </w:rPr>
              <w:t>应备有防雨遮雨设施；在施工过程中禁止将污水、垃圾和其它施工机械的废油等污染物拋入水体，应收集后和工地上的污染物一并处理。施工挖出的淤泥渣土等不得抛入河流和其他水体。</w:t>
            </w:r>
          </w:p>
          <w:p w14:paraId="6B4DA62F">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（3）水土流失防治措施</w:t>
            </w:r>
          </w:p>
          <w:p w14:paraId="4A929240">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①尽量避开雨季施工，提高工程施工效率，缩短施工工期。</w:t>
            </w:r>
          </w:p>
          <w:p w14:paraId="133F8CA1">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②划定施工作业范围线，不随意扩大。并严格控制机械和车辆的作业范围，尽可能减少对土壤和农作物的破坏以及由此引发的水土流失。</w:t>
            </w:r>
          </w:p>
          <w:p w14:paraId="795C0A8D">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③施工单位开工前，应先剥离占地范围内表层土，井场范围内表层土堆</w:t>
            </w:r>
            <w:r>
              <w:rPr>
                <w:rStyle w:val="44"/>
                <w:rFonts w:hint="eastAsia" w:ascii="Times New Roman" w:hAnsi="宋体"/>
                <w:color w:val="auto"/>
                <w:highlight w:val="none"/>
                <w:lang w:eastAsia="zh-CN"/>
              </w:rPr>
              <w:t>置于</w:t>
            </w:r>
            <w:r>
              <w:rPr>
                <w:rStyle w:val="44"/>
                <w:rFonts w:hint="default" w:ascii="Times New Roman" w:hAnsi="宋体"/>
                <w:color w:val="auto"/>
                <w:highlight w:val="none"/>
              </w:rPr>
              <w:t>表层土堆放区内，并对表层土堆放区采用彩条布遮挡、构筑截、排水沟等水保措施，防止水土流失。</w:t>
            </w:r>
          </w:p>
          <w:p w14:paraId="578349CC">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w:t>
            </w:r>
            <w:r>
              <w:rPr>
                <w:rStyle w:val="44"/>
                <w:rFonts w:hint="default" w:ascii="宋体" w:hAnsi="宋体" w:cs="宋体"/>
                <w:color w:val="auto"/>
                <w:highlight w:val="none"/>
              </w:rPr>
              <w:t>4</w:t>
            </w:r>
            <w:r>
              <w:rPr>
                <w:rStyle w:val="44"/>
                <w:rFonts w:hint="default" w:ascii="Times New Roman" w:hAnsi="宋体"/>
                <w:color w:val="auto"/>
                <w:highlight w:val="none"/>
              </w:rPr>
              <w:t>）生态影响防护措施</w:t>
            </w:r>
          </w:p>
          <w:p w14:paraId="758A6657">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生态影响的防护是指采取对生态影响起到避免、削减和补偿作用的措施。</w:t>
            </w:r>
          </w:p>
          <w:p w14:paraId="3571F5D3">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本项目井场建设短期内会改变区域土地利用，降低区域自然体系的生产能力，因此，应采取必要的生态防护措施，尽可能的减少对原有生态结构的改变，恢复和改善原生生态系统的功能。在井场建设时要求：</w:t>
            </w:r>
          </w:p>
          <w:p w14:paraId="350162BD">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①强化施工阶段的环境管理，为了保证环境保护措施得到落实，项目单位应将环境保护内容作为合同条款纳入到合同中，要求施工单位按评价要求科学、合理施工，项目单位定期对工程施工情况进行监督。</w:t>
            </w:r>
          </w:p>
          <w:p w14:paraId="4915F411">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②加强施工队伍职工环境教育，规范施工人员行为。教育职工爱护生态环境，保护施工场所周围一草一木，不随意摘花折木，严禁砍伐、破坏施工带以外的作物和树木，尽量减少对植被的破坏。</w:t>
            </w:r>
          </w:p>
          <w:p w14:paraId="641E994C">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在职工中宣传环境保护法规，加强施工生产和生活用火管理，要防止引起火灾，避免造成不必要的损失和破坏。加强员工的环保意识，制定和完善企业内部环境保护工作的规章制度；宣传清洁生产技术思想，进行清洁生产技术培训；积极建立清洁生产环境管理体系；同时建立安全监督机制，进行安全考核等。</w:t>
            </w:r>
          </w:p>
          <w:p w14:paraId="46D0DD74">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④施工结束后应采用套管+水泥砂浆</w:t>
            </w:r>
            <w:r>
              <w:rPr>
                <w:rStyle w:val="44"/>
                <w:rFonts w:hint="eastAsia" w:hAnsi="宋体"/>
                <w:color w:val="auto"/>
                <w:highlight w:val="none"/>
                <w:lang w:val="en-US" w:eastAsia="zh-CN"/>
              </w:rPr>
              <w:t>进行</w:t>
            </w:r>
            <w:r>
              <w:rPr>
                <w:rStyle w:val="44"/>
                <w:rFonts w:hint="default" w:ascii="Times New Roman" w:hAnsi="宋体"/>
                <w:color w:val="auto"/>
                <w:highlight w:val="none"/>
              </w:rPr>
              <w:t>封孔</w:t>
            </w:r>
            <w:r>
              <w:rPr>
                <w:rStyle w:val="44"/>
                <w:rFonts w:hint="eastAsia" w:hAnsi="宋体"/>
                <w:color w:val="auto"/>
                <w:highlight w:val="none"/>
                <w:lang w:eastAsia="zh-CN"/>
              </w:rPr>
              <w:t>并保</w:t>
            </w:r>
            <w:r>
              <w:rPr>
                <w:rStyle w:val="44"/>
                <w:rFonts w:hint="default" w:ascii="Times New Roman" w:hAnsi="宋体"/>
                <w:color w:val="auto"/>
                <w:highlight w:val="none"/>
              </w:rPr>
              <w:t>留地面标记进行封井，施工占地应利用原土回填，恢复原有植被。</w:t>
            </w:r>
          </w:p>
          <w:p w14:paraId="06CDD8D0">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项目施工结束后，井场全部进行生态恢复，项目因占地、植物减少、土壤扰动和水土流失等生态问题和生态扰动都将恢复。</w:t>
            </w:r>
          </w:p>
          <w:p w14:paraId="424BAEE7">
            <w:pPr>
              <w:pStyle w:val="31"/>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w:t>
            </w:r>
            <w:r>
              <w:rPr>
                <w:rStyle w:val="44"/>
                <w:rFonts w:hint="default" w:ascii="宋体" w:hAnsi="宋体" w:cs="宋体"/>
                <w:color w:val="auto"/>
                <w:highlight w:val="none"/>
              </w:rPr>
              <w:t>5</w:t>
            </w:r>
            <w:r>
              <w:rPr>
                <w:rStyle w:val="44"/>
                <w:rFonts w:hint="default" w:ascii="Times New Roman" w:hAnsi="宋体"/>
                <w:color w:val="auto"/>
                <w:highlight w:val="none"/>
              </w:rPr>
              <w:t>）临时用地复垦措施</w:t>
            </w:r>
          </w:p>
          <w:p w14:paraId="06A94571">
            <w:pPr>
              <w:pStyle w:val="31"/>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项目施工期结束后需要对临时用地进行土地恢复，使临时用地状况恢复到原有水平。本项目建设单位已制定临时用地复垦方案，建设单位施工完成后要严格落实复垦方案中的措施，因地制宜，以恢复项目区原有土地利用类型为主，改善生态环境，改善破坏土地的质量。</w:t>
            </w:r>
          </w:p>
          <w:p w14:paraId="74417EF5">
            <w:pPr>
              <w:pStyle w:val="31"/>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项目涉及临时用地对土地的损毁主要为土壤物理性质和结构遭到损坏，临时用地毁坏类型主要为压占，毁坏程度为中度破坏。在落实复垦方案中的措施后，使临时用地性质恢复到原有水平，复垦结束后，要对复垦对象进行为期一年的管护，确保复垦工程能够达到预期效果。具体复垦措施如下所示：</w:t>
            </w:r>
          </w:p>
          <w:p w14:paraId="38E78979">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表土剥离：表土层的剥离在本工程土地复垦中极为重要，耕作层土壤和表层土壤是经过多年耕作和植物作用而形成的熟化土壤，对于植物种子的萌发和幼苗的生长有着重要作用。在临时用地占用前，对临时地块内占用耕地部分进行0.25m厚表土剥离。</w:t>
            </w:r>
          </w:p>
          <w:p w14:paraId="4D567A39">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②表土堆存与防护：在表土堆放区周围釆用1m高的草袋防护。堆土区边缘部位需修筑排水沟，以阻挡周边雨水，为防止表土堆放区内四周冲刷沟的产生，在雨季需在表土堆放区上覆盖防水编织布。</w:t>
            </w:r>
          </w:p>
          <w:p w14:paraId="24FFF123">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③表土剥离收集过程中应注意对树根、灌木、草皮的清理，避免与表土混合，影响表土堆放的稳定性；遵循</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先拦后堆</w:t>
            </w:r>
            <w:r>
              <w:rPr>
                <w:rStyle w:val="44"/>
                <w:rFonts w:hint="eastAsia" w:ascii="Times New Roman" w:hAnsi="宋体"/>
                <w:color w:val="auto"/>
                <w:kern w:val="0"/>
                <w:highlight w:val="none"/>
                <w:lang w:eastAsia="zh-CN"/>
              </w:rPr>
              <w:t>”</w:t>
            </w:r>
            <w:r>
              <w:rPr>
                <w:rStyle w:val="44"/>
                <w:rFonts w:hint="default" w:ascii="Times New Roman" w:hAnsi="宋体"/>
                <w:color w:val="auto"/>
                <w:kern w:val="0"/>
                <w:highlight w:val="none"/>
              </w:rPr>
              <w:t>的原则，先做好拦挡工作后，再集中堆放表土，且在堆放时尽可能将表土压实；</w:t>
            </w:r>
          </w:p>
          <w:p w14:paraId="0A3A8C48">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④建筑垃圾拆除及清运：对临时用地局部硬化路面进行拆除并清运出项目区，及时转运到政府指定地点，中转清运。</w:t>
            </w:r>
          </w:p>
          <w:p w14:paraId="5B646AEC">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⑤土地深松：场地清理工作结束后，对各类场地进行填凹、推平，再用机械深耕，租用当地松土机对耕地进行松土，松土深度30-50cm，通过深翻深耕，提高土壤入渗能力。</w:t>
            </w:r>
          </w:p>
          <w:p w14:paraId="145DCC19">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⑥表土回填：在对压占土地翻耕后，将前期剥离的表土进行回填，回填土方量为前期剥离量之和，可保证复垦后恢复原地貌。</w:t>
            </w:r>
          </w:p>
          <w:p w14:paraId="51978744">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⑦道路修复：临时用地施工便道连接农村道路使用期间可能会产生一定损毁，对损毁路面进行修复，临时用地使用完毕后将恢复成原地貌，复垦后道路通达率与原地块通达率一致，仍为100%。</w:t>
            </w:r>
          </w:p>
          <w:p w14:paraId="1BA5755D">
            <w:pPr>
              <w:pStyle w:val="31"/>
              <w:adjustRightInd/>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⑧在工程复垦结束后，进行生物复垦，快速恢复植被，从而有效地控制水土流失，改善项目区生态环境。</w:t>
            </w:r>
          </w:p>
          <w:p w14:paraId="36DBED14">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w:t>
            </w:r>
            <w:r>
              <w:rPr>
                <w:rStyle w:val="44"/>
                <w:rFonts w:hint="default" w:ascii="宋体" w:hAnsi="宋体" w:cs="宋体"/>
                <w:color w:val="auto"/>
                <w:highlight w:val="none"/>
              </w:rPr>
              <w:t>6</w:t>
            </w:r>
            <w:r>
              <w:rPr>
                <w:rStyle w:val="44"/>
                <w:rFonts w:hint="default" w:ascii="Times New Roman" w:hAnsi="宋体"/>
                <w:color w:val="auto"/>
                <w:highlight w:val="none"/>
              </w:rPr>
              <w:t>）临时占地生态保护措施</w:t>
            </w:r>
          </w:p>
          <w:p w14:paraId="5ACD7CDC">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根据《土地管理法》规定和相关地方规定，对工程临时征地进行补偿；严禁砍伐野外植被；严格规定施工作业范围，严格限制施工活动范围。项目施工结束后，硬化地面、雨水沟、污水沟等地面设施进行整体拆除，对拆除过程中可重复使用的材料可运至其他井站进行重复利用，水泥渣、碎石等尽可能用于其他井场的道路和井场建设，不可利用部分运至政府指定的渣场，做到工完、料净、场地清，对构筑的设备基础拆除后作场地边坡凹地平整填方区填方回填，不留坑凼；清除场内固体废物，平整井场，在表层覆盖耕作土层，将废弃的井场恢复原状。</w:t>
            </w:r>
          </w:p>
          <w:p w14:paraId="69431693">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w:t>
            </w:r>
            <w:r>
              <w:rPr>
                <w:rStyle w:val="44"/>
                <w:rFonts w:hint="default" w:ascii="宋体" w:hAnsi="宋体" w:cs="宋体"/>
                <w:color w:val="auto"/>
                <w:highlight w:val="none"/>
              </w:rPr>
              <w:t>7</w:t>
            </w:r>
            <w:r>
              <w:rPr>
                <w:rStyle w:val="44"/>
                <w:rFonts w:hint="default" w:ascii="Times New Roman" w:hAnsi="宋体"/>
                <w:color w:val="auto"/>
                <w:highlight w:val="none"/>
              </w:rPr>
              <w:t>）完井后环境保护措施</w:t>
            </w:r>
          </w:p>
          <w:p w14:paraId="7A139B11">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完井后将对钻井设备、基础进行拆除、搬迁，封井口作业，最终对临时占地进行恢复。</w:t>
            </w:r>
          </w:p>
          <w:p w14:paraId="08C2E679">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①井口封隔措施</w:t>
            </w:r>
          </w:p>
          <w:p w14:paraId="6B069DA6">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采用泵送的方式分段向井内注入水泥浆封井，封井完成后，在井口设立永久标志：包含井名、项目名称、开钻日期、完钻日期、完钻井深及施工单位名称等。</w:t>
            </w:r>
          </w:p>
          <w:p w14:paraId="262F5733">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②临时占地保护措施</w:t>
            </w:r>
          </w:p>
          <w:p w14:paraId="2531A32A">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本次评价结合项目土地占用情况，按照因地制宜的原则，对临时占地在完钻时的土地复垦提出以下建议：</w:t>
            </w:r>
          </w:p>
          <w:p w14:paraId="61385FDB">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利用井场剥离表层土回填，复垦为旱地或根据当地居民要求复垦为其他用地；井场基础设施拆除后，建议复垦为旱地。</w:t>
            </w:r>
          </w:p>
          <w:p w14:paraId="40DA4412">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③表层土回填措施</w:t>
            </w:r>
          </w:p>
          <w:p w14:paraId="0AF416FC">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项目施工期间在井场设置表层土堆放区，用于堆放剥离的表层土，表层土用于土地复垦用土</w:t>
            </w:r>
            <w:r>
              <w:rPr>
                <w:rStyle w:val="44"/>
                <w:rFonts w:hint="default" w:hAnsi="宋体"/>
                <w:color w:val="auto"/>
                <w:highlight w:val="none"/>
              </w:rPr>
              <w:t>。</w:t>
            </w:r>
            <w:r>
              <w:rPr>
                <w:rStyle w:val="44"/>
                <w:rFonts w:hint="default" w:ascii="Times New Roman" w:hAnsi="宋体"/>
                <w:color w:val="auto"/>
                <w:highlight w:val="none"/>
              </w:rPr>
              <w:t>表层土回填时，可混合基肥或土壤改良剂以利于植草，表层土应均匀回填并夯压整平，回填整平后之后尽快植草以防表层土流失。</w:t>
            </w:r>
          </w:p>
          <w:p w14:paraId="04004ABC">
            <w:pPr>
              <w:pStyle w:val="7"/>
              <w:spacing w:after="0" w:line="360" w:lineRule="auto"/>
              <w:ind w:firstLine="480" w:firstLineChars="200"/>
              <w:jc w:val="both"/>
              <w:rPr>
                <w:rStyle w:val="44"/>
                <w:rFonts w:hint="default" w:ascii="Times New Roman" w:hAnsi="宋体"/>
                <w:color w:val="auto"/>
                <w:highlight w:val="none"/>
              </w:rPr>
            </w:pPr>
            <w:r>
              <w:rPr>
                <w:rStyle w:val="44"/>
                <w:rFonts w:hint="default" w:hAnsi="宋体"/>
                <w:color w:val="auto"/>
                <w:highlight w:val="none"/>
              </w:rPr>
              <w:t>（8）</w:t>
            </w:r>
            <w:r>
              <w:rPr>
                <w:rStyle w:val="44"/>
                <w:rFonts w:hint="default" w:ascii="Times New Roman" w:hAnsi="宋体"/>
                <w:color w:val="auto"/>
                <w:highlight w:val="none"/>
              </w:rPr>
              <w:t>土地复垦质量要求</w:t>
            </w:r>
          </w:p>
          <w:p w14:paraId="507913AA">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本复垦工程主要复垦为耕地，耕地复垦标准如下：</w:t>
            </w:r>
          </w:p>
          <w:p w14:paraId="26262BA4">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①有效土层厚度不低于50cm，耕作层厚度不低于30cm；</w:t>
            </w:r>
          </w:p>
          <w:p w14:paraId="47EAD351">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②土壤通体无污染，耕作层有机质含量不低于2%。</w:t>
            </w:r>
          </w:p>
          <w:p w14:paraId="2F54535B">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③复垦后耕地质量等别要达到复垦前耕地等别。</w:t>
            </w:r>
          </w:p>
          <w:p w14:paraId="624E9720">
            <w:pPr>
              <w:pStyle w:val="7"/>
              <w:spacing w:after="0" w:line="360" w:lineRule="auto"/>
              <w:ind w:firstLine="480" w:firstLineChars="200"/>
              <w:jc w:val="both"/>
              <w:rPr>
                <w:rStyle w:val="44"/>
                <w:rFonts w:hint="default" w:ascii="Times New Roman" w:hAnsi="宋体"/>
                <w:color w:val="auto"/>
                <w:highlight w:val="none"/>
              </w:rPr>
            </w:pPr>
            <w:r>
              <w:rPr>
                <w:rStyle w:val="44"/>
                <w:rFonts w:hint="default" w:hAnsi="宋体"/>
                <w:color w:val="auto"/>
                <w:highlight w:val="none"/>
              </w:rPr>
              <w:t>④</w:t>
            </w:r>
            <w:r>
              <w:rPr>
                <w:rStyle w:val="44"/>
                <w:rFonts w:hint="default" w:ascii="Times New Roman" w:hAnsi="宋体"/>
                <w:color w:val="auto"/>
                <w:highlight w:val="none"/>
              </w:rPr>
              <w:t>破坏前为耕地的地块，表土剥离厚度不小于30cm；</w:t>
            </w:r>
          </w:p>
          <w:p w14:paraId="47AB2929">
            <w:pPr>
              <w:pStyle w:val="7"/>
              <w:spacing w:after="0" w:line="360" w:lineRule="auto"/>
              <w:ind w:firstLine="480" w:firstLineChars="200"/>
              <w:jc w:val="both"/>
              <w:rPr>
                <w:rStyle w:val="44"/>
                <w:rFonts w:hint="default" w:ascii="Times New Roman" w:hAnsi="宋体"/>
                <w:color w:val="auto"/>
                <w:highlight w:val="none"/>
              </w:rPr>
            </w:pPr>
            <w:r>
              <w:rPr>
                <w:rStyle w:val="44"/>
                <w:rFonts w:hint="default" w:hAnsi="宋体"/>
                <w:color w:val="auto"/>
                <w:highlight w:val="none"/>
              </w:rPr>
              <w:t>⑤</w:t>
            </w:r>
            <w:r>
              <w:rPr>
                <w:rStyle w:val="44"/>
                <w:rFonts w:hint="default" w:ascii="Times New Roman" w:hAnsi="宋体"/>
                <w:color w:val="auto"/>
                <w:highlight w:val="none"/>
              </w:rPr>
              <w:t>复垦后田块平整，一个耕作田块内，旱地田面坡度不超过3度，水田高差±3cm之内。</w:t>
            </w:r>
          </w:p>
          <w:p w14:paraId="1DD60113">
            <w:pPr>
              <w:pStyle w:val="7"/>
              <w:spacing w:after="0" w:line="360" w:lineRule="auto"/>
              <w:ind w:firstLine="480" w:firstLineChars="200"/>
              <w:jc w:val="both"/>
              <w:rPr>
                <w:rStyle w:val="44"/>
                <w:rFonts w:hint="default" w:ascii="Times New Roman" w:hAnsi="宋体"/>
                <w:color w:val="auto"/>
                <w:highlight w:val="none"/>
              </w:rPr>
            </w:pPr>
            <w:r>
              <w:rPr>
                <w:rStyle w:val="44"/>
                <w:rFonts w:hint="default" w:hAnsi="宋体"/>
                <w:color w:val="auto"/>
                <w:highlight w:val="none"/>
              </w:rPr>
              <w:t>⑥</w:t>
            </w:r>
            <w:r>
              <w:rPr>
                <w:rStyle w:val="44"/>
                <w:rFonts w:hint="default" w:ascii="Times New Roman" w:hAnsi="宋体"/>
                <w:color w:val="auto"/>
                <w:highlight w:val="none"/>
              </w:rPr>
              <w:t>复垦后田块长度一般80-100m，宽度15-40m，梯田田块长边沿等高线布置。</w:t>
            </w:r>
          </w:p>
          <w:p w14:paraId="603BFAF6">
            <w:pPr>
              <w:pStyle w:val="7"/>
              <w:spacing w:after="0" w:line="360" w:lineRule="auto"/>
              <w:ind w:firstLine="480" w:firstLineChars="200"/>
              <w:jc w:val="both"/>
              <w:rPr>
                <w:rStyle w:val="44"/>
                <w:rFonts w:hint="default" w:ascii="Times New Roman" w:hAnsi="宋体"/>
                <w:color w:val="auto"/>
                <w:highlight w:val="none"/>
              </w:rPr>
            </w:pPr>
            <w:r>
              <w:rPr>
                <w:rStyle w:val="44"/>
                <w:rFonts w:hint="default" w:hAnsi="宋体"/>
                <w:color w:val="auto"/>
                <w:highlight w:val="none"/>
              </w:rPr>
              <w:t>⑦</w:t>
            </w:r>
            <w:r>
              <w:rPr>
                <w:rStyle w:val="44"/>
                <w:rFonts w:hint="default" w:ascii="Times New Roman" w:hAnsi="宋体"/>
                <w:color w:val="auto"/>
                <w:highlight w:val="none"/>
              </w:rPr>
              <w:t>三年后达到周边地区同等土地利用类型水平。</w:t>
            </w:r>
          </w:p>
          <w:p w14:paraId="697FF2C8">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由于项目临时占地涉及耕地，建设单位在办理临时用地批复前根据《土地复垦条例》编制了《临时用地复垦方案》，钻井工程完工后必须及时进行土地复垦。临时用地复垦应坚持科学规划、因地制宜、综合治理、经济可行、合理利用的原则。井场所在地域地表植被茂盛，大气质量和地下水、地表水水质均较好。复垦方向应以农用地优先为主，以恢复生态环境为辅，因地制宜的建立植被与恢复体系，同时遵循破坏土地与周边现状保持一致的原则。本评价要求因临时占用所损坏的土地，必须按照土地复垦方案的相关要求进行。</w:t>
            </w:r>
          </w:p>
          <w:p w14:paraId="6F734AEB">
            <w:pPr>
              <w:pStyle w:val="7"/>
              <w:spacing w:after="0" w:line="360" w:lineRule="auto"/>
              <w:ind w:firstLine="482" w:firstLineChars="200"/>
              <w:jc w:val="both"/>
              <w:rPr>
                <w:rStyle w:val="44"/>
                <w:rFonts w:hint="default" w:hAnsi="宋体"/>
                <w:b/>
                <w:bCs/>
                <w:color w:val="auto"/>
                <w:highlight w:val="none"/>
              </w:rPr>
            </w:pPr>
            <w:r>
              <w:rPr>
                <w:rStyle w:val="44"/>
                <w:rFonts w:hint="default" w:hAnsi="宋体"/>
                <w:b/>
                <w:bCs/>
                <w:color w:val="auto"/>
                <w:highlight w:val="none"/>
              </w:rPr>
              <w:t>7、地下水、土壤防治措施</w:t>
            </w:r>
          </w:p>
          <w:p w14:paraId="156F1523">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本项目对地下水、土壤环境可能造成影响主要在钻井环节。钻孔穿过的地层可能引起各含水层越流补给，使地下水赋存条件发生变化，特别是通过径流使具有水利联系的含水水质受到污染；泥浆池渗漏可能对地下水造成污染。采取的防治措施如下：</w:t>
            </w:r>
          </w:p>
          <w:p w14:paraId="7D88D514">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（1）本项目采用泥浆循环系统，钻井泥浆暂存于</w:t>
            </w:r>
            <w:r>
              <w:rPr>
                <w:rStyle w:val="44"/>
                <w:rFonts w:hint="eastAsia" w:hAnsi="宋体"/>
                <w:color w:val="auto"/>
                <w:highlight w:val="none"/>
                <w:lang w:eastAsia="zh-CN"/>
              </w:rPr>
              <w:t>废浆池</w:t>
            </w:r>
            <w:r>
              <w:rPr>
                <w:rStyle w:val="44"/>
                <w:rFonts w:hint="default" w:ascii="Times New Roman" w:hAnsi="宋体"/>
                <w:color w:val="auto"/>
                <w:highlight w:val="none"/>
              </w:rPr>
              <w:t>中，待钻井结束后投加泥浆固化剂固化后交由建材公司回收综合利用。</w:t>
            </w:r>
          </w:p>
          <w:p w14:paraId="56915C70">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（2）表层固井要求：表层固井必须封固含水层</w:t>
            </w:r>
            <w:r>
              <w:rPr>
                <w:rStyle w:val="44"/>
                <w:rFonts w:hint="default" w:hAnsi="宋体"/>
                <w:color w:val="auto"/>
                <w:highlight w:val="none"/>
              </w:rPr>
              <w:t>。</w:t>
            </w:r>
          </w:p>
          <w:p w14:paraId="3BA03A30">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3）固井作业要求：为了确保地层的承压能力能够满足固井时防漏及打开气层时安全钻井的需要，在进入气层前必须按工程设计要求进行转化钻井液和工艺堵漏；固井所用水泥、外掺料、外加剂及水泥浆配方必须经公司工程技术管理部检验认可备案后，方可使用</w:t>
            </w:r>
            <w:r>
              <w:rPr>
                <w:rStyle w:val="44"/>
                <w:rFonts w:hint="default" w:hAnsi="宋体"/>
                <w:color w:val="auto"/>
                <w:highlight w:val="none"/>
              </w:rPr>
              <w:t>。</w:t>
            </w:r>
          </w:p>
          <w:p w14:paraId="21659C51">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（4）生产套管固井后钻水泥塞要求：钻完全井水泥塞后，必须大排量循环冲洗干净胶皮及铝片。</w:t>
            </w:r>
          </w:p>
          <w:p w14:paraId="3FDF4535">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（5）防渗措施：为进一步减少工程建设对地下水环境的影响，环评建议对井场各区域切实做好防渗措施。</w:t>
            </w:r>
          </w:p>
          <w:p w14:paraId="44592FBC">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采取以上措施后，本项目对地下水、土壤环境的影响较小。</w:t>
            </w:r>
          </w:p>
          <w:p w14:paraId="49611535">
            <w:pPr>
              <w:pStyle w:val="7"/>
              <w:spacing w:after="0" w:line="360" w:lineRule="auto"/>
              <w:ind w:firstLine="482" w:firstLineChars="200"/>
              <w:jc w:val="both"/>
              <w:rPr>
                <w:rStyle w:val="44"/>
                <w:rFonts w:hint="default" w:ascii="Times New Roman" w:hAnsi="宋体"/>
                <w:b/>
                <w:bCs/>
                <w:color w:val="auto"/>
                <w:highlight w:val="none"/>
              </w:rPr>
            </w:pPr>
            <w:r>
              <w:rPr>
                <w:rStyle w:val="44"/>
                <w:rFonts w:hint="default" w:hAnsi="宋体"/>
                <w:b/>
                <w:bCs/>
                <w:color w:val="auto"/>
                <w:highlight w:val="none"/>
              </w:rPr>
              <w:t>8</w:t>
            </w:r>
            <w:r>
              <w:rPr>
                <w:rStyle w:val="44"/>
                <w:rFonts w:hint="default" w:ascii="Times New Roman" w:hAnsi="宋体"/>
                <w:b/>
                <w:bCs/>
                <w:color w:val="auto"/>
                <w:highlight w:val="none"/>
              </w:rPr>
              <w:t>、封井影响分析</w:t>
            </w:r>
          </w:p>
          <w:p w14:paraId="1519F503">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（1）影响分析</w:t>
            </w:r>
          </w:p>
          <w:p w14:paraId="09EBDA39">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地面设施拆除、井场清理等工作会产生部分废弃管线、废弃建筑残渣，对这些废弃管线、残渣将进行集中清理收集，管线收集后可回收再利用，废弃建筑残渣按照一般工业固废进行综合利用。</w:t>
            </w:r>
          </w:p>
          <w:p w14:paraId="780DD4FA">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（2）封井后应采取的环保措施</w:t>
            </w:r>
          </w:p>
          <w:p w14:paraId="6B30D50E">
            <w:pPr>
              <w:pStyle w:val="7"/>
              <w:spacing w:after="0" w:line="360" w:lineRule="auto"/>
              <w:ind w:firstLine="480" w:firstLineChars="200"/>
              <w:jc w:val="both"/>
              <w:rPr>
                <w:rStyle w:val="44"/>
                <w:rFonts w:hint="default" w:ascii="Times New Roman" w:hAnsi="宋体"/>
                <w:color w:val="auto"/>
                <w:highlight w:val="none"/>
              </w:rPr>
            </w:pPr>
            <w:r>
              <w:rPr>
                <w:rStyle w:val="44"/>
                <w:rFonts w:hint="default" w:ascii="Times New Roman" w:hAnsi="宋体"/>
                <w:color w:val="auto"/>
                <w:highlight w:val="none"/>
              </w:rPr>
              <w:t>①人工拆除临时占地基础。将井场建设保留的耕植土直接摊铺覆盖于场面上，然后进行植被恢复。</w:t>
            </w:r>
          </w:p>
          <w:p w14:paraId="484995C3">
            <w:pPr>
              <w:adjustRightInd w:val="0"/>
              <w:snapToGrid w:val="0"/>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②为尽快恢复土地功能，可增施肥料，加强灌溉，以改良土壤结构及其理化性质，提高土壤的保肥保水能力，恢复土壤生产能力。</w:t>
            </w:r>
          </w:p>
        </w:tc>
      </w:tr>
      <w:tr w14:paraId="28D55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3" w:hRule="atLeast"/>
          <w:jc w:val="center"/>
        </w:trPr>
        <w:tc>
          <w:tcPr>
            <w:tcW w:w="753" w:type="dxa"/>
            <w:tcMar>
              <w:left w:w="28" w:type="dxa"/>
              <w:right w:w="28" w:type="dxa"/>
            </w:tcMar>
            <w:vAlign w:val="center"/>
          </w:tcPr>
          <w:p w14:paraId="749C2613">
            <w:pPr>
              <w:adjustRightInd w:val="0"/>
              <w:snapToGrid w:val="0"/>
              <w:jc w:val="center"/>
              <w:rPr>
                <w:rFonts w:ascii="Times New Roman" w:hAnsi="Times New Roman"/>
                <w:bCs/>
                <w:color w:val="auto"/>
                <w:spacing w:val="10"/>
                <w:sz w:val="24"/>
                <w:highlight w:val="none"/>
              </w:rPr>
            </w:pPr>
            <w:r>
              <w:rPr>
                <w:rFonts w:ascii="Times New Roman" w:hAnsi="Times New Roman"/>
                <w:bCs/>
                <w:color w:val="auto"/>
                <w:spacing w:val="10"/>
                <w:sz w:val="24"/>
                <w:highlight w:val="none"/>
              </w:rPr>
              <w:t>运营期生态环境保护措施</w:t>
            </w:r>
          </w:p>
        </w:tc>
        <w:tc>
          <w:tcPr>
            <w:tcW w:w="7980" w:type="dxa"/>
          </w:tcPr>
          <w:p w14:paraId="33058B98">
            <w:pPr>
              <w:spacing w:after="0" w:line="360" w:lineRule="auto"/>
              <w:ind w:firstLine="480" w:firstLineChars="200"/>
              <w:rPr>
                <w:rStyle w:val="44"/>
                <w:rFonts w:hint="default" w:ascii="Times New Roman" w:hAnsi="宋体"/>
                <w:color w:val="auto"/>
                <w:kern w:val="0"/>
                <w:highlight w:val="none"/>
              </w:rPr>
            </w:pPr>
            <w:r>
              <w:rPr>
                <w:rStyle w:val="44"/>
                <w:rFonts w:hint="default" w:ascii="Times New Roman" w:hAnsi="宋体"/>
                <w:color w:val="auto"/>
                <w:kern w:val="0"/>
                <w:highlight w:val="none"/>
              </w:rPr>
              <w:t>本项目的生态环境的影响主要表现在施工期，不涉及运营期生态环境影响，因此评价不对运营期提出生态保护措施要求。</w:t>
            </w:r>
          </w:p>
        </w:tc>
      </w:tr>
      <w:tr w14:paraId="7C5DB3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95" w:hRule="atLeast"/>
          <w:jc w:val="center"/>
        </w:trPr>
        <w:tc>
          <w:tcPr>
            <w:tcW w:w="753" w:type="dxa"/>
            <w:vAlign w:val="center"/>
          </w:tcPr>
          <w:p w14:paraId="09606FA4">
            <w:pPr>
              <w:adjustRightInd w:val="0"/>
              <w:snapToGrid w:val="0"/>
              <w:jc w:val="center"/>
              <w:rPr>
                <w:rFonts w:ascii="Times New Roman" w:hAnsi="Times New Roman"/>
                <w:bCs/>
                <w:color w:val="auto"/>
                <w:spacing w:val="10"/>
                <w:sz w:val="24"/>
                <w:highlight w:val="none"/>
              </w:rPr>
            </w:pPr>
            <w:r>
              <w:rPr>
                <w:rFonts w:ascii="Times New Roman" w:hAnsi="Times New Roman"/>
                <w:bCs/>
                <w:color w:val="auto"/>
                <w:sz w:val="24"/>
                <w:highlight w:val="none"/>
              </w:rPr>
              <w:t>其他</w:t>
            </w:r>
          </w:p>
        </w:tc>
        <w:tc>
          <w:tcPr>
            <w:tcW w:w="7980" w:type="dxa"/>
          </w:tcPr>
          <w:p w14:paraId="7C557CDC">
            <w:pPr>
              <w:spacing w:after="0"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1、设立环境保护管理机构</w:t>
            </w:r>
          </w:p>
          <w:p w14:paraId="6F234997">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为了做好全过程的环境保护工作，减轻本项目外排污染物对环境的影响程度，建设单位应高度重视环境保护工作。建议设立内部环境保护管理机构，专人负责环境保护工作，实行定岗定员，岗位责任制，负责各生产环节的环境保护管理，保证施工期环保措施的正常运行。</w:t>
            </w:r>
          </w:p>
          <w:p w14:paraId="1D3A16D8">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环境保护管理机构（或环境保护责任人）应明确如下责任：</w:t>
            </w:r>
          </w:p>
          <w:p w14:paraId="57B23CE7">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（1）保持与</w:t>
            </w:r>
            <w:r>
              <w:rPr>
                <w:rFonts w:hint="eastAsia" w:ascii="Times New Roman" w:hAnsi="Times New Roman"/>
                <w:color w:val="auto"/>
                <w:sz w:val="24"/>
                <w:highlight w:val="none"/>
              </w:rPr>
              <w:t>生态环境</w:t>
            </w:r>
            <w:r>
              <w:rPr>
                <w:rFonts w:ascii="Times New Roman" w:hAnsi="Times New Roman"/>
                <w:color w:val="auto"/>
                <w:sz w:val="24"/>
                <w:highlight w:val="none"/>
              </w:rPr>
              <w:t>主管</w:t>
            </w:r>
            <w:r>
              <w:rPr>
                <w:rFonts w:hint="eastAsia" w:ascii="Times New Roman" w:hAnsi="Times New Roman"/>
                <w:color w:val="auto"/>
                <w:sz w:val="24"/>
                <w:highlight w:val="none"/>
              </w:rPr>
              <w:t>部门</w:t>
            </w:r>
            <w:r>
              <w:rPr>
                <w:rFonts w:ascii="Times New Roman" w:hAnsi="Times New Roman"/>
                <w:color w:val="auto"/>
                <w:sz w:val="24"/>
                <w:highlight w:val="none"/>
              </w:rPr>
              <w:t>的密切联系，及时了解国家、地方与本项目环境保护有关的法律、法规和其它要求，及时向</w:t>
            </w:r>
            <w:r>
              <w:rPr>
                <w:rFonts w:hint="eastAsia" w:ascii="Times New Roman" w:hAnsi="Times New Roman"/>
                <w:color w:val="auto"/>
                <w:sz w:val="24"/>
                <w:highlight w:val="none"/>
              </w:rPr>
              <w:t>生态环境</w:t>
            </w:r>
            <w:r>
              <w:rPr>
                <w:rFonts w:ascii="Times New Roman" w:hAnsi="Times New Roman"/>
                <w:color w:val="auto"/>
                <w:sz w:val="24"/>
                <w:highlight w:val="none"/>
              </w:rPr>
              <w:t>主管</w:t>
            </w:r>
            <w:r>
              <w:rPr>
                <w:rFonts w:hint="eastAsia" w:ascii="Times New Roman" w:hAnsi="Times New Roman"/>
                <w:color w:val="auto"/>
                <w:sz w:val="24"/>
                <w:highlight w:val="none"/>
              </w:rPr>
              <w:t>部门</w:t>
            </w:r>
            <w:r>
              <w:rPr>
                <w:rFonts w:ascii="Times New Roman" w:hAnsi="Times New Roman"/>
                <w:color w:val="auto"/>
                <w:sz w:val="24"/>
                <w:highlight w:val="none"/>
              </w:rPr>
              <w:t>反映与项目施工期有关的污染因素、存在的环境问题、采取的污染控制对策等环境保护方面的内容，听取</w:t>
            </w:r>
            <w:r>
              <w:rPr>
                <w:rFonts w:hint="eastAsia" w:ascii="Times New Roman" w:hAnsi="Times New Roman"/>
                <w:color w:val="auto"/>
                <w:sz w:val="24"/>
                <w:highlight w:val="none"/>
              </w:rPr>
              <w:t>生态环境</w:t>
            </w:r>
            <w:r>
              <w:rPr>
                <w:rFonts w:ascii="Times New Roman" w:hAnsi="Times New Roman"/>
                <w:color w:val="auto"/>
                <w:sz w:val="24"/>
                <w:highlight w:val="none"/>
              </w:rPr>
              <w:t>主管</w:t>
            </w:r>
            <w:r>
              <w:rPr>
                <w:rFonts w:hint="eastAsia" w:ascii="Times New Roman" w:hAnsi="Times New Roman"/>
                <w:color w:val="auto"/>
                <w:sz w:val="24"/>
                <w:highlight w:val="none"/>
              </w:rPr>
              <w:t>部门</w:t>
            </w:r>
            <w:r>
              <w:rPr>
                <w:rFonts w:ascii="Times New Roman" w:hAnsi="Times New Roman"/>
                <w:color w:val="auto"/>
                <w:sz w:val="24"/>
                <w:highlight w:val="none"/>
              </w:rPr>
              <w:t>的批示意见。</w:t>
            </w:r>
          </w:p>
          <w:p w14:paraId="6DD82EA0">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（2）及时将国家、地方与本项目环境保护有关的法律、法规和规定向单位负责人汇报，及时向本单位有关机构、人员进行通报，组织职工进行环境保护方面的教育、培训，提高环保意识。</w:t>
            </w:r>
          </w:p>
          <w:p w14:paraId="5FCB5E9B">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（3）及时向单位负责人汇报与本项目有关的污染因素、存在的环境问题、采取的污染控制对策、实施情况等，提出改进建议。</w:t>
            </w:r>
          </w:p>
          <w:p w14:paraId="6EA1CB8F">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（4）</w:t>
            </w:r>
            <w:r>
              <w:rPr>
                <w:rFonts w:hint="eastAsia" w:ascii="Times New Roman" w:hAnsi="Times New Roman"/>
                <w:color w:val="auto"/>
                <w:sz w:val="24"/>
                <w:highlight w:val="none"/>
              </w:rPr>
              <w:t>负责</w:t>
            </w:r>
            <w:r>
              <w:rPr>
                <w:rFonts w:ascii="Times New Roman" w:hAnsi="Times New Roman"/>
                <w:color w:val="auto"/>
                <w:sz w:val="24"/>
                <w:highlight w:val="none"/>
              </w:rPr>
              <w:t>制定、监督实施本单位的有关施工期环境保护管理规章制度，负责实施污染控制措施、管理污染治理设施，并进行详细的记录，以备检查。</w:t>
            </w:r>
          </w:p>
          <w:p w14:paraId="5FB42B09">
            <w:pPr>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（5）按本评价提出的各项环境保护措施，编制详细的施工期环境保护。</w:t>
            </w:r>
          </w:p>
          <w:p w14:paraId="0D20C358">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措施落实计划，明确各污染源位置、环境影响、环境保护措施、落实责任机构（人）等，并将该环境保护计划以书面形式发给相关人员，以便于各项措施的有效落实。</w:t>
            </w:r>
          </w:p>
          <w:p w14:paraId="77801CC2">
            <w:pPr>
              <w:pStyle w:val="31"/>
              <w:adjustRightInd/>
              <w:spacing w:after="0" w:line="360" w:lineRule="auto"/>
              <w:ind w:firstLine="482" w:firstLineChars="200"/>
              <w:jc w:val="both"/>
              <w:rPr>
                <w:rFonts w:ascii="Times New Roman" w:hAnsi="Times New Roman"/>
                <w:b/>
                <w:bCs/>
                <w:color w:val="auto"/>
                <w:highlight w:val="none"/>
              </w:rPr>
            </w:pPr>
            <w:r>
              <w:rPr>
                <w:rFonts w:ascii="Times New Roman" w:hAnsi="Times New Roman"/>
                <w:b/>
                <w:bCs/>
                <w:color w:val="auto"/>
                <w:highlight w:val="none"/>
              </w:rPr>
              <w:t>2、健全环境管理制度</w:t>
            </w:r>
          </w:p>
          <w:p w14:paraId="0A6C28AA">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建立完善的环境管理体系，健全内部环境管理制度，加强日常环境管理工作，对整个施工过程实施全程环境管理，杜绝施工过程中环境污染事故的发生，保护环境。</w:t>
            </w:r>
          </w:p>
          <w:p w14:paraId="184A1773">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加强建设项目的环境管理，根据本评价提出的污染防治措施和对策，制定出切实可行的环境污染防治方法和措施；做好环境教育和宣传工作，提高各级管理人员和操作人员的环境保护意识，加强员工对环境污染防治的责任心，自觉遵守和执行各项环境保护的规章制度；确保环境保护措施的正常运行，防止污染事故的发生；加强与</w:t>
            </w:r>
            <w:r>
              <w:rPr>
                <w:rFonts w:hint="eastAsia" w:ascii="Times New Roman" w:hAnsi="Times New Roman"/>
                <w:color w:val="auto"/>
                <w:highlight w:val="none"/>
              </w:rPr>
              <w:t>生态环境主管</w:t>
            </w:r>
            <w:r>
              <w:rPr>
                <w:rFonts w:ascii="Times New Roman" w:hAnsi="Times New Roman"/>
                <w:color w:val="auto"/>
                <w:highlight w:val="none"/>
              </w:rPr>
              <w:t>部门的沟通和联系，主动接受</w:t>
            </w:r>
            <w:r>
              <w:rPr>
                <w:rFonts w:hint="eastAsia" w:ascii="Times New Roman" w:hAnsi="Times New Roman"/>
                <w:color w:val="auto"/>
                <w:highlight w:val="none"/>
              </w:rPr>
              <w:t>生态环境主管</w:t>
            </w:r>
            <w:r>
              <w:rPr>
                <w:rFonts w:ascii="Times New Roman" w:hAnsi="Times New Roman"/>
                <w:color w:val="auto"/>
                <w:highlight w:val="none"/>
              </w:rPr>
              <w:t>部门的管理、监督和指导。</w:t>
            </w:r>
          </w:p>
          <w:p w14:paraId="33A4DAE6">
            <w:pPr>
              <w:pStyle w:val="31"/>
              <w:adjustRightInd/>
              <w:spacing w:after="0" w:line="360" w:lineRule="auto"/>
              <w:ind w:firstLine="482" w:firstLineChars="200"/>
              <w:jc w:val="both"/>
              <w:rPr>
                <w:rFonts w:ascii="Times New Roman" w:hAnsi="Times New Roman"/>
                <w:b/>
                <w:bCs/>
                <w:color w:val="auto"/>
                <w:highlight w:val="none"/>
              </w:rPr>
            </w:pPr>
            <w:r>
              <w:rPr>
                <w:rFonts w:ascii="Times New Roman" w:hAnsi="Times New Roman"/>
                <w:b/>
                <w:bCs/>
                <w:color w:val="auto"/>
                <w:highlight w:val="none"/>
              </w:rPr>
              <w:t>3、环境管理职责及内容</w:t>
            </w:r>
          </w:p>
          <w:p w14:paraId="2673B2EA">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执行国家、地方环境保护法规和标准；负责环保工作的计划安排，加强对废水、废气、噪声、固体废物等的管理，加强在施工过程中对周边生态环境的保护。建设单位主要注意以下几个方面的措施：</w:t>
            </w:r>
          </w:p>
          <w:p w14:paraId="478C7349">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（1）控制建设项目在开发建设过程中的各种施工活动，尽量减少对生态环境的破坏，做好植被恢复与水土保持工作，防止土壤荒漠化。</w:t>
            </w:r>
          </w:p>
          <w:p w14:paraId="1AE5F412">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（2）项目建成后，废气达标排放、废水按要求外运处理，场界噪声控制在可接受范围之内，固废得到合理利用及无害化处置，符合国家和地方要求。</w:t>
            </w:r>
          </w:p>
          <w:p w14:paraId="2B0F8133">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（3）保证评价区域空气、地下水质量维持现有水平；将工程对生态环境的不利影响程度降至最低，使受影响区域的整体生态环境无明显破坏。</w:t>
            </w:r>
          </w:p>
          <w:p w14:paraId="7132829B">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（4）控制井场占地，减轻工程建设对地表植被和土壤的破坏程度及水土流失量。</w:t>
            </w:r>
          </w:p>
          <w:p w14:paraId="7C590979">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（5）控制各种施工活动对工程附近地表水体的影响，防止施工活动影响地表水和地下水水体功能和水质。</w:t>
            </w:r>
          </w:p>
          <w:p w14:paraId="5A1DEFAF">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（6）实施清洁生产，减少钻井工程每米进尺所产生的钻井废水、固体废物的量，推行污染物</w:t>
            </w:r>
            <w:r>
              <w:rPr>
                <w:rFonts w:hint="eastAsia" w:ascii="Times New Roman" w:hAnsi="Times New Roman"/>
                <w:color w:val="auto"/>
                <w:highlight w:val="none"/>
                <w:lang w:eastAsia="zh-CN"/>
              </w:rPr>
              <w:t>“</w:t>
            </w:r>
            <w:r>
              <w:rPr>
                <w:rFonts w:ascii="Times New Roman" w:hAnsi="Times New Roman"/>
                <w:color w:val="auto"/>
                <w:highlight w:val="none"/>
              </w:rPr>
              <w:t>减量化、资源化、无害化</w:t>
            </w:r>
            <w:r>
              <w:rPr>
                <w:rFonts w:hint="eastAsia" w:ascii="Times New Roman" w:hAnsi="Times New Roman"/>
                <w:color w:val="auto"/>
                <w:highlight w:val="none"/>
                <w:lang w:eastAsia="zh-CN"/>
              </w:rPr>
              <w:t>”</w:t>
            </w:r>
            <w:r>
              <w:rPr>
                <w:rFonts w:ascii="Times New Roman" w:hAnsi="Times New Roman"/>
                <w:color w:val="auto"/>
                <w:highlight w:val="none"/>
              </w:rPr>
              <w:t>的环保理念。</w:t>
            </w:r>
          </w:p>
          <w:p w14:paraId="304CE379">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（7）采取各种有效的环境风险防控措施，切实降低本工程施工期的各类环境风险事故发生率。</w:t>
            </w:r>
          </w:p>
          <w:p w14:paraId="0EB644C4">
            <w:pPr>
              <w:pStyle w:val="31"/>
              <w:adjustRightInd/>
              <w:spacing w:after="0" w:line="360" w:lineRule="auto"/>
              <w:ind w:firstLine="480" w:firstLineChars="200"/>
              <w:jc w:val="both"/>
              <w:rPr>
                <w:rFonts w:ascii="Times New Roman" w:hAnsi="Times New Roman"/>
                <w:color w:val="auto"/>
                <w:highlight w:val="none"/>
              </w:rPr>
            </w:pPr>
            <w:r>
              <w:rPr>
                <w:rFonts w:ascii="Times New Roman" w:hAnsi="Times New Roman"/>
                <w:color w:val="auto"/>
                <w:highlight w:val="none"/>
              </w:rPr>
              <w:t>（8）根据工程实际，针对施工过程产生的钻井废水采取切实有效的多种处理方式，确保不对环境造成污染。</w:t>
            </w:r>
          </w:p>
        </w:tc>
      </w:tr>
      <w:tr w14:paraId="578AD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vAlign w:val="center"/>
          </w:tcPr>
          <w:p w14:paraId="254AC447">
            <w:pPr>
              <w:adjustRightInd w:val="0"/>
              <w:snapToGrid w:val="0"/>
              <w:jc w:val="center"/>
              <w:rPr>
                <w:rFonts w:ascii="Times New Roman" w:hAnsi="Times New Roman"/>
                <w:bCs/>
                <w:color w:val="auto"/>
                <w:spacing w:val="10"/>
                <w:sz w:val="24"/>
                <w:highlight w:val="none"/>
              </w:rPr>
            </w:pPr>
            <w:r>
              <w:rPr>
                <w:rFonts w:ascii="Times New Roman" w:hAnsi="Times New Roman"/>
                <w:bCs/>
                <w:color w:val="auto"/>
                <w:sz w:val="24"/>
                <w:highlight w:val="none"/>
              </w:rPr>
              <w:t>环保投资</w:t>
            </w:r>
          </w:p>
        </w:tc>
        <w:tc>
          <w:tcPr>
            <w:tcW w:w="7980" w:type="dxa"/>
          </w:tcPr>
          <w:p w14:paraId="625E0B1B">
            <w:pPr>
              <w:adjustRightInd w:val="0"/>
              <w:snapToGrid w:val="0"/>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项目环保投资</w:t>
            </w:r>
            <w:r>
              <w:rPr>
                <w:rFonts w:hint="eastAsia" w:ascii="Times New Roman" w:hAnsi="Times New Roman"/>
                <w:color w:val="auto"/>
                <w:sz w:val="24"/>
                <w:highlight w:val="none"/>
                <w:lang w:val="en-US" w:eastAsia="zh-CN"/>
              </w:rPr>
              <w:t>190</w:t>
            </w:r>
            <w:r>
              <w:rPr>
                <w:rFonts w:ascii="Times New Roman" w:hAnsi="Times New Roman"/>
                <w:color w:val="auto"/>
                <w:sz w:val="24"/>
                <w:highlight w:val="none"/>
              </w:rPr>
              <w:t>万元，占总投资</w:t>
            </w:r>
            <w:r>
              <w:rPr>
                <w:rFonts w:hint="eastAsia" w:ascii="Times New Roman" w:hAnsi="Times New Roman"/>
                <w:color w:val="auto"/>
                <w:sz w:val="24"/>
                <w:highlight w:val="none"/>
                <w:lang w:eastAsia="zh-CN"/>
              </w:rPr>
              <w:t>795.666</w:t>
            </w:r>
            <w:r>
              <w:rPr>
                <w:rFonts w:ascii="Times New Roman" w:hAnsi="Times New Roman"/>
                <w:color w:val="auto"/>
                <w:sz w:val="24"/>
                <w:highlight w:val="none"/>
              </w:rPr>
              <w:t>万元的</w:t>
            </w:r>
            <w:r>
              <w:rPr>
                <w:rFonts w:hint="eastAsia" w:ascii="Times New Roman" w:hAnsi="Times New Roman"/>
                <w:color w:val="auto"/>
                <w:sz w:val="24"/>
                <w:highlight w:val="none"/>
              </w:rPr>
              <w:t>23.9</w:t>
            </w:r>
            <w:r>
              <w:rPr>
                <w:rFonts w:ascii="Times New Roman" w:hAnsi="Times New Roman"/>
                <w:color w:val="auto"/>
                <w:sz w:val="24"/>
                <w:highlight w:val="none"/>
              </w:rPr>
              <w:t>%，环保投资估算详见下表。</w:t>
            </w:r>
          </w:p>
          <w:p w14:paraId="63F504A9">
            <w:pPr>
              <w:adjustRightInd w:val="0"/>
              <w:snapToGrid w:val="0"/>
              <w:spacing w:after="0" w:line="360" w:lineRule="auto"/>
              <w:jc w:val="center"/>
              <w:rPr>
                <w:rFonts w:ascii="Times New Roman" w:hAnsi="Times New Roman"/>
                <w:b/>
                <w:color w:val="auto"/>
                <w:szCs w:val="21"/>
                <w:highlight w:val="none"/>
              </w:rPr>
            </w:pPr>
            <w:r>
              <w:rPr>
                <w:rFonts w:ascii="Times New Roman" w:hAnsi="Times New Roman"/>
                <w:b/>
                <w:color w:val="auto"/>
                <w:szCs w:val="21"/>
                <w:highlight w:val="none"/>
              </w:rPr>
              <w:t>表5-</w:t>
            </w:r>
            <w:r>
              <w:rPr>
                <w:rFonts w:hint="eastAsia" w:ascii="Times New Roman" w:hAnsi="Times New Roman"/>
                <w:b/>
                <w:color w:val="auto"/>
                <w:szCs w:val="21"/>
                <w:highlight w:val="none"/>
                <w:lang w:val="en-US" w:eastAsia="zh-CN"/>
              </w:rPr>
              <w:t>1</w:t>
            </w:r>
            <w:r>
              <w:rPr>
                <w:rFonts w:ascii="Times New Roman" w:hAnsi="Times New Roman"/>
                <w:b/>
                <w:color w:val="auto"/>
                <w:szCs w:val="21"/>
                <w:highlight w:val="none"/>
              </w:rPr>
              <w:t xml:space="preserve">  环保投资一览表</w:t>
            </w:r>
          </w:p>
          <w:tbl>
            <w:tblPr>
              <w:tblStyle w:val="22"/>
              <w:tblW w:w="7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
              <w:gridCol w:w="538"/>
              <w:gridCol w:w="1509"/>
              <w:gridCol w:w="4493"/>
              <w:gridCol w:w="753"/>
            </w:tblGrid>
            <w:tr w14:paraId="3214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2438" w:type="dxa"/>
                  <w:gridSpan w:val="3"/>
                  <w:noWrap/>
                  <w:vAlign w:val="center"/>
                </w:tcPr>
                <w:p w14:paraId="22AE1E90">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项目</w:t>
                  </w:r>
                </w:p>
              </w:tc>
              <w:tc>
                <w:tcPr>
                  <w:tcW w:w="4493" w:type="dxa"/>
                  <w:noWrap/>
                  <w:vAlign w:val="center"/>
                </w:tcPr>
                <w:p w14:paraId="257BFFA7">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环保措施</w:t>
                  </w:r>
                </w:p>
              </w:tc>
              <w:tc>
                <w:tcPr>
                  <w:tcW w:w="753" w:type="dxa"/>
                  <w:noWrap/>
                  <w:vAlign w:val="center"/>
                </w:tcPr>
                <w:p w14:paraId="4B9B409B">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投资</w:t>
                  </w:r>
                </w:p>
                <w:p w14:paraId="62A10455">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（万元）</w:t>
                  </w:r>
                </w:p>
              </w:tc>
            </w:tr>
            <w:tr w14:paraId="1449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restart"/>
                  <w:noWrap/>
                  <w:vAlign w:val="center"/>
                </w:tcPr>
                <w:p w14:paraId="46E59B16">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施</w:t>
                  </w:r>
                </w:p>
                <w:p w14:paraId="1B129230">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工</w:t>
                  </w:r>
                </w:p>
                <w:p w14:paraId="6BEB13FC">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期</w:t>
                  </w:r>
                </w:p>
              </w:tc>
              <w:tc>
                <w:tcPr>
                  <w:tcW w:w="538" w:type="dxa"/>
                  <w:noWrap/>
                  <w:vAlign w:val="center"/>
                </w:tcPr>
                <w:p w14:paraId="69864F3E">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废气</w:t>
                  </w:r>
                </w:p>
              </w:tc>
              <w:tc>
                <w:tcPr>
                  <w:tcW w:w="1509" w:type="dxa"/>
                  <w:noWrap/>
                  <w:vAlign w:val="center"/>
                </w:tcPr>
                <w:p w14:paraId="3298BD6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扬尘治理</w:t>
                  </w:r>
                </w:p>
              </w:tc>
              <w:tc>
                <w:tcPr>
                  <w:tcW w:w="4493" w:type="dxa"/>
                  <w:noWrap/>
                  <w:vAlign w:val="center"/>
                </w:tcPr>
                <w:p w14:paraId="5FE0A05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施工期影响主要为施工扬尘、机械尾气等。通过加强施工机械、车辆管理，进行物料覆盖，对施工道路进行固化、洒水处理等措施，施工现场扬尘污染防治应做到</w:t>
                  </w:r>
                  <w:r>
                    <w:rPr>
                      <w:rFonts w:hint="eastAsia" w:ascii="Times New Roman" w:hAnsi="Times New Roman"/>
                      <w:color w:val="auto"/>
                      <w:szCs w:val="21"/>
                      <w:highlight w:val="none"/>
                      <w:lang w:eastAsia="zh-CN"/>
                    </w:rPr>
                    <w:t>“</w:t>
                  </w:r>
                  <w:r>
                    <w:rPr>
                      <w:rFonts w:ascii="Times New Roman" w:hAnsi="Times New Roman"/>
                      <w:color w:val="auto"/>
                      <w:szCs w:val="21"/>
                      <w:highlight w:val="none"/>
                    </w:rPr>
                    <w:t>六个百分之百</w:t>
                  </w:r>
                  <w:r>
                    <w:rPr>
                      <w:rFonts w:hint="eastAsia" w:ascii="Times New Roman" w:hAnsi="Times New Roman"/>
                      <w:color w:val="auto"/>
                      <w:szCs w:val="21"/>
                      <w:highlight w:val="none"/>
                      <w:lang w:eastAsia="zh-CN"/>
                    </w:rPr>
                    <w:t>”</w:t>
                  </w:r>
                  <w:r>
                    <w:rPr>
                      <w:rFonts w:ascii="Times New Roman" w:hAnsi="Times New Roman"/>
                      <w:color w:val="auto"/>
                      <w:szCs w:val="21"/>
                      <w:highlight w:val="none"/>
                    </w:rPr>
                    <w:t>，减少对周边空气环境的影响</w:t>
                  </w:r>
                </w:p>
              </w:tc>
              <w:tc>
                <w:tcPr>
                  <w:tcW w:w="753" w:type="dxa"/>
                  <w:noWrap/>
                  <w:vAlign w:val="center"/>
                </w:tcPr>
                <w:p w14:paraId="26B9FF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w:t>
                  </w:r>
                </w:p>
              </w:tc>
            </w:tr>
            <w:tr w14:paraId="5B2C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91" w:type="dxa"/>
                  <w:vMerge w:val="continue"/>
                  <w:noWrap/>
                  <w:vAlign w:val="center"/>
                </w:tcPr>
                <w:p w14:paraId="7A73A9DA">
                  <w:pPr>
                    <w:spacing w:after="0" w:line="240" w:lineRule="auto"/>
                    <w:ind w:left="-105" w:leftChars="-50" w:right="-105" w:rightChars="-50"/>
                    <w:jc w:val="center"/>
                    <w:rPr>
                      <w:rFonts w:ascii="Times New Roman" w:hAnsi="Times New Roman"/>
                      <w:color w:val="auto"/>
                      <w:szCs w:val="21"/>
                      <w:highlight w:val="none"/>
                    </w:rPr>
                  </w:pPr>
                </w:p>
              </w:tc>
              <w:tc>
                <w:tcPr>
                  <w:tcW w:w="538" w:type="dxa"/>
                  <w:vMerge w:val="restart"/>
                  <w:noWrap/>
                  <w:vAlign w:val="center"/>
                </w:tcPr>
                <w:p w14:paraId="74755D5B">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废水</w:t>
                  </w:r>
                </w:p>
              </w:tc>
              <w:tc>
                <w:tcPr>
                  <w:tcW w:w="1509" w:type="dxa"/>
                  <w:vMerge w:val="restart"/>
                  <w:noWrap/>
                  <w:vAlign w:val="center"/>
                </w:tcPr>
                <w:p w14:paraId="23CD3DFC">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废水</w:t>
                  </w:r>
                </w:p>
              </w:tc>
              <w:tc>
                <w:tcPr>
                  <w:tcW w:w="4493" w:type="dxa"/>
                  <w:noWrap/>
                  <w:vAlign w:val="center"/>
                </w:tcPr>
                <w:p w14:paraId="033FD55B">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施工人员租住附近民房，用水量较少，生活污水经</w:t>
                  </w:r>
                  <w:r>
                    <w:rPr>
                      <w:rFonts w:hint="eastAsia" w:ascii="Times New Roman" w:hAnsi="Times New Roman"/>
                      <w:color w:val="auto"/>
                      <w:szCs w:val="21"/>
                      <w:highlight w:val="none"/>
                    </w:rPr>
                    <w:t>场地临时</w:t>
                  </w:r>
                  <w:r>
                    <w:rPr>
                      <w:rFonts w:ascii="Times New Roman" w:hAnsi="Times New Roman"/>
                      <w:color w:val="auto"/>
                      <w:szCs w:val="21"/>
                      <w:highlight w:val="none"/>
                    </w:rPr>
                    <w:t>化粪池处理后清掏农用，不外排。</w:t>
                  </w:r>
                </w:p>
              </w:tc>
              <w:tc>
                <w:tcPr>
                  <w:tcW w:w="753" w:type="dxa"/>
                  <w:noWrap/>
                  <w:vAlign w:val="center"/>
                </w:tcPr>
                <w:p w14:paraId="69C195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olor w:val="auto"/>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6</w:t>
                  </w:r>
                </w:p>
              </w:tc>
            </w:tr>
            <w:tr w14:paraId="2722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91" w:type="dxa"/>
                  <w:vMerge w:val="continue"/>
                  <w:noWrap/>
                  <w:vAlign w:val="center"/>
                </w:tcPr>
                <w:p w14:paraId="53D7553A">
                  <w:pPr>
                    <w:spacing w:after="0" w:line="240" w:lineRule="auto"/>
                    <w:ind w:left="-105" w:leftChars="-50" w:right="-105" w:rightChars="-50"/>
                    <w:jc w:val="center"/>
                    <w:rPr>
                      <w:rFonts w:ascii="Times New Roman" w:hAnsi="Times New Roman"/>
                      <w:color w:val="auto"/>
                      <w:szCs w:val="21"/>
                      <w:highlight w:val="none"/>
                    </w:rPr>
                  </w:pPr>
                </w:p>
              </w:tc>
              <w:tc>
                <w:tcPr>
                  <w:tcW w:w="538" w:type="dxa"/>
                  <w:vMerge w:val="continue"/>
                  <w:noWrap/>
                  <w:vAlign w:val="center"/>
                </w:tcPr>
                <w:p w14:paraId="2A1183CC">
                  <w:pPr>
                    <w:spacing w:after="0" w:line="240" w:lineRule="auto"/>
                    <w:ind w:left="-105" w:leftChars="-50" w:right="-105" w:rightChars="-50"/>
                    <w:jc w:val="center"/>
                    <w:rPr>
                      <w:rFonts w:ascii="Times New Roman" w:hAnsi="Times New Roman"/>
                      <w:color w:val="auto"/>
                      <w:szCs w:val="21"/>
                      <w:highlight w:val="none"/>
                    </w:rPr>
                  </w:pPr>
                </w:p>
              </w:tc>
              <w:tc>
                <w:tcPr>
                  <w:tcW w:w="1509" w:type="dxa"/>
                  <w:vMerge w:val="continue"/>
                  <w:noWrap/>
                  <w:vAlign w:val="center"/>
                </w:tcPr>
                <w:p w14:paraId="245F1CDA">
                  <w:pPr>
                    <w:spacing w:after="0" w:line="240" w:lineRule="auto"/>
                    <w:jc w:val="center"/>
                    <w:rPr>
                      <w:rFonts w:ascii="Times New Roman" w:hAnsi="Times New Roman"/>
                      <w:color w:val="auto"/>
                      <w:szCs w:val="21"/>
                      <w:highlight w:val="none"/>
                    </w:rPr>
                  </w:pPr>
                </w:p>
              </w:tc>
              <w:tc>
                <w:tcPr>
                  <w:tcW w:w="4493" w:type="dxa"/>
                  <w:noWrap/>
                  <w:vAlign w:val="center"/>
                </w:tcPr>
                <w:p w14:paraId="07706D6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每个井场进出口</w:t>
                  </w:r>
                  <w:r>
                    <w:rPr>
                      <w:rFonts w:hint="eastAsia" w:ascii="Times New Roman" w:hAnsi="Times New Roman"/>
                      <w:color w:val="auto"/>
                      <w:szCs w:val="21"/>
                      <w:highlight w:val="none"/>
                    </w:rPr>
                    <w:t>要对车辆进行冲洗</w:t>
                  </w:r>
                  <w:r>
                    <w:rPr>
                      <w:rFonts w:ascii="Times New Roman" w:hAnsi="Times New Roman"/>
                      <w:color w:val="auto"/>
                      <w:szCs w:val="21"/>
                      <w:highlight w:val="none"/>
                    </w:rPr>
                    <w:t>，配套建设容积</w:t>
                  </w:r>
                  <w:r>
                    <w:rPr>
                      <w:rFonts w:hint="eastAsia" w:ascii="Times New Roman" w:hAnsi="Times New Roman"/>
                      <w:color w:val="auto"/>
                      <w:szCs w:val="21"/>
                      <w:highlight w:val="none"/>
                    </w:rPr>
                    <w:t>8</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循环沉淀池，车辆清洗废水经沉淀池沉淀后循环使用，不外排；每个井场钻探废水设置设</w:t>
                  </w:r>
                  <w:r>
                    <w:rPr>
                      <w:rFonts w:hint="eastAsia" w:ascii="Times New Roman" w:hAnsi="Times New Roman"/>
                      <w:color w:val="auto"/>
                      <w:szCs w:val="21"/>
                      <w:highlight w:val="none"/>
                      <w:lang w:val="en-US" w:eastAsia="zh-CN"/>
                    </w:rPr>
                    <w:t>2</w:t>
                  </w:r>
                  <w:r>
                    <w:rPr>
                      <w:rFonts w:ascii="Times New Roman" w:hAnsi="Times New Roman"/>
                      <w:color w:val="auto"/>
                      <w:szCs w:val="21"/>
                      <w:highlight w:val="none"/>
                    </w:rPr>
                    <w:t>个</w:t>
                  </w:r>
                  <w:r>
                    <w:rPr>
                      <w:rFonts w:hint="eastAsia" w:ascii="Times New Roman" w:hAnsi="Times New Roman"/>
                      <w:color w:val="auto"/>
                      <w:szCs w:val="21"/>
                      <w:highlight w:val="none"/>
                      <w:lang w:val="en-US" w:eastAsia="zh-CN"/>
                    </w:rPr>
                    <w:t>泥浆池</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共48</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，设置设1个</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5</w:t>
                  </w:r>
                  <w:r>
                    <w:rPr>
                      <w:rFonts w:hint="eastAsia" w:ascii="Times New Roman" w:hAnsi="Times New Roman"/>
                      <w:color w:val="auto"/>
                      <w:szCs w:val="21"/>
                      <w:highlight w:val="none"/>
                    </w:rPr>
                    <w:t>6</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，钻探废水经沉淀后回用于钻探用水</w:t>
                  </w:r>
                  <w:r>
                    <w:rPr>
                      <w:rFonts w:hint="eastAsia" w:ascii="Times New Roman" w:hAnsi="Times New Roman"/>
                      <w:color w:val="auto"/>
                      <w:szCs w:val="21"/>
                      <w:highlight w:val="none"/>
                    </w:rPr>
                    <w:t>；</w:t>
                  </w:r>
                </w:p>
              </w:tc>
              <w:tc>
                <w:tcPr>
                  <w:tcW w:w="753" w:type="dxa"/>
                  <w:noWrap/>
                  <w:vAlign w:val="center"/>
                </w:tcPr>
                <w:p w14:paraId="15CE1E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60</w:t>
                  </w:r>
                </w:p>
              </w:tc>
            </w:tr>
            <w:tr w14:paraId="0D33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76F600C0">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335DDF89">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噪声</w:t>
                  </w:r>
                </w:p>
              </w:tc>
              <w:tc>
                <w:tcPr>
                  <w:tcW w:w="1509" w:type="dxa"/>
                  <w:noWrap/>
                  <w:vAlign w:val="center"/>
                </w:tcPr>
                <w:p w14:paraId="13D17D1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施工机械噪声</w:t>
                  </w:r>
                </w:p>
              </w:tc>
              <w:tc>
                <w:tcPr>
                  <w:tcW w:w="4493" w:type="dxa"/>
                  <w:noWrap/>
                  <w:vAlign w:val="center"/>
                </w:tcPr>
                <w:p w14:paraId="04294CA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选用低噪声设备，合理布置施工机械，合理安排施工时间，加强施工管理，设置施工围墙、降噪安全围帘等，面向敏感点一侧布置</w:t>
                  </w:r>
                  <w:r>
                    <w:rPr>
                      <w:rFonts w:hint="eastAsia" w:ascii="Times New Roman" w:hAnsi="Times New Roman"/>
                      <w:color w:val="auto"/>
                      <w:szCs w:val="21"/>
                      <w:highlight w:val="none"/>
                    </w:rPr>
                    <w:t>移动声屏障</w:t>
                  </w:r>
                  <w:r>
                    <w:rPr>
                      <w:rFonts w:ascii="Times New Roman" w:hAnsi="Times New Roman"/>
                      <w:bCs/>
                      <w:color w:val="auto"/>
                      <w:szCs w:val="21"/>
                      <w:highlight w:val="none"/>
                    </w:rPr>
                    <w:t>，可有效降低对周边敏感点的影响</w:t>
                  </w:r>
                </w:p>
              </w:tc>
              <w:tc>
                <w:tcPr>
                  <w:tcW w:w="753" w:type="dxa"/>
                  <w:noWrap/>
                  <w:vAlign w:val="center"/>
                </w:tcPr>
                <w:p w14:paraId="6E908E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w:t>
                  </w:r>
                </w:p>
              </w:tc>
            </w:tr>
            <w:tr w14:paraId="56D9E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391" w:type="dxa"/>
                  <w:vMerge w:val="continue"/>
                  <w:noWrap/>
                  <w:vAlign w:val="center"/>
                </w:tcPr>
                <w:p w14:paraId="57B05E34">
                  <w:pPr>
                    <w:spacing w:after="0" w:line="240" w:lineRule="auto"/>
                    <w:ind w:left="-105" w:leftChars="-50" w:right="-105" w:rightChars="-50"/>
                    <w:jc w:val="center"/>
                    <w:rPr>
                      <w:rFonts w:ascii="Times New Roman" w:hAnsi="Times New Roman"/>
                      <w:color w:val="auto"/>
                      <w:szCs w:val="21"/>
                      <w:highlight w:val="none"/>
                    </w:rPr>
                  </w:pPr>
                </w:p>
              </w:tc>
              <w:tc>
                <w:tcPr>
                  <w:tcW w:w="538" w:type="dxa"/>
                  <w:vMerge w:val="restart"/>
                  <w:noWrap/>
                  <w:vAlign w:val="center"/>
                </w:tcPr>
                <w:p w14:paraId="790C6E58">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固体</w:t>
                  </w:r>
                </w:p>
                <w:p w14:paraId="111DBDB3">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废物</w:t>
                  </w:r>
                </w:p>
              </w:tc>
              <w:tc>
                <w:tcPr>
                  <w:tcW w:w="1509" w:type="dxa"/>
                  <w:noWrap/>
                  <w:vAlign w:val="center"/>
                </w:tcPr>
                <w:p w14:paraId="2C87655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施工期固废</w:t>
                  </w:r>
                </w:p>
              </w:tc>
              <w:tc>
                <w:tcPr>
                  <w:tcW w:w="4493" w:type="dxa"/>
                  <w:noWrap/>
                  <w:vAlign w:val="center"/>
                </w:tcPr>
                <w:p w14:paraId="52B14D3A">
                  <w:pPr>
                    <w:spacing w:after="0" w:line="240" w:lineRule="auto"/>
                    <w:rPr>
                      <w:rFonts w:ascii="Times New Roman" w:hAnsi="Times New Roman"/>
                      <w:color w:val="auto"/>
                      <w:szCs w:val="21"/>
                      <w:highlight w:val="none"/>
                    </w:rPr>
                  </w:pPr>
                  <w:r>
                    <w:rPr>
                      <w:rFonts w:ascii="Times New Roman" w:hAnsi="Times New Roman"/>
                      <w:color w:val="auto"/>
                      <w:szCs w:val="21"/>
                      <w:highlight w:val="none"/>
                    </w:rPr>
                    <w:t>施工结束后，开挖的土方后期回覆；</w:t>
                  </w:r>
                  <w:r>
                    <w:rPr>
                      <w:rFonts w:hint="eastAsia" w:ascii="Times New Roman" w:hAnsi="Times New Roman"/>
                      <w:color w:val="auto"/>
                      <w:szCs w:val="21"/>
                      <w:highlight w:val="none"/>
                    </w:rPr>
                    <w:t>钻井泥浆</w:t>
                  </w:r>
                  <w:r>
                    <w:rPr>
                      <w:rFonts w:ascii="Times New Roman" w:hAnsi="Times New Roman"/>
                      <w:color w:val="auto"/>
                      <w:szCs w:val="21"/>
                      <w:highlight w:val="none"/>
                    </w:rPr>
                    <w:t>暂存于</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中，待钻井结束后投加泥浆固化剂固化后</w:t>
                  </w:r>
                  <w:r>
                    <w:rPr>
                      <w:rFonts w:hint="eastAsia" w:ascii="Times New Roman" w:hAnsi="Times New Roman"/>
                      <w:color w:val="auto"/>
                      <w:szCs w:val="21"/>
                      <w:highlight w:val="none"/>
                    </w:rPr>
                    <w:t>交由建材公司回收综合利用</w:t>
                  </w:r>
                  <w:r>
                    <w:rPr>
                      <w:rFonts w:ascii="Times New Roman" w:hAnsi="Times New Roman"/>
                      <w:color w:val="auto"/>
                      <w:szCs w:val="21"/>
                      <w:highlight w:val="none"/>
                    </w:rPr>
                    <w:t>；</w:t>
                  </w:r>
                  <w:r>
                    <w:rPr>
                      <w:rFonts w:hint="eastAsia" w:ascii="Times New Roman" w:hAnsi="Times New Roman"/>
                      <w:color w:val="auto"/>
                      <w:szCs w:val="21"/>
                      <w:highlight w:val="none"/>
                    </w:rPr>
                    <w:t>岩芯碎屑委托建材单位回收处置</w:t>
                  </w:r>
                  <w:r>
                    <w:rPr>
                      <w:rFonts w:ascii="Times New Roman" w:hAnsi="Times New Roman"/>
                      <w:color w:val="auto"/>
                      <w:szCs w:val="21"/>
                      <w:highlight w:val="none"/>
                    </w:rPr>
                    <w:t>；废包装材料集中收集后外售处理。废润滑油、废润滑油桶</w:t>
                  </w:r>
                  <w:r>
                    <w:rPr>
                      <w:rFonts w:hint="eastAsia" w:ascii="Times New Roman" w:hAnsi="Times New Roman"/>
                      <w:color w:val="auto"/>
                      <w:szCs w:val="21"/>
                      <w:highlight w:val="none"/>
                    </w:rPr>
                    <w:t>、</w:t>
                  </w:r>
                  <w:r>
                    <w:rPr>
                      <w:rFonts w:ascii="Times New Roman" w:hAnsi="Times New Roman"/>
                      <w:color w:val="auto"/>
                      <w:szCs w:val="21"/>
                      <w:highlight w:val="none"/>
                    </w:rPr>
                    <w:t>废含油抹布和废含油手套属于危险废物，</w:t>
                  </w:r>
                  <w:r>
                    <w:rPr>
                      <w:rFonts w:hint="eastAsia" w:ascii="Times New Roman" w:hAnsi="Times New Roman"/>
                      <w:color w:val="auto"/>
                      <w:szCs w:val="21"/>
                      <w:highlight w:val="none"/>
                    </w:rPr>
                    <w:t>暂存于各个井场危废暂存间内，委托资质单位处置。</w:t>
                  </w:r>
                </w:p>
              </w:tc>
              <w:tc>
                <w:tcPr>
                  <w:tcW w:w="753" w:type="dxa"/>
                  <w:noWrap/>
                  <w:vAlign w:val="center"/>
                </w:tcPr>
                <w:p w14:paraId="348FCB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24</w:t>
                  </w:r>
                </w:p>
              </w:tc>
            </w:tr>
            <w:tr w14:paraId="600D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448EBCAD">
                  <w:pPr>
                    <w:spacing w:after="0" w:line="240" w:lineRule="auto"/>
                    <w:ind w:left="-105" w:leftChars="-50" w:right="-105" w:rightChars="-50"/>
                    <w:jc w:val="center"/>
                    <w:rPr>
                      <w:rFonts w:ascii="Times New Roman" w:hAnsi="Times New Roman"/>
                      <w:color w:val="auto"/>
                      <w:szCs w:val="21"/>
                      <w:highlight w:val="none"/>
                    </w:rPr>
                  </w:pPr>
                </w:p>
              </w:tc>
              <w:tc>
                <w:tcPr>
                  <w:tcW w:w="538" w:type="dxa"/>
                  <w:vMerge w:val="continue"/>
                  <w:noWrap/>
                  <w:vAlign w:val="center"/>
                </w:tcPr>
                <w:p w14:paraId="54F4D29B">
                  <w:pPr>
                    <w:spacing w:after="0" w:line="240" w:lineRule="auto"/>
                    <w:ind w:left="-105" w:leftChars="-50" w:right="-105" w:rightChars="-50"/>
                    <w:jc w:val="center"/>
                    <w:rPr>
                      <w:rFonts w:ascii="Times New Roman" w:hAnsi="Times New Roman"/>
                      <w:color w:val="auto"/>
                      <w:szCs w:val="21"/>
                      <w:highlight w:val="none"/>
                    </w:rPr>
                  </w:pPr>
                </w:p>
              </w:tc>
              <w:tc>
                <w:tcPr>
                  <w:tcW w:w="1509" w:type="dxa"/>
                  <w:noWrap/>
                  <w:vAlign w:val="center"/>
                </w:tcPr>
                <w:p w14:paraId="1E3D36C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生活垃圾</w:t>
                  </w:r>
                </w:p>
              </w:tc>
              <w:tc>
                <w:tcPr>
                  <w:tcW w:w="4493" w:type="dxa"/>
                  <w:noWrap/>
                  <w:vAlign w:val="center"/>
                </w:tcPr>
                <w:p w14:paraId="7F23D29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生活垃圾收集后由环卫部门统一清运</w:t>
                  </w:r>
                </w:p>
              </w:tc>
              <w:tc>
                <w:tcPr>
                  <w:tcW w:w="753" w:type="dxa"/>
                  <w:noWrap/>
                  <w:vAlign w:val="center"/>
                </w:tcPr>
                <w:p w14:paraId="402BBC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olor w:val="auto"/>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3</w:t>
                  </w:r>
                </w:p>
              </w:tc>
            </w:tr>
            <w:tr w14:paraId="4B4E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0261B007">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7A28AC33">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土壤、地下水环境</w:t>
                  </w:r>
                </w:p>
              </w:tc>
              <w:tc>
                <w:tcPr>
                  <w:tcW w:w="1509" w:type="dxa"/>
                  <w:noWrap/>
                  <w:vAlign w:val="center"/>
                </w:tcPr>
                <w:p w14:paraId="5A477770">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分区防渗及处理措施</w:t>
                  </w:r>
                </w:p>
              </w:tc>
              <w:tc>
                <w:tcPr>
                  <w:tcW w:w="4493" w:type="dxa"/>
                  <w:noWrap/>
                  <w:vAlign w:val="center"/>
                </w:tcPr>
                <w:p w14:paraId="799BD42D">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项目采取分区防渗措施。</w:t>
                  </w:r>
                  <w:r>
                    <w:rPr>
                      <w:rFonts w:ascii="Times New Roman" w:hAnsi="Times New Roman"/>
                      <w:color w:val="auto"/>
                      <w:szCs w:val="21"/>
                      <w:highlight w:val="none"/>
                    </w:rPr>
                    <w:t>重点防渗区：</w:t>
                  </w:r>
                  <w:r>
                    <w:rPr>
                      <w:rFonts w:hint="eastAsia" w:ascii="Times New Roman" w:hAnsi="Times New Roman"/>
                      <w:color w:val="auto"/>
                      <w:szCs w:val="21"/>
                      <w:highlight w:val="none"/>
                    </w:rPr>
                    <w:t>危废暂存间</w:t>
                  </w:r>
                  <w:r>
                    <w:rPr>
                      <w:rFonts w:ascii="Times New Roman" w:hAnsi="Times New Roman"/>
                      <w:color w:val="auto"/>
                      <w:szCs w:val="21"/>
                      <w:highlight w:val="none"/>
                    </w:rPr>
                    <w:t>。防渗要求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高密度聚乙烯（HDPE）防渗膜（厚度≥1.5mm）+土工布（两布一膜）</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复合防渗结构，膜下铺设10cm厚中粗砂垫层，膜上覆盖5cm厚中粗砂保护层，确保等效粘土防渗层厚度≥6.0m，渗透系数≤10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一般防渗区：</w:t>
                  </w:r>
                  <w:r>
                    <w:rPr>
                      <w:rFonts w:hint="eastAsia" w:ascii="Times New Roman" w:hAnsi="Times New Roman"/>
                      <w:color w:val="auto"/>
                      <w:szCs w:val="21"/>
                      <w:highlight w:val="none"/>
                    </w:rPr>
                    <w:t>钻机房井口区域、泥浆池、沉淀池、</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。防渗要求</w:t>
                  </w:r>
                  <w:r>
                    <w:rPr>
                      <w:rFonts w:hint="eastAsia" w:ascii="Times New Roman" w:hAnsi="Times New Roman"/>
                      <w:color w:val="auto"/>
                      <w:szCs w:val="21"/>
                      <w:highlight w:val="none"/>
                    </w:rPr>
                    <w:t>：铺设单层高密度聚乙烯（HDPE）防渗膜（厚度≥1.0mm），膜下铺设8cm厚中粗砂垫层，膜上覆盖5cm厚中粗砂保护层，等效粘土防渗层厚度≥1.5m，渗透系数≤10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简单防渗区：除重点防渗区和一般防渗区以外的其他区域。防渗要求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压实土壤+土工布覆盖</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处理，压实度≥93%，防止雨水下渗及土壤扰动</w:t>
                  </w:r>
                  <w:r>
                    <w:rPr>
                      <w:rFonts w:ascii="Times New Roman" w:hAnsi="Times New Roman"/>
                      <w:color w:val="auto"/>
                      <w:szCs w:val="21"/>
                      <w:highlight w:val="none"/>
                    </w:rPr>
                    <w:t>。</w:t>
                  </w:r>
                </w:p>
              </w:tc>
              <w:tc>
                <w:tcPr>
                  <w:tcW w:w="753" w:type="dxa"/>
                  <w:noWrap/>
                  <w:vAlign w:val="center"/>
                </w:tcPr>
                <w:p w14:paraId="72362B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r>
            <w:tr w14:paraId="23A7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40062DC3">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1845D9C5">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生态环境</w:t>
                  </w:r>
                </w:p>
              </w:tc>
              <w:tc>
                <w:tcPr>
                  <w:tcW w:w="1509" w:type="dxa"/>
                  <w:noWrap/>
                  <w:vAlign w:val="center"/>
                </w:tcPr>
                <w:p w14:paraId="66B4FEB4">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生态环境保护措施</w:t>
                  </w:r>
                </w:p>
              </w:tc>
              <w:tc>
                <w:tcPr>
                  <w:tcW w:w="4493" w:type="dxa"/>
                  <w:noWrap/>
                  <w:vAlign w:val="center"/>
                </w:tcPr>
                <w:p w14:paraId="148A9CF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严格控制施工占地，对项目区土壤的分层剥离、分层开挖、分层堆放和循序分层回填，及时进行生态恢复；合理安排施工进度及施工时间，避免雨天和大风天开挖施工作业；落实各项水土保持措施，施工结束后应根据复垦方案落实复垦措施</w:t>
                  </w:r>
                  <w:r>
                    <w:rPr>
                      <w:rFonts w:hint="eastAsia" w:ascii="Times New Roman" w:hAnsi="Times New Roman"/>
                      <w:color w:val="auto"/>
                      <w:szCs w:val="21"/>
                      <w:highlight w:val="none"/>
                    </w:rPr>
                    <w:t>。</w:t>
                  </w:r>
                </w:p>
              </w:tc>
              <w:tc>
                <w:tcPr>
                  <w:tcW w:w="753" w:type="dxa"/>
                  <w:noWrap/>
                  <w:vAlign w:val="center"/>
                </w:tcPr>
                <w:p w14:paraId="629129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25</w:t>
                  </w:r>
                </w:p>
              </w:tc>
            </w:tr>
            <w:tr w14:paraId="608F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91" w:type="dxa"/>
                  <w:vMerge w:val="continue"/>
                  <w:noWrap/>
                  <w:vAlign w:val="center"/>
                </w:tcPr>
                <w:p w14:paraId="0118708A">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03BE1887">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风险防范</w:t>
                  </w:r>
                </w:p>
              </w:tc>
              <w:tc>
                <w:tcPr>
                  <w:tcW w:w="1509" w:type="dxa"/>
                  <w:noWrap/>
                  <w:vAlign w:val="center"/>
                </w:tcPr>
                <w:p w14:paraId="2F8915E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风险风范措施</w:t>
                  </w:r>
                </w:p>
              </w:tc>
              <w:tc>
                <w:tcPr>
                  <w:tcW w:w="4493" w:type="dxa"/>
                  <w:noWrap/>
                  <w:vAlign w:val="center"/>
                </w:tcPr>
                <w:p w14:paraId="03344B1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防止泥浆水外溢，设置必要的护坡等，加强巡视、检查和日常宣传</w:t>
                  </w:r>
                  <w:r>
                    <w:rPr>
                      <w:rFonts w:hint="eastAsia" w:ascii="Times New Roman" w:hAnsi="Times New Roman"/>
                      <w:color w:val="auto"/>
                      <w:szCs w:val="21"/>
                      <w:highlight w:val="none"/>
                    </w:rPr>
                    <w:t>。</w:t>
                  </w:r>
                </w:p>
              </w:tc>
              <w:tc>
                <w:tcPr>
                  <w:tcW w:w="753" w:type="dxa"/>
                  <w:noWrap/>
                  <w:vAlign w:val="center"/>
                </w:tcPr>
                <w:p w14:paraId="7F6083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w:t>
                  </w:r>
                </w:p>
              </w:tc>
            </w:tr>
            <w:tr w14:paraId="2B96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91" w:type="dxa"/>
                  <w:vMerge w:val="continue"/>
                  <w:noWrap/>
                  <w:vAlign w:val="center"/>
                </w:tcPr>
                <w:p w14:paraId="7929569A">
                  <w:pPr>
                    <w:spacing w:after="0" w:line="240" w:lineRule="auto"/>
                    <w:ind w:left="-105" w:leftChars="-50" w:right="-105" w:rightChars="-50"/>
                    <w:jc w:val="center"/>
                    <w:rPr>
                      <w:rFonts w:ascii="Times New Roman" w:hAnsi="Times New Roman"/>
                      <w:color w:val="auto"/>
                      <w:szCs w:val="21"/>
                      <w:highlight w:val="none"/>
                    </w:rPr>
                  </w:pPr>
                </w:p>
              </w:tc>
              <w:tc>
                <w:tcPr>
                  <w:tcW w:w="2047" w:type="dxa"/>
                  <w:gridSpan w:val="2"/>
                  <w:noWrap/>
                  <w:vAlign w:val="center"/>
                </w:tcPr>
                <w:p w14:paraId="0D002A62">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施工期环境监测</w:t>
                  </w:r>
                </w:p>
              </w:tc>
              <w:tc>
                <w:tcPr>
                  <w:tcW w:w="4493" w:type="dxa"/>
                  <w:noWrap/>
                  <w:vAlign w:val="center"/>
                </w:tcPr>
                <w:p w14:paraId="1F57BC2F">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定期开展环境监测。</w:t>
                  </w:r>
                </w:p>
              </w:tc>
              <w:tc>
                <w:tcPr>
                  <w:tcW w:w="753" w:type="dxa"/>
                  <w:noWrap/>
                  <w:vAlign w:val="center"/>
                </w:tcPr>
                <w:p w14:paraId="49474F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w:t>
                  </w:r>
                </w:p>
              </w:tc>
            </w:tr>
            <w:tr w14:paraId="4F64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31" w:type="dxa"/>
                  <w:gridSpan w:val="4"/>
                  <w:noWrap/>
                  <w:vAlign w:val="center"/>
                </w:tcPr>
                <w:p w14:paraId="40166D1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合计</w:t>
                  </w:r>
                </w:p>
              </w:tc>
              <w:tc>
                <w:tcPr>
                  <w:tcW w:w="753" w:type="dxa"/>
                  <w:noWrap/>
                  <w:vAlign w:val="center"/>
                </w:tcPr>
                <w:p w14:paraId="225781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190</w:t>
                  </w:r>
                </w:p>
              </w:tc>
            </w:tr>
            <w:tr w14:paraId="3DE7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2438" w:type="dxa"/>
                  <w:gridSpan w:val="3"/>
                  <w:noWrap/>
                  <w:vAlign w:val="center"/>
                </w:tcPr>
                <w:p w14:paraId="3B422EEB">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项目</w:t>
                  </w:r>
                </w:p>
              </w:tc>
              <w:tc>
                <w:tcPr>
                  <w:tcW w:w="4493" w:type="dxa"/>
                  <w:noWrap/>
                  <w:vAlign w:val="center"/>
                </w:tcPr>
                <w:p w14:paraId="1BDD8B90">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环保措施</w:t>
                  </w:r>
                </w:p>
              </w:tc>
              <w:tc>
                <w:tcPr>
                  <w:tcW w:w="753" w:type="dxa"/>
                  <w:noWrap/>
                  <w:vAlign w:val="center"/>
                </w:tcPr>
                <w:p w14:paraId="768EA8B1">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投资</w:t>
                  </w:r>
                </w:p>
                <w:p w14:paraId="7440AEF3">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（万元）</w:t>
                  </w:r>
                </w:p>
              </w:tc>
            </w:tr>
            <w:tr w14:paraId="6AFE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restart"/>
                  <w:noWrap/>
                  <w:vAlign w:val="center"/>
                </w:tcPr>
                <w:p w14:paraId="3326DC61">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施</w:t>
                  </w:r>
                </w:p>
                <w:p w14:paraId="3F4F816D">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工</w:t>
                  </w:r>
                </w:p>
                <w:p w14:paraId="5B89F5CC">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期</w:t>
                  </w:r>
                </w:p>
              </w:tc>
              <w:tc>
                <w:tcPr>
                  <w:tcW w:w="538" w:type="dxa"/>
                  <w:noWrap/>
                  <w:vAlign w:val="center"/>
                </w:tcPr>
                <w:p w14:paraId="153C18AD">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废气</w:t>
                  </w:r>
                </w:p>
              </w:tc>
              <w:tc>
                <w:tcPr>
                  <w:tcW w:w="1509" w:type="dxa"/>
                  <w:noWrap/>
                  <w:vAlign w:val="center"/>
                </w:tcPr>
                <w:p w14:paraId="74660A1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扬尘治理</w:t>
                  </w:r>
                </w:p>
              </w:tc>
              <w:tc>
                <w:tcPr>
                  <w:tcW w:w="4493" w:type="dxa"/>
                  <w:noWrap/>
                  <w:vAlign w:val="center"/>
                </w:tcPr>
                <w:p w14:paraId="4D8D17C0">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施工期影响主要为施工扬尘、机械尾气等。通过加强施工机械、车辆管理，进行物料覆盖，对施工道路进行固化、洒水处理等措施，施工现场扬尘污染防治应做到</w:t>
                  </w:r>
                  <w:r>
                    <w:rPr>
                      <w:rFonts w:hint="eastAsia" w:ascii="Times New Roman" w:hAnsi="Times New Roman"/>
                      <w:color w:val="auto"/>
                      <w:szCs w:val="21"/>
                      <w:highlight w:val="none"/>
                      <w:lang w:eastAsia="zh-CN"/>
                    </w:rPr>
                    <w:t>“</w:t>
                  </w:r>
                  <w:r>
                    <w:rPr>
                      <w:rFonts w:ascii="Times New Roman" w:hAnsi="Times New Roman"/>
                      <w:color w:val="auto"/>
                      <w:szCs w:val="21"/>
                      <w:highlight w:val="none"/>
                    </w:rPr>
                    <w:t>六个百分之百</w:t>
                  </w:r>
                  <w:r>
                    <w:rPr>
                      <w:rFonts w:hint="eastAsia" w:ascii="Times New Roman" w:hAnsi="Times New Roman"/>
                      <w:color w:val="auto"/>
                      <w:szCs w:val="21"/>
                      <w:highlight w:val="none"/>
                      <w:lang w:eastAsia="zh-CN"/>
                    </w:rPr>
                    <w:t>”</w:t>
                  </w:r>
                  <w:r>
                    <w:rPr>
                      <w:rFonts w:ascii="Times New Roman" w:hAnsi="Times New Roman"/>
                      <w:color w:val="auto"/>
                      <w:szCs w:val="21"/>
                      <w:highlight w:val="none"/>
                    </w:rPr>
                    <w:t>，减少对周边空气环境的影响</w:t>
                  </w:r>
                </w:p>
              </w:tc>
              <w:tc>
                <w:tcPr>
                  <w:tcW w:w="753" w:type="dxa"/>
                  <w:noWrap/>
                  <w:vAlign w:val="center"/>
                </w:tcPr>
                <w:p w14:paraId="20885A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w:t>
                  </w:r>
                </w:p>
              </w:tc>
            </w:tr>
            <w:tr w14:paraId="13BA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91" w:type="dxa"/>
                  <w:vMerge w:val="continue"/>
                  <w:noWrap/>
                  <w:vAlign w:val="center"/>
                </w:tcPr>
                <w:p w14:paraId="76C40245">
                  <w:pPr>
                    <w:spacing w:after="0" w:line="240" w:lineRule="auto"/>
                    <w:ind w:left="-105" w:leftChars="-50" w:right="-105" w:rightChars="-50"/>
                    <w:jc w:val="center"/>
                    <w:rPr>
                      <w:rFonts w:ascii="Times New Roman" w:hAnsi="Times New Roman"/>
                      <w:color w:val="auto"/>
                      <w:szCs w:val="21"/>
                      <w:highlight w:val="none"/>
                    </w:rPr>
                  </w:pPr>
                </w:p>
              </w:tc>
              <w:tc>
                <w:tcPr>
                  <w:tcW w:w="538" w:type="dxa"/>
                  <w:vMerge w:val="restart"/>
                  <w:noWrap/>
                  <w:vAlign w:val="center"/>
                </w:tcPr>
                <w:p w14:paraId="17247575">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废水</w:t>
                  </w:r>
                </w:p>
              </w:tc>
              <w:tc>
                <w:tcPr>
                  <w:tcW w:w="1509" w:type="dxa"/>
                  <w:vMerge w:val="restart"/>
                  <w:noWrap/>
                  <w:vAlign w:val="center"/>
                </w:tcPr>
                <w:p w14:paraId="7660132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废水</w:t>
                  </w:r>
                </w:p>
              </w:tc>
              <w:tc>
                <w:tcPr>
                  <w:tcW w:w="4493" w:type="dxa"/>
                  <w:noWrap/>
                  <w:vAlign w:val="center"/>
                </w:tcPr>
                <w:p w14:paraId="1A9A67BB">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施工人员租住附近民房，用水量较少，生活污水经</w:t>
                  </w:r>
                  <w:r>
                    <w:rPr>
                      <w:rFonts w:hint="eastAsia" w:ascii="Times New Roman" w:hAnsi="Times New Roman"/>
                      <w:color w:val="auto"/>
                      <w:szCs w:val="21"/>
                      <w:highlight w:val="none"/>
                    </w:rPr>
                    <w:t>场地临时</w:t>
                  </w:r>
                  <w:r>
                    <w:rPr>
                      <w:rFonts w:ascii="Times New Roman" w:hAnsi="Times New Roman"/>
                      <w:color w:val="auto"/>
                      <w:szCs w:val="21"/>
                      <w:highlight w:val="none"/>
                    </w:rPr>
                    <w:t>化粪池处理后清掏农用，不外排。</w:t>
                  </w:r>
                </w:p>
              </w:tc>
              <w:tc>
                <w:tcPr>
                  <w:tcW w:w="753" w:type="dxa"/>
                  <w:noWrap/>
                  <w:vAlign w:val="center"/>
                </w:tcPr>
                <w:p w14:paraId="46BD82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olor w:val="auto"/>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6</w:t>
                  </w:r>
                </w:p>
              </w:tc>
            </w:tr>
            <w:tr w14:paraId="1C3C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91" w:type="dxa"/>
                  <w:vMerge w:val="continue"/>
                  <w:noWrap/>
                  <w:vAlign w:val="center"/>
                </w:tcPr>
                <w:p w14:paraId="251EB365">
                  <w:pPr>
                    <w:spacing w:after="0" w:line="240" w:lineRule="auto"/>
                    <w:ind w:left="-105" w:leftChars="-50" w:right="-105" w:rightChars="-50"/>
                    <w:jc w:val="center"/>
                    <w:rPr>
                      <w:rFonts w:ascii="Times New Roman" w:hAnsi="Times New Roman"/>
                      <w:color w:val="auto"/>
                      <w:szCs w:val="21"/>
                      <w:highlight w:val="none"/>
                    </w:rPr>
                  </w:pPr>
                </w:p>
              </w:tc>
              <w:tc>
                <w:tcPr>
                  <w:tcW w:w="538" w:type="dxa"/>
                  <w:vMerge w:val="continue"/>
                  <w:noWrap/>
                  <w:vAlign w:val="center"/>
                </w:tcPr>
                <w:p w14:paraId="092894F6">
                  <w:pPr>
                    <w:spacing w:after="0" w:line="240" w:lineRule="auto"/>
                    <w:ind w:left="-105" w:leftChars="-50" w:right="-105" w:rightChars="-50"/>
                    <w:jc w:val="center"/>
                    <w:rPr>
                      <w:rFonts w:ascii="Times New Roman" w:hAnsi="Times New Roman"/>
                      <w:color w:val="auto"/>
                      <w:szCs w:val="21"/>
                      <w:highlight w:val="none"/>
                    </w:rPr>
                  </w:pPr>
                </w:p>
              </w:tc>
              <w:tc>
                <w:tcPr>
                  <w:tcW w:w="1509" w:type="dxa"/>
                  <w:vMerge w:val="continue"/>
                  <w:noWrap/>
                  <w:vAlign w:val="center"/>
                </w:tcPr>
                <w:p w14:paraId="45FD9352">
                  <w:pPr>
                    <w:spacing w:after="0" w:line="240" w:lineRule="auto"/>
                    <w:jc w:val="center"/>
                    <w:rPr>
                      <w:rFonts w:ascii="Times New Roman" w:hAnsi="Times New Roman"/>
                      <w:color w:val="auto"/>
                      <w:szCs w:val="21"/>
                      <w:highlight w:val="none"/>
                    </w:rPr>
                  </w:pPr>
                </w:p>
              </w:tc>
              <w:tc>
                <w:tcPr>
                  <w:tcW w:w="4493" w:type="dxa"/>
                  <w:noWrap/>
                  <w:vAlign w:val="center"/>
                </w:tcPr>
                <w:p w14:paraId="29E4E9F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每个井场进出口</w:t>
                  </w:r>
                  <w:r>
                    <w:rPr>
                      <w:rFonts w:hint="eastAsia" w:ascii="Times New Roman" w:hAnsi="Times New Roman"/>
                      <w:color w:val="auto"/>
                      <w:szCs w:val="21"/>
                      <w:highlight w:val="none"/>
                    </w:rPr>
                    <w:t>要对车辆进行冲洗</w:t>
                  </w:r>
                  <w:r>
                    <w:rPr>
                      <w:rFonts w:ascii="Times New Roman" w:hAnsi="Times New Roman"/>
                      <w:color w:val="auto"/>
                      <w:szCs w:val="21"/>
                      <w:highlight w:val="none"/>
                    </w:rPr>
                    <w:t>，配套建设容积</w:t>
                  </w:r>
                  <w:r>
                    <w:rPr>
                      <w:rFonts w:hint="eastAsia" w:ascii="Times New Roman" w:hAnsi="Times New Roman"/>
                      <w:color w:val="auto"/>
                      <w:szCs w:val="21"/>
                      <w:highlight w:val="none"/>
                    </w:rPr>
                    <w:t>8</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循环沉淀池，车辆清洗废水经沉淀池沉淀后循环使用，不外排；每个井场钻探废水设置设</w:t>
                  </w:r>
                  <w:r>
                    <w:rPr>
                      <w:rFonts w:hint="eastAsia" w:ascii="Times New Roman" w:hAnsi="Times New Roman"/>
                      <w:color w:val="auto"/>
                      <w:szCs w:val="21"/>
                      <w:highlight w:val="none"/>
                      <w:lang w:val="en-US" w:eastAsia="zh-CN"/>
                    </w:rPr>
                    <w:t>2</w:t>
                  </w:r>
                  <w:r>
                    <w:rPr>
                      <w:rFonts w:ascii="Times New Roman" w:hAnsi="Times New Roman"/>
                      <w:color w:val="auto"/>
                      <w:szCs w:val="21"/>
                      <w:highlight w:val="none"/>
                    </w:rPr>
                    <w:t>个</w:t>
                  </w:r>
                  <w:r>
                    <w:rPr>
                      <w:rFonts w:hint="eastAsia" w:ascii="Times New Roman" w:hAnsi="Times New Roman"/>
                      <w:color w:val="auto"/>
                      <w:szCs w:val="21"/>
                      <w:highlight w:val="none"/>
                      <w:lang w:val="en-US" w:eastAsia="zh-CN"/>
                    </w:rPr>
                    <w:t>泥浆池</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共48</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，设置设1个</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5</w:t>
                  </w:r>
                  <w:r>
                    <w:rPr>
                      <w:rFonts w:hint="eastAsia" w:ascii="Times New Roman" w:hAnsi="Times New Roman"/>
                      <w:color w:val="auto"/>
                      <w:szCs w:val="21"/>
                      <w:highlight w:val="none"/>
                    </w:rPr>
                    <w:t>6</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，钻探废水经沉淀后回用于钻探用水</w:t>
                  </w:r>
                  <w:r>
                    <w:rPr>
                      <w:rFonts w:hint="eastAsia" w:ascii="Times New Roman" w:hAnsi="Times New Roman"/>
                      <w:color w:val="auto"/>
                      <w:szCs w:val="21"/>
                      <w:highlight w:val="none"/>
                    </w:rPr>
                    <w:t>；</w:t>
                  </w:r>
                </w:p>
              </w:tc>
              <w:tc>
                <w:tcPr>
                  <w:tcW w:w="753" w:type="dxa"/>
                  <w:noWrap/>
                  <w:vAlign w:val="center"/>
                </w:tcPr>
                <w:p w14:paraId="5C0BA4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60</w:t>
                  </w:r>
                </w:p>
              </w:tc>
            </w:tr>
            <w:tr w14:paraId="5ADC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061B5EB6">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1CFA4C9C">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噪声</w:t>
                  </w:r>
                </w:p>
              </w:tc>
              <w:tc>
                <w:tcPr>
                  <w:tcW w:w="1509" w:type="dxa"/>
                  <w:noWrap/>
                  <w:vAlign w:val="center"/>
                </w:tcPr>
                <w:p w14:paraId="1735231E">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施工机械噪声</w:t>
                  </w:r>
                </w:p>
              </w:tc>
              <w:tc>
                <w:tcPr>
                  <w:tcW w:w="4493" w:type="dxa"/>
                  <w:noWrap/>
                  <w:vAlign w:val="center"/>
                </w:tcPr>
                <w:p w14:paraId="1D32271C">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选用低噪声设备，合理布置施工机械，合理安排施工时间，加强施工管理，设置施工围墙、降噪安全围帘等，面向敏感点一侧布置</w:t>
                  </w:r>
                  <w:r>
                    <w:rPr>
                      <w:rFonts w:hint="eastAsia" w:ascii="Times New Roman" w:hAnsi="Times New Roman"/>
                      <w:color w:val="auto"/>
                      <w:szCs w:val="21"/>
                      <w:highlight w:val="none"/>
                    </w:rPr>
                    <w:t>移动声屏障</w:t>
                  </w:r>
                  <w:r>
                    <w:rPr>
                      <w:rFonts w:ascii="Times New Roman" w:hAnsi="Times New Roman"/>
                      <w:bCs/>
                      <w:color w:val="auto"/>
                      <w:szCs w:val="21"/>
                      <w:highlight w:val="none"/>
                    </w:rPr>
                    <w:t>，可有效降低对周边敏感点的影响</w:t>
                  </w:r>
                </w:p>
              </w:tc>
              <w:tc>
                <w:tcPr>
                  <w:tcW w:w="753" w:type="dxa"/>
                  <w:noWrap/>
                  <w:vAlign w:val="center"/>
                </w:tcPr>
                <w:p w14:paraId="22829E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w:t>
                  </w:r>
                </w:p>
              </w:tc>
            </w:tr>
            <w:tr w14:paraId="3DB2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391" w:type="dxa"/>
                  <w:vMerge w:val="continue"/>
                  <w:noWrap/>
                  <w:vAlign w:val="center"/>
                </w:tcPr>
                <w:p w14:paraId="63A84459">
                  <w:pPr>
                    <w:spacing w:after="0" w:line="240" w:lineRule="auto"/>
                    <w:ind w:left="-105" w:leftChars="-50" w:right="-105" w:rightChars="-50"/>
                    <w:jc w:val="center"/>
                    <w:rPr>
                      <w:rFonts w:ascii="Times New Roman" w:hAnsi="Times New Roman"/>
                      <w:color w:val="auto"/>
                      <w:szCs w:val="21"/>
                      <w:highlight w:val="none"/>
                    </w:rPr>
                  </w:pPr>
                </w:p>
              </w:tc>
              <w:tc>
                <w:tcPr>
                  <w:tcW w:w="538" w:type="dxa"/>
                  <w:vMerge w:val="restart"/>
                  <w:noWrap/>
                  <w:vAlign w:val="center"/>
                </w:tcPr>
                <w:p w14:paraId="1A115294">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固体</w:t>
                  </w:r>
                </w:p>
                <w:p w14:paraId="3044880F">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废物</w:t>
                  </w:r>
                </w:p>
              </w:tc>
              <w:tc>
                <w:tcPr>
                  <w:tcW w:w="1509" w:type="dxa"/>
                  <w:noWrap/>
                  <w:vAlign w:val="center"/>
                </w:tcPr>
                <w:p w14:paraId="1430891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施工期固废</w:t>
                  </w:r>
                </w:p>
              </w:tc>
              <w:tc>
                <w:tcPr>
                  <w:tcW w:w="4493" w:type="dxa"/>
                  <w:noWrap/>
                  <w:vAlign w:val="center"/>
                </w:tcPr>
                <w:p w14:paraId="7577C566">
                  <w:pPr>
                    <w:spacing w:after="0" w:line="240" w:lineRule="auto"/>
                    <w:rPr>
                      <w:rFonts w:ascii="Times New Roman" w:hAnsi="Times New Roman"/>
                      <w:color w:val="auto"/>
                      <w:szCs w:val="21"/>
                      <w:highlight w:val="none"/>
                    </w:rPr>
                  </w:pPr>
                  <w:r>
                    <w:rPr>
                      <w:rFonts w:ascii="Times New Roman" w:hAnsi="Times New Roman"/>
                      <w:color w:val="auto"/>
                      <w:szCs w:val="21"/>
                      <w:highlight w:val="none"/>
                    </w:rPr>
                    <w:t>施工结束后，开挖的土方后期回覆；</w:t>
                  </w:r>
                  <w:r>
                    <w:rPr>
                      <w:rFonts w:hint="eastAsia" w:ascii="Times New Roman" w:hAnsi="Times New Roman"/>
                      <w:color w:val="auto"/>
                      <w:szCs w:val="21"/>
                      <w:highlight w:val="none"/>
                    </w:rPr>
                    <w:t>钻井泥浆</w:t>
                  </w:r>
                  <w:r>
                    <w:rPr>
                      <w:rFonts w:ascii="Times New Roman" w:hAnsi="Times New Roman"/>
                      <w:color w:val="auto"/>
                      <w:szCs w:val="21"/>
                      <w:highlight w:val="none"/>
                    </w:rPr>
                    <w:t>暂存于</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中，待钻井结束后投加泥浆固化剂固化后</w:t>
                  </w:r>
                  <w:r>
                    <w:rPr>
                      <w:rFonts w:hint="eastAsia" w:ascii="Times New Roman" w:hAnsi="Times New Roman"/>
                      <w:color w:val="auto"/>
                      <w:szCs w:val="21"/>
                      <w:highlight w:val="none"/>
                    </w:rPr>
                    <w:t>交由建材公司回收综合利用</w:t>
                  </w:r>
                  <w:r>
                    <w:rPr>
                      <w:rFonts w:ascii="Times New Roman" w:hAnsi="Times New Roman"/>
                      <w:color w:val="auto"/>
                      <w:szCs w:val="21"/>
                      <w:highlight w:val="none"/>
                    </w:rPr>
                    <w:t>；</w:t>
                  </w:r>
                  <w:r>
                    <w:rPr>
                      <w:rFonts w:hint="eastAsia" w:ascii="Times New Roman" w:hAnsi="Times New Roman"/>
                      <w:color w:val="auto"/>
                      <w:szCs w:val="21"/>
                      <w:highlight w:val="none"/>
                    </w:rPr>
                    <w:t>岩芯碎屑委托建材单位回收处置</w:t>
                  </w:r>
                  <w:r>
                    <w:rPr>
                      <w:rFonts w:ascii="Times New Roman" w:hAnsi="Times New Roman"/>
                      <w:color w:val="auto"/>
                      <w:szCs w:val="21"/>
                      <w:highlight w:val="none"/>
                    </w:rPr>
                    <w:t>；废包装材料集中收集后外售处理。废润滑油、废润滑油桶</w:t>
                  </w:r>
                  <w:r>
                    <w:rPr>
                      <w:rFonts w:hint="eastAsia" w:ascii="Times New Roman" w:hAnsi="Times New Roman"/>
                      <w:color w:val="auto"/>
                      <w:szCs w:val="21"/>
                      <w:highlight w:val="none"/>
                    </w:rPr>
                    <w:t>、</w:t>
                  </w:r>
                  <w:r>
                    <w:rPr>
                      <w:rFonts w:ascii="Times New Roman" w:hAnsi="Times New Roman"/>
                      <w:color w:val="auto"/>
                      <w:szCs w:val="21"/>
                      <w:highlight w:val="none"/>
                    </w:rPr>
                    <w:t>废含油抹布和废含油手套属于危险废物，</w:t>
                  </w:r>
                  <w:r>
                    <w:rPr>
                      <w:rFonts w:hint="eastAsia" w:ascii="Times New Roman" w:hAnsi="Times New Roman"/>
                      <w:color w:val="auto"/>
                      <w:szCs w:val="21"/>
                      <w:highlight w:val="none"/>
                    </w:rPr>
                    <w:t>暂存于各个井场危废暂存间内，委托资质单位处置。</w:t>
                  </w:r>
                </w:p>
              </w:tc>
              <w:tc>
                <w:tcPr>
                  <w:tcW w:w="753" w:type="dxa"/>
                  <w:noWrap/>
                  <w:vAlign w:val="center"/>
                </w:tcPr>
                <w:p w14:paraId="5F2BB5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24</w:t>
                  </w:r>
                </w:p>
              </w:tc>
            </w:tr>
            <w:tr w14:paraId="6F3F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0EB814F6">
                  <w:pPr>
                    <w:spacing w:after="0" w:line="240" w:lineRule="auto"/>
                    <w:ind w:left="-105" w:leftChars="-50" w:right="-105" w:rightChars="-50"/>
                    <w:jc w:val="center"/>
                    <w:rPr>
                      <w:rFonts w:ascii="Times New Roman" w:hAnsi="Times New Roman"/>
                      <w:color w:val="auto"/>
                      <w:szCs w:val="21"/>
                      <w:highlight w:val="none"/>
                    </w:rPr>
                  </w:pPr>
                </w:p>
              </w:tc>
              <w:tc>
                <w:tcPr>
                  <w:tcW w:w="538" w:type="dxa"/>
                  <w:vMerge w:val="continue"/>
                  <w:noWrap/>
                  <w:vAlign w:val="center"/>
                </w:tcPr>
                <w:p w14:paraId="6DFD17E2">
                  <w:pPr>
                    <w:spacing w:after="0" w:line="240" w:lineRule="auto"/>
                    <w:ind w:left="-105" w:leftChars="-50" w:right="-105" w:rightChars="-50"/>
                    <w:jc w:val="center"/>
                    <w:rPr>
                      <w:rFonts w:ascii="Times New Roman" w:hAnsi="Times New Roman"/>
                      <w:color w:val="auto"/>
                      <w:szCs w:val="21"/>
                      <w:highlight w:val="none"/>
                    </w:rPr>
                  </w:pPr>
                </w:p>
              </w:tc>
              <w:tc>
                <w:tcPr>
                  <w:tcW w:w="1509" w:type="dxa"/>
                  <w:noWrap/>
                  <w:vAlign w:val="center"/>
                </w:tcPr>
                <w:p w14:paraId="3061B89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生活垃圾</w:t>
                  </w:r>
                </w:p>
              </w:tc>
              <w:tc>
                <w:tcPr>
                  <w:tcW w:w="4493" w:type="dxa"/>
                  <w:noWrap/>
                  <w:vAlign w:val="center"/>
                </w:tcPr>
                <w:p w14:paraId="644711E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生活垃圾收集后由环卫部门统一清运</w:t>
                  </w:r>
                </w:p>
              </w:tc>
              <w:tc>
                <w:tcPr>
                  <w:tcW w:w="753" w:type="dxa"/>
                  <w:noWrap/>
                  <w:vAlign w:val="center"/>
                </w:tcPr>
                <w:p w14:paraId="0F6053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宋体"/>
                      <w:color w:val="auto"/>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3</w:t>
                  </w:r>
                </w:p>
              </w:tc>
            </w:tr>
            <w:tr w14:paraId="1C69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4A49B0C3">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489C5A51">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土壤、地下水环境</w:t>
                  </w:r>
                </w:p>
              </w:tc>
              <w:tc>
                <w:tcPr>
                  <w:tcW w:w="1509" w:type="dxa"/>
                  <w:noWrap/>
                  <w:vAlign w:val="center"/>
                </w:tcPr>
                <w:p w14:paraId="50B92790">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分区防渗及处理措施</w:t>
                  </w:r>
                </w:p>
              </w:tc>
              <w:tc>
                <w:tcPr>
                  <w:tcW w:w="4493" w:type="dxa"/>
                  <w:noWrap/>
                  <w:vAlign w:val="center"/>
                </w:tcPr>
                <w:p w14:paraId="78AFED6B">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项目采取分区防渗措施。</w:t>
                  </w:r>
                  <w:r>
                    <w:rPr>
                      <w:rFonts w:ascii="Times New Roman" w:hAnsi="Times New Roman"/>
                      <w:color w:val="auto"/>
                      <w:szCs w:val="21"/>
                      <w:highlight w:val="none"/>
                    </w:rPr>
                    <w:t>重点防渗区：</w:t>
                  </w:r>
                  <w:r>
                    <w:rPr>
                      <w:rFonts w:hint="eastAsia" w:ascii="Times New Roman" w:hAnsi="Times New Roman"/>
                      <w:color w:val="auto"/>
                      <w:szCs w:val="21"/>
                      <w:highlight w:val="none"/>
                    </w:rPr>
                    <w:t>危废暂存间</w:t>
                  </w:r>
                  <w:r>
                    <w:rPr>
                      <w:rFonts w:ascii="Times New Roman" w:hAnsi="Times New Roman"/>
                      <w:color w:val="auto"/>
                      <w:szCs w:val="21"/>
                      <w:highlight w:val="none"/>
                    </w:rPr>
                    <w:t>。防渗要求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高密度聚乙烯（HDPE）防渗膜（厚度≥1.5mm）+土工布（两布一膜）</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复合防渗结构，膜下铺设10cm厚中粗砂垫层，膜上覆盖5cm厚中粗砂保护层，确保等效粘土防渗层厚度≥6.0m，渗透系数≤10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一般防渗区：</w:t>
                  </w:r>
                  <w:r>
                    <w:rPr>
                      <w:rFonts w:hint="eastAsia" w:ascii="Times New Roman" w:hAnsi="Times New Roman"/>
                      <w:color w:val="auto"/>
                      <w:szCs w:val="21"/>
                      <w:highlight w:val="none"/>
                    </w:rPr>
                    <w:t>钻机房井口区域、泥浆池、沉淀池、</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。防渗要求</w:t>
                  </w:r>
                  <w:r>
                    <w:rPr>
                      <w:rFonts w:hint="eastAsia" w:ascii="Times New Roman" w:hAnsi="Times New Roman"/>
                      <w:color w:val="auto"/>
                      <w:szCs w:val="21"/>
                      <w:highlight w:val="none"/>
                    </w:rPr>
                    <w:t>：铺设单层高密度聚乙烯（HDPE）防渗膜（厚度≥1.0mm），膜下铺设8cm厚中粗砂垫层，膜上覆盖5cm厚中粗砂保护层，等效粘土防渗层厚度≥1.5m，渗透系数≤10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简单防渗区：除重点防渗区和一般防渗区以外的其他区域。防渗要求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压实土壤+土工布覆盖</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处理，压实度≥93%，防止雨水下渗及土壤扰动</w:t>
                  </w:r>
                  <w:r>
                    <w:rPr>
                      <w:rFonts w:ascii="Times New Roman" w:hAnsi="Times New Roman"/>
                      <w:color w:val="auto"/>
                      <w:szCs w:val="21"/>
                      <w:highlight w:val="none"/>
                    </w:rPr>
                    <w:t>。</w:t>
                  </w:r>
                </w:p>
              </w:tc>
              <w:tc>
                <w:tcPr>
                  <w:tcW w:w="753" w:type="dxa"/>
                  <w:noWrap/>
                  <w:vAlign w:val="center"/>
                </w:tcPr>
                <w:p w14:paraId="1929F5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r>
            <w:tr w14:paraId="30E6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91" w:type="dxa"/>
                  <w:vMerge w:val="continue"/>
                  <w:noWrap/>
                  <w:vAlign w:val="center"/>
                </w:tcPr>
                <w:p w14:paraId="5A46ABA2">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2E3FA908">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生态环境</w:t>
                  </w:r>
                </w:p>
              </w:tc>
              <w:tc>
                <w:tcPr>
                  <w:tcW w:w="1509" w:type="dxa"/>
                  <w:noWrap/>
                  <w:vAlign w:val="center"/>
                </w:tcPr>
                <w:p w14:paraId="5A70A5A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生态环境保护措施</w:t>
                  </w:r>
                </w:p>
              </w:tc>
              <w:tc>
                <w:tcPr>
                  <w:tcW w:w="4493" w:type="dxa"/>
                  <w:noWrap/>
                  <w:vAlign w:val="center"/>
                </w:tcPr>
                <w:p w14:paraId="015A512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严格控制施工占地，对项目区土壤的分层剥离、分层开挖、分层堆放和循序分层回填，及时进行生态恢复；合理安排施工进度及施工时间，避免雨天和大风天开挖施工作业；落实各项水土保持措施，施工结束后应根据复垦方案落实复垦措施</w:t>
                  </w:r>
                  <w:r>
                    <w:rPr>
                      <w:rFonts w:hint="eastAsia" w:ascii="Times New Roman" w:hAnsi="Times New Roman"/>
                      <w:color w:val="auto"/>
                      <w:szCs w:val="21"/>
                      <w:highlight w:val="none"/>
                    </w:rPr>
                    <w:t>。</w:t>
                  </w:r>
                </w:p>
              </w:tc>
              <w:tc>
                <w:tcPr>
                  <w:tcW w:w="753" w:type="dxa"/>
                  <w:noWrap/>
                  <w:vAlign w:val="center"/>
                </w:tcPr>
                <w:p w14:paraId="2A01EB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25</w:t>
                  </w:r>
                </w:p>
              </w:tc>
            </w:tr>
            <w:tr w14:paraId="64C5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91" w:type="dxa"/>
                  <w:vMerge w:val="continue"/>
                  <w:noWrap/>
                  <w:vAlign w:val="center"/>
                </w:tcPr>
                <w:p w14:paraId="0FF4B31C">
                  <w:pPr>
                    <w:spacing w:after="0" w:line="240" w:lineRule="auto"/>
                    <w:ind w:left="-105" w:leftChars="-50" w:right="-105" w:rightChars="-50"/>
                    <w:jc w:val="center"/>
                    <w:rPr>
                      <w:rFonts w:ascii="Times New Roman" w:hAnsi="Times New Roman"/>
                      <w:color w:val="auto"/>
                      <w:szCs w:val="21"/>
                      <w:highlight w:val="none"/>
                    </w:rPr>
                  </w:pPr>
                </w:p>
              </w:tc>
              <w:tc>
                <w:tcPr>
                  <w:tcW w:w="538" w:type="dxa"/>
                  <w:noWrap/>
                  <w:vAlign w:val="center"/>
                </w:tcPr>
                <w:p w14:paraId="41336248">
                  <w:pPr>
                    <w:spacing w:after="0" w:line="240" w:lineRule="auto"/>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风险防范</w:t>
                  </w:r>
                </w:p>
              </w:tc>
              <w:tc>
                <w:tcPr>
                  <w:tcW w:w="1509" w:type="dxa"/>
                  <w:noWrap/>
                  <w:vAlign w:val="center"/>
                </w:tcPr>
                <w:p w14:paraId="6D43026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风险风范措施</w:t>
                  </w:r>
                </w:p>
              </w:tc>
              <w:tc>
                <w:tcPr>
                  <w:tcW w:w="4493" w:type="dxa"/>
                  <w:noWrap/>
                  <w:vAlign w:val="center"/>
                </w:tcPr>
                <w:p w14:paraId="3BFD43CA">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防止泥浆水外溢，设置必要的护坡等，加强巡视、检查和日常宣传</w:t>
                  </w:r>
                  <w:r>
                    <w:rPr>
                      <w:rFonts w:hint="eastAsia" w:ascii="Times New Roman" w:hAnsi="Times New Roman"/>
                      <w:color w:val="auto"/>
                      <w:szCs w:val="21"/>
                      <w:highlight w:val="none"/>
                    </w:rPr>
                    <w:t>。</w:t>
                  </w:r>
                </w:p>
              </w:tc>
              <w:tc>
                <w:tcPr>
                  <w:tcW w:w="753" w:type="dxa"/>
                  <w:noWrap/>
                  <w:vAlign w:val="center"/>
                </w:tcPr>
                <w:p w14:paraId="5C011B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w:t>
                  </w:r>
                </w:p>
              </w:tc>
            </w:tr>
            <w:tr w14:paraId="5161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91" w:type="dxa"/>
                  <w:vMerge w:val="continue"/>
                  <w:noWrap/>
                  <w:vAlign w:val="center"/>
                </w:tcPr>
                <w:p w14:paraId="77E6CF79">
                  <w:pPr>
                    <w:spacing w:after="0" w:line="240" w:lineRule="auto"/>
                    <w:ind w:left="-105" w:leftChars="-50" w:right="-105" w:rightChars="-50"/>
                    <w:jc w:val="center"/>
                    <w:rPr>
                      <w:rFonts w:ascii="Times New Roman" w:hAnsi="Times New Roman"/>
                      <w:color w:val="auto"/>
                      <w:szCs w:val="21"/>
                      <w:highlight w:val="none"/>
                    </w:rPr>
                  </w:pPr>
                </w:p>
              </w:tc>
              <w:tc>
                <w:tcPr>
                  <w:tcW w:w="2047" w:type="dxa"/>
                  <w:gridSpan w:val="2"/>
                  <w:noWrap/>
                  <w:vAlign w:val="center"/>
                </w:tcPr>
                <w:p w14:paraId="699FC3EF">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施工期环境监测</w:t>
                  </w:r>
                </w:p>
              </w:tc>
              <w:tc>
                <w:tcPr>
                  <w:tcW w:w="4493" w:type="dxa"/>
                  <w:noWrap/>
                  <w:vAlign w:val="center"/>
                </w:tcPr>
                <w:p w14:paraId="067ADB4B">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定期开展环境监测。</w:t>
                  </w:r>
                </w:p>
              </w:tc>
              <w:tc>
                <w:tcPr>
                  <w:tcW w:w="753" w:type="dxa"/>
                  <w:noWrap/>
                  <w:vAlign w:val="center"/>
                </w:tcPr>
                <w:p w14:paraId="513665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w:t>
                  </w:r>
                </w:p>
              </w:tc>
            </w:tr>
            <w:tr w14:paraId="4F2C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31" w:type="dxa"/>
                  <w:gridSpan w:val="4"/>
                  <w:noWrap/>
                  <w:vAlign w:val="center"/>
                </w:tcPr>
                <w:p w14:paraId="1C56A34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合计</w:t>
                  </w:r>
                </w:p>
              </w:tc>
              <w:tc>
                <w:tcPr>
                  <w:tcW w:w="753" w:type="dxa"/>
                  <w:noWrap/>
                  <w:vAlign w:val="center"/>
                </w:tcPr>
                <w:p w14:paraId="2A4BB6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olor w:val="auto"/>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190</w:t>
                  </w:r>
                </w:p>
              </w:tc>
            </w:tr>
          </w:tbl>
          <w:p w14:paraId="216E1289">
            <w:pPr>
              <w:pStyle w:val="31"/>
              <w:rPr>
                <w:rFonts w:ascii="Times New Roman" w:hAnsi="Times New Roman"/>
                <w:bCs/>
                <w:color w:val="auto"/>
                <w:spacing w:val="10"/>
                <w:szCs w:val="21"/>
                <w:highlight w:val="none"/>
              </w:rPr>
            </w:pPr>
          </w:p>
        </w:tc>
      </w:tr>
    </w:tbl>
    <w:p w14:paraId="3625F484">
      <w:pPr>
        <w:rPr>
          <w:rFonts w:ascii="Times New Roman" w:hAnsi="Times New Roman"/>
          <w:color w:val="auto"/>
          <w:highlight w:val="none"/>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498D50B3">
      <w:pPr>
        <w:pStyle w:val="20"/>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bookmarkStart w:id="17" w:name="_Toc22535"/>
      <w:r>
        <w:rPr>
          <w:rFonts w:ascii="Times New Roman" w:hAnsi="Times New Roman" w:eastAsia="黑体"/>
          <w:snapToGrid w:val="0"/>
          <w:color w:val="auto"/>
          <w:sz w:val="30"/>
          <w:szCs w:val="30"/>
          <w:highlight w:val="none"/>
        </w:rPr>
        <w:t>六、生态环境保护措施监督检查清单</w:t>
      </w:r>
      <w:bookmarkEnd w:id="17"/>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986"/>
        <w:gridCol w:w="3705"/>
        <w:gridCol w:w="1174"/>
        <w:gridCol w:w="852"/>
        <w:gridCol w:w="757"/>
      </w:tblGrid>
      <w:tr w14:paraId="674EA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vMerge w:val="restart"/>
            <w:tcBorders>
              <w:tl2br w:val="single" w:color="auto" w:sz="4" w:space="0"/>
            </w:tcBorders>
            <w:noWrap/>
          </w:tcPr>
          <w:p w14:paraId="62AE5C8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内容</w:t>
            </w:r>
          </w:p>
          <w:p w14:paraId="287E8B4E">
            <w:pPr>
              <w:spacing w:after="0" w:line="240" w:lineRule="auto"/>
              <w:rPr>
                <w:rFonts w:ascii="Times New Roman" w:hAnsi="Times New Roman"/>
                <w:color w:val="auto"/>
                <w:szCs w:val="21"/>
                <w:highlight w:val="none"/>
              </w:rPr>
            </w:pPr>
          </w:p>
          <w:p w14:paraId="537FA4CA">
            <w:pPr>
              <w:spacing w:after="0" w:line="240" w:lineRule="auto"/>
              <w:rPr>
                <w:rFonts w:ascii="Times New Roman" w:hAnsi="Times New Roman"/>
                <w:color w:val="auto"/>
                <w:szCs w:val="21"/>
                <w:highlight w:val="none"/>
              </w:rPr>
            </w:pPr>
            <w:r>
              <w:rPr>
                <w:rFonts w:ascii="Times New Roman" w:hAnsi="Times New Roman"/>
                <w:color w:val="auto"/>
                <w:szCs w:val="21"/>
                <w:highlight w:val="none"/>
              </w:rPr>
              <w:t>要素</w:t>
            </w:r>
          </w:p>
        </w:tc>
        <w:tc>
          <w:tcPr>
            <w:tcW w:w="5865" w:type="dxa"/>
            <w:gridSpan w:val="3"/>
            <w:noWrap/>
            <w:vAlign w:val="center"/>
          </w:tcPr>
          <w:p w14:paraId="0C5F82C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w:t>
            </w:r>
          </w:p>
        </w:tc>
        <w:tc>
          <w:tcPr>
            <w:tcW w:w="1609" w:type="dxa"/>
            <w:gridSpan w:val="2"/>
            <w:noWrap/>
            <w:vAlign w:val="center"/>
          </w:tcPr>
          <w:p w14:paraId="73DF473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运营期</w:t>
            </w:r>
          </w:p>
        </w:tc>
      </w:tr>
      <w:tr w14:paraId="264761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vMerge w:val="continue"/>
            <w:noWrap/>
          </w:tcPr>
          <w:p w14:paraId="0EE549ED">
            <w:pPr>
              <w:spacing w:after="0" w:line="240" w:lineRule="auto"/>
              <w:jc w:val="center"/>
              <w:rPr>
                <w:rFonts w:ascii="Times New Roman" w:hAnsi="Times New Roman"/>
                <w:color w:val="auto"/>
                <w:szCs w:val="21"/>
                <w:highlight w:val="none"/>
              </w:rPr>
            </w:pPr>
          </w:p>
        </w:tc>
        <w:tc>
          <w:tcPr>
            <w:tcW w:w="4691" w:type="dxa"/>
            <w:gridSpan w:val="2"/>
            <w:noWrap/>
            <w:vAlign w:val="center"/>
          </w:tcPr>
          <w:p w14:paraId="67410E5F">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环境保护措施</w:t>
            </w:r>
          </w:p>
        </w:tc>
        <w:tc>
          <w:tcPr>
            <w:tcW w:w="1174" w:type="dxa"/>
            <w:noWrap/>
            <w:vAlign w:val="center"/>
          </w:tcPr>
          <w:p w14:paraId="0B0F9BF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验收要求</w:t>
            </w:r>
          </w:p>
        </w:tc>
        <w:tc>
          <w:tcPr>
            <w:tcW w:w="852" w:type="dxa"/>
            <w:noWrap/>
            <w:vAlign w:val="center"/>
          </w:tcPr>
          <w:p w14:paraId="1C0F1BB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环境保护措施</w:t>
            </w:r>
          </w:p>
        </w:tc>
        <w:tc>
          <w:tcPr>
            <w:tcW w:w="757" w:type="dxa"/>
            <w:noWrap/>
            <w:vAlign w:val="center"/>
          </w:tcPr>
          <w:p w14:paraId="35A3DB7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验收要求</w:t>
            </w:r>
          </w:p>
        </w:tc>
      </w:tr>
      <w:tr w14:paraId="6FD4BD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vMerge w:val="restart"/>
            <w:noWrap/>
            <w:vAlign w:val="center"/>
          </w:tcPr>
          <w:p w14:paraId="0C34275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陆生生态</w:t>
            </w:r>
          </w:p>
        </w:tc>
        <w:tc>
          <w:tcPr>
            <w:tcW w:w="986" w:type="dxa"/>
            <w:vMerge w:val="restart"/>
            <w:noWrap/>
            <w:vAlign w:val="center"/>
          </w:tcPr>
          <w:p w14:paraId="5BCB95D2">
            <w:pPr>
              <w:spacing w:after="0" w:line="240" w:lineRule="auto"/>
              <w:rPr>
                <w:rFonts w:ascii="Times New Roman" w:hAnsi="Times New Roman"/>
                <w:color w:val="auto"/>
                <w:szCs w:val="21"/>
                <w:highlight w:val="none"/>
              </w:rPr>
            </w:pPr>
            <w:r>
              <w:rPr>
                <w:rFonts w:ascii="Times New Roman" w:hAnsi="Times New Roman"/>
                <w:color w:val="auto"/>
                <w:szCs w:val="21"/>
                <w:highlight w:val="none"/>
              </w:rPr>
              <w:t>补偿、减少影响范围、生态恢复</w:t>
            </w:r>
          </w:p>
        </w:tc>
        <w:tc>
          <w:tcPr>
            <w:tcW w:w="3705" w:type="dxa"/>
            <w:noWrap/>
            <w:vAlign w:val="center"/>
          </w:tcPr>
          <w:p w14:paraId="54B887E1">
            <w:pPr>
              <w:spacing w:after="0" w:line="240" w:lineRule="auto"/>
              <w:rPr>
                <w:rFonts w:ascii="Times New Roman" w:hAnsi="Times New Roman"/>
                <w:color w:val="auto"/>
                <w:szCs w:val="21"/>
                <w:highlight w:val="none"/>
              </w:rPr>
            </w:pPr>
            <w:r>
              <w:rPr>
                <w:rFonts w:ascii="Times New Roman" w:hAnsi="Times New Roman"/>
                <w:color w:val="auto"/>
                <w:szCs w:val="21"/>
                <w:highlight w:val="none"/>
              </w:rPr>
              <w:t>井场铺设钢板减少雨水冲刷；场地周围修临时排水沟；表层土壤采用分层开挖、分区堆放、分层填埋，减少因施工造成生土上翻、耕层养分损失、农作物减产等后果；堆场采取篷布遮盖或表面洒水抑尘等措施，并设置拦挡、排水措施</w:t>
            </w:r>
            <w:r>
              <w:rPr>
                <w:rFonts w:hint="eastAsia" w:ascii="Times New Roman" w:hAnsi="Times New Roman"/>
                <w:color w:val="auto"/>
                <w:szCs w:val="21"/>
                <w:highlight w:val="none"/>
              </w:rPr>
              <w:t>。</w:t>
            </w:r>
          </w:p>
        </w:tc>
        <w:tc>
          <w:tcPr>
            <w:tcW w:w="1174" w:type="dxa"/>
            <w:vMerge w:val="restart"/>
            <w:noWrap/>
            <w:vAlign w:val="center"/>
          </w:tcPr>
          <w:p w14:paraId="3F006BD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强化并落实水土保持措施，减轻对生态环境的影响</w:t>
            </w:r>
          </w:p>
        </w:tc>
        <w:tc>
          <w:tcPr>
            <w:tcW w:w="852" w:type="dxa"/>
            <w:noWrap/>
            <w:vAlign w:val="center"/>
          </w:tcPr>
          <w:p w14:paraId="11018EB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329A2CD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28330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048" w:type="dxa"/>
            <w:vMerge w:val="continue"/>
            <w:noWrap/>
            <w:vAlign w:val="center"/>
          </w:tcPr>
          <w:p w14:paraId="6197DEE7">
            <w:pPr>
              <w:spacing w:after="0" w:line="240" w:lineRule="auto"/>
              <w:jc w:val="center"/>
              <w:rPr>
                <w:rFonts w:ascii="Times New Roman" w:hAnsi="Times New Roman"/>
                <w:color w:val="auto"/>
                <w:szCs w:val="21"/>
                <w:highlight w:val="none"/>
              </w:rPr>
            </w:pPr>
          </w:p>
        </w:tc>
        <w:tc>
          <w:tcPr>
            <w:tcW w:w="986" w:type="dxa"/>
            <w:vMerge w:val="continue"/>
            <w:noWrap/>
            <w:vAlign w:val="center"/>
          </w:tcPr>
          <w:p w14:paraId="5BD7FD42">
            <w:pPr>
              <w:spacing w:after="0" w:line="240" w:lineRule="auto"/>
              <w:rPr>
                <w:rFonts w:ascii="Times New Roman" w:hAnsi="Times New Roman"/>
                <w:color w:val="auto"/>
                <w:szCs w:val="21"/>
                <w:highlight w:val="none"/>
              </w:rPr>
            </w:pPr>
          </w:p>
        </w:tc>
        <w:tc>
          <w:tcPr>
            <w:tcW w:w="3705" w:type="dxa"/>
            <w:noWrap/>
            <w:vAlign w:val="center"/>
          </w:tcPr>
          <w:p w14:paraId="5380CE8D">
            <w:pPr>
              <w:spacing w:after="0" w:line="240" w:lineRule="auto"/>
              <w:rPr>
                <w:rFonts w:ascii="Times New Roman" w:hAnsi="Times New Roman"/>
                <w:color w:val="auto"/>
                <w:szCs w:val="21"/>
                <w:highlight w:val="none"/>
              </w:rPr>
            </w:pPr>
            <w:r>
              <w:rPr>
                <w:rFonts w:ascii="Times New Roman" w:hAnsi="Times New Roman"/>
                <w:color w:val="auto"/>
                <w:szCs w:val="21"/>
                <w:highlight w:val="none"/>
              </w:rPr>
              <w:t>对井场占用的耕地给予经济补偿</w:t>
            </w:r>
          </w:p>
        </w:tc>
        <w:tc>
          <w:tcPr>
            <w:tcW w:w="1174" w:type="dxa"/>
            <w:vMerge w:val="continue"/>
            <w:noWrap/>
            <w:vAlign w:val="center"/>
          </w:tcPr>
          <w:p w14:paraId="63D63F0C">
            <w:pPr>
              <w:spacing w:after="0" w:line="240" w:lineRule="auto"/>
              <w:jc w:val="center"/>
              <w:rPr>
                <w:rFonts w:ascii="Times New Roman" w:hAnsi="Times New Roman"/>
                <w:color w:val="auto"/>
                <w:szCs w:val="21"/>
                <w:highlight w:val="none"/>
              </w:rPr>
            </w:pPr>
          </w:p>
        </w:tc>
        <w:tc>
          <w:tcPr>
            <w:tcW w:w="852" w:type="dxa"/>
            <w:noWrap/>
            <w:vAlign w:val="center"/>
          </w:tcPr>
          <w:p w14:paraId="16313DE2">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08A1C1F0">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6A32D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vMerge w:val="continue"/>
            <w:noWrap/>
            <w:vAlign w:val="center"/>
          </w:tcPr>
          <w:p w14:paraId="0DAB2173">
            <w:pPr>
              <w:spacing w:after="0" w:line="240" w:lineRule="auto"/>
              <w:jc w:val="center"/>
              <w:rPr>
                <w:rFonts w:ascii="Times New Roman" w:hAnsi="Times New Roman"/>
                <w:color w:val="auto"/>
                <w:szCs w:val="21"/>
                <w:highlight w:val="none"/>
              </w:rPr>
            </w:pPr>
          </w:p>
        </w:tc>
        <w:tc>
          <w:tcPr>
            <w:tcW w:w="986" w:type="dxa"/>
            <w:vMerge w:val="continue"/>
            <w:noWrap/>
            <w:vAlign w:val="center"/>
          </w:tcPr>
          <w:p w14:paraId="34B08099">
            <w:pPr>
              <w:spacing w:after="0" w:line="240" w:lineRule="auto"/>
              <w:rPr>
                <w:rFonts w:ascii="Times New Roman" w:hAnsi="Times New Roman"/>
                <w:color w:val="auto"/>
                <w:szCs w:val="21"/>
                <w:highlight w:val="none"/>
              </w:rPr>
            </w:pPr>
          </w:p>
        </w:tc>
        <w:tc>
          <w:tcPr>
            <w:tcW w:w="3705" w:type="dxa"/>
            <w:noWrap/>
            <w:vAlign w:val="center"/>
          </w:tcPr>
          <w:p w14:paraId="393ACE4D">
            <w:pPr>
              <w:spacing w:after="0" w:line="240" w:lineRule="auto"/>
              <w:rPr>
                <w:rFonts w:ascii="Times New Roman" w:hAnsi="Times New Roman"/>
                <w:color w:val="auto"/>
                <w:szCs w:val="21"/>
                <w:highlight w:val="none"/>
              </w:rPr>
            </w:pPr>
            <w:r>
              <w:rPr>
                <w:rFonts w:ascii="Times New Roman" w:hAnsi="Times New Roman"/>
                <w:color w:val="auto"/>
                <w:szCs w:val="21"/>
                <w:highlight w:val="none"/>
              </w:rPr>
              <w:t>禁砍伐野外植被；严格划定施工作业范围、不得超越范围</w:t>
            </w:r>
          </w:p>
        </w:tc>
        <w:tc>
          <w:tcPr>
            <w:tcW w:w="1174" w:type="dxa"/>
            <w:vMerge w:val="continue"/>
            <w:noWrap/>
            <w:vAlign w:val="center"/>
          </w:tcPr>
          <w:p w14:paraId="5D972A4C">
            <w:pPr>
              <w:spacing w:after="0" w:line="240" w:lineRule="auto"/>
              <w:jc w:val="center"/>
              <w:rPr>
                <w:rFonts w:ascii="Times New Roman" w:hAnsi="Times New Roman"/>
                <w:color w:val="auto"/>
                <w:szCs w:val="21"/>
                <w:highlight w:val="none"/>
              </w:rPr>
            </w:pPr>
          </w:p>
        </w:tc>
        <w:tc>
          <w:tcPr>
            <w:tcW w:w="852" w:type="dxa"/>
            <w:noWrap/>
            <w:vAlign w:val="center"/>
          </w:tcPr>
          <w:p w14:paraId="3644A0F2">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4621BD3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08582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vMerge w:val="continue"/>
            <w:noWrap/>
            <w:vAlign w:val="center"/>
          </w:tcPr>
          <w:p w14:paraId="116CFA95">
            <w:pPr>
              <w:spacing w:after="0" w:line="240" w:lineRule="auto"/>
              <w:jc w:val="center"/>
              <w:rPr>
                <w:rFonts w:ascii="Times New Roman" w:hAnsi="Times New Roman"/>
                <w:color w:val="auto"/>
                <w:szCs w:val="21"/>
                <w:highlight w:val="none"/>
              </w:rPr>
            </w:pPr>
          </w:p>
        </w:tc>
        <w:tc>
          <w:tcPr>
            <w:tcW w:w="986" w:type="dxa"/>
            <w:noWrap/>
            <w:vAlign w:val="center"/>
          </w:tcPr>
          <w:p w14:paraId="070C3EBD">
            <w:pPr>
              <w:spacing w:after="0" w:line="240" w:lineRule="auto"/>
              <w:rPr>
                <w:rFonts w:ascii="Times New Roman" w:hAnsi="Times New Roman"/>
                <w:color w:val="auto"/>
                <w:szCs w:val="21"/>
                <w:highlight w:val="none"/>
              </w:rPr>
            </w:pPr>
            <w:r>
              <w:rPr>
                <w:rFonts w:ascii="Times New Roman" w:hAnsi="Times New Roman"/>
                <w:color w:val="auto"/>
                <w:szCs w:val="21"/>
                <w:highlight w:val="none"/>
              </w:rPr>
              <w:t>临时占地恢复</w:t>
            </w:r>
          </w:p>
        </w:tc>
        <w:tc>
          <w:tcPr>
            <w:tcW w:w="3705" w:type="dxa"/>
            <w:noWrap/>
            <w:vAlign w:val="center"/>
          </w:tcPr>
          <w:p w14:paraId="77DC2A28">
            <w:pPr>
              <w:spacing w:after="0" w:line="240" w:lineRule="auto"/>
              <w:rPr>
                <w:rFonts w:ascii="Times New Roman" w:hAnsi="Times New Roman"/>
                <w:color w:val="auto"/>
                <w:szCs w:val="21"/>
                <w:highlight w:val="none"/>
              </w:rPr>
            </w:pPr>
            <w:r>
              <w:rPr>
                <w:rFonts w:hint="eastAsia" w:ascii="Times New Roman" w:hAnsi="Times New Roman"/>
                <w:color w:val="auto"/>
                <w:szCs w:val="21"/>
                <w:highlight w:val="none"/>
              </w:rPr>
              <w:t>根据</w:t>
            </w:r>
            <w:r>
              <w:rPr>
                <w:rFonts w:ascii="Times New Roman" w:hAnsi="Times New Roman"/>
                <w:color w:val="auto"/>
                <w:szCs w:val="21"/>
                <w:highlight w:val="none"/>
              </w:rPr>
              <w:t>复垦方案和相关地方规定，</w:t>
            </w:r>
            <w:r>
              <w:rPr>
                <w:rFonts w:hint="eastAsia" w:ascii="Times New Roman" w:hAnsi="Times New Roman"/>
                <w:color w:val="auto"/>
                <w:szCs w:val="21"/>
                <w:highlight w:val="none"/>
              </w:rPr>
              <w:t>对工程临时征地进行补偿；严禁砍伐野外植被；严格规定施工作业范围，严格限制施工活动范围。项目施工结束后，硬化地面、雨水沟、污水沟等地面设施进行整体拆除，对拆除过程中可重复使用的材料可运至其他井站进行重复利用，水泥渣、碎石等外售综合利用，不可利用部分运至政府指定的渣场，做到工完、料净、场地清，对构筑的设备基础拆除后作场地边坡凹地平整填方区填方回填，不留坑凼；清除场内固体废物，平整井场，在表层覆盖耕作土层，将废弃的井场恢复原状；</w:t>
            </w:r>
            <w:r>
              <w:rPr>
                <w:rFonts w:ascii="Times New Roman" w:hAnsi="Times New Roman"/>
                <w:color w:val="auto"/>
                <w:szCs w:val="21"/>
                <w:highlight w:val="none"/>
              </w:rPr>
              <w:t>对临时占地上的设施进行拆除并搬迁，对</w:t>
            </w:r>
            <w:r>
              <w:rPr>
                <w:rFonts w:hint="eastAsia" w:ascii="Times New Roman" w:hAnsi="Times New Roman"/>
                <w:color w:val="auto"/>
                <w:szCs w:val="21"/>
                <w:highlight w:val="none"/>
              </w:rPr>
              <w:t>泥浆池</w:t>
            </w:r>
            <w:r>
              <w:rPr>
                <w:rFonts w:ascii="Times New Roman" w:hAnsi="Times New Roman"/>
                <w:color w:val="auto"/>
                <w:szCs w:val="21"/>
                <w:highlight w:val="none"/>
              </w:rPr>
              <w:t>等池体进行拆除并回填，现场无废弃构造设施遗留，平整井场，在表层覆盖耕作土层，进行复垦到原状态</w:t>
            </w:r>
            <w:r>
              <w:rPr>
                <w:rFonts w:hint="eastAsia" w:ascii="Times New Roman" w:hAnsi="Times New Roman"/>
                <w:color w:val="auto"/>
                <w:szCs w:val="21"/>
                <w:highlight w:val="none"/>
              </w:rPr>
              <w:t>。</w:t>
            </w:r>
          </w:p>
        </w:tc>
        <w:tc>
          <w:tcPr>
            <w:tcW w:w="1174" w:type="dxa"/>
            <w:noWrap/>
            <w:vAlign w:val="center"/>
          </w:tcPr>
          <w:p w14:paraId="2EB3E98B">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恢复占地原有土地利用性质</w:t>
            </w:r>
          </w:p>
        </w:tc>
        <w:tc>
          <w:tcPr>
            <w:tcW w:w="852" w:type="dxa"/>
            <w:noWrap/>
            <w:vAlign w:val="center"/>
          </w:tcPr>
          <w:p w14:paraId="061A255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5003049C">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1BE09C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vMerge w:val="continue"/>
            <w:noWrap/>
            <w:vAlign w:val="center"/>
          </w:tcPr>
          <w:p w14:paraId="14B7DEDC">
            <w:pPr>
              <w:spacing w:after="0" w:line="240" w:lineRule="auto"/>
              <w:jc w:val="center"/>
              <w:rPr>
                <w:rFonts w:ascii="Times New Roman" w:hAnsi="Times New Roman"/>
                <w:color w:val="auto"/>
                <w:szCs w:val="21"/>
                <w:highlight w:val="none"/>
              </w:rPr>
            </w:pPr>
          </w:p>
        </w:tc>
        <w:tc>
          <w:tcPr>
            <w:tcW w:w="986" w:type="dxa"/>
            <w:noWrap/>
            <w:vAlign w:val="center"/>
          </w:tcPr>
          <w:p w14:paraId="6F43C649">
            <w:pPr>
              <w:spacing w:after="0" w:line="240" w:lineRule="auto"/>
              <w:rPr>
                <w:rFonts w:ascii="Times New Roman" w:hAnsi="Times New Roman"/>
                <w:color w:val="auto"/>
                <w:szCs w:val="21"/>
                <w:highlight w:val="none"/>
              </w:rPr>
            </w:pPr>
            <w:r>
              <w:rPr>
                <w:rFonts w:ascii="Times New Roman" w:hAnsi="Times New Roman"/>
                <w:color w:val="auto"/>
                <w:szCs w:val="21"/>
                <w:highlight w:val="none"/>
              </w:rPr>
              <w:t>植被恢复</w:t>
            </w:r>
          </w:p>
        </w:tc>
        <w:tc>
          <w:tcPr>
            <w:tcW w:w="3705" w:type="dxa"/>
            <w:noWrap/>
            <w:vAlign w:val="center"/>
          </w:tcPr>
          <w:p w14:paraId="0B20ED79">
            <w:pPr>
              <w:spacing w:after="0" w:line="240" w:lineRule="auto"/>
              <w:rPr>
                <w:rFonts w:ascii="Times New Roman" w:hAnsi="Times New Roman"/>
                <w:color w:val="auto"/>
                <w:szCs w:val="21"/>
                <w:highlight w:val="none"/>
              </w:rPr>
            </w:pPr>
            <w:r>
              <w:rPr>
                <w:rFonts w:ascii="Times New Roman" w:hAnsi="Times New Roman"/>
                <w:color w:val="auto"/>
                <w:szCs w:val="21"/>
                <w:highlight w:val="none"/>
              </w:rPr>
              <w:t>对建构物临时占地、回填后的</w:t>
            </w:r>
            <w:r>
              <w:rPr>
                <w:rFonts w:hint="eastAsia" w:ascii="Times New Roman" w:hAnsi="Times New Roman"/>
                <w:color w:val="auto"/>
                <w:szCs w:val="21"/>
                <w:highlight w:val="none"/>
              </w:rPr>
              <w:t>泥浆池</w:t>
            </w:r>
            <w:r>
              <w:rPr>
                <w:rFonts w:ascii="Times New Roman" w:hAnsi="Times New Roman"/>
                <w:color w:val="auto"/>
                <w:szCs w:val="21"/>
                <w:highlight w:val="none"/>
              </w:rPr>
              <w:t>等池体表面覆盖耕作土层，恢复生态，以恢复耕地为主，同时进行土壤培育，复垦后应满足《土地复垦质量控制标准》（TD</w:t>
            </w:r>
            <w:r>
              <w:rPr>
                <w:rFonts w:hint="eastAsia" w:ascii="Times New Roman" w:hAnsi="Times New Roman"/>
                <w:color w:val="auto"/>
                <w:szCs w:val="21"/>
                <w:highlight w:val="none"/>
              </w:rPr>
              <w:t>/</w:t>
            </w:r>
            <w:r>
              <w:rPr>
                <w:rFonts w:ascii="Times New Roman" w:hAnsi="Times New Roman"/>
                <w:color w:val="auto"/>
                <w:szCs w:val="21"/>
                <w:highlight w:val="none"/>
              </w:rPr>
              <w:t>T1036-2013）中的要求，满足居民正常耕种要求</w:t>
            </w:r>
          </w:p>
        </w:tc>
        <w:tc>
          <w:tcPr>
            <w:tcW w:w="1174" w:type="dxa"/>
            <w:noWrap/>
            <w:vAlign w:val="center"/>
          </w:tcPr>
          <w:p w14:paraId="338BDAC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恢复土地生产力，满足《土地复垦质量控制标准》（TDT1036-2013）中要求</w:t>
            </w:r>
          </w:p>
        </w:tc>
        <w:tc>
          <w:tcPr>
            <w:tcW w:w="852" w:type="dxa"/>
            <w:noWrap/>
            <w:vAlign w:val="center"/>
          </w:tcPr>
          <w:p w14:paraId="43D0E62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7414085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78EDA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048" w:type="dxa"/>
            <w:noWrap/>
            <w:vAlign w:val="center"/>
          </w:tcPr>
          <w:p w14:paraId="3CC4552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水生生态</w:t>
            </w:r>
          </w:p>
        </w:tc>
        <w:tc>
          <w:tcPr>
            <w:tcW w:w="4691" w:type="dxa"/>
            <w:gridSpan w:val="2"/>
            <w:noWrap/>
            <w:vAlign w:val="center"/>
          </w:tcPr>
          <w:p w14:paraId="1B6EE53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1174" w:type="dxa"/>
            <w:noWrap/>
            <w:vAlign w:val="center"/>
          </w:tcPr>
          <w:p w14:paraId="1369BA3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852" w:type="dxa"/>
            <w:noWrap/>
            <w:vAlign w:val="center"/>
          </w:tcPr>
          <w:p w14:paraId="57B62B1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0958E94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446EC3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noWrap/>
            <w:vAlign w:val="center"/>
          </w:tcPr>
          <w:p w14:paraId="2F88891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地表水环境</w:t>
            </w:r>
          </w:p>
        </w:tc>
        <w:tc>
          <w:tcPr>
            <w:tcW w:w="4691" w:type="dxa"/>
            <w:gridSpan w:val="2"/>
            <w:noWrap/>
            <w:vAlign w:val="center"/>
          </w:tcPr>
          <w:p w14:paraId="1658A1D8">
            <w:pPr>
              <w:spacing w:after="0" w:line="240" w:lineRule="auto"/>
              <w:rPr>
                <w:rFonts w:ascii="Times New Roman" w:hAnsi="Times New Roman"/>
                <w:color w:val="auto"/>
                <w:szCs w:val="21"/>
                <w:highlight w:val="none"/>
              </w:rPr>
            </w:pPr>
            <w:r>
              <w:rPr>
                <w:rFonts w:hint="eastAsia" w:ascii="Times New Roman" w:hAnsi="Times New Roman"/>
                <w:color w:val="auto"/>
                <w:szCs w:val="21"/>
                <w:highlight w:val="none"/>
              </w:rPr>
              <w:t>项目区不设置员工食宿，员工食宿依托附近村庄，生活污水经化粪池预处理后委托清掏单位定期清掏处理，不外排，用于当地农作物施肥。</w:t>
            </w:r>
          </w:p>
          <w:p w14:paraId="07471DC2">
            <w:pPr>
              <w:spacing w:after="0" w:line="240" w:lineRule="auto"/>
              <w:rPr>
                <w:rFonts w:ascii="Times New Roman" w:hAnsi="Times New Roman"/>
                <w:color w:val="auto"/>
                <w:szCs w:val="21"/>
                <w:highlight w:val="none"/>
              </w:rPr>
            </w:pPr>
            <w:r>
              <w:rPr>
                <w:rFonts w:ascii="Times New Roman" w:hAnsi="Times New Roman"/>
                <w:color w:val="auto"/>
                <w:szCs w:val="21"/>
                <w:highlight w:val="none"/>
              </w:rPr>
              <w:t>每个井场进出口</w:t>
            </w:r>
            <w:r>
              <w:rPr>
                <w:rFonts w:hint="eastAsia" w:ascii="Times New Roman" w:hAnsi="Times New Roman"/>
                <w:color w:val="auto"/>
                <w:szCs w:val="21"/>
                <w:highlight w:val="none"/>
              </w:rPr>
              <w:t>对车辆进行冲洗</w:t>
            </w:r>
            <w:r>
              <w:rPr>
                <w:rFonts w:ascii="Times New Roman" w:hAnsi="Times New Roman"/>
                <w:color w:val="auto"/>
                <w:szCs w:val="21"/>
                <w:highlight w:val="none"/>
              </w:rPr>
              <w:t>，配套建设容积</w:t>
            </w:r>
            <w:r>
              <w:rPr>
                <w:rFonts w:hint="eastAsia" w:ascii="Times New Roman" w:hAnsi="Times New Roman"/>
                <w:color w:val="auto"/>
                <w:szCs w:val="21"/>
                <w:highlight w:val="none"/>
              </w:rPr>
              <w:t>8</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循环沉淀池，车辆清洗废水经沉淀池沉淀后循环使用，不外排；每个井场钻探废水设置设</w:t>
            </w:r>
            <w:r>
              <w:rPr>
                <w:rFonts w:hint="eastAsia" w:ascii="Times New Roman" w:hAnsi="Times New Roman"/>
                <w:color w:val="auto"/>
                <w:szCs w:val="21"/>
                <w:highlight w:val="none"/>
                <w:lang w:val="en-US" w:eastAsia="zh-CN"/>
              </w:rPr>
              <w:t>2</w:t>
            </w:r>
            <w:r>
              <w:rPr>
                <w:rFonts w:ascii="Times New Roman" w:hAnsi="Times New Roman"/>
                <w:color w:val="auto"/>
                <w:szCs w:val="21"/>
                <w:highlight w:val="none"/>
              </w:rPr>
              <w:t>个</w:t>
            </w:r>
            <w:r>
              <w:rPr>
                <w:rFonts w:hint="eastAsia" w:ascii="Times New Roman" w:hAnsi="Times New Roman"/>
                <w:color w:val="auto"/>
                <w:szCs w:val="21"/>
                <w:highlight w:val="none"/>
              </w:rPr>
              <w:t>泥浆池</w:t>
            </w:r>
            <w:r>
              <w:rPr>
                <w:rFonts w:ascii="Times New Roman" w:hAnsi="Times New Roman"/>
                <w:color w:val="auto"/>
                <w:szCs w:val="21"/>
                <w:highlight w:val="none"/>
              </w:rPr>
              <w:t>，</w:t>
            </w:r>
            <w:r>
              <w:rPr>
                <w:rFonts w:hint="eastAsia" w:ascii="Times New Roman" w:hAnsi="Times New Roman"/>
                <w:color w:val="auto"/>
                <w:szCs w:val="21"/>
                <w:highlight w:val="none"/>
                <w:lang w:val="en-US" w:eastAsia="zh-CN"/>
              </w:rPr>
              <w:t>单个</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24</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，设置设1个</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，容积</w:t>
            </w:r>
            <w:r>
              <w:rPr>
                <w:rFonts w:hint="eastAsia" w:ascii="Times New Roman" w:hAnsi="Times New Roman"/>
                <w:color w:val="auto"/>
                <w:szCs w:val="21"/>
                <w:highlight w:val="none"/>
                <w:lang w:val="en-US" w:eastAsia="zh-CN"/>
              </w:rPr>
              <w:t>5</w:t>
            </w:r>
            <w:r>
              <w:rPr>
                <w:rFonts w:hint="eastAsia" w:ascii="Times New Roman" w:hAnsi="Times New Roman"/>
                <w:color w:val="auto"/>
                <w:szCs w:val="21"/>
                <w:highlight w:val="none"/>
              </w:rPr>
              <w:t>6</w:t>
            </w:r>
            <w:r>
              <w:rPr>
                <w:rFonts w:ascii="Times New Roman" w:hAnsi="Times New Roman"/>
                <w:color w:val="auto"/>
                <w:szCs w:val="21"/>
                <w:highlight w:val="none"/>
              </w:rPr>
              <w:t>m</w:t>
            </w:r>
            <w:r>
              <w:rPr>
                <w:rFonts w:ascii="Times New Roman" w:hAnsi="Times New Roman"/>
                <w:color w:val="auto"/>
                <w:szCs w:val="21"/>
                <w:highlight w:val="none"/>
                <w:vertAlign w:val="superscript"/>
              </w:rPr>
              <w:t>3</w:t>
            </w:r>
            <w:r>
              <w:rPr>
                <w:rFonts w:ascii="Times New Roman" w:hAnsi="Times New Roman"/>
                <w:color w:val="auto"/>
                <w:szCs w:val="21"/>
                <w:highlight w:val="none"/>
              </w:rPr>
              <w:t>，钻探废水经沉淀后回用于钻探用水。施工尽量避开雨季施工，雨天做好遮盖工作，减少冲刷雨水的产生量</w:t>
            </w:r>
            <w:r>
              <w:rPr>
                <w:rFonts w:hint="eastAsia" w:ascii="Times New Roman" w:hAnsi="Times New Roman"/>
                <w:color w:val="auto"/>
                <w:szCs w:val="21"/>
                <w:highlight w:val="none"/>
              </w:rPr>
              <w:t>。</w:t>
            </w:r>
          </w:p>
        </w:tc>
        <w:tc>
          <w:tcPr>
            <w:tcW w:w="1174" w:type="dxa"/>
            <w:noWrap/>
            <w:vAlign w:val="center"/>
          </w:tcPr>
          <w:p w14:paraId="0E57BD8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施工废水、施工生活污水禁止外排至地表水环境</w:t>
            </w:r>
          </w:p>
        </w:tc>
        <w:tc>
          <w:tcPr>
            <w:tcW w:w="852" w:type="dxa"/>
            <w:noWrap/>
            <w:vAlign w:val="center"/>
          </w:tcPr>
          <w:p w14:paraId="4FF99D6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01133E5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4391C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noWrap/>
            <w:vAlign w:val="center"/>
          </w:tcPr>
          <w:p w14:paraId="2439174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地下水及土壤环境</w:t>
            </w:r>
          </w:p>
        </w:tc>
        <w:tc>
          <w:tcPr>
            <w:tcW w:w="4691" w:type="dxa"/>
            <w:gridSpan w:val="2"/>
            <w:noWrap/>
            <w:vAlign w:val="center"/>
          </w:tcPr>
          <w:p w14:paraId="26DF5CA3">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采用分区防渗，</w:t>
            </w:r>
            <w:r>
              <w:rPr>
                <w:rFonts w:ascii="Times New Roman" w:hAnsi="Times New Roman"/>
                <w:color w:val="auto"/>
                <w:szCs w:val="21"/>
                <w:highlight w:val="none"/>
              </w:rPr>
              <w:t>重点防渗区：</w:t>
            </w:r>
            <w:r>
              <w:rPr>
                <w:rFonts w:hint="eastAsia" w:ascii="Times New Roman" w:hAnsi="Times New Roman"/>
                <w:color w:val="auto"/>
                <w:szCs w:val="21"/>
                <w:highlight w:val="none"/>
              </w:rPr>
              <w:t>危废暂存间</w:t>
            </w:r>
            <w:r>
              <w:rPr>
                <w:rFonts w:ascii="Times New Roman" w:hAnsi="Times New Roman"/>
                <w:color w:val="auto"/>
                <w:szCs w:val="21"/>
                <w:highlight w:val="none"/>
              </w:rPr>
              <w:t>。防渗要求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高密度聚乙烯（HDPE）防渗膜（厚度≥1.5mm）+土工布（两布一膜）</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复合防渗结构，膜下铺设10cm厚中粗砂垫层，膜上覆盖5cm厚中粗砂保护层，确保等效粘土防渗层厚度≥6.0m，渗透系数≤10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一般防渗区：</w:t>
            </w:r>
            <w:r>
              <w:rPr>
                <w:rFonts w:hint="eastAsia" w:ascii="Times New Roman" w:hAnsi="Times New Roman"/>
                <w:color w:val="auto"/>
                <w:szCs w:val="21"/>
                <w:highlight w:val="none"/>
              </w:rPr>
              <w:t>钻机房井口区域、泥浆池、沉淀池、</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。防渗要求</w:t>
            </w:r>
            <w:r>
              <w:rPr>
                <w:rFonts w:hint="eastAsia" w:ascii="Times New Roman" w:hAnsi="Times New Roman"/>
                <w:color w:val="auto"/>
                <w:szCs w:val="21"/>
                <w:highlight w:val="none"/>
              </w:rPr>
              <w:t>：铺设单层高密度聚乙烯（HDPE）防渗膜（厚度≥1.0mm），膜下铺设8cm厚中粗砂垫层，膜上覆盖5cm厚中粗砂保护层，等效粘土防渗层厚度≥1.5m，渗透系数≤10</w:t>
            </w:r>
            <w:r>
              <w:rPr>
                <w:rFonts w:hint="eastAsia" w:ascii="Times New Roman" w:hAnsi="Times New Roman"/>
                <w:color w:val="auto"/>
                <w:szCs w:val="21"/>
                <w:highlight w:val="none"/>
                <w:vertAlign w:val="superscript"/>
              </w:rPr>
              <w:t>-7</w:t>
            </w:r>
            <w:r>
              <w:rPr>
                <w:rFonts w:hint="eastAsia" w:ascii="Times New Roman" w:hAnsi="Times New Roman"/>
                <w:color w:val="auto"/>
                <w:szCs w:val="21"/>
                <w:highlight w:val="none"/>
              </w:rPr>
              <w:t>cm/s；</w:t>
            </w:r>
            <w:r>
              <w:rPr>
                <w:rFonts w:ascii="Times New Roman" w:hAnsi="Times New Roman"/>
                <w:color w:val="auto"/>
                <w:szCs w:val="21"/>
                <w:highlight w:val="none"/>
              </w:rPr>
              <w:t>简单防渗区：除重点防渗区和一般防渗区以外的其他区域。防渗要求</w:t>
            </w:r>
            <w:r>
              <w:rPr>
                <w:rFonts w:hint="eastAsia" w:ascii="Times New Roman" w:hAnsi="Times New Roman"/>
                <w:color w:val="auto"/>
                <w:szCs w:val="21"/>
                <w:highlight w:val="none"/>
              </w:rPr>
              <w:t>：采用</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压实土壤+土工布覆盖</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处理，压实度≥93%，防止雨水下渗及土壤扰动</w:t>
            </w:r>
            <w:r>
              <w:rPr>
                <w:rFonts w:ascii="Times New Roman" w:hAnsi="Times New Roman"/>
                <w:color w:val="auto"/>
                <w:szCs w:val="21"/>
                <w:highlight w:val="none"/>
              </w:rPr>
              <w:t>。</w:t>
            </w:r>
          </w:p>
        </w:tc>
        <w:tc>
          <w:tcPr>
            <w:tcW w:w="1174" w:type="dxa"/>
            <w:noWrap/>
            <w:vAlign w:val="center"/>
          </w:tcPr>
          <w:p w14:paraId="055AA5A4">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不对周边浅层地下水以及周边土壤造成影响</w:t>
            </w:r>
          </w:p>
        </w:tc>
        <w:tc>
          <w:tcPr>
            <w:tcW w:w="852" w:type="dxa"/>
            <w:noWrap/>
            <w:vAlign w:val="center"/>
          </w:tcPr>
          <w:p w14:paraId="5CB16A84">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74476112">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2F424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noWrap/>
            <w:vAlign w:val="center"/>
          </w:tcPr>
          <w:p w14:paraId="15A28A8F">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声环境</w:t>
            </w:r>
          </w:p>
        </w:tc>
        <w:tc>
          <w:tcPr>
            <w:tcW w:w="4691" w:type="dxa"/>
            <w:gridSpan w:val="2"/>
            <w:noWrap/>
            <w:vAlign w:val="center"/>
          </w:tcPr>
          <w:p w14:paraId="224CC18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选用低噪声设备，合理布置施工机械，合理安排施工时间，加强施工管理，设置施工围墙、降噪安全围帘等，根据现场调查，项目部分井场厂界外存在居民点声环境保护目标，项目可在井场面向敏感点一侧布置隔声屏等</w:t>
            </w:r>
            <w:r>
              <w:rPr>
                <w:rFonts w:ascii="Times New Roman" w:hAnsi="Times New Roman"/>
                <w:bCs/>
                <w:color w:val="auto"/>
                <w:szCs w:val="21"/>
                <w:highlight w:val="none"/>
              </w:rPr>
              <w:t>，可有效降低对周边敏感点的影响</w:t>
            </w:r>
          </w:p>
        </w:tc>
        <w:tc>
          <w:tcPr>
            <w:tcW w:w="1174" w:type="dxa"/>
            <w:noWrap/>
            <w:vAlign w:val="center"/>
          </w:tcPr>
          <w:p w14:paraId="419F9C3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满足《</w:t>
            </w:r>
            <w:r>
              <w:rPr>
                <w:rFonts w:hint="eastAsia" w:ascii="Times New Roman" w:hAnsi="Times New Roman"/>
                <w:color w:val="auto"/>
                <w:szCs w:val="21"/>
                <w:highlight w:val="none"/>
                <w:lang w:eastAsia="zh-CN"/>
              </w:rPr>
              <w:t>建筑施工噪声排放标准</w:t>
            </w:r>
            <w:r>
              <w:rPr>
                <w:rFonts w:ascii="Times New Roman" w:hAnsi="Times New Roman"/>
                <w:color w:val="auto"/>
                <w:szCs w:val="21"/>
                <w:highlight w:val="none"/>
              </w:rPr>
              <w:t>》（</w:t>
            </w:r>
            <w:r>
              <w:rPr>
                <w:rFonts w:hint="eastAsia" w:ascii="Times New Roman" w:hAnsi="Times New Roman"/>
                <w:color w:val="auto"/>
                <w:szCs w:val="21"/>
                <w:highlight w:val="none"/>
                <w:lang w:eastAsia="zh-CN"/>
              </w:rPr>
              <w:t>GB12523-2025</w:t>
            </w:r>
            <w:r>
              <w:rPr>
                <w:rFonts w:ascii="Times New Roman" w:hAnsi="Times New Roman"/>
                <w:color w:val="auto"/>
                <w:szCs w:val="21"/>
                <w:highlight w:val="none"/>
              </w:rPr>
              <w:t>），不发生扰民现象。</w:t>
            </w:r>
          </w:p>
        </w:tc>
        <w:tc>
          <w:tcPr>
            <w:tcW w:w="852" w:type="dxa"/>
            <w:noWrap/>
            <w:vAlign w:val="center"/>
          </w:tcPr>
          <w:p w14:paraId="2396315B">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0627E912">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39337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8" w:type="dxa"/>
            <w:noWrap/>
            <w:vAlign w:val="center"/>
          </w:tcPr>
          <w:p w14:paraId="702F89D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振动</w:t>
            </w:r>
          </w:p>
        </w:tc>
        <w:tc>
          <w:tcPr>
            <w:tcW w:w="4691" w:type="dxa"/>
            <w:gridSpan w:val="2"/>
            <w:noWrap/>
            <w:vAlign w:val="center"/>
          </w:tcPr>
          <w:p w14:paraId="6AE81C0E">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1174" w:type="dxa"/>
            <w:noWrap/>
            <w:vAlign w:val="center"/>
          </w:tcPr>
          <w:p w14:paraId="3B40A56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852" w:type="dxa"/>
            <w:noWrap/>
            <w:vAlign w:val="center"/>
          </w:tcPr>
          <w:p w14:paraId="0B6103B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52CF153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3CAEB6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noWrap/>
            <w:vAlign w:val="center"/>
          </w:tcPr>
          <w:p w14:paraId="1FB1F8A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大气环境</w:t>
            </w:r>
          </w:p>
        </w:tc>
        <w:tc>
          <w:tcPr>
            <w:tcW w:w="4691" w:type="dxa"/>
            <w:gridSpan w:val="2"/>
            <w:noWrap/>
            <w:vAlign w:val="center"/>
          </w:tcPr>
          <w:p w14:paraId="261F0900">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施工期影响主要为施工扬尘、机械尾气等。通过加强施工机械、车辆管理，进行物料覆盖，对施工道路进行固化、洒水处理等措施，施工现场扬尘污染防治应做到</w:t>
            </w:r>
            <w:r>
              <w:rPr>
                <w:rFonts w:hint="eastAsia" w:ascii="Times New Roman" w:hAnsi="Times New Roman"/>
                <w:color w:val="auto"/>
                <w:szCs w:val="21"/>
                <w:highlight w:val="none"/>
                <w:lang w:eastAsia="zh-CN"/>
              </w:rPr>
              <w:t>“</w:t>
            </w:r>
            <w:r>
              <w:rPr>
                <w:rFonts w:ascii="Times New Roman" w:hAnsi="Times New Roman"/>
                <w:color w:val="auto"/>
                <w:szCs w:val="21"/>
                <w:highlight w:val="none"/>
              </w:rPr>
              <w:t>六个百分之百</w:t>
            </w:r>
            <w:r>
              <w:rPr>
                <w:rFonts w:hint="eastAsia" w:ascii="Times New Roman" w:hAnsi="Times New Roman"/>
                <w:color w:val="auto"/>
                <w:szCs w:val="21"/>
                <w:highlight w:val="none"/>
                <w:lang w:eastAsia="zh-CN"/>
              </w:rPr>
              <w:t>”</w:t>
            </w:r>
            <w:r>
              <w:rPr>
                <w:rFonts w:ascii="Times New Roman" w:hAnsi="Times New Roman"/>
                <w:color w:val="auto"/>
                <w:szCs w:val="21"/>
                <w:highlight w:val="none"/>
              </w:rPr>
              <w:t>，减少对周边空气环境的影响。</w:t>
            </w:r>
          </w:p>
        </w:tc>
        <w:tc>
          <w:tcPr>
            <w:tcW w:w="1174" w:type="dxa"/>
            <w:noWrap/>
            <w:vAlign w:val="center"/>
          </w:tcPr>
          <w:p w14:paraId="3EDD578D">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施工期扬尘执行《施工场地颗粒物排放标准》（DB34/4811-2024）中厂界大气污染物无组织监控浓度限值要求</w:t>
            </w:r>
          </w:p>
        </w:tc>
        <w:tc>
          <w:tcPr>
            <w:tcW w:w="852" w:type="dxa"/>
            <w:noWrap/>
            <w:vAlign w:val="center"/>
          </w:tcPr>
          <w:p w14:paraId="6E745E2E">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1B3780B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26087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67" w:hRule="atLeast"/>
          <w:jc w:val="center"/>
        </w:trPr>
        <w:tc>
          <w:tcPr>
            <w:tcW w:w="1048" w:type="dxa"/>
            <w:noWrap/>
            <w:vAlign w:val="center"/>
          </w:tcPr>
          <w:p w14:paraId="159CB5E3">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固体废物</w:t>
            </w:r>
          </w:p>
        </w:tc>
        <w:tc>
          <w:tcPr>
            <w:tcW w:w="4691" w:type="dxa"/>
            <w:gridSpan w:val="2"/>
            <w:noWrap/>
            <w:vAlign w:val="center"/>
          </w:tcPr>
          <w:p w14:paraId="02B58DE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施工结束后，开挖的土方后期回覆；</w:t>
            </w:r>
            <w:r>
              <w:rPr>
                <w:rFonts w:hint="eastAsia" w:ascii="Times New Roman" w:hAnsi="Times New Roman"/>
                <w:color w:val="auto"/>
                <w:szCs w:val="21"/>
                <w:highlight w:val="none"/>
              </w:rPr>
              <w:t>钻井泥浆</w:t>
            </w:r>
            <w:r>
              <w:rPr>
                <w:rFonts w:ascii="Times New Roman" w:hAnsi="Times New Roman"/>
                <w:color w:val="auto"/>
                <w:szCs w:val="21"/>
                <w:highlight w:val="none"/>
              </w:rPr>
              <w:t>暂存于</w:t>
            </w:r>
            <w:r>
              <w:rPr>
                <w:rFonts w:hint="eastAsia" w:ascii="Times New Roman" w:hAnsi="Times New Roman"/>
                <w:color w:val="auto"/>
                <w:szCs w:val="21"/>
                <w:highlight w:val="none"/>
                <w:lang w:eastAsia="zh-CN"/>
              </w:rPr>
              <w:t>废浆池</w:t>
            </w:r>
            <w:r>
              <w:rPr>
                <w:rFonts w:ascii="Times New Roman" w:hAnsi="Times New Roman"/>
                <w:color w:val="auto"/>
                <w:szCs w:val="21"/>
                <w:highlight w:val="none"/>
              </w:rPr>
              <w:t>中，待钻井结束后投加泥浆固化剂</w:t>
            </w:r>
            <w:r>
              <w:rPr>
                <w:rFonts w:hint="eastAsia" w:ascii="Times New Roman" w:hAnsi="Times New Roman"/>
                <w:color w:val="auto"/>
                <w:szCs w:val="21"/>
                <w:highlight w:val="none"/>
              </w:rPr>
              <w:t>固化后交由建材公司回收综合利用</w:t>
            </w:r>
            <w:r>
              <w:rPr>
                <w:rFonts w:ascii="Times New Roman" w:hAnsi="Times New Roman"/>
                <w:color w:val="auto"/>
                <w:szCs w:val="21"/>
                <w:highlight w:val="none"/>
              </w:rPr>
              <w:t>；</w:t>
            </w:r>
            <w:r>
              <w:rPr>
                <w:rFonts w:hint="eastAsia" w:ascii="Times New Roman" w:hAnsi="Times New Roman"/>
                <w:color w:val="auto"/>
                <w:szCs w:val="21"/>
                <w:highlight w:val="none"/>
              </w:rPr>
              <w:t>岩芯碎屑委托建材单位回收处置</w:t>
            </w:r>
            <w:r>
              <w:rPr>
                <w:rFonts w:ascii="Times New Roman" w:hAnsi="Times New Roman"/>
                <w:color w:val="auto"/>
                <w:szCs w:val="21"/>
                <w:highlight w:val="none"/>
              </w:rPr>
              <w:t>；废包装材料集中收集后外售处理。废润滑油、废润滑油桶</w:t>
            </w:r>
            <w:r>
              <w:rPr>
                <w:rFonts w:hint="eastAsia" w:ascii="Times New Roman" w:hAnsi="Times New Roman"/>
                <w:color w:val="auto"/>
                <w:szCs w:val="21"/>
                <w:highlight w:val="none"/>
              </w:rPr>
              <w:t>、</w:t>
            </w:r>
            <w:r>
              <w:rPr>
                <w:rFonts w:ascii="Times New Roman" w:hAnsi="Times New Roman"/>
                <w:color w:val="auto"/>
                <w:szCs w:val="21"/>
                <w:highlight w:val="none"/>
              </w:rPr>
              <w:t>废含油抹布和废含油手套属于危险废物，</w:t>
            </w:r>
            <w:r>
              <w:rPr>
                <w:rFonts w:hint="eastAsia" w:ascii="Times New Roman" w:hAnsi="Times New Roman"/>
                <w:color w:val="auto"/>
                <w:szCs w:val="21"/>
                <w:highlight w:val="none"/>
              </w:rPr>
              <w:t>暂存于各个井场内危废暂存间，</w:t>
            </w:r>
            <w:r>
              <w:rPr>
                <w:rFonts w:ascii="Times New Roman" w:hAnsi="Times New Roman"/>
                <w:color w:val="auto"/>
                <w:szCs w:val="21"/>
                <w:highlight w:val="none"/>
              </w:rPr>
              <w:t>交由有资质单位处置。生活垃圾委托环卫部门</w:t>
            </w:r>
            <w:r>
              <w:rPr>
                <w:rFonts w:hint="eastAsia" w:ascii="Times New Roman" w:hAnsi="Times New Roman"/>
                <w:color w:val="auto"/>
                <w:szCs w:val="21"/>
                <w:highlight w:val="none"/>
              </w:rPr>
              <w:t>统一清运。</w:t>
            </w:r>
          </w:p>
        </w:tc>
        <w:tc>
          <w:tcPr>
            <w:tcW w:w="1174" w:type="dxa"/>
            <w:noWrap/>
            <w:vAlign w:val="center"/>
          </w:tcPr>
          <w:p w14:paraId="70B39628">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处置率100%，符合环境卫生及环境保护管理要求</w:t>
            </w:r>
          </w:p>
        </w:tc>
        <w:tc>
          <w:tcPr>
            <w:tcW w:w="852" w:type="dxa"/>
            <w:noWrap/>
            <w:vAlign w:val="center"/>
          </w:tcPr>
          <w:p w14:paraId="4B732DF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0BAD091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6D116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048" w:type="dxa"/>
            <w:noWrap/>
            <w:vAlign w:val="center"/>
          </w:tcPr>
          <w:p w14:paraId="71669AB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电磁环境</w:t>
            </w:r>
          </w:p>
        </w:tc>
        <w:tc>
          <w:tcPr>
            <w:tcW w:w="4691" w:type="dxa"/>
            <w:gridSpan w:val="2"/>
            <w:noWrap/>
            <w:vAlign w:val="center"/>
          </w:tcPr>
          <w:p w14:paraId="39BE678F">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1174" w:type="dxa"/>
            <w:noWrap/>
            <w:vAlign w:val="center"/>
          </w:tcPr>
          <w:p w14:paraId="0D23F3CD">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852" w:type="dxa"/>
            <w:noWrap/>
            <w:vAlign w:val="center"/>
          </w:tcPr>
          <w:p w14:paraId="27E8ED19">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71BB597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2E3C7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noWrap/>
            <w:vAlign w:val="center"/>
          </w:tcPr>
          <w:p w14:paraId="4EE46C7F">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环境风险</w:t>
            </w:r>
          </w:p>
        </w:tc>
        <w:tc>
          <w:tcPr>
            <w:tcW w:w="4691" w:type="dxa"/>
            <w:gridSpan w:val="2"/>
            <w:noWrap/>
            <w:vAlign w:val="center"/>
          </w:tcPr>
          <w:p w14:paraId="57AB383A">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防止泥浆水外溢，设置必要的护坡等，加强巡视、检查和日常宣传</w:t>
            </w:r>
          </w:p>
        </w:tc>
        <w:tc>
          <w:tcPr>
            <w:tcW w:w="1174" w:type="dxa"/>
            <w:noWrap/>
            <w:vAlign w:val="center"/>
          </w:tcPr>
          <w:p w14:paraId="4B428AF2">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不发生环境风险事故</w:t>
            </w:r>
          </w:p>
        </w:tc>
        <w:tc>
          <w:tcPr>
            <w:tcW w:w="852" w:type="dxa"/>
            <w:noWrap/>
            <w:vAlign w:val="center"/>
          </w:tcPr>
          <w:p w14:paraId="79BE85B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40261CF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28EDF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48" w:type="dxa"/>
            <w:noWrap/>
            <w:vAlign w:val="center"/>
          </w:tcPr>
          <w:p w14:paraId="6244087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环境监测</w:t>
            </w:r>
          </w:p>
        </w:tc>
        <w:tc>
          <w:tcPr>
            <w:tcW w:w="4691" w:type="dxa"/>
            <w:gridSpan w:val="2"/>
            <w:noWrap/>
            <w:vAlign w:val="center"/>
          </w:tcPr>
          <w:p w14:paraId="3F98284A">
            <w:pPr>
              <w:spacing w:after="0" w:line="240" w:lineRule="auto"/>
              <w:jc w:val="center"/>
              <w:rPr>
                <w:rFonts w:ascii="Times New Roman" w:hAnsi="Times New Roman"/>
                <w:color w:val="auto"/>
                <w:szCs w:val="21"/>
                <w:highlight w:val="none"/>
              </w:rPr>
            </w:pPr>
            <w:r>
              <w:rPr>
                <w:rFonts w:hint="eastAsia" w:ascii="Times New Roman" w:hAnsi="Times New Roman"/>
                <w:color w:val="auto"/>
                <w:szCs w:val="21"/>
                <w:highlight w:val="none"/>
              </w:rPr>
              <w:t>/</w:t>
            </w:r>
          </w:p>
        </w:tc>
        <w:tc>
          <w:tcPr>
            <w:tcW w:w="1174" w:type="dxa"/>
            <w:noWrap/>
            <w:vAlign w:val="center"/>
          </w:tcPr>
          <w:p w14:paraId="3CA5055D">
            <w:pPr>
              <w:spacing w:after="0" w:line="240" w:lineRule="auto"/>
              <w:jc w:val="center"/>
              <w:rPr>
                <w:rFonts w:ascii="Times New Roman" w:hAnsi="Times New Roman"/>
                <w:color w:val="auto"/>
                <w:szCs w:val="21"/>
                <w:highlight w:val="none"/>
              </w:rPr>
            </w:pPr>
            <w:r>
              <w:rPr>
                <w:rFonts w:hint="eastAsia" w:ascii="Times New Roman" w:hAnsi="Times New Roman"/>
                <w:color w:val="auto"/>
                <w:highlight w:val="none"/>
              </w:rPr>
              <w:t>/</w:t>
            </w:r>
          </w:p>
        </w:tc>
        <w:tc>
          <w:tcPr>
            <w:tcW w:w="852" w:type="dxa"/>
            <w:noWrap/>
            <w:vAlign w:val="center"/>
          </w:tcPr>
          <w:p w14:paraId="2E8AB3F1">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4E5FB546">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r w14:paraId="6B5438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048" w:type="dxa"/>
            <w:noWrap/>
            <w:vAlign w:val="center"/>
          </w:tcPr>
          <w:p w14:paraId="31454C25">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其他</w:t>
            </w:r>
          </w:p>
        </w:tc>
        <w:tc>
          <w:tcPr>
            <w:tcW w:w="4691" w:type="dxa"/>
            <w:gridSpan w:val="2"/>
            <w:noWrap/>
            <w:vAlign w:val="center"/>
          </w:tcPr>
          <w:p w14:paraId="1BE4AADC">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设专人负责监督施工单位在施工过程中的环境保护工作，同时监督施工单位落实环境保护措施</w:t>
            </w:r>
          </w:p>
        </w:tc>
        <w:tc>
          <w:tcPr>
            <w:tcW w:w="1174" w:type="dxa"/>
            <w:noWrap/>
            <w:vAlign w:val="center"/>
          </w:tcPr>
          <w:p w14:paraId="6802D8E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监理日志存档可查</w:t>
            </w:r>
          </w:p>
        </w:tc>
        <w:tc>
          <w:tcPr>
            <w:tcW w:w="852" w:type="dxa"/>
            <w:noWrap/>
            <w:vAlign w:val="center"/>
          </w:tcPr>
          <w:p w14:paraId="460B7854">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c>
          <w:tcPr>
            <w:tcW w:w="757" w:type="dxa"/>
            <w:noWrap/>
            <w:vAlign w:val="center"/>
          </w:tcPr>
          <w:p w14:paraId="79BA5187">
            <w:pPr>
              <w:spacing w:after="0" w:line="240" w:lineRule="auto"/>
              <w:jc w:val="center"/>
              <w:rPr>
                <w:rFonts w:ascii="Times New Roman" w:hAnsi="Times New Roman"/>
                <w:color w:val="auto"/>
                <w:szCs w:val="21"/>
                <w:highlight w:val="none"/>
              </w:rPr>
            </w:pPr>
            <w:r>
              <w:rPr>
                <w:rFonts w:ascii="Times New Roman" w:hAnsi="Times New Roman"/>
                <w:color w:val="auto"/>
                <w:szCs w:val="21"/>
                <w:highlight w:val="none"/>
              </w:rPr>
              <w:t>/</w:t>
            </w:r>
          </w:p>
        </w:tc>
      </w:tr>
    </w:tbl>
    <w:p w14:paraId="78F77577">
      <w:pPr>
        <w:spacing w:line="240" w:lineRule="auto"/>
        <w:rPr>
          <w:color w:val="auto"/>
          <w:highlight w:val="none"/>
        </w:rPr>
      </w:pPr>
    </w:p>
    <w:p w14:paraId="75DABD25">
      <w:pPr>
        <w:rPr>
          <w:color w:val="auto"/>
          <w:highlight w:val="none"/>
        </w:rPr>
      </w:pPr>
      <w:r>
        <w:rPr>
          <w:color w:val="auto"/>
          <w:highlight w:val="none"/>
        </w:rPr>
        <w:br w:type="page"/>
      </w:r>
    </w:p>
    <w:p w14:paraId="588750CB">
      <w:pPr>
        <w:pStyle w:val="20"/>
        <w:spacing w:before="0" w:beforeAutospacing="0" w:after="0" w:afterAutospacing="0" w:line="360" w:lineRule="auto"/>
        <w:jc w:val="center"/>
        <w:outlineLvl w:val="0"/>
        <w:rPr>
          <w:rFonts w:ascii="Times New Roman" w:hAnsi="Times New Roman" w:eastAsia="黑体"/>
          <w:snapToGrid w:val="0"/>
          <w:color w:val="auto"/>
          <w:sz w:val="30"/>
          <w:szCs w:val="30"/>
          <w:highlight w:val="none"/>
        </w:rPr>
      </w:pPr>
      <w:bookmarkStart w:id="18" w:name="_Toc31666"/>
      <w:r>
        <w:rPr>
          <w:rFonts w:ascii="Times New Roman" w:hAnsi="Times New Roman" w:eastAsia="黑体"/>
          <w:snapToGrid w:val="0"/>
          <w:color w:val="auto"/>
          <w:sz w:val="30"/>
          <w:szCs w:val="30"/>
          <w:highlight w:val="none"/>
        </w:rPr>
        <w:t>七、结论</w:t>
      </w:r>
      <w:bookmarkEnd w:id="18"/>
    </w:p>
    <w:tbl>
      <w:tblPr>
        <w:tblStyle w:val="22"/>
        <w:tblW w:w="871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14"/>
      </w:tblGrid>
      <w:tr w14:paraId="3DA63E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trPr>
        <w:tc>
          <w:tcPr>
            <w:tcW w:w="8714" w:type="dxa"/>
          </w:tcPr>
          <w:p w14:paraId="61A79EF7">
            <w:pPr>
              <w:spacing w:line="360" w:lineRule="auto"/>
              <w:ind w:firstLine="482"/>
              <w:rPr>
                <w:rFonts w:ascii="Times New Roman" w:hAnsi="Times New Roman"/>
                <w:color w:val="auto"/>
                <w:szCs w:val="21"/>
                <w:highlight w:val="none"/>
              </w:rPr>
            </w:pPr>
            <w:r>
              <w:rPr>
                <w:rFonts w:ascii="Times New Roman" w:hAnsi="Times New Roman"/>
                <w:color w:val="auto"/>
                <w:sz w:val="24"/>
                <w:highlight w:val="none"/>
              </w:rPr>
              <w:t>综上所述，中安联合煤化有限责任公司</w:t>
            </w:r>
            <w:r>
              <w:rPr>
                <w:rFonts w:hint="eastAsia" w:ascii="Times New Roman" w:hAnsi="Times New Roman"/>
                <w:color w:val="auto"/>
                <w:sz w:val="24"/>
                <w:highlight w:val="none"/>
                <w:lang w:eastAsia="zh-CN"/>
              </w:rPr>
              <w:t>“朱集西煤矿盾构机施工巷道地面钻孔探查项目”</w:t>
            </w:r>
            <w:r>
              <w:rPr>
                <w:rFonts w:ascii="Times New Roman" w:hAnsi="Times New Roman"/>
                <w:color w:val="auto"/>
                <w:sz w:val="24"/>
                <w:highlight w:val="none"/>
              </w:rPr>
              <w:t>项目建设符合相关产业政策的要求，选址符合相关规划要求，选址合理，采取的各项污染防治措施可行，能够实现达标排放和总量控制要求，对环境影响较小。只要认真落实报告表提出的各项污染防治措施，从环保角度来看，该项目建设是可行的。</w:t>
            </w:r>
          </w:p>
        </w:tc>
      </w:tr>
    </w:tbl>
    <w:p w14:paraId="35FC9312"/>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Uighur">
    <w:panose1 w:val="02000000000000000000"/>
    <w:charset w:val="B2"/>
    <w:family w:val="auto"/>
    <w:pitch w:val="default"/>
    <w:sig w:usb0="80002023" w:usb1="80000002" w:usb2="00000008" w:usb3="00000000" w:csb0="0000004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482AE">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D960A">
    <w:pPr>
      <w:pStyle w:val="15"/>
      <w:framePr w:wrap="around" w:vAnchor="text" w:hAnchor="margin" w:xAlign="outside" w:y="1"/>
      <w:rPr>
        <w:rStyle w:val="26"/>
      </w:rPr>
    </w:pPr>
    <w:r>
      <w:fldChar w:fldCharType="begin"/>
    </w:r>
    <w:r>
      <w:rPr>
        <w:rStyle w:val="26"/>
      </w:rPr>
      <w:instrText xml:space="preserve">PAGE  </w:instrText>
    </w:r>
    <w:r>
      <w:fldChar w:fldCharType="end"/>
    </w:r>
  </w:p>
  <w:p w14:paraId="1EAF7BBE">
    <w:pPr>
      <w:pStyle w:val="1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4A2BA">
    <w:pPr>
      <w:pStyle w:val="15"/>
      <w:snapToGrid/>
    </w:pPr>
    <w:r>
      <w:rPr>
        <w:sz w:val="18"/>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8646AF7">
                <w:pPr>
                  <w:pStyle w:val="15"/>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A7AA2">
    <w:pPr>
      <w:pStyle w:val="15"/>
      <w:snapToGrid/>
    </w:pPr>
    <w:r>
      <w:rPr>
        <w:sz w:val="18"/>
      </w:rP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DCAF898">
                <w:pPr>
                  <w:pStyle w:val="15"/>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938C4"/>
    <w:rsid w:val="000C281B"/>
    <w:rsid w:val="00123B43"/>
    <w:rsid w:val="00172A27"/>
    <w:rsid w:val="001A64C4"/>
    <w:rsid w:val="001E3C82"/>
    <w:rsid w:val="00224387"/>
    <w:rsid w:val="00236F7C"/>
    <w:rsid w:val="00280FD4"/>
    <w:rsid w:val="002F762D"/>
    <w:rsid w:val="00417EF4"/>
    <w:rsid w:val="005304E9"/>
    <w:rsid w:val="00577718"/>
    <w:rsid w:val="006360BD"/>
    <w:rsid w:val="009207B1"/>
    <w:rsid w:val="009B2DB0"/>
    <w:rsid w:val="009D2FD7"/>
    <w:rsid w:val="00AB2237"/>
    <w:rsid w:val="00AC7442"/>
    <w:rsid w:val="00B555DD"/>
    <w:rsid w:val="00BD6BD7"/>
    <w:rsid w:val="00C26B9C"/>
    <w:rsid w:val="00C34524"/>
    <w:rsid w:val="00C345F0"/>
    <w:rsid w:val="00D84F4C"/>
    <w:rsid w:val="00EE07B0"/>
    <w:rsid w:val="00FC3E1B"/>
    <w:rsid w:val="010549E3"/>
    <w:rsid w:val="010A6538"/>
    <w:rsid w:val="012E5E5B"/>
    <w:rsid w:val="01536131"/>
    <w:rsid w:val="01E94899"/>
    <w:rsid w:val="0200793B"/>
    <w:rsid w:val="028C11CF"/>
    <w:rsid w:val="02B6510B"/>
    <w:rsid w:val="02EB4148"/>
    <w:rsid w:val="03247659"/>
    <w:rsid w:val="035A307B"/>
    <w:rsid w:val="036D2DAF"/>
    <w:rsid w:val="036D3BE0"/>
    <w:rsid w:val="03990047"/>
    <w:rsid w:val="039C3694"/>
    <w:rsid w:val="03A03184"/>
    <w:rsid w:val="03B44E81"/>
    <w:rsid w:val="03B52E7E"/>
    <w:rsid w:val="03DF1EFE"/>
    <w:rsid w:val="03E868D9"/>
    <w:rsid w:val="04333FF8"/>
    <w:rsid w:val="043A35D9"/>
    <w:rsid w:val="045320D8"/>
    <w:rsid w:val="045C7257"/>
    <w:rsid w:val="049C0645"/>
    <w:rsid w:val="04BB015F"/>
    <w:rsid w:val="04CA4DE0"/>
    <w:rsid w:val="04CC1D57"/>
    <w:rsid w:val="04F01EE9"/>
    <w:rsid w:val="050E411D"/>
    <w:rsid w:val="05137986"/>
    <w:rsid w:val="051F1C74"/>
    <w:rsid w:val="052D4EEB"/>
    <w:rsid w:val="055727FC"/>
    <w:rsid w:val="055B5AC0"/>
    <w:rsid w:val="056F1060"/>
    <w:rsid w:val="05777F14"/>
    <w:rsid w:val="057C19CF"/>
    <w:rsid w:val="059A3C03"/>
    <w:rsid w:val="05FE23E4"/>
    <w:rsid w:val="062067FE"/>
    <w:rsid w:val="062818A1"/>
    <w:rsid w:val="067803E8"/>
    <w:rsid w:val="06E3363B"/>
    <w:rsid w:val="06F25E18"/>
    <w:rsid w:val="07140111"/>
    <w:rsid w:val="071579E5"/>
    <w:rsid w:val="071B0024"/>
    <w:rsid w:val="071F6AB6"/>
    <w:rsid w:val="072916E2"/>
    <w:rsid w:val="07630750"/>
    <w:rsid w:val="07972AF0"/>
    <w:rsid w:val="07A31BFC"/>
    <w:rsid w:val="07EA0E72"/>
    <w:rsid w:val="07FB495C"/>
    <w:rsid w:val="080C528C"/>
    <w:rsid w:val="080F49BC"/>
    <w:rsid w:val="081B54CF"/>
    <w:rsid w:val="082D4AC6"/>
    <w:rsid w:val="08591B53"/>
    <w:rsid w:val="08852948"/>
    <w:rsid w:val="08BC0A60"/>
    <w:rsid w:val="08C325CD"/>
    <w:rsid w:val="08D35DAA"/>
    <w:rsid w:val="08E01AFA"/>
    <w:rsid w:val="08E51639"/>
    <w:rsid w:val="090C4789"/>
    <w:rsid w:val="095A3DD5"/>
    <w:rsid w:val="0993176D"/>
    <w:rsid w:val="099D6B31"/>
    <w:rsid w:val="09D27E0F"/>
    <w:rsid w:val="09FC4E8C"/>
    <w:rsid w:val="0A15050F"/>
    <w:rsid w:val="0A165F4E"/>
    <w:rsid w:val="0A2E773B"/>
    <w:rsid w:val="0A2F0DBE"/>
    <w:rsid w:val="0A634F0B"/>
    <w:rsid w:val="0ABA06D3"/>
    <w:rsid w:val="0ACC485F"/>
    <w:rsid w:val="0ADF0588"/>
    <w:rsid w:val="0AF838A6"/>
    <w:rsid w:val="0B1D50BA"/>
    <w:rsid w:val="0B261650"/>
    <w:rsid w:val="0B36617C"/>
    <w:rsid w:val="0BA8707A"/>
    <w:rsid w:val="0BF15147"/>
    <w:rsid w:val="0C211877"/>
    <w:rsid w:val="0C41302A"/>
    <w:rsid w:val="0C4B4E04"/>
    <w:rsid w:val="0C62191E"/>
    <w:rsid w:val="0CDD2D53"/>
    <w:rsid w:val="0D043B1E"/>
    <w:rsid w:val="0D272220"/>
    <w:rsid w:val="0D4508F8"/>
    <w:rsid w:val="0D573E51"/>
    <w:rsid w:val="0D735465"/>
    <w:rsid w:val="0D755681"/>
    <w:rsid w:val="0DE2712C"/>
    <w:rsid w:val="0DFF4482"/>
    <w:rsid w:val="0E15651D"/>
    <w:rsid w:val="0E16227B"/>
    <w:rsid w:val="0E207C40"/>
    <w:rsid w:val="0E81187A"/>
    <w:rsid w:val="0E910299"/>
    <w:rsid w:val="0EEE7499"/>
    <w:rsid w:val="0EF54EE0"/>
    <w:rsid w:val="0EF75F24"/>
    <w:rsid w:val="0F152C78"/>
    <w:rsid w:val="0F285097"/>
    <w:rsid w:val="0F4E7F38"/>
    <w:rsid w:val="0F694D72"/>
    <w:rsid w:val="0F7E719F"/>
    <w:rsid w:val="0F842885"/>
    <w:rsid w:val="0FA940B9"/>
    <w:rsid w:val="10036F74"/>
    <w:rsid w:val="100D48FD"/>
    <w:rsid w:val="10394744"/>
    <w:rsid w:val="10622309"/>
    <w:rsid w:val="108A4C7B"/>
    <w:rsid w:val="10961B97"/>
    <w:rsid w:val="10EA1EE2"/>
    <w:rsid w:val="10EC7A09"/>
    <w:rsid w:val="117A0B97"/>
    <w:rsid w:val="1180569B"/>
    <w:rsid w:val="11862732"/>
    <w:rsid w:val="11902A8A"/>
    <w:rsid w:val="11B5604C"/>
    <w:rsid w:val="12413D84"/>
    <w:rsid w:val="1272218F"/>
    <w:rsid w:val="12BD7227"/>
    <w:rsid w:val="12BE53D5"/>
    <w:rsid w:val="1330745F"/>
    <w:rsid w:val="13AA4928"/>
    <w:rsid w:val="14DB04C0"/>
    <w:rsid w:val="14F11A91"/>
    <w:rsid w:val="15270331"/>
    <w:rsid w:val="15347BD0"/>
    <w:rsid w:val="1550037A"/>
    <w:rsid w:val="15553262"/>
    <w:rsid w:val="156404B5"/>
    <w:rsid w:val="158346B4"/>
    <w:rsid w:val="15D466AF"/>
    <w:rsid w:val="15EC4007"/>
    <w:rsid w:val="160457F4"/>
    <w:rsid w:val="166A350D"/>
    <w:rsid w:val="16DC407B"/>
    <w:rsid w:val="16FB7157"/>
    <w:rsid w:val="173B244D"/>
    <w:rsid w:val="174F11DA"/>
    <w:rsid w:val="175D340E"/>
    <w:rsid w:val="17620A24"/>
    <w:rsid w:val="17C03A07"/>
    <w:rsid w:val="17D42FA4"/>
    <w:rsid w:val="17EB6A4A"/>
    <w:rsid w:val="184C3483"/>
    <w:rsid w:val="185D2255"/>
    <w:rsid w:val="18736C61"/>
    <w:rsid w:val="187A1186"/>
    <w:rsid w:val="18950986"/>
    <w:rsid w:val="189F659D"/>
    <w:rsid w:val="18A230A3"/>
    <w:rsid w:val="18AE1A47"/>
    <w:rsid w:val="18B475FB"/>
    <w:rsid w:val="18FD2AD2"/>
    <w:rsid w:val="190A3EBD"/>
    <w:rsid w:val="190C3911"/>
    <w:rsid w:val="1961582B"/>
    <w:rsid w:val="19BC4E03"/>
    <w:rsid w:val="19FC2285"/>
    <w:rsid w:val="1A664C6F"/>
    <w:rsid w:val="1A697E05"/>
    <w:rsid w:val="1A815666"/>
    <w:rsid w:val="1AB42F10"/>
    <w:rsid w:val="1B3426D8"/>
    <w:rsid w:val="1B356450"/>
    <w:rsid w:val="1B7C5E2D"/>
    <w:rsid w:val="1B8875AF"/>
    <w:rsid w:val="1B8B5F08"/>
    <w:rsid w:val="1B8D0F31"/>
    <w:rsid w:val="1BAC5F55"/>
    <w:rsid w:val="1BD13B82"/>
    <w:rsid w:val="1BD96DDB"/>
    <w:rsid w:val="1BF41E67"/>
    <w:rsid w:val="1BF63E31"/>
    <w:rsid w:val="1BFF6E65"/>
    <w:rsid w:val="1C1222ED"/>
    <w:rsid w:val="1C623275"/>
    <w:rsid w:val="1C6B5FFE"/>
    <w:rsid w:val="1CF17088"/>
    <w:rsid w:val="1D061E52"/>
    <w:rsid w:val="1D0F031C"/>
    <w:rsid w:val="1D1A7519"/>
    <w:rsid w:val="1D2624F4"/>
    <w:rsid w:val="1D364D5F"/>
    <w:rsid w:val="1D3A5FA0"/>
    <w:rsid w:val="1D3A6632"/>
    <w:rsid w:val="1D8F1E47"/>
    <w:rsid w:val="1D923082"/>
    <w:rsid w:val="1DBC66D4"/>
    <w:rsid w:val="1DCA10D2"/>
    <w:rsid w:val="1DF42DFE"/>
    <w:rsid w:val="1E01086B"/>
    <w:rsid w:val="1E1E766F"/>
    <w:rsid w:val="1E2A1B70"/>
    <w:rsid w:val="1E5E59AA"/>
    <w:rsid w:val="1E832EA2"/>
    <w:rsid w:val="1EB11208"/>
    <w:rsid w:val="1EE53CE9"/>
    <w:rsid w:val="1F664E2A"/>
    <w:rsid w:val="1F706E7A"/>
    <w:rsid w:val="1F763715"/>
    <w:rsid w:val="1F867A4D"/>
    <w:rsid w:val="1FF9734B"/>
    <w:rsid w:val="201721F5"/>
    <w:rsid w:val="203D202F"/>
    <w:rsid w:val="205A6BB8"/>
    <w:rsid w:val="20783067"/>
    <w:rsid w:val="20831A0C"/>
    <w:rsid w:val="20A01E59"/>
    <w:rsid w:val="20A25B7C"/>
    <w:rsid w:val="210F2308"/>
    <w:rsid w:val="21155C47"/>
    <w:rsid w:val="217934DB"/>
    <w:rsid w:val="219739C1"/>
    <w:rsid w:val="21EE387E"/>
    <w:rsid w:val="21FE134A"/>
    <w:rsid w:val="220C3579"/>
    <w:rsid w:val="220F79FB"/>
    <w:rsid w:val="223A6964"/>
    <w:rsid w:val="22405E06"/>
    <w:rsid w:val="226F0499"/>
    <w:rsid w:val="22CA4924"/>
    <w:rsid w:val="22EC1AEA"/>
    <w:rsid w:val="22EF3388"/>
    <w:rsid w:val="232474D6"/>
    <w:rsid w:val="232F735E"/>
    <w:rsid w:val="233F61BF"/>
    <w:rsid w:val="23927CFF"/>
    <w:rsid w:val="23983A20"/>
    <w:rsid w:val="23B33CA1"/>
    <w:rsid w:val="23EB7FF4"/>
    <w:rsid w:val="23F93B71"/>
    <w:rsid w:val="23FA766F"/>
    <w:rsid w:val="242B6642"/>
    <w:rsid w:val="24412260"/>
    <w:rsid w:val="24415E66"/>
    <w:rsid w:val="24661428"/>
    <w:rsid w:val="249E0BC2"/>
    <w:rsid w:val="24A46A1F"/>
    <w:rsid w:val="24B65F0C"/>
    <w:rsid w:val="24BE3012"/>
    <w:rsid w:val="250849CF"/>
    <w:rsid w:val="25096983"/>
    <w:rsid w:val="250E4686"/>
    <w:rsid w:val="252D58FD"/>
    <w:rsid w:val="25363464"/>
    <w:rsid w:val="255676EF"/>
    <w:rsid w:val="259118C9"/>
    <w:rsid w:val="25AE3087"/>
    <w:rsid w:val="2601765A"/>
    <w:rsid w:val="26062EC3"/>
    <w:rsid w:val="261F21D6"/>
    <w:rsid w:val="2641214D"/>
    <w:rsid w:val="26A65758"/>
    <w:rsid w:val="26B26CA2"/>
    <w:rsid w:val="272E0923"/>
    <w:rsid w:val="2769195B"/>
    <w:rsid w:val="2790513A"/>
    <w:rsid w:val="27A961FC"/>
    <w:rsid w:val="27B0758A"/>
    <w:rsid w:val="27BD1CA7"/>
    <w:rsid w:val="27C32B0E"/>
    <w:rsid w:val="27D235F6"/>
    <w:rsid w:val="27F21AE8"/>
    <w:rsid w:val="27F232D9"/>
    <w:rsid w:val="28033B5E"/>
    <w:rsid w:val="282C2A86"/>
    <w:rsid w:val="283F26BC"/>
    <w:rsid w:val="287A1946"/>
    <w:rsid w:val="28A91BE3"/>
    <w:rsid w:val="29001E4B"/>
    <w:rsid w:val="29092860"/>
    <w:rsid w:val="290D4568"/>
    <w:rsid w:val="29114FDA"/>
    <w:rsid w:val="291B0A33"/>
    <w:rsid w:val="291E6775"/>
    <w:rsid w:val="29385A89"/>
    <w:rsid w:val="29656152"/>
    <w:rsid w:val="29A50C45"/>
    <w:rsid w:val="29A814A5"/>
    <w:rsid w:val="29FD282F"/>
    <w:rsid w:val="29FF0355"/>
    <w:rsid w:val="2A810D6A"/>
    <w:rsid w:val="2A997ADB"/>
    <w:rsid w:val="2AD57308"/>
    <w:rsid w:val="2B0454DB"/>
    <w:rsid w:val="2B0760E4"/>
    <w:rsid w:val="2B162FF4"/>
    <w:rsid w:val="2B3F7105"/>
    <w:rsid w:val="2B6E6B82"/>
    <w:rsid w:val="2B6F6AC9"/>
    <w:rsid w:val="2B762899"/>
    <w:rsid w:val="2B944ACD"/>
    <w:rsid w:val="2BB46F1D"/>
    <w:rsid w:val="2BC37160"/>
    <w:rsid w:val="2C077995"/>
    <w:rsid w:val="2C0B53DA"/>
    <w:rsid w:val="2C3C359D"/>
    <w:rsid w:val="2C55559C"/>
    <w:rsid w:val="2C626979"/>
    <w:rsid w:val="2C731A45"/>
    <w:rsid w:val="2C98683F"/>
    <w:rsid w:val="2CB52F4D"/>
    <w:rsid w:val="2CBC252D"/>
    <w:rsid w:val="2CCF198B"/>
    <w:rsid w:val="2CE23E3F"/>
    <w:rsid w:val="2CEB299B"/>
    <w:rsid w:val="2CEF608D"/>
    <w:rsid w:val="2CF16BCB"/>
    <w:rsid w:val="2D0A7221"/>
    <w:rsid w:val="2D483DC1"/>
    <w:rsid w:val="2D4B705C"/>
    <w:rsid w:val="2D746964"/>
    <w:rsid w:val="2E1819E5"/>
    <w:rsid w:val="2E75231F"/>
    <w:rsid w:val="2E960B5C"/>
    <w:rsid w:val="2EA339A5"/>
    <w:rsid w:val="2EA62AFB"/>
    <w:rsid w:val="2ED83085"/>
    <w:rsid w:val="2F0F103A"/>
    <w:rsid w:val="2F146650"/>
    <w:rsid w:val="2F205CC5"/>
    <w:rsid w:val="2F3B63E8"/>
    <w:rsid w:val="2F8530AA"/>
    <w:rsid w:val="2F994DA8"/>
    <w:rsid w:val="2FA16C6A"/>
    <w:rsid w:val="2FAF0127"/>
    <w:rsid w:val="2FD44032"/>
    <w:rsid w:val="2FF53CFF"/>
    <w:rsid w:val="30201025"/>
    <w:rsid w:val="30772A7B"/>
    <w:rsid w:val="3096561A"/>
    <w:rsid w:val="30A864F4"/>
    <w:rsid w:val="30AE4CCA"/>
    <w:rsid w:val="30D91B27"/>
    <w:rsid w:val="30E25BAB"/>
    <w:rsid w:val="30E65DCB"/>
    <w:rsid w:val="31232B7B"/>
    <w:rsid w:val="31286F6B"/>
    <w:rsid w:val="31333A07"/>
    <w:rsid w:val="313A7EC4"/>
    <w:rsid w:val="31550A3E"/>
    <w:rsid w:val="3163741B"/>
    <w:rsid w:val="316B2774"/>
    <w:rsid w:val="31CB78C4"/>
    <w:rsid w:val="31DC07CA"/>
    <w:rsid w:val="32230959"/>
    <w:rsid w:val="32BF4FDB"/>
    <w:rsid w:val="32F742BF"/>
    <w:rsid w:val="33260700"/>
    <w:rsid w:val="3341378C"/>
    <w:rsid w:val="3344327C"/>
    <w:rsid w:val="33457039"/>
    <w:rsid w:val="336E20A7"/>
    <w:rsid w:val="3381002D"/>
    <w:rsid w:val="33846DE1"/>
    <w:rsid w:val="33900270"/>
    <w:rsid w:val="339C09C3"/>
    <w:rsid w:val="33A04957"/>
    <w:rsid w:val="33A11457"/>
    <w:rsid w:val="33A1302F"/>
    <w:rsid w:val="33B91613"/>
    <w:rsid w:val="33BF2BC8"/>
    <w:rsid w:val="33F00D0E"/>
    <w:rsid w:val="34131B30"/>
    <w:rsid w:val="341C4BD5"/>
    <w:rsid w:val="344A5496"/>
    <w:rsid w:val="345D45F6"/>
    <w:rsid w:val="346076B1"/>
    <w:rsid w:val="34781430"/>
    <w:rsid w:val="34AD3848"/>
    <w:rsid w:val="34B04612"/>
    <w:rsid w:val="34BB756E"/>
    <w:rsid w:val="34FD3602"/>
    <w:rsid w:val="35213875"/>
    <w:rsid w:val="35411821"/>
    <w:rsid w:val="3578720D"/>
    <w:rsid w:val="35A4333B"/>
    <w:rsid w:val="35CF0897"/>
    <w:rsid w:val="360C62D3"/>
    <w:rsid w:val="361327C4"/>
    <w:rsid w:val="361E7DB5"/>
    <w:rsid w:val="363B2715"/>
    <w:rsid w:val="36BD75CE"/>
    <w:rsid w:val="36C9054A"/>
    <w:rsid w:val="36DB5CA6"/>
    <w:rsid w:val="36F11025"/>
    <w:rsid w:val="36F4363E"/>
    <w:rsid w:val="37397F6D"/>
    <w:rsid w:val="375F0685"/>
    <w:rsid w:val="37600FC5"/>
    <w:rsid w:val="3786033A"/>
    <w:rsid w:val="37964C14"/>
    <w:rsid w:val="379C3AC9"/>
    <w:rsid w:val="37B81C9C"/>
    <w:rsid w:val="37C60704"/>
    <w:rsid w:val="37D72DD1"/>
    <w:rsid w:val="37EE05E4"/>
    <w:rsid w:val="37F708BD"/>
    <w:rsid w:val="37FB12D6"/>
    <w:rsid w:val="37FD7071"/>
    <w:rsid w:val="380D00E1"/>
    <w:rsid w:val="381A7091"/>
    <w:rsid w:val="38685317"/>
    <w:rsid w:val="388F6D48"/>
    <w:rsid w:val="38B148A1"/>
    <w:rsid w:val="38ED224F"/>
    <w:rsid w:val="38F60B75"/>
    <w:rsid w:val="39111E53"/>
    <w:rsid w:val="391334D5"/>
    <w:rsid w:val="391C1F89"/>
    <w:rsid w:val="39203309"/>
    <w:rsid w:val="3935166B"/>
    <w:rsid w:val="397F0B6A"/>
    <w:rsid w:val="397F7046"/>
    <w:rsid w:val="39D569DC"/>
    <w:rsid w:val="3A173CF6"/>
    <w:rsid w:val="3A5D2658"/>
    <w:rsid w:val="3A7601BF"/>
    <w:rsid w:val="3A946897"/>
    <w:rsid w:val="3A960861"/>
    <w:rsid w:val="3AB26D1E"/>
    <w:rsid w:val="3AC34280"/>
    <w:rsid w:val="3AC52430"/>
    <w:rsid w:val="3ACD5CBF"/>
    <w:rsid w:val="3B163750"/>
    <w:rsid w:val="3B31058A"/>
    <w:rsid w:val="3B3F4A55"/>
    <w:rsid w:val="3B5C05B6"/>
    <w:rsid w:val="3B5D312D"/>
    <w:rsid w:val="3B673FAC"/>
    <w:rsid w:val="3B7364AD"/>
    <w:rsid w:val="3B9A5D55"/>
    <w:rsid w:val="3BB07574"/>
    <w:rsid w:val="3BCE7B87"/>
    <w:rsid w:val="3BE64ED1"/>
    <w:rsid w:val="3C0D4B53"/>
    <w:rsid w:val="3C53115E"/>
    <w:rsid w:val="3C6329C5"/>
    <w:rsid w:val="3C990195"/>
    <w:rsid w:val="3CA42E02"/>
    <w:rsid w:val="3CAF1767"/>
    <w:rsid w:val="3CC64D02"/>
    <w:rsid w:val="3CE37662"/>
    <w:rsid w:val="3CED04E1"/>
    <w:rsid w:val="3CF1446D"/>
    <w:rsid w:val="3D0575D8"/>
    <w:rsid w:val="3D07190C"/>
    <w:rsid w:val="3D263EE9"/>
    <w:rsid w:val="3D95517D"/>
    <w:rsid w:val="3DA212CB"/>
    <w:rsid w:val="3DAE7C70"/>
    <w:rsid w:val="3DB54DD9"/>
    <w:rsid w:val="3DC61838"/>
    <w:rsid w:val="3DD31485"/>
    <w:rsid w:val="3DDA6CB7"/>
    <w:rsid w:val="3DF37D79"/>
    <w:rsid w:val="3E467EA9"/>
    <w:rsid w:val="3EAA00E0"/>
    <w:rsid w:val="3ECA4F52"/>
    <w:rsid w:val="3ECB11C6"/>
    <w:rsid w:val="3ED23E32"/>
    <w:rsid w:val="3EE11ADE"/>
    <w:rsid w:val="3EF93FA3"/>
    <w:rsid w:val="3F040AF2"/>
    <w:rsid w:val="3F141D55"/>
    <w:rsid w:val="3F185CE9"/>
    <w:rsid w:val="3F283A52"/>
    <w:rsid w:val="3F9F32B0"/>
    <w:rsid w:val="3FA255B3"/>
    <w:rsid w:val="3FA532F5"/>
    <w:rsid w:val="3FD339BE"/>
    <w:rsid w:val="3FDF4AF7"/>
    <w:rsid w:val="3FED73CA"/>
    <w:rsid w:val="3FEF5930"/>
    <w:rsid w:val="40514BEA"/>
    <w:rsid w:val="409D0420"/>
    <w:rsid w:val="40DA6FCE"/>
    <w:rsid w:val="415A3828"/>
    <w:rsid w:val="416130BD"/>
    <w:rsid w:val="418D13E5"/>
    <w:rsid w:val="418E2292"/>
    <w:rsid w:val="41D35EF7"/>
    <w:rsid w:val="41EA37F8"/>
    <w:rsid w:val="42077ADC"/>
    <w:rsid w:val="420C67D1"/>
    <w:rsid w:val="42176CD4"/>
    <w:rsid w:val="4250579A"/>
    <w:rsid w:val="42552DB0"/>
    <w:rsid w:val="428D254A"/>
    <w:rsid w:val="429F2F01"/>
    <w:rsid w:val="42EF6D61"/>
    <w:rsid w:val="42F02403"/>
    <w:rsid w:val="42F80ECE"/>
    <w:rsid w:val="435178B6"/>
    <w:rsid w:val="43916EF7"/>
    <w:rsid w:val="43BF2BD7"/>
    <w:rsid w:val="43C57AC2"/>
    <w:rsid w:val="43EF0FE2"/>
    <w:rsid w:val="43FF1225"/>
    <w:rsid w:val="44450930"/>
    <w:rsid w:val="44557097"/>
    <w:rsid w:val="448259B3"/>
    <w:rsid w:val="44CB1108"/>
    <w:rsid w:val="44D6347B"/>
    <w:rsid w:val="44DF2CA8"/>
    <w:rsid w:val="450B3BFA"/>
    <w:rsid w:val="45154A79"/>
    <w:rsid w:val="454964D0"/>
    <w:rsid w:val="45513D03"/>
    <w:rsid w:val="45534298"/>
    <w:rsid w:val="459E681C"/>
    <w:rsid w:val="45BD3146"/>
    <w:rsid w:val="45E230E4"/>
    <w:rsid w:val="45E76415"/>
    <w:rsid w:val="46160AA8"/>
    <w:rsid w:val="462A429C"/>
    <w:rsid w:val="46587D6C"/>
    <w:rsid w:val="46601D24"/>
    <w:rsid w:val="46616A8D"/>
    <w:rsid w:val="46851C1F"/>
    <w:rsid w:val="469D547F"/>
    <w:rsid w:val="46ED7A5B"/>
    <w:rsid w:val="47024B89"/>
    <w:rsid w:val="470A39CF"/>
    <w:rsid w:val="4714323A"/>
    <w:rsid w:val="4723522B"/>
    <w:rsid w:val="472853B7"/>
    <w:rsid w:val="474033EB"/>
    <w:rsid w:val="4762530A"/>
    <w:rsid w:val="47833F1C"/>
    <w:rsid w:val="47B83278"/>
    <w:rsid w:val="47B9793D"/>
    <w:rsid w:val="47CE30B0"/>
    <w:rsid w:val="47ED5839"/>
    <w:rsid w:val="47F250C5"/>
    <w:rsid w:val="47F266D9"/>
    <w:rsid w:val="47FD5DF2"/>
    <w:rsid w:val="480037BE"/>
    <w:rsid w:val="48180B08"/>
    <w:rsid w:val="484A4A39"/>
    <w:rsid w:val="48621D83"/>
    <w:rsid w:val="488F129E"/>
    <w:rsid w:val="48E42798"/>
    <w:rsid w:val="49647D7D"/>
    <w:rsid w:val="497F0713"/>
    <w:rsid w:val="49B371DE"/>
    <w:rsid w:val="4A0F5F3A"/>
    <w:rsid w:val="4A114D9C"/>
    <w:rsid w:val="4A271687"/>
    <w:rsid w:val="4A3F293B"/>
    <w:rsid w:val="4A62606A"/>
    <w:rsid w:val="4A673681"/>
    <w:rsid w:val="4A6F4C2B"/>
    <w:rsid w:val="4A857FAB"/>
    <w:rsid w:val="4A9B5A20"/>
    <w:rsid w:val="4AAC5537"/>
    <w:rsid w:val="4ADC40E1"/>
    <w:rsid w:val="4B3043BA"/>
    <w:rsid w:val="4BA33C6C"/>
    <w:rsid w:val="4BA65DC5"/>
    <w:rsid w:val="4C0D2006"/>
    <w:rsid w:val="4C5639F5"/>
    <w:rsid w:val="4C6A7458"/>
    <w:rsid w:val="4C793A13"/>
    <w:rsid w:val="4C9E3D41"/>
    <w:rsid w:val="4CAE1CBD"/>
    <w:rsid w:val="4CD52BD1"/>
    <w:rsid w:val="4CE54D31"/>
    <w:rsid w:val="4D453A21"/>
    <w:rsid w:val="4D5123C6"/>
    <w:rsid w:val="4D826A23"/>
    <w:rsid w:val="4DE374C2"/>
    <w:rsid w:val="4E197388"/>
    <w:rsid w:val="4E4B32B9"/>
    <w:rsid w:val="4E507D60"/>
    <w:rsid w:val="4E636855"/>
    <w:rsid w:val="4E692ECD"/>
    <w:rsid w:val="4E83273B"/>
    <w:rsid w:val="4EA8070C"/>
    <w:rsid w:val="4EB23CC9"/>
    <w:rsid w:val="4EE94FAC"/>
    <w:rsid w:val="4EF0595D"/>
    <w:rsid w:val="4F0B3174"/>
    <w:rsid w:val="4F0E056F"/>
    <w:rsid w:val="4F2204BE"/>
    <w:rsid w:val="4F275CED"/>
    <w:rsid w:val="4F32268A"/>
    <w:rsid w:val="4F583A01"/>
    <w:rsid w:val="4F5F701C"/>
    <w:rsid w:val="4F691C49"/>
    <w:rsid w:val="4F8343BC"/>
    <w:rsid w:val="4FB56C3C"/>
    <w:rsid w:val="4FD6191A"/>
    <w:rsid w:val="4FFE214A"/>
    <w:rsid w:val="50740B35"/>
    <w:rsid w:val="50937B6E"/>
    <w:rsid w:val="509E3B74"/>
    <w:rsid w:val="50C555A5"/>
    <w:rsid w:val="50CC248F"/>
    <w:rsid w:val="50EF59E7"/>
    <w:rsid w:val="50FD6AED"/>
    <w:rsid w:val="514069D9"/>
    <w:rsid w:val="51532BB1"/>
    <w:rsid w:val="51972CF4"/>
    <w:rsid w:val="51FE19F0"/>
    <w:rsid w:val="520C2D5F"/>
    <w:rsid w:val="521C7446"/>
    <w:rsid w:val="522235D3"/>
    <w:rsid w:val="527342A0"/>
    <w:rsid w:val="52D95337"/>
    <w:rsid w:val="52E20186"/>
    <w:rsid w:val="531B420E"/>
    <w:rsid w:val="533802B0"/>
    <w:rsid w:val="534704F3"/>
    <w:rsid w:val="537D7163"/>
    <w:rsid w:val="538B31C6"/>
    <w:rsid w:val="53A854CE"/>
    <w:rsid w:val="53B042EA"/>
    <w:rsid w:val="53B33222"/>
    <w:rsid w:val="53C51418"/>
    <w:rsid w:val="53F65A75"/>
    <w:rsid w:val="542C1497"/>
    <w:rsid w:val="543071D9"/>
    <w:rsid w:val="54414309"/>
    <w:rsid w:val="545F7ABE"/>
    <w:rsid w:val="54A02118"/>
    <w:rsid w:val="54A03FFE"/>
    <w:rsid w:val="54B5148C"/>
    <w:rsid w:val="54D20290"/>
    <w:rsid w:val="54E16725"/>
    <w:rsid w:val="54E54D76"/>
    <w:rsid w:val="553B5E36"/>
    <w:rsid w:val="55545149"/>
    <w:rsid w:val="55747599"/>
    <w:rsid w:val="5592206E"/>
    <w:rsid w:val="55933E69"/>
    <w:rsid w:val="55A734CB"/>
    <w:rsid w:val="55AF118E"/>
    <w:rsid w:val="55B856D8"/>
    <w:rsid w:val="55C71477"/>
    <w:rsid w:val="55D02697"/>
    <w:rsid w:val="55D93ED6"/>
    <w:rsid w:val="55ED0692"/>
    <w:rsid w:val="55F11B90"/>
    <w:rsid w:val="55FF557B"/>
    <w:rsid w:val="560617A9"/>
    <w:rsid w:val="564F0FBF"/>
    <w:rsid w:val="56521689"/>
    <w:rsid w:val="567D51CF"/>
    <w:rsid w:val="568850AA"/>
    <w:rsid w:val="56986128"/>
    <w:rsid w:val="56B04601"/>
    <w:rsid w:val="56F97D56"/>
    <w:rsid w:val="57030BD5"/>
    <w:rsid w:val="570D735E"/>
    <w:rsid w:val="571C5F7A"/>
    <w:rsid w:val="572A43B4"/>
    <w:rsid w:val="576556E7"/>
    <w:rsid w:val="576A69B4"/>
    <w:rsid w:val="57A001D2"/>
    <w:rsid w:val="57C57C38"/>
    <w:rsid w:val="57D12A81"/>
    <w:rsid w:val="57D45B2D"/>
    <w:rsid w:val="57E83927"/>
    <w:rsid w:val="58030761"/>
    <w:rsid w:val="581E77FE"/>
    <w:rsid w:val="58242BB1"/>
    <w:rsid w:val="58863C00"/>
    <w:rsid w:val="58880B5C"/>
    <w:rsid w:val="58CF5213"/>
    <w:rsid w:val="59030A18"/>
    <w:rsid w:val="594F1EAF"/>
    <w:rsid w:val="5984566C"/>
    <w:rsid w:val="59987AA9"/>
    <w:rsid w:val="59A71CEC"/>
    <w:rsid w:val="59C53F20"/>
    <w:rsid w:val="59CA3C2C"/>
    <w:rsid w:val="59F444C5"/>
    <w:rsid w:val="5A4E03B9"/>
    <w:rsid w:val="5A80766E"/>
    <w:rsid w:val="5ACE08E9"/>
    <w:rsid w:val="5AD92379"/>
    <w:rsid w:val="5B4B2B4A"/>
    <w:rsid w:val="5B512C91"/>
    <w:rsid w:val="5B6C2BA5"/>
    <w:rsid w:val="5BB4249E"/>
    <w:rsid w:val="5C164F06"/>
    <w:rsid w:val="5C4604C8"/>
    <w:rsid w:val="5C533A65"/>
    <w:rsid w:val="5C732C8F"/>
    <w:rsid w:val="5C764DF0"/>
    <w:rsid w:val="5C94679F"/>
    <w:rsid w:val="5CC74949"/>
    <w:rsid w:val="5CF44DF6"/>
    <w:rsid w:val="5D3C6BEF"/>
    <w:rsid w:val="5D812854"/>
    <w:rsid w:val="5D894B44"/>
    <w:rsid w:val="5D9C1821"/>
    <w:rsid w:val="5DF21F24"/>
    <w:rsid w:val="5E227B93"/>
    <w:rsid w:val="5EAD4DC6"/>
    <w:rsid w:val="5F2C67EF"/>
    <w:rsid w:val="5F936409"/>
    <w:rsid w:val="5F9E76ED"/>
    <w:rsid w:val="5FA77C77"/>
    <w:rsid w:val="5FC03B07"/>
    <w:rsid w:val="5FFB4B3F"/>
    <w:rsid w:val="6014175D"/>
    <w:rsid w:val="601A268D"/>
    <w:rsid w:val="60430294"/>
    <w:rsid w:val="605325BC"/>
    <w:rsid w:val="60730B79"/>
    <w:rsid w:val="60805044"/>
    <w:rsid w:val="60D537AB"/>
    <w:rsid w:val="6105554A"/>
    <w:rsid w:val="6109328C"/>
    <w:rsid w:val="61414EC5"/>
    <w:rsid w:val="6151266D"/>
    <w:rsid w:val="61554209"/>
    <w:rsid w:val="6162299C"/>
    <w:rsid w:val="61926DDD"/>
    <w:rsid w:val="61EC204F"/>
    <w:rsid w:val="62791D4B"/>
    <w:rsid w:val="627B3D15"/>
    <w:rsid w:val="62D17DD9"/>
    <w:rsid w:val="62DD551E"/>
    <w:rsid w:val="62EF1E1C"/>
    <w:rsid w:val="62F73105"/>
    <w:rsid w:val="632D276C"/>
    <w:rsid w:val="632D2C36"/>
    <w:rsid w:val="633640E0"/>
    <w:rsid w:val="63566E30"/>
    <w:rsid w:val="63AA3CCE"/>
    <w:rsid w:val="63B374DF"/>
    <w:rsid w:val="63D74F7B"/>
    <w:rsid w:val="63F35B2D"/>
    <w:rsid w:val="641F561C"/>
    <w:rsid w:val="644B7717"/>
    <w:rsid w:val="647D70CE"/>
    <w:rsid w:val="64874BF3"/>
    <w:rsid w:val="64923598"/>
    <w:rsid w:val="64A17553"/>
    <w:rsid w:val="64B17EC2"/>
    <w:rsid w:val="64B60849"/>
    <w:rsid w:val="64E953B4"/>
    <w:rsid w:val="6509385A"/>
    <w:rsid w:val="650E4201"/>
    <w:rsid w:val="65764C68"/>
    <w:rsid w:val="6578453C"/>
    <w:rsid w:val="659155FE"/>
    <w:rsid w:val="65CE6852"/>
    <w:rsid w:val="65DD0843"/>
    <w:rsid w:val="65F067C8"/>
    <w:rsid w:val="65F237E5"/>
    <w:rsid w:val="662F5543"/>
    <w:rsid w:val="66BC082E"/>
    <w:rsid w:val="66F745F1"/>
    <w:rsid w:val="671E7365"/>
    <w:rsid w:val="672636AE"/>
    <w:rsid w:val="6736443F"/>
    <w:rsid w:val="673D4B92"/>
    <w:rsid w:val="67446DCC"/>
    <w:rsid w:val="675B2367"/>
    <w:rsid w:val="679445D1"/>
    <w:rsid w:val="67E20393"/>
    <w:rsid w:val="67ED1BBE"/>
    <w:rsid w:val="680B4319"/>
    <w:rsid w:val="680B78E9"/>
    <w:rsid w:val="680D3662"/>
    <w:rsid w:val="686139AD"/>
    <w:rsid w:val="68680898"/>
    <w:rsid w:val="686B2D87"/>
    <w:rsid w:val="686F7E78"/>
    <w:rsid w:val="68774F7F"/>
    <w:rsid w:val="689E250C"/>
    <w:rsid w:val="68A45648"/>
    <w:rsid w:val="68B827A5"/>
    <w:rsid w:val="6922313D"/>
    <w:rsid w:val="695452C0"/>
    <w:rsid w:val="698C2CAC"/>
    <w:rsid w:val="69912E21"/>
    <w:rsid w:val="69985062"/>
    <w:rsid w:val="6A1B7B8C"/>
    <w:rsid w:val="6A505A87"/>
    <w:rsid w:val="6A615DFE"/>
    <w:rsid w:val="6A8A71EB"/>
    <w:rsid w:val="6AB26742"/>
    <w:rsid w:val="6ADD3C1C"/>
    <w:rsid w:val="6AE663EC"/>
    <w:rsid w:val="6B0672AC"/>
    <w:rsid w:val="6B0845B4"/>
    <w:rsid w:val="6B267ABD"/>
    <w:rsid w:val="6B2749D6"/>
    <w:rsid w:val="6B427AC6"/>
    <w:rsid w:val="6B937C74"/>
    <w:rsid w:val="6B9E0A74"/>
    <w:rsid w:val="6BAF2C82"/>
    <w:rsid w:val="6C00528B"/>
    <w:rsid w:val="6C07486C"/>
    <w:rsid w:val="6C2B055A"/>
    <w:rsid w:val="6C496C32"/>
    <w:rsid w:val="6C6E3873"/>
    <w:rsid w:val="6C8400DD"/>
    <w:rsid w:val="6CB263C9"/>
    <w:rsid w:val="6D0A63C2"/>
    <w:rsid w:val="6D2356D5"/>
    <w:rsid w:val="6D264A09"/>
    <w:rsid w:val="6D8D0DA1"/>
    <w:rsid w:val="6D9C28BB"/>
    <w:rsid w:val="6DE05374"/>
    <w:rsid w:val="6E0307C8"/>
    <w:rsid w:val="6E227042"/>
    <w:rsid w:val="6E3A0E77"/>
    <w:rsid w:val="6E5412B4"/>
    <w:rsid w:val="6E835323"/>
    <w:rsid w:val="6E9F3C8B"/>
    <w:rsid w:val="6EA12D56"/>
    <w:rsid w:val="6EB32A89"/>
    <w:rsid w:val="6EB72579"/>
    <w:rsid w:val="6F046E40"/>
    <w:rsid w:val="6F174DC6"/>
    <w:rsid w:val="6F2F65B3"/>
    <w:rsid w:val="6F360492"/>
    <w:rsid w:val="6F567832"/>
    <w:rsid w:val="6F653D83"/>
    <w:rsid w:val="6F7E4E45"/>
    <w:rsid w:val="6F800BBD"/>
    <w:rsid w:val="6FB40867"/>
    <w:rsid w:val="6FC35501"/>
    <w:rsid w:val="6FCE7B7A"/>
    <w:rsid w:val="6FE07C8E"/>
    <w:rsid w:val="6FF139B8"/>
    <w:rsid w:val="700A66D9"/>
    <w:rsid w:val="70313C65"/>
    <w:rsid w:val="70655672"/>
    <w:rsid w:val="708B6EDF"/>
    <w:rsid w:val="70A02B99"/>
    <w:rsid w:val="70F97E5D"/>
    <w:rsid w:val="71047B41"/>
    <w:rsid w:val="714300F4"/>
    <w:rsid w:val="715776FB"/>
    <w:rsid w:val="71841741"/>
    <w:rsid w:val="71A27A69"/>
    <w:rsid w:val="71BE36D6"/>
    <w:rsid w:val="72200435"/>
    <w:rsid w:val="724A54B2"/>
    <w:rsid w:val="725F0F5E"/>
    <w:rsid w:val="729B7ABC"/>
    <w:rsid w:val="729F57FE"/>
    <w:rsid w:val="72A0248B"/>
    <w:rsid w:val="72AA7CFF"/>
    <w:rsid w:val="73B21561"/>
    <w:rsid w:val="73EF4902"/>
    <w:rsid w:val="73F43927"/>
    <w:rsid w:val="73F82FD0"/>
    <w:rsid w:val="7406129A"/>
    <w:rsid w:val="74177616"/>
    <w:rsid w:val="741D5F30"/>
    <w:rsid w:val="7443040B"/>
    <w:rsid w:val="748B3BD7"/>
    <w:rsid w:val="75284195"/>
    <w:rsid w:val="7541494A"/>
    <w:rsid w:val="758F3128"/>
    <w:rsid w:val="75B245BA"/>
    <w:rsid w:val="75DD215E"/>
    <w:rsid w:val="75E12BAC"/>
    <w:rsid w:val="75ED062E"/>
    <w:rsid w:val="760B6D06"/>
    <w:rsid w:val="76200A04"/>
    <w:rsid w:val="762A6157"/>
    <w:rsid w:val="763C3364"/>
    <w:rsid w:val="765E777E"/>
    <w:rsid w:val="76857A17"/>
    <w:rsid w:val="768C5021"/>
    <w:rsid w:val="76960CC6"/>
    <w:rsid w:val="76A71125"/>
    <w:rsid w:val="76D0242A"/>
    <w:rsid w:val="76D518A0"/>
    <w:rsid w:val="77387230"/>
    <w:rsid w:val="77453882"/>
    <w:rsid w:val="775F555C"/>
    <w:rsid w:val="777E6082"/>
    <w:rsid w:val="77D06EE8"/>
    <w:rsid w:val="77DA1086"/>
    <w:rsid w:val="77E617D9"/>
    <w:rsid w:val="78151CD1"/>
    <w:rsid w:val="7823092C"/>
    <w:rsid w:val="783B7D77"/>
    <w:rsid w:val="784120E7"/>
    <w:rsid w:val="784B0EC1"/>
    <w:rsid w:val="78680440"/>
    <w:rsid w:val="78D21D5D"/>
    <w:rsid w:val="790A66CF"/>
    <w:rsid w:val="79374EBB"/>
    <w:rsid w:val="797F0137"/>
    <w:rsid w:val="79A25BD4"/>
    <w:rsid w:val="79C21BAF"/>
    <w:rsid w:val="79DE0E87"/>
    <w:rsid w:val="7A0128FA"/>
    <w:rsid w:val="7A2A00A3"/>
    <w:rsid w:val="7A2F2F59"/>
    <w:rsid w:val="7A477914"/>
    <w:rsid w:val="7A633442"/>
    <w:rsid w:val="7A6F3D08"/>
    <w:rsid w:val="7A7A4B7F"/>
    <w:rsid w:val="7AA8546C"/>
    <w:rsid w:val="7AAC09E6"/>
    <w:rsid w:val="7AD149C3"/>
    <w:rsid w:val="7AEE3E33"/>
    <w:rsid w:val="7B172452"/>
    <w:rsid w:val="7B3D01B3"/>
    <w:rsid w:val="7B3D7C92"/>
    <w:rsid w:val="7B4C1D99"/>
    <w:rsid w:val="7B4D0FEC"/>
    <w:rsid w:val="7B7F7F7B"/>
    <w:rsid w:val="7BCC6F38"/>
    <w:rsid w:val="7BF42D23"/>
    <w:rsid w:val="7C8810B1"/>
    <w:rsid w:val="7C8A4E29"/>
    <w:rsid w:val="7CAC1243"/>
    <w:rsid w:val="7CAD6D69"/>
    <w:rsid w:val="7CBC51FE"/>
    <w:rsid w:val="7CC52305"/>
    <w:rsid w:val="7CF60710"/>
    <w:rsid w:val="7D423956"/>
    <w:rsid w:val="7D456FA2"/>
    <w:rsid w:val="7D752AE9"/>
    <w:rsid w:val="7D806106"/>
    <w:rsid w:val="7D9A4A61"/>
    <w:rsid w:val="7DA010E6"/>
    <w:rsid w:val="7DA667F3"/>
    <w:rsid w:val="7DBA34EC"/>
    <w:rsid w:val="7DBD122E"/>
    <w:rsid w:val="7DD16A88"/>
    <w:rsid w:val="7DDD7209"/>
    <w:rsid w:val="7DF74136"/>
    <w:rsid w:val="7E046E5D"/>
    <w:rsid w:val="7E183546"/>
    <w:rsid w:val="7E374B3D"/>
    <w:rsid w:val="7E396311"/>
    <w:rsid w:val="7E462FD2"/>
    <w:rsid w:val="7E7F4735"/>
    <w:rsid w:val="7E8F2BCB"/>
    <w:rsid w:val="7EA20580"/>
    <w:rsid w:val="7EA83C8C"/>
    <w:rsid w:val="7F207CC7"/>
    <w:rsid w:val="7F3D71AE"/>
    <w:rsid w:val="7F5D50FD"/>
    <w:rsid w:val="7FF6692D"/>
    <w:rsid w:val="7FF865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iPriority="0" w:semiHidden="0" w:name="Note Heading"/>
    <w:lsdException w:qFormat="1" w:uiPriority="99"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kern w:val="0"/>
      <w:sz w:val="32"/>
      <w:szCs w:val="32"/>
    </w:rPr>
  </w:style>
  <w:style w:type="paragraph" w:styleId="3">
    <w:name w:val="heading 4"/>
    <w:basedOn w:val="1"/>
    <w:next w:val="1"/>
    <w:qFormat/>
    <w:uiPriority w:val="1"/>
    <w:pPr>
      <w:ind w:left="1068"/>
      <w:outlineLvl w:val="3"/>
    </w:pPr>
    <w:rPr>
      <w:rFonts w:ascii="宋体" w:hAnsi="宋体" w:cs="宋体"/>
      <w:b/>
      <w:bCs/>
      <w:sz w:val="24"/>
      <w:lang w:val="zh-CN" w:bidi="zh-CN"/>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te Heading"/>
    <w:basedOn w:val="1"/>
    <w:next w:val="1"/>
    <w:unhideWhenUsed/>
    <w:qFormat/>
    <w:uiPriority w:val="0"/>
    <w:pPr>
      <w:jc w:val="center"/>
    </w:pPr>
  </w:style>
  <w:style w:type="paragraph" w:styleId="5">
    <w:name w:val="Normal Indent"/>
    <w:basedOn w:val="1"/>
    <w:qFormat/>
    <w:uiPriority w:val="0"/>
    <w:pPr>
      <w:ind w:firstLine="200" w:firstLineChars="200"/>
    </w:pPr>
    <w:rPr>
      <w:sz w:val="28"/>
    </w:rPr>
  </w:style>
  <w:style w:type="paragraph" w:styleId="6">
    <w:name w:val="caption"/>
    <w:basedOn w:val="1"/>
    <w:next w:val="1"/>
    <w:qFormat/>
    <w:uiPriority w:val="0"/>
    <w:rPr>
      <w:rFonts w:ascii="Cambria" w:hAnsi="Cambria" w:eastAsia="黑体"/>
      <w:sz w:val="20"/>
      <w:szCs w:val="20"/>
    </w:rPr>
  </w:style>
  <w:style w:type="paragraph" w:styleId="7">
    <w:name w:val="annotation text"/>
    <w:basedOn w:val="1"/>
    <w:link w:val="59"/>
    <w:qFormat/>
    <w:uiPriority w:val="99"/>
    <w:pPr>
      <w:jc w:val="left"/>
    </w:pPr>
    <w:rPr>
      <w:rFonts w:ascii="Times New Roman" w:hAnsi="Times New Roman"/>
      <w:kern w:val="0"/>
      <w:sz w:val="24"/>
      <w:szCs w:val="20"/>
    </w:rPr>
  </w:style>
  <w:style w:type="paragraph" w:styleId="8">
    <w:name w:val="Salutation"/>
    <w:basedOn w:val="1"/>
    <w:next w:val="1"/>
    <w:qFormat/>
    <w:uiPriority w:val="0"/>
  </w:style>
  <w:style w:type="paragraph" w:styleId="9">
    <w:name w:val="Body Text"/>
    <w:basedOn w:val="1"/>
    <w:next w:val="1"/>
    <w:qFormat/>
    <w:uiPriority w:val="0"/>
    <w:pPr>
      <w:widowControl/>
      <w:snapToGrid w:val="0"/>
      <w:spacing w:before="60" w:line="259" w:lineRule="auto"/>
      <w:ind w:right="113"/>
    </w:pPr>
    <w:rPr>
      <w:kern w:val="0"/>
      <w:sz w:val="18"/>
      <w:szCs w:val="20"/>
    </w:rPr>
  </w:style>
  <w:style w:type="paragraph" w:styleId="10">
    <w:name w:val="Body Text Indent"/>
    <w:basedOn w:val="1"/>
    <w:next w:val="11"/>
    <w:semiHidden/>
    <w:qFormat/>
    <w:uiPriority w:val="0"/>
    <w:pPr>
      <w:spacing w:after="120"/>
      <w:ind w:left="420" w:leftChars="200"/>
    </w:pPr>
  </w:style>
  <w:style w:type="paragraph" w:styleId="11">
    <w:name w:val="Body Text Indent 2"/>
    <w:basedOn w:val="1"/>
    <w:next w:val="12"/>
    <w:qFormat/>
    <w:uiPriority w:val="0"/>
    <w:pPr>
      <w:spacing w:after="120" w:line="480" w:lineRule="auto"/>
      <w:ind w:left="420" w:leftChars="200"/>
    </w:pPr>
  </w:style>
  <w:style w:type="paragraph" w:styleId="12">
    <w:name w:val="Body Text First Indent 2"/>
    <w:basedOn w:val="10"/>
    <w:next w:val="1"/>
    <w:qFormat/>
    <w:uiPriority w:val="0"/>
    <w:pPr>
      <w:ind w:firstLine="210"/>
    </w:pPr>
    <w:rPr>
      <w:rFonts w:eastAsia="楷体_GB2312"/>
      <w:sz w:val="30"/>
    </w:rPr>
  </w:style>
  <w:style w:type="paragraph" w:styleId="13">
    <w:name w:val="Plain Text"/>
    <w:basedOn w:val="1"/>
    <w:next w:val="8"/>
    <w:qFormat/>
    <w:uiPriority w:val="0"/>
    <w:pPr>
      <w:snapToGrid w:val="0"/>
      <w:spacing w:line="324" w:lineRule="auto"/>
    </w:pPr>
    <w:rPr>
      <w:rFonts w:ascii="宋体" w:hAnsi="Courier New"/>
    </w:rPr>
  </w:style>
  <w:style w:type="paragraph" w:styleId="14">
    <w:name w:val="Balloon Text"/>
    <w:basedOn w:val="1"/>
    <w:link w:val="61"/>
    <w:qFormat/>
    <w:uiPriority w:val="0"/>
    <w:pPr>
      <w:spacing w:after="0" w:line="240" w:lineRule="auto"/>
    </w:pPr>
    <w:rPr>
      <w:sz w:val="18"/>
      <w:szCs w:val="18"/>
    </w:r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7">
    <w:name w:val="toc 1"/>
    <w:basedOn w:val="1"/>
    <w:next w:val="1"/>
    <w:qFormat/>
    <w:uiPriority w:val="0"/>
  </w:style>
  <w:style w:type="paragraph" w:styleId="18">
    <w:name w:val="List"/>
    <w:basedOn w:val="1"/>
    <w:qFormat/>
    <w:uiPriority w:val="0"/>
    <w:pPr>
      <w:jc w:val="center"/>
    </w:pPr>
    <w:rPr>
      <w:kern w:val="21"/>
      <w:szCs w:val="22"/>
    </w:rPr>
  </w:style>
  <w:style w:type="paragraph" w:styleId="19">
    <w:name w:val="Body Text 2"/>
    <w:basedOn w:val="1"/>
    <w:semiHidden/>
    <w:unhideWhenUsed/>
    <w:qFormat/>
    <w:uiPriority w:val="99"/>
    <w:pPr>
      <w:spacing w:after="120" w:line="480" w:lineRule="auto"/>
    </w:pPr>
  </w:style>
  <w:style w:type="paragraph" w:styleId="20">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1">
    <w:name w:val="annotation subject"/>
    <w:basedOn w:val="7"/>
    <w:next w:val="7"/>
    <w:link w:val="60"/>
    <w:qFormat/>
    <w:uiPriority w:val="0"/>
    <w:rPr>
      <w:rFonts w:ascii="Calibri" w:hAnsi="Calibri"/>
      <w:b/>
      <w:bCs/>
      <w:kern w:val="2"/>
      <w:sz w:val="21"/>
      <w:szCs w:val="24"/>
    </w:rPr>
  </w:style>
  <w:style w:type="table" w:styleId="23">
    <w:name w:val="Table Grid"/>
    <w:basedOn w:val="22"/>
    <w:qFormat/>
    <w:uiPriority w:val="0"/>
    <w:pPr>
      <w:widowControl w:val="0"/>
      <w:jc w:val="both"/>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5">
    <w:name w:val="Strong"/>
    <w:basedOn w:val="24"/>
    <w:qFormat/>
    <w:uiPriority w:val="0"/>
    <w:rPr>
      <w:b/>
    </w:rPr>
  </w:style>
  <w:style w:type="character" w:styleId="26">
    <w:name w:val="page number"/>
    <w:basedOn w:val="24"/>
    <w:qFormat/>
    <w:uiPriority w:val="0"/>
  </w:style>
  <w:style w:type="character" w:styleId="27">
    <w:name w:val="annotation reference"/>
    <w:basedOn w:val="24"/>
    <w:semiHidden/>
    <w:qFormat/>
    <w:uiPriority w:val="0"/>
    <w:rPr>
      <w:sz w:val="21"/>
    </w:rPr>
  </w:style>
  <w:style w:type="paragraph" w:customStyle="1" w:styleId="28">
    <w:name w:val="表头"/>
    <w:basedOn w:val="29"/>
    <w:qFormat/>
    <w:uiPriority w:val="99"/>
    <w:pPr>
      <w:spacing w:line="420" w:lineRule="exact"/>
      <w:jc w:val="center"/>
    </w:pPr>
    <w:rPr>
      <w:rFonts w:hAnsi="宋体"/>
      <w:b/>
      <w:color w:val="000000"/>
      <w:position w:val="2"/>
      <w:sz w:val="24"/>
    </w:rPr>
  </w:style>
  <w:style w:type="paragraph" w:customStyle="1" w:styleId="29">
    <w:name w:val="文本"/>
    <w:basedOn w:val="1"/>
    <w:next w:val="1"/>
    <w:qFormat/>
    <w:uiPriority w:val="0"/>
    <w:pPr>
      <w:adjustRightInd w:val="0"/>
      <w:snapToGrid w:val="0"/>
      <w:ind w:firstLine="960"/>
    </w:pPr>
  </w:style>
  <w:style w:type="paragraph" w:customStyle="1" w:styleId="30">
    <w:name w:val="0正文"/>
    <w:unhideWhenUsed/>
    <w:qFormat/>
    <w:uiPriority w:val="0"/>
    <w:pPr>
      <w:widowControl w:val="0"/>
      <w:spacing w:after="160" w:line="360" w:lineRule="auto"/>
      <w:ind w:firstLine="720" w:firstLineChars="200"/>
    </w:pPr>
    <w:rPr>
      <w:rFonts w:ascii="Times New Roman" w:hAnsi="Times New Roman" w:eastAsia="宋体" w:cs="Microsoft Uighur"/>
      <w:sz w:val="24"/>
      <w:szCs w:val="22"/>
      <w:lang w:val="en-US" w:eastAsia="zh-CN" w:bidi="ar-SA"/>
    </w:rPr>
  </w:style>
  <w:style w:type="paragraph" w:customStyle="1" w:styleId="31">
    <w:name w:val="Default"/>
    <w:qFormat/>
    <w:uiPriority w:val="0"/>
    <w:pPr>
      <w:widowControl w:val="0"/>
      <w:autoSpaceDE w:val="0"/>
      <w:autoSpaceDN w:val="0"/>
      <w:adjustRightInd w:val="0"/>
      <w:spacing w:after="160" w:line="278" w:lineRule="auto"/>
    </w:pPr>
    <w:rPr>
      <w:rFonts w:ascii="Calibri" w:hAnsi="Calibri" w:eastAsia="宋体" w:cs="Times New Roman"/>
      <w:color w:val="000000"/>
      <w:sz w:val="24"/>
      <w:szCs w:val="24"/>
      <w:lang w:val="en-US" w:eastAsia="zh-CN" w:bidi="ar-SA"/>
    </w:rPr>
  </w:style>
  <w:style w:type="paragraph" w:customStyle="1" w:styleId="32">
    <w:name w:val="表格正文"/>
    <w:basedOn w:val="1"/>
    <w:next w:val="1"/>
    <w:qFormat/>
    <w:uiPriority w:val="0"/>
    <w:pPr>
      <w:spacing w:line="300" w:lineRule="auto"/>
      <w:jc w:val="center"/>
    </w:pPr>
    <w:rPr>
      <w:sz w:val="24"/>
    </w:rPr>
  </w:style>
  <w:style w:type="paragraph" w:customStyle="1" w:styleId="33">
    <w:name w:val="11正文"/>
    <w:qFormat/>
    <w:uiPriority w:val="0"/>
    <w:pPr>
      <w:spacing w:after="160"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34">
    <w:name w:val="3-四级标题"/>
    <w:basedOn w:val="1"/>
    <w:qFormat/>
    <w:uiPriority w:val="0"/>
    <w:pPr>
      <w:adjustRightInd w:val="0"/>
      <w:snapToGrid w:val="0"/>
      <w:spacing w:line="360" w:lineRule="auto"/>
      <w:ind w:firstLine="200" w:firstLineChars="200"/>
      <w:outlineLvl w:val="3"/>
    </w:pPr>
    <w:rPr>
      <w:rFonts w:ascii="仿宋_GB2312" w:hAnsi="宋体" w:eastAsia="仿宋_GB2312"/>
      <w:b/>
      <w:sz w:val="30"/>
      <w:szCs w:val="32"/>
    </w:rPr>
  </w:style>
  <w:style w:type="paragraph" w:customStyle="1" w:styleId="35">
    <w:name w:val="正式文本"/>
    <w:basedOn w:val="1"/>
    <w:qFormat/>
    <w:uiPriority w:val="0"/>
    <w:pPr>
      <w:adjustRightInd w:val="0"/>
      <w:snapToGrid w:val="0"/>
      <w:spacing w:line="360" w:lineRule="auto"/>
      <w:ind w:firstLine="420" w:firstLineChars="200"/>
      <w:jc w:val="left"/>
    </w:pPr>
    <w:rPr>
      <w:rFonts w:ascii="Times New Roman" w:hAnsi="Times New Roman"/>
      <w:bCs/>
      <w:szCs w:val="21"/>
    </w:rPr>
  </w:style>
  <w:style w:type="paragraph" w:customStyle="1" w:styleId="36">
    <w:name w:val="表头。图尾"/>
    <w:basedOn w:val="1"/>
    <w:next w:val="1"/>
    <w:qFormat/>
    <w:uiPriority w:val="0"/>
    <w:pPr>
      <w:keepNext/>
      <w:jc w:val="center"/>
    </w:pPr>
    <w:rPr>
      <w:rFonts w:ascii="Times New Roman" w:hAnsi="Times New Roman"/>
      <w:b/>
      <w:spacing w:val="10"/>
      <w:kern w:val="21"/>
      <w:szCs w:val="21"/>
    </w:rPr>
  </w:style>
  <w:style w:type="paragraph" w:customStyle="1" w:styleId="37">
    <w:name w:val="表格内格式"/>
    <w:basedOn w:val="1"/>
    <w:qFormat/>
    <w:uiPriority w:val="0"/>
    <w:pPr>
      <w:adjustRightInd w:val="0"/>
      <w:snapToGrid w:val="0"/>
      <w:spacing w:before="60"/>
      <w:jc w:val="center"/>
    </w:pPr>
    <w:rPr>
      <w:rFonts w:ascii="Times New Roman" w:hAnsi="Times New Roman" w:cs="宋体"/>
      <w:snapToGrid w:val="0"/>
      <w:sz w:val="18"/>
      <w:szCs w:val="21"/>
    </w:rPr>
  </w:style>
  <w:style w:type="paragraph" w:customStyle="1" w:styleId="38">
    <w:name w:val="4-正文"/>
    <w:basedOn w:val="1"/>
    <w:qFormat/>
    <w:uiPriority w:val="0"/>
    <w:pPr>
      <w:adjustRightInd w:val="0"/>
      <w:snapToGrid w:val="0"/>
      <w:spacing w:line="360" w:lineRule="auto"/>
      <w:ind w:firstLine="200" w:firstLineChars="200"/>
    </w:pPr>
    <w:rPr>
      <w:rFonts w:ascii="仿宋_GB2312" w:hAnsi="宋体" w:eastAsia="仿宋_GB2312"/>
      <w:sz w:val="30"/>
      <w:szCs w:val="32"/>
    </w:rPr>
  </w:style>
  <w:style w:type="paragraph" w:customStyle="1" w:styleId="39">
    <w:name w:val="说明书正文"/>
    <w:basedOn w:val="1"/>
    <w:qFormat/>
    <w:uiPriority w:val="0"/>
    <w:pPr>
      <w:spacing w:line="480" w:lineRule="exact"/>
      <w:ind w:firstLine="600" w:firstLineChars="200"/>
    </w:pPr>
    <w:rPr>
      <w:rFonts w:ascii="Times New Roman" w:hAnsi="Times New Roman" w:eastAsia="仿宋_GB2312"/>
      <w:color w:val="000000"/>
      <w:sz w:val="30"/>
    </w:rPr>
  </w:style>
  <w:style w:type="paragraph" w:customStyle="1" w:styleId="40">
    <w:name w:val="正文部分"/>
    <w:basedOn w:val="1"/>
    <w:qFormat/>
    <w:uiPriority w:val="0"/>
    <w:pPr>
      <w:topLinePunct/>
      <w:adjustRightInd w:val="0"/>
      <w:snapToGrid w:val="0"/>
      <w:spacing w:line="360" w:lineRule="auto"/>
      <w:ind w:firstLine="480" w:firstLineChars="200"/>
    </w:pPr>
    <w:rPr>
      <w:kern w:val="0"/>
      <w:sz w:val="24"/>
      <w:shd w:val="clear" w:color="auto" w:fill="FFFFFF"/>
      <w:lang w:val="zh-CN"/>
    </w:rPr>
  </w:style>
  <w:style w:type="paragraph" w:customStyle="1" w:styleId="41">
    <w:name w:val="样式 小四 行距: 1.5 倍行距"/>
    <w:basedOn w:val="1"/>
    <w:qFormat/>
    <w:uiPriority w:val="0"/>
    <w:pPr>
      <w:ind w:firstLine="480" w:firstLineChars="200"/>
    </w:pPr>
    <w:rPr>
      <w:rFonts w:ascii="Times New Roman" w:hAnsi="Times New Roman" w:cs="宋体"/>
    </w:rPr>
  </w:style>
  <w:style w:type="paragraph" w:customStyle="1" w:styleId="42">
    <w:name w:val="表格内正文"/>
    <w:basedOn w:val="1"/>
    <w:qFormat/>
    <w:uiPriority w:val="0"/>
    <w:pPr>
      <w:spacing w:line="360" w:lineRule="auto"/>
      <w:ind w:firstLine="720" w:firstLineChars="200"/>
      <w:jc w:val="left"/>
    </w:pPr>
    <w:rPr>
      <w:rFonts w:ascii="Times New Roman" w:hAnsi="Times New Roman"/>
    </w:rPr>
  </w:style>
  <w:style w:type="paragraph" w:customStyle="1" w:styleId="43">
    <w:name w:val="表格内容"/>
    <w:basedOn w:val="13"/>
    <w:next w:val="1"/>
    <w:qFormat/>
    <w:uiPriority w:val="0"/>
    <w:pPr>
      <w:tabs>
        <w:tab w:val="left" w:pos="0"/>
      </w:tabs>
      <w:jc w:val="center"/>
    </w:pPr>
    <w:rPr>
      <w:rFonts w:ascii="Times New Roman" w:hAnsi="Times New Roman"/>
      <w:szCs w:val="21"/>
    </w:rPr>
  </w:style>
  <w:style w:type="character" w:customStyle="1" w:styleId="44">
    <w:name w:val="宋体"/>
    <w:basedOn w:val="24"/>
    <w:qFormat/>
    <w:uiPriority w:val="0"/>
    <w:rPr>
      <w:rFonts w:hint="eastAsia" w:ascii="仿宋" w:hAnsi="仿宋" w:eastAsia="宋体"/>
      <w:color w:val="000000"/>
      <w:sz w:val="24"/>
      <w:szCs w:val="24"/>
    </w:rPr>
  </w:style>
  <w:style w:type="paragraph" w:customStyle="1" w:styleId="45">
    <w:name w:val="样式41"/>
    <w:basedOn w:val="1"/>
    <w:qFormat/>
    <w:uiPriority w:val="0"/>
    <w:pPr>
      <w:spacing w:beforeLines="50" w:afterLines="50" w:line="400" w:lineRule="exact"/>
      <w:jc w:val="center"/>
    </w:pPr>
    <w:rPr>
      <w:rFonts w:ascii="黑体" w:eastAsia="黑体"/>
      <w:kern w:val="0"/>
      <w:sz w:val="24"/>
    </w:rPr>
  </w:style>
  <w:style w:type="paragraph" w:customStyle="1" w:styleId="46">
    <w:name w:val="eia正文"/>
    <w:basedOn w:val="1"/>
    <w:next w:val="1"/>
    <w:unhideWhenUsed/>
    <w:qFormat/>
    <w:uiPriority w:val="99"/>
    <w:pPr>
      <w:spacing w:line="360" w:lineRule="auto"/>
      <w:ind w:firstLine="200" w:firstLineChars="200"/>
      <w:jc w:val="left"/>
    </w:pPr>
    <w:rPr>
      <w:color w:val="000000"/>
      <w:kern w:val="0"/>
      <w:sz w:val="22"/>
      <w:szCs w:val="20"/>
      <w:lang w:val="sq-AL" w:eastAsia="en-US"/>
    </w:rPr>
  </w:style>
  <w:style w:type="paragraph" w:customStyle="1" w:styleId="47">
    <w:name w:val="eia标题表头"/>
    <w:basedOn w:val="6"/>
    <w:unhideWhenUsed/>
    <w:qFormat/>
    <w:uiPriority w:val="99"/>
    <w:pPr>
      <w:tabs>
        <w:tab w:val="left" w:pos="1080"/>
      </w:tabs>
      <w:spacing w:line="360" w:lineRule="auto"/>
      <w:jc w:val="center"/>
    </w:pPr>
    <w:rPr>
      <w:rFonts w:hint="eastAsia" w:ascii="Arial" w:hAnsi="Arial"/>
      <w:sz w:val="24"/>
      <w:lang w:eastAsia="en-US"/>
    </w:rPr>
  </w:style>
  <w:style w:type="character" w:customStyle="1" w:styleId="48">
    <w:name w:val="font21"/>
    <w:basedOn w:val="24"/>
    <w:qFormat/>
    <w:uiPriority w:val="0"/>
    <w:rPr>
      <w:rFonts w:hint="eastAsia" w:ascii="宋体" w:hAnsi="宋体" w:eastAsia="宋体" w:cs="宋体"/>
      <w:color w:val="000000"/>
      <w:sz w:val="21"/>
      <w:szCs w:val="21"/>
      <w:u w:val="none"/>
    </w:rPr>
  </w:style>
  <w:style w:type="character" w:customStyle="1" w:styleId="49">
    <w:name w:val="font31"/>
    <w:basedOn w:val="24"/>
    <w:qFormat/>
    <w:uiPriority w:val="0"/>
    <w:rPr>
      <w:rFonts w:hint="default" w:ascii="Times New Roman" w:hAnsi="Times New Roman" w:cs="Times New Roman"/>
      <w:color w:val="000000"/>
      <w:sz w:val="21"/>
      <w:szCs w:val="21"/>
      <w:u w:val="none"/>
    </w:rPr>
  </w:style>
  <w:style w:type="paragraph" w:customStyle="1" w:styleId="50">
    <w:name w:val="表格文字"/>
    <w:basedOn w:val="51"/>
    <w:next w:val="1"/>
    <w:qFormat/>
    <w:uiPriority w:val="0"/>
    <w:pPr>
      <w:snapToGrid w:val="0"/>
      <w:spacing w:before="60" w:line="259" w:lineRule="auto"/>
      <w:ind w:right="113"/>
    </w:pPr>
    <w:rPr>
      <w:rFonts w:ascii="仿宋_GB2312" w:hAnsi="Arial Black" w:eastAsia="仿宋_GB2312" w:cs="Times New Roman"/>
      <w:kern w:val="44"/>
      <w:sz w:val="24"/>
    </w:rPr>
  </w:style>
  <w:style w:type="paragraph" w:customStyle="1" w:styleId="51">
    <w:name w:val="图标"/>
    <w:basedOn w:val="1"/>
    <w:qFormat/>
    <w:uiPriority w:val="0"/>
    <w:pPr>
      <w:widowControl/>
      <w:spacing w:line="240" w:lineRule="auto"/>
      <w:jc w:val="center"/>
    </w:pPr>
    <w:rPr>
      <w:rFonts w:eastAsia="仿宋" w:cs="宋体"/>
      <w:color w:val="000000"/>
      <w:kern w:val="0"/>
      <w:sz w:val="20"/>
      <w:szCs w:val="20"/>
    </w:rPr>
  </w:style>
  <w:style w:type="character" w:customStyle="1" w:styleId="52">
    <w:name w:val="font11"/>
    <w:basedOn w:val="24"/>
    <w:qFormat/>
    <w:uiPriority w:val="0"/>
    <w:rPr>
      <w:rFonts w:hint="default" w:ascii="Times New Roman" w:hAnsi="Times New Roman" w:cs="Times New Roman"/>
      <w:color w:val="000000"/>
      <w:sz w:val="21"/>
      <w:szCs w:val="21"/>
      <w:u w:val="none"/>
    </w:rPr>
  </w:style>
  <w:style w:type="character" w:customStyle="1" w:styleId="53">
    <w:name w:val="font51"/>
    <w:basedOn w:val="24"/>
    <w:qFormat/>
    <w:uiPriority w:val="0"/>
    <w:rPr>
      <w:rFonts w:hint="default" w:ascii="Times New Roman" w:hAnsi="Times New Roman" w:cs="Times New Roman"/>
      <w:color w:val="000000"/>
      <w:sz w:val="21"/>
      <w:szCs w:val="21"/>
      <w:u w:val="none"/>
    </w:rPr>
  </w:style>
  <w:style w:type="character" w:customStyle="1" w:styleId="54">
    <w:name w:val="font41"/>
    <w:basedOn w:val="24"/>
    <w:qFormat/>
    <w:uiPriority w:val="0"/>
    <w:rPr>
      <w:rFonts w:hint="eastAsia" w:ascii="宋体" w:hAnsi="宋体" w:eastAsia="宋体" w:cs="宋体"/>
      <w:color w:val="000000"/>
      <w:sz w:val="21"/>
      <w:szCs w:val="21"/>
      <w:u w:val="none"/>
    </w:rPr>
  </w:style>
  <w:style w:type="paragraph" w:customStyle="1" w:styleId="55">
    <w:name w:val="！正文"/>
    <w:basedOn w:val="1"/>
    <w:qFormat/>
    <w:uiPriority w:val="0"/>
    <w:pPr>
      <w:spacing w:line="360" w:lineRule="auto"/>
      <w:ind w:firstLine="480" w:firstLineChars="200"/>
    </w:pPr>
    <w:rPr>
      <w:rFonts w:ascii="Times New Roman" w:hAnsi="Times New Roman"/>
      <w:color w:val="FF0000"/>
      <w:sz w:val="24"/>
    </w:rPr>
  </w:style>
  <w:style w:type="paragraph" w:customStyle="1" w:styleId="56">
    <w:name w:val="Table Text"/>
    <w:basedOn w:val="1"/>
    <w:semiHidden/>
    <w:qFormat/>
    <w:uiPriority w:val="0"/>
    <w:rPr>
      <w:rFonts w:ascii="仿宋" w:hAnsi="仿宋" w:eastAsia="仿宋" w:cs="仿宋"/>
      <w:sz w:val="24"/>
      <w:lang w:eastAsia="en-US"/>
    </w:rPr>
  </w:style>
  <w:style w:type="table" w:customStyle="1" w:styleId="57">
    <w:name w:val="Table Normal"/>
    <w:semiHidden/>
    <w:unhideWhenUsed/>
    <w:qFormat/>
    <w:uiPriority w:val="0"/>
    <w:tblPr>
      <w:tblCellMar>
        <w:top w:w="0" w:type="dxa"/>
        <w:left w:w="0" w:type="dxa"/>
        <w:bottom w:w="0" w:type="dxa"/>
        <w:right w:w="0" w:type="dxa"/>
      </w:tblCellMar>
    </w:tblPr>
  </w:style>
  <w:style w:type="paragraph" w:customStyle="1" w:styleId="58">
    <w:name w:val="Table Paragraph"/>
    <w:basedOn w:val="1"/>
    <w:qFormat/>
    <w:uiPriority w:val="0"/>
    <w:pPr>
      <w:autoSpaceDE w:val="0"/>
      <w:autoSpaceDN w:val="0"/>
      <w:spacing w:before="33"/>
      <w:jc w:val="center"/>
    </w:pPr>
    <w:rPr>
      <w:rFonts w:ascii="宋体" w:hAnsi="宋体" w:cs="宋体"/>
      <w:kern w:val="0"/>
      <w:sz w:val="22"/>
      <w:szCs w:val="22"/>
    </w:rPr>
  </w:style>
  <w:style w:type="character" w:customStyle="1" w:styleId="59">
    <w:name w:val="批注文字 Char"/>
    <w:basedOn w:val="24"/>
    <w:link w:val="7"/>
    <w:qFormat/>
    <w:uiPriority w:val="99"/>
    <w:rPr>
      <w:sz w:val="24"/>
    </w:rPr>
  </w:style>
  <w:style w:type="character" w:customStyle="1" w:styleId="60">
    <w:name w:val="批注主题 Char"/>
    <w:basedOn w:val="59"/>
    <w:link w:val="21"/>
    <w:qFormat/>
    <w:uiPriority w:val="0"/>
    <w:rPr>
      <w:rFonts w:ascii="Calibri" w:hAnsi="Calibri"/>
      <w:b/>
      <w:bCs/>
      <w:kern w:val="2"/>
      <w:sz w:val="21"/>
      <w:szCs w:val="24"/>
    </w:rPr>
  </w:style>
  <w:style w:type="character" w:customStyle="1" w:styleId="61">
    <w:name w:val="批注框文本 Char"/>
    <w:basedOn w:val="24"/>
    <w:link w:val="1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emf"/><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jpe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50" textRotate="1"/>
    <customShpInfo spid="_x0000_s2051" textRotate="1"/>
    <customShpInfo spid="_x0000_s1026"/>
    <customShpInfo spid="_x0000_s1027"/>
    <customShpInfo spid="_x0000_s1028"/>
    <customShpInfo spid="_x0000_s1029"/>
  </customShpExts>
  <extobjs>
    <extobj name="F360BE8B-6686-4F3D-AEAF-501FE73E4058-1">
      <extobjdata type="F360BE8B-6686-4F3D-AEAF-501FE73E4058" data="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"/>
    </extobj>
    <extobj name="F360BE8B-6686-4F3D-AEAF-501FE73E4058-2">
      <extobjdata type="F360BE8B-6686-4F3D-AEAF-501FE73E4058" data="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"/>
    </extobj>
    <extobj name="F360BE8B-6686-4F3D-AEAF-501FE73E4058-3">
      <extobjdata type="F360BE8B-6686-4F3D-AEAF-501FE73E4058" data="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90</Words>
  <Characters>94</Characters>
  <Lines>430</Lines>
  <Paragraphs>121</Paragraphs>
  <TotalTime>14</TotalTime>
  <ScaleCrop>false</ScaleCrop>
  <LinksUpToDate>false</LinksUpToDate>
  <CharactersWithSpaces>153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2025-07-22T00:54:00Z</dcterms:created>
  <dc:creator>。。。</dc:creator>
  <cp:lastModifiedBy>.</cp:lastModifiedBy>
  <dcterms:modified xsi:type="dcterms:W3CDTF">2026-10-14T14:28:59Z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91FBAE7F2BF64FE18CF4CC39C6F98164_13</vt:lpwstr>
  </property>
  <property fmtid="{D5CDD505-2E9C-101B-9397-08002B2CF9AE}" pid="4" name="KSOTemplateDocerSaveRecord">
    <vt:lpwstr>eyJoZGlkIjoiMjM1NWU4YjQxZTJjM2I0NDZiMDBiMjFmZmFmYzJkNzAiLCJ1c2VySWQiOiIyNTkyMjg3MTcifQ==</vt:lpwstr>
  </property>
</Properties>
</file>